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27, 2020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1" w:lineRule="exact"/>
        <w:rPr>
          <w:sz w:val="24"/>
          <w:szCs w:val="24"/>
          <w:color w:val="auto"/>
        </w:rPr>
      </w:pPr>
    </w:p>
    <w:tbl>
      <w:tblPr>
        <w:tblLayout w:type="fixed"/>
        <w:tblInd w:w="1900" w:type="dxa"/>
        <w:tblCellMar>
          <w:top w:w="0" w:type="dxa"/>
          <w:left w:w="0" w:type="dxa"/>
          <w:bottom w:w="0" w:type="dxa"/>
          <w:right w:w="0" w:type="dxa"/>
        </w:tblCellMar>
      </w:tblPr>
      <w:tr>
        <w:trPr>
          <w:trHeight w:val="248"/>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tcPr>
          <w:p>
            <w:pPr>
              <w:jc w:val="right"/>
              <w:ind w:right="750"/>
              <w:spacing w:after="0"/>
              <w:rPr>
                <w:sz w:val="20"/>
                <w:szCs w:val="20"/>
                <w:color w:val="auto"/>
              </w:rPr>
            </w:pPr>
            <w:r>
              <w:rPr>
                <w:rFonts w:ascii="Arial" w:cs="Arial" w:eastAsia="Arial" w:hAnsi="Arial"/>
                <w:sz w:val="18"/>
                <w:szCs w:val="18"/>
                <w:b w:val="1"/>
                <w:bCs w:val="1"/>
                <w:color w:val="auto"/>
              </w:rPr>
              <w:t>001-36002</w:t>
            </w:r>
          </w:p>
        </w:tc>
        <w:tc>
          <w:tcPr>
            <w:tcW w:w="2860" w:type="dxa"/>
            <w:vAlign w:val="bottom"/>
          </w:tcPr>
          <w:p>
            <w:pPr>
              <w:jc w:val="right"/>
              <w:ind w:right="81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25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vMerge w:val="restart"/>
          </w:tcPr>
          <w:p>
            <w:pPr>
              <w:jc w:val="right"/>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122"/>
        </w:trPr>
        <w:tc>
          <w:tcPr>
            <w:tcW w:w="23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2460" w:type="dxa"/>
            <w:vAlign w:val="bottom"/>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vMerge w:val="continue"/>
          </w:tcPr>
          <w:p>
            <w:pPr>
              <w:spacing w:after="0"/>
              <w:rPr>
                <w:sz w:val="9"/>
                <w:szCs w:val="9"/>
                <w:color w:val="auto"/>
              </w:rPr>
            </w:pPr>
          </w:p>
        </w:tc>
        <w:tc>
          <w:tcPr>
            <w:tcW w:w="24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300 Carnegie Center, Suite 300, Princeton, New Jersey </w:t>
      </w:r>
      <w:r>
        <w:rPr>
          <w:rFonts w:ascii="Arial" w:cs="Arial" w:eastAsia="Arial" w:hAnsi="Arial"/>
          <w:sz w:val="18"/>
          <w:szCs w:val="18"/>
          <w:color w:val="auto"/>
        </w:rPr>
        <w:t>08540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right="3100" w:firstLine="62"/>
        <w:spacing w:after="0" w:line="274" w:lineRule="auto"/>
        <w:tabs>
          <w:tab w:leader="none" w:pos="2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Trading Symbol(s)</w:t>
            </w:r>
          </w:p>
        </w:tc>
        <w:tc>
          <w:tcPr>
            <w:tcW w:w="4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9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600" w:type="dxa"/>
            <w:vAlign w:val="bottom"/>
          </w:tcPr>
          <w:p>
            <w:pPr>
              <w:jc w:val="center"/>
              <w:ind w:right="50"/>
              <w:spacing w:after="0"/>
              <w:rPr>
                <w:sz w:val="20"/>
                <w:szCs w:val="20"/>
                <w:color w:val="auto"/>
              </w:rPr>
            </w:pPr>
            <w:r>
              <w:rPr>
                <w:rFonts w:ascii="Arial" w:cs="Arial" w:eastAsia="Arial" w:hAnsi="Arial"/>
                <w:sz w:val="18"/>
                <w:szCs w:val="18"/>
                <w:color w:val="auto"/>
                <w:w w:val="97"/>
              </w:rPr>
              <w:t>CWEN.A</w:t>
            </w:r>
          </w:p>
        </w:tc>
        <w:tc>
          <w:tcPr>
            <w:tcW w:w="484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980" w:type="dxa"/>
            <w:vAlign w:val="bottom"/>
          </w:tcPr>
          <w:p>
            <w:pPr>
              <w:jc w:val="center"/>
              <w:spacing w:after="0"/>
              <w:rPr>
                <w:sz w:val="20"/>
                <w:szCs w:val="20"/>
                <w:color w:val="auto"/>
              </w:rPr>
            </w:pPr>
            <w:r>
              <w:rPr>
                <w:rFonts w:ascii="Arial" w:cs="Arial" w:eastAsia="Arial" w:hAnsi="Arial"/>
                <w:sz w:val="18"/>
                <w:szCs w:val="18"/>
                <w:color w:val="auto"/>
                <w:w w:val="90"/>
              </w:rPr>
              <w:t>Class C Common Stock, par value $0.01</w:t>
            </w:r>
          </w:p>
        </w:tc>
        <w:tc>
          <w:tcPr>
            <w:tcW w:w="2600" w:type="dxa"/>
            <w:vAlign w:val="bottom"/>
          </w:tcPr>
          <w:p>
            <w:pPr>
              <w:jc w:val="center"/>
              <w:ind w:right="50"/>
              <w:spacing w:after="0"/>
              <w:rPr>
                <w:sz w:val="20"/>
                <w:szCs w:val="20"/>
                <w:color w:val="auto"/>
              </w:rPr>
            </w:pPr>
            <w:r>
              <w:rPr>
                <w:rFonts w:ascii="Arial" w:cs="Arial" w:eastAsia="Arial" w:hAnsi="Arial"/>
                <w:sz w:val="18"/>
                <w:szCs w:val="18"/>
                <w:color w:val="auto"/>
                <w:w w:val="98"/>
              </w:rPr>
              <w:t>CWEN</w:t>
            </w:r>
          </w:p>
        </w:tc>
        <w:tc>
          <w:tcPr>
            <w:tcW w:w="484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39"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420"/>
          </w:cols>
          <w:pgMar w:left="240" w:top="936" w:right="2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On February 27, 2020, Clearway Energy, Inc. issued a press release announcing its financial results for the year ended December 31, 2019. A copy of the press release is furnished as Exhibit 99.1 to this report on Form 8-K and is hereby incorporated by reference. </w:t>
      </w:r>
      <w:r>
        <w:rPr>
          <w:rFonts w:ascii="Arial" w:cs="Arial" w:eastAsia="Arial" w:hAnsi="Arial"/>
          <w:sz w:val="17"/>
          <w:szCs w:val="17"/>
          <w:color w:val="212529"/>
        </w:rPr>
        <w:t>In accordance with General Instruction</w:t>
      </w:r>
      <w:r>
        <w:rPr>
          <w:rFonts w:ascii="Arial" w:cs="Arial" w:eastAsia="Arial" w:hAnsi="Arial"/>
          <w:sz w:val="17"/>
          <w:szCs w:val="17"/>
          <w:color w:val="auto"/>
        </w:rPr>
        <w:t xml:space="preserve"> </w:t>
      </w:r>
      <w:r>
        <w:rPr>
          <w:rFonts w:ascii="Arial" w:cs="Arial" w:eastAsia="Arial" w:hAnsi="Arial"/>
          <w:sz w:val="17"/>
          <w:szCs w:val="17"/>
          <w:color w:val="212529"/>
        </w:rPr>
        <w:t>B.2 of Form 8-K, the information set forth in this Item 2.02 and in the attached exhibit are deemed to be furnished and shall not be deemed to be “filed” for purposes of Section 18 of the Securities Exchange Act of 1934, as amended (the “Exchange Act”).</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4"/>
        </w:trPr>
        <w:tc>
          <w:tcPr>
            <w:tcW w:w="24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380" w:type="dxa"/>
            <w:vAlign w:val="bottom"/>
          </w:tcPr>
          <w:p>
            <w:pPr>
              <w:ind w:left="86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20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196"/>
        </w:trPr>
        <w:tc>
          <w:tcPr>
            <w:tcW w:w="204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2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February 27, 2020</w:t>
              </w:r>
            </w:hyperlink>
          </w:p>
        </w:tc>
      </w:tr>
      <w:tr>
        <w:trPr>
          <w:trHeight w:val="20"/>
        </w:trPr>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91"/>
        </w:trPr>
        <w:tc>
          <w:tcPr>
            <w:tcW w:w="2040" w:type="dxa"/>
            <w:vAlign w:val="bottom"/>
          </w:tcPr>
          <w:p>
            <w:pPr>
              <w:ind w:left="4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553"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Kevin P. Malcarney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General Counsel and 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1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44411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41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Full Year 2019 Financial Results</w:t>
      </w:r>
    </w:p>
    <w:p>
      <w:pPr>
        <w:spacing w:after="0" w:line="2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Full year financial performance in-line with expectations</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Executed on $386 million in new accretive growth investments</w:t>
      </w:r>
    </w:p>
    <w:p>
      <w:pPr>
        <w:spacing w:after="0" w:line="2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Raised $700 million of new corporate level capital in the fourth quarter of 2019 to support growth investments and optimize the balance sheet</w:t>
      </w:r>
    </w:p>
    <w:p>
      <w:pPr>
        <w:spacing w:after="0" w:line="17"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Increasing 2020 financial guidance</w:t>
      </w:r>
    </w:p>
    <w:p>
      <w:pPr>
        <w:spacing w:after="0" w:line="63" w:lineRule="exact"/>
        <w:rPr>
          <w:rFonts w:ascii="Arial" w:cs="Arial" w:eastAsia="Arial" w:hAnsi="Arial"/>
          <w:sz w:val="18"/>
          <w:szCs w:val="18"/>
          <w:b w:val="1"/>
          <w:bCs w:val="1"/>
          <w:color w:val="auto"/>
        </w:rPr>
      </w:pPr>
    </w:p>
    <w:p>
      <w:pPr>
        <w:ind w:left="660" w:right="28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Received offer from Clearway Group to acquire and invest in a portfolio consisting of Rattlesnake Wind, the remaining equity interest in Repowering 1.0, and a new partnership to repower the Pinnacle Wind farm</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quarterly dividend by 5% to $0.21 per share in the first quarter 2020</w:t>
      </w:r>
    </w:p>
    <w:p>
      <w:pPr>
        <w:spacing w:after="0" w:line="26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February 27, 2020</w:t>
      </w:r>
      <w:r>
        <w:rPr>
          <w:rFonts w:ascii="Arial" w:cs="Arial" w:eastAsia="Arial" w:hAnsi="Arial"/>
          <w:sz w:val="18"/>
          <w:szCs w:val="18"/>
          <w:color w:val="auto"/>
        </w:rPr>
        <w:t>— Clearway Energy, Inc. (NYSE: CWEN, CWEN.A) today reported full year 2019 financial results,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$96 million, Adjusted EBITDA of $963 million, Cash from Operating Activities of $477 million, and Cash Available for Distribution (CAFD)</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of $254 million, which includes adjustments to reflect CAFD generated by unconsolidated investments that are unable to distribute project dividends due to the PG&amp;E bankruptcy.</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2019, the Company was able to navigate the impacts of the PG&amp;E bankruptcy and execute on growth investments while adhering to our long-term balance sheet objectives. As Clearway moves forward into 2020, the Company’s outlook is bright as the probability of a PG&amp;E resolution occurring during the year appears likely and our sponsor continues to advance its development efforts, providing for additional accretive investments during the year,” said Christopher Sotos, Clearway Energy, Inc.’s President and Chief Executive Officer. “With Clearway’s outlook improving and given the increase in 2020 CAFD guidance primarily resulting from the closing of the Carlsbad acquisition, we are also pleased with having been able to increase the quarterly dividend in the first quarter of the year."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rPr>
              <w:t>Segment Results</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rPr>
              <w:t>Table 1: Net (Loss)/Income</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660" w:type="dxa"/>
            <w:vAlign w:val="bottom"/>
            <w:gridSpan w:val="3"/>
          </w:tcPr>
          <w:p>
            <w:pPr>
              <w:ind w:left="20"/>
              <w:spacing w:after="0"/>
              <w:rPr>
                <w:sz w:val="20"/>
                <w:szCs w:val="20"/>
                <w:color w:val="auto"/>
              </w:rPr>
            </w:pPr>
            <w:r>
              <w:rPr>
                <w:rFonts w:ascii="Arial" w:cs="Arial" w:eastAsia="Arial" w:hAnsi="Arial"/>
                <w:sz w:val="18"/>
                <w:szCs w:val="18"/>
                <w:i w:val="1"/>
                <w:iCs w:val="1"/>
                <w:color w:val="auto"/>
              </w:rPr>
              <w:t>($ millions)</w:t>
            </w:r>
          </w:p>
        </w:tc>
        <w:tc>
          <w:tcPr>
            <w:tcW w:w="27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340" w:type="dxa"/>
            <w:vAlign w:val="bottom"/>
          </w:tcPr>
          <w:p>
            <w:pPr>
              <w:spacing w:after="0"/>
              <w:rPr>
                <w:sz w:val="23"/>
                <w:szCs w:val="23"/>
                <w:color w:val="auto"/>
              </w:rPr>
            </w:pPr>
          </w:p>
        </w:tc>
        <w:tc>
          <w:tcPr>
            <w:tcW w:w="4660" w:type="dxa"/>
            <w:vAlign w:val="bottom"/>
            <w:gridSpan w:val="3"/>
          </w:tcPr>
          <w:p>
            <w:pPr>
              <w:ind w:left="20"/>
              <w:spacing w:after="0"/>
              <w:rPr>
                <w:sz w:val="20"/>
                <w:szCs w:val="20"/>
                <w:color w:val="auto"/>
              </w:rPr>
            </w:pPr>
            <w:r>
              <w:rPr>
                <w:rFonts w:ascii="Arial" w:cs="Arial" w:eastAsia="Arial" w:hAnsi="Arial"/>
                <w:sz w:val="18"/>
                <w:szCs w:val="18"/>
                <w:b w:val="1"/>
                <w:bCs w:val="1"/>
                <w:color w:val="auto"/>
              </w:rPr>
              <w:t>Segment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12/31/18</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12/31/19</w:t>
            </w:r>
          </w:p>
        </w:tc>
        <w:tc>
          <w:tcPr>
            <w:tcW w:w="1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12/31/18</w:t>
            </w:r>
          </w:p>
        </w:tc>
      </w:tr>
      <w:tr>
        <w:trPr>
          <w:trHeight w:val="27"/>
        </w:trPr>
        <w:tc>
          <w:tcPr>
            <w:tcW w:w="3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340" w:type="dxa"/>
            <w:vAlign w:val="bottom"/>
          </w:tcPr>
          <w:p>
            <w:pPr>
              <w:spacing w:after="0"/>
              <w:rPr>
                <w:sz w:val="21"/>
                <w:szCs w:val="21"/>
                <w:color w:val="auto"/>
              </w:rPr>
            </w:pPr>
          </w:p>
        </w:tc>
        <w:tc>
          <w:tcPr>
            <w:tcW w:w="4660" w:type="dxa"/>
            <w:vAlign w:val="bottom"/>
            <w:gridSpan w:val="3"/>
          </w:tcPr>
          <w:p>
            <w:pPr>
              <w:ind w:left="20"/>
              <w:spacing w:after="0"/>
              <w:rPr>
                <w:sz w:val="20"/>
                <w:szCs w:val="20"/>
                <w:color w:val="auto"/>
              </w:rPr>
            </w:pPr>
            <w:r>
              <w:rPr>
                <w:rFonts w:ascii="Arial" w:cs="Arial" w:eastAsia="Arial" w:hAnsi="Arial"/>
                <w:sz w:val="18"/>
                <w:szCs w:val="18"/>
                <w:color w:val="auto"/>
              </w:rPr>
              <w:t>Renewables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340" w:type="dxa"/>
            <w:vAlign w:val="bottom"/>
          </w:tcPr>
          <w:p>
            <w:pPr>
              <w:spacing w:after="0"/>
              <w:rPr>
                <w:sz w:val="21"/>
                <w:szCs w:val="21"/>
                <w:color w:val="auto"/>
              </w:rPr>
            </w:pPr>
          </w:p>
        </w:tc>
        <w:tc>
          <w:tcPr>
            <w:tcW w:w="4660" w:type="dxa"/>
            <w:vAlign w:val="bottom"/>
            <w:gridSpan w:val="3"/>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(79)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3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(Loss)/Income</w:t>
            </w: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0"/>
        </w:trPr>
        <w:tc>
          <w:tcPr>
            <w:tcW w:w="34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92" w:lineRule="exact"/>
        <w:rPr>
          <w:sz w:val="20"/>
          <w:szCs w:val="20"/>
          <w:color w:val="auto"/>
        </w:rPr>
      </w:pPr>
    </w:p>
    <w:p>
      <w:pPr>
        <w:ind w:firstLine="8"/>
        <w:spacing w:after="0" w:line="242"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Includes adjustments to reflect CAFD generated by unconsolidated investments that are unable to distribute project dividends due to the PG&amp;E bankruptcy; 2019 Reported CAFD also excludes the impact of the Carlsbad Energy Center acquisition which closed on December 6, 2019 and accelerated and accrued interest on the 2024 Senior Notes which were partially repaid in December 2019 due to the issuance of the 2028 Senior Notes</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Twelve Months Ended</w:t>
            </w:r>
          </w:p>
        </w:tc>
        <w:tc>
          <w:tcPr>
            <w:tcW w:w="36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12/31/18</w:t>
            </w: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12/31/19</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12/31/18</w:t>
            </w:r>
          </w:p>
        </w:tc>
        <w:tc>
          <w:tcPr>
            <w:tcW w:w="36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302</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103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606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634</w:t>
            </w:r>
          </w:p>
        </w:tc>
      </w:tr>
      <w:tr>
        <w:trPr>
          <w:trHeight w:val="27"/>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(17)</w:t>
            </w: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963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983</w:t>
            </w:r>
          </w:p>
        </w:tc>
      </w:tr>
      <w:tr>
        <w:trPr>
          <w:trHeight w:val="20"/>
        </w:trPr>
        <w:tc>
          <w:tcPr>
            <w:tcW w:w="340" w:type="dxa"/>
            <w:vAlign w:val="bottom"/>
          </w:tcPr>
          <w:p>
            <w:pPr>
              <w:spacing w:after="0" w:line="20" w:lineRule="exact"/>
              <w:rPr>
                <w:sz w:val="1"/>
                <w:szCs w:val="1"/>
                <w:color w:val="auto"/>
              </w:rPr>
            </w:pPr>
          </w:p>
        </w:tc>
        <w:tc>
          <w:tcPr>
            <w:tcW w:w="4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12/31/18</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12/31/19</w:t>
            </w:r>
          </w:p>
        </w:tc>
        <w:tc>
          <w:tcPr>
            <w:tcW w:w="100" w:type="dxa"/>
            <w:vAlign w:val="bottom"/>
          </w:tcPr>
          <w:p>
            <w:pPr>
              <w:spacing w:after="0"/>
              <w:rPr>
                <w:sz w:val="23"/>
                <w:szCs w:val="23"/>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12/31/18</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64"/>
        </w:trPr>
        <w:tc>
          <w:tcPr>
            <w:tcW w:w="5160" w:type="dxa"/>
            <w:vAlign w:val="bottom"/>
            <w:tcBorders>
              <w:top w:val="single" w:sz="8" w:color="auto"/>
              <w:bottom w:val="single" w:sz="8" w:color="auto"/>
            </w:tcBorders>
          </w:tcPr>
          <w:p>
            <w:pPr>
              <w:ind w:left="40"/>
              <w:spacing w:after="0" w:line="264"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5"/>
                <w:szCs w:val="25"/>
                <w:color w:val="auto"/>
                <w:vertAlign w:val="superscript"/>
              </w:rPr>
              <w:t>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fourth quarter of 2019, the Company reported a Net Loss of $48 million, Adjusted EBITDA of $194 million, Cash from Operating Activities of $103 million, and CAFD of $22 million, which includes adjustments to reflect CAFD generated by unconsolidated investments that are unable to distribute project dividends due to the PG&amp;E bankruptcy. Net Loss decreased versus the fourth quarter of 2018 primarily due to a lower effective tax rate and lower interest expense. Fourth quarter Adjusted EBITDA results were lower than 2018 primarily due to weaker renewable energy conditions, partially offset by the contribution of growth investments. In the fourth quarter, CAFD results were lower than 2018 primarily due to lower Adjusted EBITDA and the timing of corporate interest payments from the 2025 Senior Notes issued in October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full year of 2019, the Company reported a Net Loss of $96 million, Adjusted EBITDA of $963 million, Cash from Operating Activities of $477 million, and CAFD of $254 million. Adjusted EBITDA results were lower than 2018 primarily due to weak renewable energy conditions and the June 2019 outage at the CVSR facility, partially offset by the contribution of growth investments. For the full year, CAFD results were lower than 2018 primarily due to lower Adjusted EBITDA and higher corporate interest payments from the 2025 Notes issued in October 2018.</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timing of the Carlsbad acquisition and the refinancing of the 2024 Senior Notes, both which occurred in December 2019, reported fourth quarter and full year 2019 CAFD excludes the impact of these transactions. If included, CAFD results in the fourth quarter of 2019 would have been lower by approximately $15 million due to the timing of project level debt service at Carlsbad and the acceleration of accrued interest paid from the partial redemption of the 2024 Senior Notes due to the issuance of the 2028 Senior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0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3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1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12/31/19</w:t>
            </w:r>
          </w:p>
        </w:tc>
        <w:tc>
          <w:tcPr>
            <w:tcW w:w="120" w:type="dxa"/>
            <w:vAlign w:val="bottom"/>
          </w:tcPr>
          <w:p>
            <w:pPr>
              <w:spacing w:after="0"/>
              <w:rPr>
                <w:sz w:val="23"/>
                <w:szCs w:val="23"/>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12/31/18</w:t>
            </w:r>
          </w:p>
        </w:tc>
        <w:tc>
          <w:tcPr>
            <w:tcW w:w="120" w:type="dxa"/>
            <w:vAlign w:val="bottom"/>
          </w:tcPr>
          <w:p>
            <w:pPr>
              <w:spacing w:after="0"/>
              <w:rPr>
                <w:sz w:val="23"/>
                <w:szCs w:val="23"/>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12/31/19</w:t>
            </w:r>
          </w:p>
        </w:tc>
        <w:tc>
          <w:tcPr>
            <w:tcW w:w="120" w:type="dxa"/>
            <w:vAlign w:val="bottom"/>
          </w:tcPr>
          <w:p>
            <w:pPr>
              <w:spacing w:after="0"/>
              <w:rPr>
                <w:sz w:val="23"/>
                <w:szCs w:val="23"/>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12/31/18</w:t>
            </w:r>
          </w:p>
        </w:tc>
      </w:tr>
      <w:tr>
        <w:trPr>
          <w:trHeight w:val="27"/>
        </w:trPr>
        <w:tc>
          <w:tcPr>
            <w:tcW w:w="1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44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Equivalent Availability Factor (Conventional)</w:t>
            </w:r>
            <w:r>
              <w:rPr>
                <w:rFonts w:ascii="Arial" w:cs="Arial" w:eastAsia="Arial" w:hAnsi="Arial"/>
                <w:sz w:val="25"/>
                <w:szCs w:val="25"/>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70"/>
        </w:trPr>
        <w:tc>
          <w:tcPr>
            <w:tcW w:w="160" w:type="dxa"/>
            <w:vAlign w:val="bottom"/>
          </w:tcPr>
          <w:p>
            <w:pPr>
              <w:spacing w:after="0"/>
              <w:rPr>
                <w:sz w:val="23"/>
                <w:szCs w:val="23"/>
                <w:color w:val="auto"/>
              </w:rPr>
            </w:pPr>
          </w:p>
        </w:tc>
        <w:tc>
          <w:tcPr>
            <w:tcW w:w="44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5"/>
                <w:szCs w:val="25"/>
                <w:color w:val="auto"/>
                <w:vertAlign w:val="superscript"/>
              </w:rPr>
              <w:t>4</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23"/>
                <w:szCs w:val="23"/>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7,197</w:t>
            </w:r>
          </w:p>
        </w:tc>
      </w:tr>
      <w:tr>
        <w:trPr>
          <w:trHeight w:val="250"/>
        </w:trPr>
        <w:tc>
          <w:tcPr>
            <w:tcW w:w="16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2,090</w:t>
            </w:r>
          </w:p>
        </w:tc>
      </w:tr>
      <w:tr>
        <w:trPr>
          <w:trHeight w:val="20"/>
        </w:trPr>
        <w:tc>
          <w:tcPr>
            <w:tcW w:w="1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8"/>
        <w:spacing w:after="0" w:line="247" w:lineRule="auto"/>
        <w:tabs>
          <w:tab w:leader="none" w:pos="81"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adjustments to reflect CAFD generated by unconsolidated investments that are unable to distribute project dividends due to the PG&amp;E bankruptcy; 2019 Reported CAFD also excludes the impact of the Carlsbad Energy Center acquisition which closed on December 6, 2019 and accelerated and accrued interest on the 2024 Senior Notes which were partially repaid in December 2019 due to the issuance of the 2028 Senior Notes</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Excludes unconsolidated projects</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Generation sold excludes MWh that are reimbursable for economic curtailment</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3" w:right="2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In the fourth quarter of 2019, availability at the Conventional segment was moderately higher than fourth quarter of 2018 due to a forced outage event at Walnut Creek's Unit 2 in the fourth quarter of 2018. Generation in the Renewables segment during the fourth quarter was below median expectations and 5% lower than the fourth quarter of 2018 due to weak solar and wind conditions across the portfolio.</w:t>
      </w: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40" w:type="dxa"/>
            <w:vAlign w:val="bottom"/>
          </w:tcPr>
          <w:p>
            <w:pPr>
              <w:spacing w:after="0"/>
              <w:rPr>
                <w:sz w:val="24"/>
                <w:szCs w:val="24"/>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00" w:type="dxa"/>
            <w:vAlign w:val="bottom"/>
          </w:tcPr>
          <w:p>
            <w:pPr>
              <w:spacing w:after="0"/>
              <w:rPr>
                <w:sz w:val="24"/>
                <w:szCs w:val="24"/>
                <w:color w:val="auto"/>
              </w:rPr>
            </w:pPr>
          </w:p>
        </w:tc>
        <w:tc>
          <w:tcPr>
            <w:tcW w:w="1080" w:type="dxa"/>
            <w:vAlign w:val="bottom"/>
          </w:tcPr>
          <w:p>
            <w:pPr>
              <w:jc w:val="right"/>
              <w:ind w:right="238"/>
              <w:spacing w:after="0"/>
              <w:rPr>
                <w:sz w:val="20"/>
                <w:szCs w:val="20"/>
                <w:color w:val="auto"/>
              </w:rPr>
            </w:pPr>
            <w:r>
              <w:rPr>
                <w:rFonts w:ascii="Arial" w:cs="Arial" w:eastAsia="Arial" w:hAnsi="Arial"/>
                <w:sz w:val="18"/>
                <w:szCs w:val="18"/>
                <w:b w:val="1"/>
                <w:bCs w:val="1"/>
                <w:color w:val="auto"/>
              </w:rPr>
              <w:t>12/31/19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8"/>
              <w:spacing w:after="0"/>
              <w:rPr>
                <w:sz w:val="20"/>
                <w:szCs w:val="20"/>
                <w:color w:val="auto"/>
              </w:rPr>
            </w:pPr>
            <w:r>
              <w:rPr>
                <w:rFonts w:ascii="Arial" w:cs="Arial" w:eastAsia="Arial" w:hAnsi="Arial"/>
                <w:sz w:val="18"/>
                <w:szCs w:val="18"/>
                <w:b w:val="1"/>
                <w:bCs w:val="1"/>
                <w:color w:val="auto"/>
              </w:rPr>
              <w:t>12/31/18</w:t>
            </w:r>
          </w:p>
        </w:tc>
      </w:tr>
      <w:tr>
        <w:trPr>
          <w:trHeight w:val="27"/>
        </w:trPr>
        <w:tc>
          <w:tcPr>
            <w:tcW w:w="840" w:type="dxa"/>
            <w:vAlign w:val="bottom"/>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40" w:type="dxa"/>
            <w:vAlign w:val="bottom"/>
          </w:tcPr>
          <w:p>
            <w:pPr>
              <w:spacing w:after="0"/>
              <w:rPr>
                <w:sz w:val="20"/>
                <w:szCs w:val="20"/>
                <w:color w:val="auto"/>
              </w:rPr>
            </w:pPr>
          </w:p>
        </w:tc>
        <w:tc>
          <w:tcPr>
            <w:tcW w:w="7120" w:type="dxa"/>
            <w:vAlign w:val="bottom"/>
            <w:gridSpan w:val="2"/>
          </w:tcPr>
          <w:p>
            <w:pPr>
              <w:ind w:left="26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298</w:t>
            </w:r>
          </w:p>
        </w:tc>
      </w:tr>
      <w:tr>
        <w:trPr>
          <w:trHeight w:val="33"/>
        </w:trPr>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r>
      <w:tr>
        <w:trPr>
          <w:trHeight w:val="224"/>
        </w:trPr>
        <w:tc>
          <w:tcPr>
            <w:tcW w:w="840" w:type="dxa"/>
            <w:vAlign w:val="bottom"/>
          </w:tcPr>
          <w:p>
            <w:pPr>
              <w:spacing w:after="0"/>
              <w:rPr>
                <w:sz w:val="19"/>
                <w:szCs w:val="19"/>
                <w:color w:val="auto"/>
              </w:rPr>
            </w:pPr>
          </w:p>
        </w:tc>
        <w:tc>
          <w:tcPr>
            <w:tcW w:w="712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4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Operating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84</w:t>
            </w:r>
          </w:p>
        </w:tc>
      </w:tr>
      <w:tr>
        <w:trPr>
          <w:trHeight w:val="237"/>
        </w:trPr>
        <w:tc>
          <w:tcPr>
            <w:tcW w:w="840" w:type="dxa"/>
            <w:vAlign w:val="bottom"/>
          </w:tcPr>
          <w:p>
            <w:pPr>
              <w:spacing w:after="0"/>
              <w:rPr>
                <w:sz w:val="20"/>
                <w:szCs w:val="20"/>
                <w:color w:val="auto"/>
              </w:rPr>
            </w:pPr>
          </w:p>
        </w:tc>
        <w:tc>
          <w:tcPr>
            <w:tcW w:w="7120" w:type="dxa"/>
            <w:vAlign w:val="bottom"/>
            <w:gridSpan w:val="2"/>
          </w:tcPr>
          <w:p>
            <w:pPr>
              <w:ind w:left="26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0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92</w:t>
            </w:r>
          </w:p>
        </w:tc>
      </w:tr>
      <w:tr>
        <w:trPr>
          <w:trHeight w:val="33"/>
        </w:trPr>
        <w:tc>
          <w:tcPr>
            <w:tcW w:w="84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40" w:type="dxa"/>
            <w:vAlign w:val="bottom"/>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583</w:t>
            </w:r>
          </w:p>
        </w:tc>
      </w:tr>
      <w:tr>
        <w:trPr>
          <w:trHeight w:val="237"/>
        </w:trPr>
        <w:tc>
          <w:tcPr>
            <w:tcW w:w="840" w:type="dxa"/>
            <w:vAlign w:val="bottom"/>
          </w:tcPr>
          <w:p>
            <w:pPr>
              <w:spacing w:after="0"/>
              <w:rPr>
                <w:sz w:val="20"/>
                <w:szCs w:val="20"/>
                <w:color w:val="auto"/>
              </w:rPr>
            </w:pPr>
          </w:p>
        </w:tc>
        <w:tc>
          <w:tcPr>
            <w:tcW w:w="712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 availability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454</w:t>
            </w:r>
          </w:p>
        </w:tc>
      </w:tr>
      <w:tr>
        <w:trPr>
          <w:trHeight w:val="33"/>
        </w:trPr>
        <w:tc>
          <w:tcPr>
            <w:tcW w:w="84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1,037</w:t>
            </w:r>
          </w:p>
        </w:tc>
      </w:tr>
      <w:tr>
        <w:trPr>
          <w:trHeight w:val="20"/>
        </w:trPr>
        <w:tc>
          <w:tcPr>
            <w:tcW w:w="84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liquidity as of December 31, 2019 was $842 million, which was $195 million lower than as of December 31, 2018. This reduction was primarily due to the repayment, with cash on hand, of $220 million in outstanding 2019 Convertible Notes and funding of committed growth investments.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The Company's liquidity includes </w:t>
      </w:r>
      <w:r>
        <w:rPr>
          <w:rFonts w:ascii="Arial" w:cs="Arial" w:eastAsia="Arial" w:hAnsi="Arial"/>
          <w:sz w:val="18"/>
          <w:szCs w:val="18"/>
          <w:color w:val="000000"/>
        </w:rPr>
        <w:t>$262 million</w:t>
      </w:r>
      <w:r>
        <w:rPr>
          <w:rFonts w:ascii="Arial" w:cs="Arial" w:eastAsia="Arial" w:hAnsi="Arial"/>
          <w:sz w:val="18"/>
          <w:szCs w:val="18"/>
          <w:color w:val="231F20"/>
        </w:rPr>
        <w:t xml:space="preserve"> of restricted cash balances as of December 31, 2019.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December 31, 2019, these</w:t>
      </w:r>
      <w:r>
        <w:rPr>
          <w:rFonts w:ascii="Arial" w:cs="Arial" w:eastAsia="Arial" w:hAnsi="Arial"/>
          <w:sz w:val="18"/>
          <w:szCs w:val="18"/>
          <w:color w:val="231F20"/>
        </w:rPr>
        <w:t xml:space="preserve"> </w:t>
      </w:r>
      <w:r>
        <w:rPr>
          <w:rFonts w:ascii="Arial" w:cs="Arial" w:eastAsia="Arial" w:hAnsi="Arial"/>
          <w:sz w:val="18"/>
          <w:szCs w:val="18"/>
          <w:color w:val="000000"/>
        </w:rPr>
        <w:t>restricted funds were comprised of $129 million designated to fund operating expenses, approximately $24 million designated for current debt service payments, and $30 million of reserves for debt service, performance obligations and other items including capital expenditures. The remaining $79 million is held in distribution accounts. The Company estimates that as of December 31, 2019 there was approximately $121 million of excess restricted cash at consolidated and unconsolidated subsidiaries affected by the PG&amp;E bankruptcy that would be available to be distributed to the Company upon the resolution of the PG&amp;E bankruptcy.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closing of growth investments, including Repowering 1.0, and the redemption of the remaining balance of the 2024 Senior Notes in January 2020, availability under the Revolving Credit Facility as of February 24, 2020 was $256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Potential future sources of liquidity include excess operating cash flow, the existing ATM program, of which $36 million remained available as of February 24, 2020, availability under the revolving credit facility, asset dispositions, and, subject to market conditions, new corporate financings.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PG&amp;E Bankruptcy Update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27, 2020, the Company’s contracts with PG&amp;E have operated in the normal course and the Company currently expects these contracts to continue as such. However, unless such lenders for the related project-level debt otherwise agree, distributions to the Company from these projects may not be made during the pendency of the bankruptcy. These restrictions, therefore, have resulted in the Company accumulating less unrestricted cash and thus decreased the Company’s corporate liquidity and cash available for shareholder dividends and growth investments. The Company has entered into forbearance agreements for certain project-level financing arrangements and continues to seek similar agreements with the lenders for the remaining project-level financing arrangements affected by the PG&amp;E bankruptcy. The Company continues to assess the potential future impacts of the PG&amp;E bankruptcy filing as events occur.</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Drop Down Offers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Drop Down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January 8, 2020, Clearway Group (CEG) offered the Company the opportunity to acquire and invest in a portfolio of the following projects:</w:t>
      </w:r>
    </w:p>
    <w:p>
      <w:pPr>
        <w:spacing w:after="0" w:line="22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 of the equity interests in Rattlesnake Flat, LLC, which owns the Rattlesnake Wind Project, a 144 net MW wind facility located in Adams County, WA;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CEG's interest in Repowering Partnership II LLC (Repowering 1.0), which would give the Company a 100% equity interest in Repowering 1.0;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new partnership with CEG to repower the Pinnacle Wind Project, a 55 net MW wind facility located in Mineral County, WV.</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sign binding agreements in the first half of 2020 though these agreements remain subject to negotiation and approval by the Company’s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Carlsbad Energy Center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6th, 2019, the Company closed the acquisition of the 527 MW Carlsbad Energy Center (Carlsbad) from Global Infrastructure Partners III (GIP) for a purchase price of $184 million plus the assumption of non-recourse debt of $803 million. The project has approximately 19 years remaining under a power purchase and tolling agreement with San Diego Gas and Electric Company. The project is expected to contribute asset CAFD on a five-year average annual basis of approximately $27 million beginning January 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Repowering 1.0 Partnership Update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14, 2019, the Company, through an indirect subsidiary, entered into binding equity commitment agreements in the previously announced partnership with Clearway Group to enable the repowering of two of the Company's existing wind assets, Wildorado and Elbow Creek, which total a combined 283 MW. The Company invested approximately $101.6 million in net corporate capital to fund the repowering of the wind facilities during the fourth quarter of 2019 and the first quarter of 2020. These assets have reached Repowering COD and are expected to contribute incremental asset CAFD on a five-year average annual basis of approximately $11.6 million beginning January 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Hawaii Solar Phase I ROFO Acquisition Update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Hawaii Solar Phase I ROFO Acquisition totals approximately 80 MW of utility-scale solar projects located in Kawailoa and Oahu, Hawaii and was purchased from Clearway Group for a total cash consideration of approximately $29 million plus the assumption of non-recourse debt of $173 million at transaction close. All the projects under the transaction have reached COD and are expected to contribute asset CAFD on a five-year average annual basis of approximately $2.7 million beginning January 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Start Services at Marsh Landing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2017, the California Independent System Operator (CAISO) selected a proposal by the Company's Marsh Landing project to provide black start capability in the greater San Francisco Bay Area. The black start service would restart Marsh Landing in the event of a blackout to support the CAISO’s directed restoration of the electrical grid in response to an emergency condition. The project is subject to final negotiation and FERC approval. The Company will provide further details pending this outcome.</w:t>
      </w:r>
    </w:p>
    <w:p>
      <w:pPr>
        <w:spacing w:after="0" w:line="200" w:lineRule="exact"/>
        <w:rPr>
          <w:sz w:val="20"/>
          <w:szCs w:val="20"/>
          <w:color w:val="auto"/>
        </w:rPr>
      </w:pPr>
    </w:p>
    <w:p>
      <w:pPr>
        <w:spacing w:after="0" w:line="20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5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Thermal Segment Investments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2019, the Company invested or committed to invest $38 million in corporate capital in the Thermal segment. Committed investments in Thermal included the completion of the Mylan Pharmaceutical combined heat and power facility located in Caguas, Puerto Rico, the acquisition of Duquesne University’s District Energy System, and the commitment to build a new combined heat and power facility for the owner of the Four Seasons Cayo Largo resort in Fajardo, Puerto Rico. As combined, these investments are expected to deliver a five-year average annual asset CAFD of approximately $4.5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DG Investment Partnerships with Clearway Group</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2019, the Company invested approximately $14 million in the DG investment partnerships with Clearway Group, bringing total capital invested to $256 million</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in these investment partnerships. As of December 31, 2019, through the existing partnership agreements, the Company owns approximately 277 MW</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of distributed and community solar capacity with a weighted average contract life of approximately 19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Stock Issuance</w:t>
      </w:r>
    </w:p>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2, 2019, Clearway Energy, Inc. issued 5,405,405 shares of Class C common stock at $18.70 per share for net proceeds of approximately $100 million. The Company used these proceeds to fund growth investments, including the partial funding of the Carlsbad project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2028 Senior Notes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11, 2019, Clearway Energy Operating LLC completed the sale of $600 million aggregate principal amount of senior unsecured notes due 2028, or the 2028 Senior Notes. The 2028 Senior Notes bear interest at 4.75% and mature on March 15, 2028. The 2028 Senior Notes are unsecured obligations of Clearway Energy Operating LLC and are guaranteed by Clearway Energy LLC and by certain of Clearway Energy Operating LLC's wholly owned current and future subsidiaries. The proceeds from the 2028 Senior Notes were partially used to repay the 2024 Senior Notes, to partially fund investments in Repowering 1.0, and for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2024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2019, the Company repurchased an aggregate principal amount of $412 million or 82.4%, of the 2024</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Senior Notes that were validly tendered as part of the previously announced cash tender offer. Under the terms of the tender offer, holders of the 2024 Notes that validly tendered and accepted at or prior to the expiration time received a total cash consideration of $1,030.00 per $1,000 principal amount of 2024 Notes, plus accrued and unpaid interest. Concurrently with the launch of the tender offer, the Company exercised its right to optionally redeem any 2024 Senior Notes not validly tendered and purchased in the tender offer, pursuant to the terms of the indenture governing the 2024 Senior Notes. This redemption of the remaining $88 million of outstanding 2024 Senior Notes occurred on January 3, 2020. Holders of the 2024 Notes not validly tendered and purchased in the tender offer received a total cash consideration of $1,026.88 per $1,000 principal amount plus accrued and unpaid interest.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Fifth Amendment to Clearway Energy LLC and Clearway Energy Operating LLC Revolving Credit Facility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12529"/>
        </w:rPr>
        <w:t>On December 20, 2019, each of Clearway Energy Operating LLC, as borrower, and Clearway Energy LLC, as guarantor, entered into the Fifth Amendment to Amended and Restated Credit Agreement to provide for an increase of 0.50x to the Borrower Leverage Ratio, as defined in the Amended Restated Credit Agreement, for the last two fiscal quarters of 2020 and to implement certain other technical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Excludes $26 million for 14 MW of residential solar leases acquired outside of partnerships</w:t>
      </w:r>
    </w:p>
    <w:p>
      <w:pPr>
        <w:spacing w:after="0" w:line="19" w:lineRule="exact"/>
        <w:rPr>
          <w:sz w:val="20"/>
          <w:szCs w:val="20"/>
          <w:color w:val="auto"/>
        </w:rPr>
      </w:pPr>
    </w:p>
    <w:p>
      <w:pPr>
        <w:ind w:left="100" w:hanging="92"/>
        <w:spacing w:after="0"/>
        <w:tabs>
          <w:tab w:leader="none" w:pos="10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cash to be distributed; excludes 14 MW of residential solar leases acquired outside of partnership</w:t>
      </w:r>
    </w:p>
    <w:p>
      <w:pPr>
        <w:spacing w:after="0" w:line="2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Quarterly Dividend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18, 2020, Clearway Energy, Inc.’s Board of Directors declared a quarterly dividend on Class A and Class C common stock of $0.21 per share payable on March 16, 2020, to stockholders of record as of March 2, 2020. The Company will continue to assess the level of the dividend pending developments in the PG&amp;E bankruptcy, including the Company's ability to receive unrestricted project distributions.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Clearway Energy, Inc.’s quarterly operating results are impacted by seasonal factors, as well as variability in renewable energy resources.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distributions from or generated by unconsolidated affiliates including those impacted by the PG&amp;E bankruptcy.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Guidance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Primarily due to the transactions that closed in December 2019, the Company is increasing its 2020 full year CAFD guidance to $310 million. This financial guidance assumes that all CAFD related to the projects impacted by the PG&amp;E bankruptcy is realized in 2020. Financial guidance for 2020 also continues to be based on median renewable energy production estimates for the full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27, 2020,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37"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Company’s future revenues, income, indebtedness, capital structure, strategy, plans, expectations, objectives, projected financial performance and/or business results and other future events, and views of economic and market conditions.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successfully transition services previously provided by NRG,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1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Adjusted EBITDA and Cash Available for Distribution are estimates as of today’s date, February 27, 2020,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Exchange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0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660"/>
        <w:spacing w:after="0"/>
        <w:tabs>
          <w:tab w:leader="none" w:pos="370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9"/>
                <w:szCs w:val="19"/>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 Excluding Pre-acquisition Net Income (Loss) of Drop Down Assets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income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(Loss) Income Attributable to Clearway Energy,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3"/>
              </w:rPr>
              <w:t>Earnings Per Share Attributable to Clearway Energy, Inc. Class A and Class C Common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Weighted average number of Class A common shares outstanding - basic and diluted</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number of Class C common shares outstanding - basic and diluted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w w:val="98"/>
              </w:rPr>
              <w:t>(Loss) Earnings per Weighted Average Class A and Class C Common Share - Basic and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Class A Common Share</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Dividends Per Class C Common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566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81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on derivatives, net of income tax expense of $1, $2, and $7</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60" w:type="dxa"/>
            <w:vAlign w:val="bottom"/>
            <w:gridSpan w:val="2"/>
          </w:tcPr>
          <w:p>
            <w:pPr>
              <w:ind w:left="56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(Loss) Income Attributable to Clearway Energy,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ind w:left="566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79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CLEARWAY ENERGY,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20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6180" w:type="dxa"/>
            <w:vAlign w:val="bottom"/>
            <w:vMerge w:val="restart"/>
          </w:tcPr>
          <w:p>
            <w:pPr>
              <w:jc w:val="center"/>
              <w:ind w:right="159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Accounts receivable — trade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Prepayments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investments in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8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Right of use assets,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jc w:val="center"/>
              <w:ind w:right="159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2947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ectPr>
          <w:pgSz w:w="11900" w:h="16838" w:orient="portrait"/>
          <w:cols w:equalWidth="0" w:num="1">
            <w:col w:w="11380"/>
          </w:cols>
          <w:pgMar w:left="260" w:top="342" w:right="259" w:bottom="663" w:gutter="0" w:footer="0" w:header="0"/>
        </w:sectPr>
      </w:pP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Preferred stock, $0.01 par value; 10,000,000 shares authorized; none issued</w:t>
      </w:r>
    </w:p>
    <w:p>
      <w:pPr>
        <w:spacing w:after="0" w:line="225" w:lineRule="exact"/>
        <w:rPr>
          <w:sz w:val="20"/>
          <w:szCs w:val="20"/>
          <w:color w:val="auto"/>
        </w:rPr>
      </w:pPr>
    </w:p>
    <w:p>
      <w:pPr>
        <w:ind w:left="160" w:right="680"/>
        <w:spacing w:after="0" w:line="291"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w:t>
      </w:r>
    </w:p>
    <w:p>
      <w:pPr>
        <w:ind w:left="160" w:right="520"/>
        <w:spacing w:after="0" w:line="302" w:lineRule="auto"/>
        <w:rPr>
          <w:sz w:val="20"/>
          <w:szCs w:val="20"/>
          <w:color w:val="auto"/>
        </w:rPr>
      </w:pPr>
      <w:r>
        <w:rPr>
          <w:rFonts w:ascii="Arial" w:cs="Arial" w:eastAsia="Arial" w:hAnsi="Arial"/>
          <w:sz w:val="16"/>
          <w:szCs w:val="16"/>
          <w:color w:val="auto"/>
        </w:rPr>
        <w:t>198,819,999 shares issued and outstanding (Class A 34,599,645, Class B 42,738,750, Class C 78,742,854, Class D 42,738,750) at December 31, 2019 and 193,251,396 shares issued and outstanding (Class A 34,586,250, Class B 42,738,750, Class C 73,187,646, Class D 42,738,750)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1,936</w:t>
            </w:r>
          </w:p>
        </w:tc>
        <w:tc>
          <w:tcPr>
            <w:tcW w:w="114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7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(72)</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(15)</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413</w:t>
            </w: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r>
    </w:tbl>
    <w:p>
      <w:pPr>
        <w:spacing w:after="0" w:line="7" w:lineRule="exact"/>
        <w:rPr>
          <w:sz w:val="20"/>
          <w:szCs w:val="20"/>
          <w:color w:val="auto"/>
        </w:rPr>
      </w:pPr>
    </w:p>
    <w:p>
      <w:pPr>
        <w:sectPr>
          <w:pgSz w:w="11900" w:h="16838" w:orient="portrait"/>
          <w:cols w:equalWidth="0" w:num="2">
            <w:col w:w="8340" w:space="720"/>
            <w:col w:w="2320"/>
          </w:cols>
          <w:pgMar w:left="260" w:top="342" w:right="259" w:bottom="663"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8,500</w:t>
            </w:r>
          </w:p>
        </w:tc>
      </w:tr>
      <w:tr>
        <w:trPr>
          <w:trHeight w:val="20"/>
        </w:trPr>
        <w:tc>
          <w:tcPr>
            <w:tcW w:w="7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42" w:right="259" w:bottom="663"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60" w:top="342" w:right="259" w:bottom="663"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6"/>
              </w:rPr>
              <w:t>Year ended December 31,</w:t>
            </w:r>
          </w:p>
        </w:tc>
        <w:tc>
          <w:tcPr>
            <w:tcW w:w="760" w:type="dxa"/>
            <w:vAlign w:val="bottom"/>
            <w:tcBorders>
              <w:bottom w:val="single" w:sz="8" w:color="auto"/>
            </w:tcBorders>
          </w:tcPr>
          <w:p>
            <w:pPr>
              <w:spacing w:after="0"/>
              <w:rPr>
                <w:sz w:val="16"/>
                <w:szCs w:val="16"/>
                <w:color w:val="auto"/>
              </w:rPr>
            </w:pPr>
          </w:p>
        </w:tc>
      </w:tr>
      <w:tr>
        <w:trPr>
          <w:trHeight w:val="263"/>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Amortization of financing costs and debt discounts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 and out-of-market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Right-of-use asset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Change in deferred income taxes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losses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Changes in derivative instruments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asset components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Cash provided by (used in) changes in other working 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prepaid and accrued capacity payments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Changes in other working capital</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Partnership interest acquisition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Drop Down Assets,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Buyout of Wind TE Holdco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Cash receipts from notes receivable</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investment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HSD Solar Holdings, LLC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contributions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distributions and return of capital to NRG prior to the acquisition of Drop Down Assets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of dividends and distributions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for the revolving credit facility</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Cash Equivalents and 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498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Interest paid, net of amount capitalized</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(Reductions) Additions to fixed assets for accrued capital expenditures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4"/>
                <w:szCs w:val="14"/>
                <w:color w:val="auto"/>
              </w:rPr>
              <w:t>22</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adjustment for change in tax basis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58"/>
        </w:trPr>
        <w:tc>
          <w:tcPr>
            <w:tcW w:w="8120" w:type="dxa"/>
            <w:vAlign w:val="bottom"/>
          </w:tcPr>
          <w:p>
            <w:pPr>
              <w:ind w:left="280"/>
              <w:spacing w:after="0"/>
              <w:rPr>
                <w:sz w:val="20"/>
                <w:szCs w:val="20"/>
                <w:color w:val="auto"/>
              </w:rPr>
            </w:pPr>
            <w:r>
              <w:rPr>
                <w:rFonts w:ascii="Arial" w:cs="Arial" w:eastAsia="Arial" w:hAnsi="Arial"/>
                <w:sz w:val="14"/>
                <w:szCs w:val="14"/>
                <w:color w:val="auto"/>
              </w:rPr>
              <w:t>Non-cash contributions from CEG, NRG, net of distributions</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200" w:lineRule="exact"/>
        <w:rPr>
          <w:sz w:val="20"/>
          <w:szCs w:val="20"/>
          <w:color w:val="auto"/>
        </w:rPr>
      </w:pPr>
    </w:p>
    <w:p>
      <w:pPr>
        <w:sectPr>
          <w:pgSz w:w="11900" w:h="16838" w:orient="portrait"/>
          <w:cols w:equalWidth="0" w:num="1">
            <w:col w:w="11420"/>
          </w:cols>
          <w:pgMar w:left="240" w:top="364" w:right="239" w:bottom="258"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258"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2016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1,879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774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2,624</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Pre-acquisition net loss of acquired Drop Down Assets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gain on derivatives,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Cumulative effect of change in accounting principle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3"/>
              </w:rPr>
              <w:t>Payments for the March 2017, August 2017 and November 2017</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97"/>
        </w:trPr>
        <w:tc>
          <w:tcPr>
            <w:tcW w:w="37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Drop Down Assets</w:t>
            </w: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August 2017 Drop Down Assets contingent consideration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5"/>
              </w:rPr>
              <w:t>Distributions and returns of capital to NRG, net of contributions,</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97"/>
        </w:trPr>
        <w:tc>
          <w:tcPr>
            <w:tcW w:w="37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cash</w:t>
            </w: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Contributions from NRG, net of distributions, non-cash</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contributions from tax equity investors, cash</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w w:val="97"/>
              </w:rPr>
              <w:t>Non-cash adjustment for change in tax basis of property, plant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97"/>
        </w:trPr>
        <w:tc>
          <w:tcPr>
            <w:tcW w:w="3780" w:type="dxa"/>
            <w:vAlign w:val="bottom"/>
            <w:vMerge w:val="restart"/>
          </w:tcPr>
          <w:p>
            <w:pPr>
              <w:ind w:left="100"/>
              <w:spacing w:after="0"/>
              <w:rPr>
                <w:sz w:val="20"/>
                <w:szCs w:val="20"/>
                <w:color w:val="auto"/>
              </w:rPr>
            </w:pPr>
            <w:r>
              <w:rPr>
                <w:rFonts w:ascii="Arial" w:cs="Arial" w:eastAsia="Arial" w:hAnsi="Arial"/>
                <w:sz w:val="14"/>
                <w:szCs w:val="14"/>
                <w:color w:val="auto"/>
              </w:rPr>
              <w:t>and equipment</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w:t>
            </w: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2017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1,843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412</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Pre-acquisition net loss of acquired Drop Down Assets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Cumulative effect of change in accounting principle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Payments for the Buckthorn Solar Drop Down Asset and UPMC</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w w:val="93"/>
              </w:rPr>
              <w:t>Equity component of tendered 2020 Convertible Notes and 2019</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97"/>
        </w:trPr>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Convertible Notes</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tax equity investors, net of</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97"/>
        </w:trPr>
        <w:tc>
          <w:tcPr>
            <w:tcW w:w="37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distributions, cash</w:t>
            </w: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w w:val="97"/>
              </w:rPr>
              <w:t>Distributions and return of capital to NRG, net of contributions,</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97"/>
        </w:trPr>
        <w:tc>
          <w:tcPr>
            <w:tcW w:w="3780" w:type="dxa"/>
            <w:vAlign w:val="bottom"/>
            <w:vMerge w:val="restart"/>
          </w:tcPr>
          <w:p>
            <w:pPr>
              <w:ind w:left="100"/>
              <w:spacing w:after="0"/>
              <w:rPr>
                <w:sz w:val="20"/>
                <w:szCs w:val="20"/>
                <w:color w:val="auto"/>
              </w:rPr>
            </w:pPr>
            <w:r>
              <w:rPr>
                <w:rFonts w:ascii="Arial" w:cs="Arial" w:eastAsia="Arial" w:hAnsi="Arial"/>
                <w:sz w:val="14"/>
                <w:szCs w:val="14"/>
                <w:color w:val="auto"/>
              </w:rPr>
              <w:t>cash</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Distributions and return of capital to NRG, net of contributions,</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97"/>
        </w:trPr>
        <w:tc>
          <w:tcPr>
            <w:tcW w:w="37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non-cash</w:t>
            </w: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w w:val="97"/>
              </w:rPr>
              <w:t>Non-cash adjustment for change in tax basis of property, plant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97"/>
        </w:trPr>
        <w:tc>
          <w:tcPr>
            <w:tcW w:w="3780" w:type="dxa"/>
            <w:vAlign w:val="bottom"/>
            <w:vMerge w:val="restart"/>
          </w:tcPr>
          <w:p>
            <w:pPr>
              <w:ind w:left="100"/>
              <w:spacing w:after="0"/>
              <w:rPr>
                <w:sz w:val="20"/>
                <w:szCs w:val="20"/>
                <w:color w:val="auto"/>
              </w:rPr>
            </w:pPr>
            <w:r>
              <w:rPr>
                <w:rFonts w:ascii="Arial" w:cs="Arial" w:eastAsia="Arial" w:hAnsi="Arial"/>
                <w:sz w:val="14"/>
                <w:szCs w:val="14"/>
                <w:color w:val="auto"/>
              </w:rPr>
              <w:t>and equipment</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dividends</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1,897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2,224</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Buyout of Wind TE Holdco non-controlling interest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64"/>
        </w:trPr>
        <w:tc>
          <w:tcPr>
            <w:tcW w:w="3780" w:type="dxa"/>
            <w:vAlign w:val="bottom"/>
          </w:tcPr>
          <w:p>
            <w:pPr>
              <w:ind w:left="20"/>
              <w:spacing w:after="0"/>
              <w:rPr>
                <w:sz w:val="20"/>
                <w:szCs w:val="20"/>
                <w:color w:val="auto"/>
              </w:rPr>
            </w:pPr>
            <w:r>
              <w:rPr>
                <w:rFonts w:ascii="Arial" w:cs="Arial" w:eastAsia="Arial" w:hAnsi="Arial"/>
                <w:sz w:val="14"/>
                <w:szCs w:val="14"/>
                <w:color w:val="auto"/>
              </w:rPr>
              <w:t>Carlsbad Drop Down</w:t>
            </w:r>
          </w:p>
        </w:tc>
        <w:tc>
          <w:tcPr>
            <w:tcW w:w="10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Contributions from tax equity interests, net of distributions, cash</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264"/>
        </w:trPr>
        <w:tc>
          <w:tcPr>
            <w:tcW w:w="3780" w:type="dxa"/>
            <w:vAlign w:val="bottom"/>
          </w:tcPr>
          <w:p>
            <w:pPr>
              <w:ind w:left="20"/>
              <w:spacing w:after="0"/>
              <w:rPr>
                <w:sz w:val="20"/>
                <w:szCs w:val="20"/>
                <w:color w:val="auto"/>
              </w:rPr>
            </w:pPr>
            <w:r>
              <w:rPr>
                <w:rFonts w:ascii="Arial" w:cs="Arial" w:eastAsia="Arial" w:hAnsi="Arial"/>
                <w:sz w:val="14"/>
                <w:szCs w:val="14"/>
                <w:color w:val="auto"/>
              </w:rPr>
              <w:t>Distributions to CEG, net of contributions, cash</w:t>
            </w:r>
          </w:p>
        </w:tc>
        <w:tc>
          <w:tcPr>
            <w:tcW w:w="10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change in the accounting principle</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Contributions from CEG net of distributions, non-cash</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adjustment for change in tax basis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4"/>
                <w:szCs w:val="14"/>
                <w:color w:val="auto"/>
              </w:rPr>
              <w:t>Common stock dividends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53"/>
        </w:trPr>
        <w:tc>
          <w:tcPr>
            <w:tcW w:w="37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20"/>
          </w:cols>
          <w:pgMar w:left="700" w:top="337" w:right="67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520"/>
          </w:cols>
          <w:pgMar w:left="700" w:top="337" w:right="6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A-1: Three Months Ended December 31,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59"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194</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December 31, 2018,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Conventional</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Thermal</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r>
      <w:tr>
        <w:trPr>
          <w:trHeight w:val="243"/>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85</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r>
      <w:tr>
        <w:trPr>
          <w:trHeight w:val="243"/>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r>
      <w:tr>
        <w:trPr>
          <w:trHeight w:val="243"/>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200</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49"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A-3: Twelve Months Ended December 31,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Mark to Market (MtM) Losses on Economic Hedges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606</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64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963</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Twelve Months Ended December 31, 2018,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634</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64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983</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62"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1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7"/>
              </w:rPr>
              <w:t>Twelve Months Ended</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3"/>
                <w:szCs w:val="23"/>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12/31/19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12/31/18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12/31/19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12/31/18</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983</w:t>
            </w:r>
          </w:p>
        </w:tc>
      </w:tr>
      <w:tr>
        <w:trPr>
          <w:trHeight w:val="237"/>
        </w:trPr>
        <w:tc>
          <w:tcPr>
            <w:tcW w:w="5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498</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5380" w:type="dxa"/>
            <w:vAlign w:val="bottom"/>
          </w:tcPr>
          <w:p>
            <w:pPr>
              <w:ind w:left="140"/>
              <w:spacing w:after="0" w:line="270" w:lineRule="exact"/>
              <w:rPr>
                <w:sz w:val="20"/>
                <w:szCs w:val="20"/>
                <w:color w:val="auto"/>
              </w:rPr>
            </w:pPr>
            <w:r>
              <w:rPr>
                <w:rFonts w:ascii="Arial" w:cs="Arial" w:eastAsia="Arial" w:hAnsi="Arial"/>
                <w:sz w:val="18"/>
                <w:szCs w:val="18"/>
                <w:color w:val="auto"/>
              </w:rPr>
              <w:t>Development Expenses</w:t>
            </w:r>
            <w:r>
              <w:rPr>
                <w:rFonts w:ascii="Arial" w:cs="Arial" w:eastAsia="Arial" w:hAnsi="Arial"/>
                <w:sz w:val="25"/>
                <w:szCs w:val="25"/>
                <w:color w:val="auto"/>
                <w:vertAlign w:val="superscript"/>
              </w:rPr>
              <w:t>7</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380" w:type="dxa"/>
            <w:vAlign w:val="bottom"/>
          </w:tcPr>
          <w:p>
            <w:pPr>
              <w:ind w:left="160"/>
              <w:spacing w:after="0" w:line="270" w:lineRule="exact"/>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5"/>
                <w:szCs w:val="25"/>
                <w:color w:val="auto"/>
                <w:vertAlign w:val="superscript"/>
              </w:rPr>
              <w:t>8</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3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9</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5380" w:type="dxa"/>
            <w:vAlign w:val="bottom"/>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10</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0"/>
        </w:trPr>
        <w:tc>
          <w:tcPr>
            <w:tcW w:w="53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11</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380" w:type="dxa"/>
            <w:vAlign w:val="bottom"/>
          </w:tcPr>
          <w:p>
            <w:pPr>
              <w:ind w:left="160"/>
              <w:spacing w:after="0"/>
              <w:rPr>
                <w:sz w:val="20"/>
                <w:szCs w:val="20"/>
                <w:color w:val="auto"/>
              </w:rPr>
            </w:pPr>
            <w:r>
              <w:rPr>
                <w:rFonts w:ascii="Arial" w:cs="Arial" w:eastAsia="Arial" w:hAnsi="Arial"/>
                <w:sz w:val="18"/>
                <w:szCs w:val="18"/>
                <w:color w:val="auto"/>
                <w:w w:val="92"/>
              </w:rPr>
              <w:t>Adjustments to reflect CAFD generated by unconsolidated investments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that are unable to distribute project dividends due to the PG&amp;E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380" w:type="dxa"/>
            <w:vAlign w:val="bottom"/>
          </w:tcPr>
          <w:p>
            <w:pPr>
              <w:ind w:left="160"/>
              <w:spacing w:after="0"/>
              <w:rPr>
                <w:sz w:val="20"/>
                <w:szCs w:val="20"/>
                <w:color w:val="auto"/>
              </w:rPr>
            </w:pPr>
            <w:r>
              <w:rPr>
                <w:rFonts w:ascii="Arial" w:cs="Arial" w:eastAsia="Arial" w:hAnsi="Arial"/>
                <w:sz w:val="18"/>
                <w:szCs w:val="18"/>
                <w:color w:val="auto"/>
              </w:rPr>
              <w:t>bankruptcy</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 Before Adjustments</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380" w:type="dxa"/>
            <w:vAlign w:val="bottom"/>
          </w:tcPr>
          <w:p>
            <w:pPr>
              <w:ind w:left="140"/>
              <w:spacing w:after="0"/>
              <w:rPr>
                <w:sz w:val="20"/>
                <w:szCs w:val="20"/>
                <w:color w:val="auto"/>
              </w:rPr>
            </w:pPr>
            <w:r>
              <w:rPr>
                <w:rFonts w:ascii="Arial" w:cs="Arial" w:eastAsia="Arial" w:hAnsi="Arial"/>
                <w:sz w:val="18"/>
                <w:szCs w:val="18"/>
                <w:color w:val="auto"/>
                <w:w w:val="96"/>
              </w:rPr>
              <w:t>Accelerated and accrued interest payments from 2024 Senior Notes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redemption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Impact of Carlsbad given timing of project debt service</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Reported Cash Available for Distribution</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Primarily relates to Thermal Development Expenses</w:t>
      </w:r>
    </w:p>
    <w:p>
      <w:pPr>
        <w:spacing w:after="0" w:line="13" w:lineRule="exact"/>
        <w:rPr>
          <w:sz w:val="20"/>
          <w:szCs w:val="20"/>
          <w:color w:val="auto"/>
        </w:rPr>
      </w:pPr>
    </w:p>
    <w:p>
      <w:pPr>
        <w:ind w:right="300" w:firstLine="8"/>
        <w:spacing w:after="0" w:line="241" w:lineRule="auto"/>
        <w:tabs>
          <w:tab w:leader="none" w:pos="81" w:val="left"/>
        </w:tabs>
        <w:numPr>
          <w:ilvl w:val="0"/>
          <w:numId w:val="10"/>
        </w:numPr>
        <w:rPr>
          <w:rFonts w:ascii="Arial" w:cs="Arial" w:eastAsia="Arial" w:hAnsi="Arial"/>
          <w:sz w:val="9"/>
          <w:szCs w:val="9"/>
          <w:color w:val="auto"/>
        </w:rPr>
      </w:pPr>
      <w:r>
        <w:rPr>
          <w:rFonts w:ascii="Arial" w:cs="Arial" w:eastAsia="Arial" w:hAnsi="Arial"/>
          <w:sz w:val="14"/>
          <w:szCs w:val="14"/>
          <w:color w:val="auto"/>
        </w:rPr>
        <w:t>2019 excludes $177 million of net contributions related to funding of Hawaii and Repowering tax equity partnerships; 2018 excludes $99 million of contributions related to funding Buckthorn Solar tax equity partnership</w:t>
      </w:r>
    </w:p>
    <w:p>
      <w:pPr>
        <w:spacing w:after="0"/>
        <w:rPr>
          <w:rFonts w:ascii="Arial" w:cs="Arial" w:eastAsia="Arial" w:hAnsi="Arial"/>
          <w:sz w:val="9"/>
          <w:szCs w:val="9"/>
          <w:color w:val="auto"/>
        </w:rPr>
      </w:pPr>
      <w:r>
        <w:rPr>
          <w:rFonts w:ascii="Arial" w:cs="Arial" w:eastAsia="Arial" w:hAnsi="Arial"/>
          <w:sz w:val="9"/>
          <w:szCs w:val="9"/>
          <w:color w:val="auto"/>
        </w:rPr>
        <w:t xml:space="preserve">9 </w:t>
      </w:r>
      <w:r>
        <w:rPr>
          <w:rFonts w:ascii="Arial" w:cs="Arial" w:eastAsia="Arial" w:hAnsi="Arial"/>
          <w:sz w:val="14"/>
          <w:szCs w:val="14"/>
          <w:color w:val="auto"/>
        </w:rPr>
        <w:t>Net of allocated insurance proceeds</w:t>
      </w:r>
    </w:p>
    <w:p>
      <w:pPr>
        <w:spacing w:after="0" w:line="1" w:lineRule="exact"/>
        <w:rPr>
          <w:rFonts w:ascii="Arial" w:cs="Arial" w:eastAsia="Arial" w:hAnsi="Arial"/>
          <w:sz w:val="9"/>
          <w:szCs w:val="9"/>
          <w:color w:val="auto"/>
        </w:rPr>
      </w:pPr>
    </w:p>
    <w:p>
      <w:pPr>
        <w:ind w:right="60"/>
        <w:spacing w:after="0" w:line="241" w:lineRule="auto"/>
        <w:rPr>
          <w:rFonts w:ascii="Arial" w:cs="Arial" w:eastAsia="Arial" w:hAnsi="Arial"/>
          <w:sz w:val="9"/>
          <w:szCs w:val="9"/>
          <w:color w:val="auto"/>
        </w:rPr>
      </w:pPr>
      <w:r>
        <w:rPr>
          <w:rFonts w:ascii="Arial" w:cs="Arial" w:eastAsia="Arial" w:hAnsi="Arial"/>
          <w:sz w:val="9"/>
          <w:szCs w:val="9"/>
          <w:color w:val="auto"/>
        </w:rPr>
        <w:t xml:space="preserve">10 </w:t>
      </w:r>
      <w:r>
        <w:rPr>
          <w:rFonts w:ascii="Arial" w:cs="Arial" w:eastAsia="Arial" w:hAnsi="Arial"/>
          <w:sz w:val="14"/>
          <w:szCs w:val="14"/>
          <w:color w:val="auto"/>
        </w:rPr>
        <w:t>2019 excludes $785 million for Corporate Notes and revolver repayments, $212 million for the refinancing of Tapestry, South Trent, Agua Caliente Borrower 2, and PSOMAS portfolios, $193</w:t>
      </w:r>
      <w:r>
        <w:rPr>
          <w:rFonts w:ascii="Arial" w:cs="Arial" w:eastAsia="Arial" w:hAnsi="Arial"/>
          <w:sz w:val="9"/>
          <w:szCs w:val="9"/>
          <w:color w:val="auto"/>
        </w:rPr>
        <w:t xml:space="preserve"> </w:t>
      </w:r>
      <w:r>
        <w:rPr>
          <w:rFonts w:ascii="Arial" w:cs="Arial" w:eastAsia="Arial" w:hAnsi="Arial"/>
          <w:sz w:val="14"/>
          <w:szCs w:val="14"/>
          <w:color w:val="auto"/>
        </w:rPr>
        <w:t>million in connection with the Repowering 1.0 Partnership, and $124 million in connection with Hawaii Solar Phase I. 2018 excludes $367 million for Convertible Note Tender Offers in connection with the GIP transaction, $83 million for Thermal Series C Notes, and $61 million for Buckthorn Solar debt term conversion</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11 </w:t>
      </w:r>
      <w:r>
        <w:rPr>
          <w:rFonts w:ascii="Arial" w:cs="Arial" w:eastAsia="Arial" w:hAnsi="Arial"/>
          <w:sz w:val="14"/>
          <w:szCs w:val="14"/>
          <w:color w:val="auto"/>
        </w:rPr>
        <w:t>Represents reimbursement of network upgrades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9" w:right="239" w:bottom="1440" w:gutter="0" w:footer="0" w:header="0"/>
        </w:sectPr>
      </w:pPr>
    </w:p>
    <w:bookmarkStart w:id="18" w:name="page19"/>
    <w:bookmarkEnd w:id="18"/>
    <w:p>
      <w:pPr>
        <w:spacing w:after="0" w:line="267" w:lineRule="auto"/>
        <w:rPr>
          <w:sz w:val="20"/>
          <w:szCs w:val="20"/>
          <w:color w:val="auto"/>
        </w:rPr>
      </w:pPr>
      <w:r>
        <w:rPr>
          <w:rFonts w:ascii="Arial" w:cs="Arial" w:eastAsia="Arial" w:hAnsi="Arial"/>
          <w:sz w:val="20"/>
          <w:szCs w:val="20"/>
          <w:b w:val="1"/>
          <w:bCs w:val="1"/>
          <w:color w:val="auto"/>
        </w:rPr>
        <w:t xml:space="preserve">Appendix Table A-6: </w:t>
      </w:r>
      <w:r>
        <w:rPr>
          <w:rFonts w:ascii="Arial" w:cs="Arial" w:eastAsia="Arial" w:hAnsi="Arial"/>
          <w:sz w:val="18"/>
          <w:szCs w:val="18"/>
          <w:b w:val="1"/>
          <w:bCs w:val="1"/>
          <w:color w:val="auto"/>
        </w:rPr>
        <w:t>Twelve Months Ended December 31, 2019</w:t>
      </w:r>
      <w:r>
        <w:rPr>
          <w:rFonts w:ascii="Arial" w:cs="Arial" w:eastAsia="Arial" w:hAnsi="Arial"/>
          <w:sz w:val="20"/>
          <w:szCs w:val="20"/>
          <w:b w:val="1"/>
          <w:bCs w:val="1"/>
          <w:color w:val="auto"/>
        </w:rPr>
        <w:t xml:space="preserve">, Sources and Uses of Liquidity </w:t>
      </w:r>
      <w:r>
        <w:rPr>
          <w:rFonts w:ascii="Arial" w:cs="Arial" w:eastAsia="Arial" w:hAnsi="Arial"/>
          <w:sz w:val="20"/>
          <w:szCs w:val="20"/>
          <w:color w:val="auto"/>
        </w:rPr>
        <w:t>The following table summarizes the sources and uses of liquidity in 2019: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31750</wp:posOffset>
            </wp:positionV>
            <wp:extent cx="497395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3955" cy="180340"/>
                    </a:xfrm>
                    <a:prstGeom prst="rect">
                      <a:avLst/>
                    </a:prstGeom>
                    <a:noFill/>
                  </pic:spPr>
                </pic:pic>
              </a:graphicData>
            </a:graphic>
          </wp:anchor>
        </w:drawing>
      </w:r>
    </w:p>
    <w:p>
      <w:pPr>
        <w:spacing w:after="0" w:line="71"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Sources:</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Net contributions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Proceeds from the revolving credit facility</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Return of investment from unconsolidated affiliates</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Proceeds from sale of HSD Solar Holdings, LLC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163830</wp:posOffset>
            </wp:positionV>
            <wp:extent cx="497395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26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215265</wp:posOffset>
            </wp:positionV>
            <wp:extent cx="497395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3955" cy="188595"/>
                    </a:xfrm>
                    <a:prstGeom prst="rect">
                      <a:avLst/>
                    </a:prstGeom>
                    <a:noFill/>
                  </pic:spPr>
                </pic:pic>
              </a:graphicData>
            </a:graphic>
          </wp:anchor>
        </w:drawing>
      </w:r>
    </w:p>
    <w:p>
      <w:pPr>
        <w:spacing w:after="0" w:line="37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Uses:</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Acquisition of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Payment of dividends and distributions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Payments for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Acquisitions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Partnership interest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Payments of debt issuance costs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Buyout of Wind TE Holdco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224155</wp:posOffset>
            </wp:positionV>
            <wp:extent cx="497395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73955" cy="197485"/>
                    </a:xfrm>
                    <a:prstGeom prst="rect">
                      <a:avLst/>
                    </a:prstGeom>
                    <a:noFill/>
                  </pic:spPr>
                </pic:pic>
              </a:graphicData>
            </a:graphic>
          </wp:anchor>
        </w:drawing>
      </w:r>
    </w:p>
    <w:p>
      <w:pPr>
        <w:spacing w:after="0" w:line="37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20"/>
        <w:spacing w:after="0"/>
        <w:rPr>
          <w:sz w:val="20"/>
          <w:szCs w:val="20"/>
          <w:color w:val="auto"/>
        </w:rPr>
      </w:pPr>
      <w:r>
        <w:rPr>
          <w:rFonts w:ascii="Arial" w:cs="Arial" w:eastAsia="Arial" w:hAnsi="Arial"/>
          <w:sz w:val="18"/>
          <w:szCs w:val="18"/>
          <w:b w:val="1"/>
          <w:bCs w:val="1"/>
          <w:color w:val="auto"/>
        </w:rPr>
        <w:t>Twelve Months</w:t>
      </w:r>
    </w:p>
    <w:p>
      <w:pPr>
        <w:spacing w:after="0" w:line="27" w:lineRule="exact"/>
        <w:rPr>
          <w:sz w:val="20"/>
          <w:szCs w:val="20"/>
          <w:color w:val="auto"/>
        </w:rPr>
      </w:pPr>
    </w:p>
    <w:p>
      <w:pPr>
        <w:jc w:val="center"/>
        <w:ind w:right="1820"/>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12/31/19</w:t>
      </w:r>
    </w:p>
    <w:p>
      <w:pPr>
        <w:spacing w:after="0" w:line="369"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1,215</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477</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174</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152</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100</w:t>
      </w:r>
    </w:p>
    <w:p>
      <w:pPr>
        <w:spacing w:after="0" w:line="68"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56</w:t>
      </w:r>
    </w:p>
    <w:p>
      <w:pPr>
        <w:spacing w:after="0" w:line="270"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20</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(1,484)</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(228)</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(161)</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(155)</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(152)</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(29)</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(25)</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(19)</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(13)</w:t>
      </w:r>
    </w:p>
    <w:p>
      <w:pPr>
        <w:spacing w:after="0" w:line="393" w:lineRule="exact"/>
        <w:rPr>
          <w:sz w:val="20"/>
          <w:szCs w:val="20"/>
          <w:color w:val="auto"/>
        </w:rPr>
      </w:pPr>
    </w:p>
    <w:p>
      <w:pPr>
        <w:ind w:left="1040" w:hanging="1034"/>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(166)</w:t>
      </w:r>
    </w:p>
    <w:p>
      <w:pPr>
        <w:spacing w:after="0" w:line="222" w:lineRule="exact"/>
        <w:rPr>
          <w:sz w:val="20"/>
          <w:szCs w:val="20"/>
          <w:color w:val="auto"/>
        </w:rPr>
      </w:pPr>
    </w:p>
    <w:p>
      <w:pPr>
        <w:sectPr>
          <w:pgSz w:w="11900" w:h="16838" w:orient="portrait"/>
          <w:cols w:equalWidth="0" w:num="2">
            <w:col w:w="7660" w:space="560"/>
            <w:col w:w="3200"/>
          </w:cols>
          <w:pgMar w:left="240" w:top="562" w:right="239" w:bottom="1440" w:gutter="0" w:footer="0" w:header="0"/>
        </w:sectPr>
      </w:pPr>
    </w:p>
    <w:p>
      <w:pPr>
        <w:spacing w:after="0" w:line="349"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562"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Appendix Table A-7: Adjusted EBITDA and Cash Available for Distribution Guidance</w:t>
      </w:r>
    </w:p>
    <w:p>
      <w:pPr>
        <w:spacing w:after="0" w:line="166"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Original 2020</w:t>
            </w:r>
          </w:p>
        </w:tc>
        <w:tc>
          <w:tcPr>
            <w:tcW w:w="120" w:type="dxa"/>
            <w:vAlign w:val="bottom"/>
          </w:tcPr>
          <w:p>
            <w:pPr>
              <w:spacing w:after="0"/>
              <w:rPr>
                <w:sz w:val="18"/>
                <w:szCs w:val="18"/>
                <w:color w:val="auto"/>
              </w:rPr>
            </w:pPr>
          </w:p>
        </w:tc>
        <w:tc>
          <w:tcPr>
            <w:tcW w:w="1140" w:type="dxa"/>
            <w:vAlign w:val="bottom"/>
          </w:tcPr>
          <w:p>
            <w:pPr>
              <w:jc w:val="center"/>
              <w:ind w:right="18"/>
              <w:spacing w:after="0"/>
              <w:rPr>
                <w:sz w:val="20"/>
                <w:szCs w:val="20"/>
                <w:color w:val="auto"/>
              </w:rPr>
            </w:pPr>
            <w:r>
              <w:rPr>
                <w:rFonts w:ascii="Arial" w:cs="Arial" w:eastAsia="Arial" w:hAnsi="Arial"/>
                <w:sz w:val="18"/>
                <w:szCs w:val="18"/>
                <w:b w:val="1"/>
                <w:bCs w:val="1"/>
                <w:color w:val="auto"/>
                <w:w w:val="87"/>
              </w:rPr>
              <w:t>Revised 2020</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8"/>
              <w:spacing w:after="0"/>
              <w:rPr>
                <w:sz w:val="20"/>
                <w:szCs w:val="20"/>
                <w:color w:val="auto"/>
              </w:rPr>
            </w:pPr>
            <w:r>
              <w:rPr>
                <w:rFonts w:ascii="Arial" w:cs="Arial" w:eastAsia="Arial" w:hAnsi="Arial"/>
                <w:sz w:val="18"/>
                <w:szCs w:val="18"/>
                <w:b w:val="1"/>
                <w:bCs w:val="1"/>
                <w:color w:val="auto"/>
                <w:w w:val="94"/>
              </w:rPr>
              <w:t>Full Year</w:t>
            </w:r>
          </w:p>
        </w:tc>
        <w:tc>
          <w:tcPr>
            <w:tcW w:w="120" w:type="dxa"/>
            <w:vAlign w:val="bottom"/>
          </w:tcPr>
          <w:p>
            <w:pPr>
              <w:spacing w:after="0"/>
              <w:rPr>
                <w:sz w:val="18"/>
                <w:szCs w:val="18"/>
                <w:color w:val="auto"/>
              </w:rPr>
            </w:pPr>
          </w:p>
        </w:tc>
        <w:tc>
          <w:tcPr>
            <w:tcW w:w="1140" w:type="dxa"/>
            <w:vAlign w:val="bottom"/>
          </w:tcPr>
          <w:p>
            <w:pPr>
              <w:jc w:val="center"/>
              <w:ind w:right="18"/>
              <w:spacing w:after="0"/>
              <w:rPr>
                <w:sz w:val="20"/>
                <w:szCs w:val="20"/>
                <w:color w:val="auto"/>
              </w:rPr>
            </w:pPr>
            <w:r>
              <w:rPr>
                <w:rFonts w:ascii="Arial" w:cs="Arial" w:eastAsia="Arial" w:hAnsi="Arial"/>
                <w:sz w:val="18"/>
                <w:szCs w:val="18"/>
                <w:b w:val="1"/>
                <w:bCs w:val="1"/>
                <w:color w:val="auto"/>
                <w:w w:val="94"/>
              </w:rPr>
              <w:t>Full Year</w:t>
            </w:r>
          </w:p>
        </w:tc>
      </w:tr>
      <w:tr>
        <w:trPr>
          <w:trHeight w:val="234"/>
        </w:trPr>
        <w:tc>
          <w:tcPr>
            <w:tcW w:w="64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106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Guidance</w:t>
            </w:r>
          </w:p>
        </w:tc>
        <w:tc>
          <w:tcPr>
            <w:tcW w:w="120" w:type="dxa"/>
            <w:vAlign w:val="bottom"/>
          </w:tcPr>
          <w:p>
            <w:pPr>
              <w:spacing w:after="0"/>
              <w:rPr>
                <w:sz w:val="20"/>
                <w:szCs w:val="20"/>
                <w:color w:val="auto"/>
              </w:rPr>
            </w:pPr>
          </w:p>
        </w:tc>
        <w:tc>
          <w:tcPr>
            <w:tcW w:w="11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Guidance</w:t>
            </w:r>
          </w:p>
        </w:tc>
      </w:tr>
      <w:tr>
        <w:trPr>
          <w:trHeight w:val="27"/>
        </w:trPr>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r>
      <w:tr>
        <w:trPr>
          <w:trHeight w:val="237"/>
        </w:trPr>
        <w:tc>
          <w:tcPr>
            <w:tcW w:w="6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Depreciation, Amortization, and ARO Expense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6"/>
              </w:rPr>
              <w:t>Adjustment to reflect CWEN share of Adjusted EBITDA in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1,030</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1,120</w:t>
            </w:r>
          </w:p>
        </w:tc>
      </w:tr>
      <w:tr>
        <w:trPr>
          <w:trHeight w:val="27"/>
        </w:trPr>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Pro-rata Adjusted EBITDA from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70"/>
        </w:trPr>
        <w:tc>
          <w:tcPr>
            <w:tcW w:w="6360" w:type="dxa"/>
            <w:vAlign w:val="bottom"/>
            <w:tcBorders>
              <w:bottom w:val="single" w:sz="8" w:color="auto"/>
            </w:tcBorders>
          </w:tcPr>
          <w:p>
            <w:pPr>
              <w:ind w:left="160"/>
              <w:spacing w:after="0" w:line="270"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5"/>
                <w:szCs w:val="25"/>
                <w:color w:val="auto"/>
                <w:vertAlign w:val="superscript"/>
              </w:rPr>
              <w:t>12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64"/>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w:t>
            </w:r>
          </w:p>
        </w:tc>
      </w:tr>
      <w:tr>
        <w:trPr>
          <w:trHeight w:val="264"/>
        </w:trPr>
        <w:tc>
          <w:tcPr>
            <w:tcW w:w="6360" w:type="dxa"/>
            <w:vAlign w:val="bottom"/>
            <w:tcBorders>
              <w:top w:val="single" w:sz="8" w:color="auto"/>
            </w:tcBorders>
          </w:tcPr>
          <w:p>
            <w:pPr>
              <w:ind w:left="160"/>
              <w:spacing w:after="0" w:line="264"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5"/>
                <w:szCs w:val="25"/>
                <w:color w:val="auto"/>
                <w:vertAlign w:val="superscript"/>
              </w:rPr>
              <w:t>13</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648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Net contributions to non-controlling interest</w:t>
            </w:r>
            <w:r>
              <w:rPr>
                <w:rFonts w:ascii="Arial" w:cs="Arial" w:eastAsia="Arial" w:hAnsi="Arial"/>
                <w:sz w:val="25"/>
                <w:szCs w:val="25"/>
                <w:color w:val="auto"/>
                <w:vertAlign w:val="superscript"/>
              </w:rPr>
              <w:t>14</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Available for Distribution</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295</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310</w:t>
            </w:r>
          </w:p>
        </w:tc>
      </w:tr>
      <w:tr>
        <w:trPr>
          <w:trHeight w:val="27"/>
        </w:trPr>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 Back: Principal amortization of indebtedness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Cash from Operations</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649</w:t>
            </w:r>
          </w:p>
        </w:tc>
      </w:tr>
      <w:tr>
        <w:trPr>
          <w:trHeight w:val="27"/>
        </w:trPr>
        <w:tc>
          <w:tcPr>
            <w:tcW w:w="6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1646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8"/>
          <w:szCs w:val="8"/>
          <w:color w:val="auto"/>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spacing w:after="0" w:line="24" w:lineRule="exact"/>
        <w:rPr>
          <w:rFonts w:ascii="Arial" w:cs="Arial" w:eastAsia="Arial" w:hAnsi="Arial"/>
          <w:sz w:val="8"/>
          <w:szCs w:val="8"/>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Primarily relates to Thermal Development Expenses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tax equity proceeds and distributions to tax equity partners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33"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Appendix Table A-8: Growth Investments 5 Year Average CAFD</w:t>
      </w:r>
    </w:p>
    <w:p>
      <w:pPr>
        <w:spacing w:after="0" w:line="39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Arial" w:cs="Arial" w:eastAsia="Arial" w:hAnsi="Arial"/>
                <w:sz w:val="18"/>
                <w:szCs w:val="18"/>
                <w:b w:val="1"/>
                <w:bCs w:val="1"/>
                <w:color w:val="auto"/>
                <w:w w:val="93"/>
              </w:rPr>
              <w:t>Carlsbad</w:t>
            </w:r>
          </w:p>
        </w:tc>
        <w:tc>
          <w:tcPr>
            <w:tcW w:w="140" w:type="dxa"/>
            <w:vAlign w:val="bottom"/>
          </w:tcPr>
          <w:p>
            <w:pPr>
              <w:spacing w:after="0"/>
              <w:rPr>
                <w:sz w:val="18"/>
                <w:szCs w:val="18"/>
                <w:color w:val="auto"/>
              </w:rPr>
            </w:pPr>
          </w:p>
        </w:tc>
        <w:tc>
          <w:tcPr>
            <w:tcW w:w="1440" w:type="dxa"/>
            <w:vAlign w:val="bottom"/>
          </w:tcPr>
          <w:p>
            <w:pPr>
              <w:jc w:val="center"/>
              <w:ind w:right="76"/>
              <w:spacing w:after="0"/>
              <w:rPr>
                <w:sz w:val="20"/>
                <w:szCs w:val="20"/>
                <w:color w:val="auto"/>
              </w:rPr>
            </w:pPr>
            <w:r>
              <w:rPr>
                <w:rFonts w:ascii="Arial" w:cs="Arial" w:eastAsia="Arial" w:hAnsi="Arial"/>
                <w:sz w:val="18"/>
                <w:szCs w:val="18"/>
                <w:b w:val="1"/>
                <w:bCs w:val="1"/>
                <w:color w:val="auto"/>
                <w:w w:val="90"/>
              </w:rPr>
              <w:t>Repowering 1.0</w:t>
            </w: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Arial" w:cs="Arial" w:eastAsia="Arial" w:hAnsi="Arial"/>
                <w:sz w:val="18"/>
                <w:szCs w:val="18"/>
                <w:b w:val="1"/>
                <w:bCs w:val="1"/>
                <w:color w:val="auto"/>
                <w:w w:val="98"/>
              </w:rPr>
              <w:t>Hawaii</w:t>
            </w:r>
          </w:p>
        </w:tc>
        <w:tc>
          <w:tcPr>
            <w:tcW w:w="140" w:type="dxa"/>
            <w:vAlign w:val="bottom"/>
          </w:tcPr>
          <w:p>
            <w:pPr>
              <w:spacing w:after="0"/>
              <w:rPr>
                <w:sz w:val="18"/>
                <w:szCs w:val="18"/>
                <w:color w:val="auto"/>
              </w:rPr>
            </w:pPr>
          </w:p>
        </w:tc>
        <w:tc>
          <w:tcPr>
            <w:tcW w:w="1140" w:type="dxa"/>
            <w:vAlign w:val="bottom"/>
          </w:tcPr>
          <w:p>
            <w:pPr>
              <w:jc w:val="center"/>
              <w:ind w:right="56"/>
              <w:spacing w:after="0"/>
              <w:rPr>
                <w:sz w:val="20"/>
                <w:szCs w:val="20"/>
                <w:color w:val="auto"/>
              </w:rPr>
            </w:pPr>
            <w:r>
              <w:rPr>
                <w:rFonts w:ascii="Arial" w:cs="Arial" w:eastAsia="Arial" w:hAnsi="Arial"/>
                <w:sz w:val="18"/>
                <w:szCs w:val="18"/>
                <w:b w:val="1"/>
                <w:bCs w:val="1"/>
                <w:color w:val="auto"/>
                <w:w w:val="97"/>
              </w:rPr>
              <w:t>Thermal</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6"/>
              <w:spacing w:after="0"/>
              <w:rPr>
                <w:sz w:val="20"/>
                <w:szCs w:val="20"/>
                <w:color w:val="auto"/>
              </w:rPr>
            </w:pPr>
            <w:r>
              <w:rPr>
                <w:rFonts w:ascii="Arial" w:cs="Arial" w:eastAsia="Arial" w:hAnsi="Arial"/>
                <w:sz w:val="18"/>
                <w:szCs w:val="18"/>
                <w:b w:val="1"/>
                <w:bCs w:val="1"/>
                <w:color w:val="auto"/>
                <w:w w:val="90"/>
              </w:rPr>
              <w:t>5 Year Ave. -</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5 Year Ave. - 2020-</w:t>
            </w: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Arial" w:cs="Arial" w:eastAsia="Arial" w:hAnsi="Arial"/>
                <w:sz w:val="18"/>
                <w:szCs w:val="18"/>
                <w:b w:val="1"/>
                <w:bCs w:val="1"/>
                <w:color w:val="auto"/>
                <w:w w:val="88"/>
              </w:rPr>
              <w:t>5 Year Ave. -</w:t>
            </w:r>
          </w:p>
        </w:tc>
        <w:tc>
          <w:tcPr>
            <w:tcW w:w="140" w:type="dxa"/>
            <w:vAlign w:val="bottom"/>
          </w:tcPr>
          <w:p>
            <w:pPr>
              <w:spacing w:after="0"/>
              <w:rPr>
                <w:sz w:val="18"/>
                <w:szCs w:val="18"/>
                <w:color w:val="auto"/>
              </w:rPr>
            </w:pPr>
          </w:p>
        </w:tc>
        <w:tc>
          <w:tcPr>
            <w:tcW w:w="1140" w:type="dxa"/>
            <w:vAlign w:val="bottom"/>
          </w:tcPr>
          <w:p>
            <w:pPr>
              <w:jc w:val="center"/>
              <w:ind w:right="36"/>
              <w:spacing w:after="0"/>
              <w:rPr>
                <w:sz w:val="20"/>
                <w:szCs w:val="20"/>
                <w:color w:val="auto"/>
              </w:rPr>
            </w:pPr>
            <w:r>
              <w:rPr>
                <w:rFonts w:ascii="Arial" w:cs="Arial" w:eastAsia="Arial" w:hAnsi="Arial"/>
                <w:sz w:val="18"/>
                <w:szCs w:val="18"/>
                <w:b w:val="1"/>
                <w:bCs w:val="1"/>
                <w:color w:val="auto"/>
                <w:w w:val="90"/>
              </w:rPr>
              <w:t>5 Year Ave. -</w:t>
            </w:r>
          </w:p>
        </w:tc>
      </w:t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center"/>
              <w:ind w:right="56"/>
              <w:spacing w:after="0"/>
              <w:rPr>
                <w:sz w:val="20"/>
                <w:szCs w:val="20"/>
                <w:color w:val="auto"/>
              </w:rPr>
            </w:pPr>
            <w:r>
              <w:rPr>
                <w:rFonts w:ascii="Arial" w:cs="Arial" w:eastAsia="Arial" w:hAnsi="Arial"/>
                <w:sz w:val="18"/>
                <w:szCs w:val="18"/>
                <w:b w:val="1"/>
                <w:bCs w:val="1"/>
                <w:color w:val="auto"/>
                <w:w w:val="90"/>
              </w:rPr>
              <w:t>2020-2024</w:t>
            </w:r>
          </w:p>
        </w:tc>
        <w:tc>
          <w:tcPr>
            <w:tcW w:w="140" w:type="dxa"/>
            <w:vAlign w:val="bottom"/>
          </w:tcPr>
          <w:p>
            <w:pPr>
              <w:spacing w:after="0"/>
              <w:rPr>
                <w:sz w:val="20"/>
                <w:szCs w:val="20"/>
                <w:color w:val="auto"/>
              </w:rPr>
            </w:pPr>
          </w:p>
        </w:tc>
        <w:tc>
          <w:tcPr>
            <w:tcW w:w="1440" w:type="dxa"/>
            <w:vAlign w:val="bottom"/>
          </w:tcPr>
          <w:p>
            <w:pPr>
              <w:jc w:val="center"/>
              <w:ind w:right="76"/>
              <w:spacing w:after="0"/>
              <w:rPr>
                <w:sz w:val="20"/>
                <w:szCs w:val="20"/>
                <w:color w:val="auto"/>
              </w:rPr>
            </w:pPr>
            <w:r>
              <w:rPr>
                <w:rFonts w:ascii="Arial" w:cs="Arial" w:eastAsia="Arial" w:hAnsi="Arial"/>
                <w:sz w:val="18"/>
                <w:szCs w:val="18"/>
                <w:b w:val="1"/>
                <w:bCs w:val="1"/>
                <w:color w:val="auto"/>
                <w:w w:val="89"/>
              </w:rPr>
              <w:t>2024</w:t>
            </w:r>
          </w:p>
        </w:tc>
        <w:tc>
          <w:tcPr>
            <w:tcW w:w="120" w:type="dxa"/>
            <w:vAlign w:val="bottom"/>
          </w:tcPr>
          <w:p>
            <w:pPr>
              <w:spacing w:after="0"/>
              <w:rPr>
                <w:sz w:val="20"/>
                <w:szCs w:val="20"/>
                <w:color w:val="auto"/>
              </w:rPr>
            </w:pPr>
          </w:p>
        </w:tc>
        <w:tc>
          <w:tcPr>
            <w:tcW w:w="1160" w:type="dxa"/>
            <w:vAlign w:val="bottom"/>
          </w:tcPr>
          <w:p>
            <w:pPr>
              <w:jc w:val="center"/>
              <w:ind w:right="56"/>
              <w:spacing w:after="0"/>
              <w:rPr>
                <w:sz w:val="20"/>
                <w:szCs w:val="20"/>
                <w:color w:val="auto"/>
              </w:rPr>
            </w:pPr>
            <w:r>
              <w:rPr>
                <w:rFonts w:ascii="Arial" w:cs="Arial" w:eastAsia="Arial" w:hAnsi="Arial"/>
                <w:sz w:val="18"/>
                <w:szCs w:val="18"/>
                <w:b w:val="1"/>
                <w:bCs w:val="1"/>
                <w:color w:val="auto"/>
                <w:w w:val="90"/>
              </w:rPr>
              <w:t>2020-2024</w:t>
            </w:r>
          </w:p>
        </w:tc>
        <w:tc>
          <w:tcPr>
            <w:tcW w:w="140" w:type="dxa"/>
            <w:vAlign w:val="bottom"/>
          </w:tcPr>
          <w:p>
            <w:pPr>
              <w:spacing w:after="0"/>
              <w:rPr>
                <w:sz w:val="20"/>
                <w:szCs w:val="20"/>
                <w:color w:val="auto"/>
              </w:rPr>
            </w:pPr>
          </w:p>
        </w:tc>
        <w:tc>
          <w:tcPr>
            <w:tcW w:w="1140" w:type="dxa"/>
            <w:vAlign w:val="bottom"/>
          </w:tcPr>
          <w:p>
            <w:pPr>
              <w:jc w:val="center"/>
              <w:ind w:right="36"/>
              <w:spacing w:after="0"/>
              <w:rPr>
                <w:sz w:val="20"/>
                <w:szCs w:val="20"/>
                <w:color w:val="auto"/>
              </w:rPr>
            </w:pPr>
            <w:r>
              <w:rPr>
                <w:rFonts w:ascii="Arial" w:cs="Arial" w:eastAsia="Arial" w:hAnsi="Arial"/>
                <w:sz w:val="18"/>
                <w:szCs w:val="18"/>
                <w:b w:val="1"/>
                <w:bCs w:val="1"/>
                <w:color w:val="auto"/>
                <w:w w:val="90"/>
              </w:rPr>
              <w:t>2020-2024</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0.7</w:t>
            </w:r>
          </w:p>
        </w:tc>
      </w:tr>
      <w:tr>
        <w:trPr>
          <w:trHeight w:val="237"/>
        </w:trPr>
        <w:tc>
          <w:tcPr>
            <w:tcW w:w="4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32</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7.5</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4.4</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 Expense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5.4</w:t>
            </w:r>
          </w:p>
        </w:tc>
      </w:tr>
      <w:tr>
        <w:trPr>
          <w:trHeight w:val="237"/>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90</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25.1</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10.5</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562" w:right="239" w:bottom="1440" w:gutter="0" w:footer="0" w:header="0"/>
        </w:sectPr>
      </w:pPr>
    </w:p>
    <w:p>
      <w:pPr>
        <w:ind w:left="1080" w:hanging="161"/>
        <w:spacing w:after="0" w:line="277" w:lineRule="auto"/>
        <w:rPr>
          <w:sz w:val="20"/>
          <w:szCs w:val="20"/>
          <w:color w:val="auto"/>
        </w:rPr>
      </w:pPr>
      <w:r>
        <w:rPr>
          <w:rFonts w:ascii="Arial" w:cs="Arial" w:eastAsia="Arial" w:hAnsi="Arial"/>
          <w:sz w:val="18"/>
          <w:szCs w:val="18"/>
          <w:color w:val="auto"/>
        </w:rPr>
        <w:t>Changes in prepaid and accrued liabilities for tolling agreements</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2769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distributions to non-controlling interest</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Maintenance capital expenditures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amortization of indebtedness</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Estimated 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2769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14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52</w:t>
            </w: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4.0</w:t>
            </w: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17.6</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6.1</w:t>
            </w:r>
          </w:p>
        </w:tc>
      </w:tr>
      <w:tr>
        <w:trPr>
          <w:trHeight w:val="33"/>
        </w:trPr>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(7.0)</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(9.8)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39"/>
              <w:spacing w:after="0"/>
              <w:rPr>
                <w:sz w:val="20"/>
                <w:szCs w:val="20"/>
                <w:color w:val="auto"/>
              </w:rPr>
            </w:pPr>
            <w:r>
              <w:rPr>
                <w:rFonts w:ascii="Arial" w:cs="Arial" w:eastAsia="Arial" w:hAnsi="Arial"/>
                <w:sz w:val="16"/>
                <w:szCs w:val="16"/>
                <w:color w:val="auto"/>
              </w:rPr>
              <w:t>2.6</w:t>
            </w: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1860" w:type="dxa"/>
            <w:vAlign w:val="bottom"/>
          </w:tcPr>
          <w:p>
            <w:pPr>
              <w:jc w:val="right"/>
              <w:ind w:right="539"/>
              <w:spacing w:after="0"/>
              <w:rPr>
                <w:sz w:val="20"/>
                <w:szCs w:val="20"/>
                <w:color w:val="auto"/>
              </w:rPr>
            </w:pPr>
            <w:r>
              <w:rPr>
                <w:rFonts w:ascii="Arial" w:cs="Arial" w:eastAsia="Arial" w:hAnsi="Arial"/>
                <w:sz w:val="16"/>
                <w:szCs w:val="16"/>
                <w:color w:val="auto"/>
              </w:rPr>
              <w:t>(25)</w:t>
            </w:r>
          </w:p>
        </w:tc>
        <w:tc>
          <w:tcPr>
            <w:tcW w:w="1420" w:type="dxa"/>
            <w:vAlign w:val="bottom"/>
          </w:tcPr>
          <w:p>
            <w:pPr>
              <w:jc w:val="right"/>
              <w:ind w:right="439"/>
              <w:spacing w:after="0"/>
              <w:rPr>
                <w:sz w:val="20"/>
                <w:szCs w:val="20"/>
                <w:color w:val="auto"/>
              </w:rPr>
            </w:pPr>
            <w:r>
              <w:rPr>
                <w:rFonts w:ascii="Arial" w:cs="Arial" w:eastAsia="Arial" w:hAnsi="Arial"/>
                <w:sz w:val="16"/>
                <w:szCs w:val="16"/>
                <w:color w:val="auto"/>
              </w:rPr>
              <w:t>12.0</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(5.1)</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27</w:t>
            </w: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11.6</w:t>
            </w: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2.7</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4.5</w:t>
            </w:r>
          </w:p>
        </w:tc>
      </w:tr>
      <w:tr>
        <w:trPr>
          <w:trHeight w:val="33"/>
        </w:trPr>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-530860</wp:posOffset>
            </wp:positionV>
            <wp:extent cx="62858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85865" cy="17145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-187960</wp:posOffset>
            </wp:positionV>
            <wp:extent cx="628586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85865" cy="18034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-891540</wp:posOffset>
            </wp:positionV>
            <wp:extent cx="628586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8586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520"/>
            <w:col w:w="6180"/>
          </w:cols>
          <w:pgMar w:left="240" w:top="562" w:right="239" w:bottom="1440" w:gutter="0" w:footer="0" w:header="0"/>
          <w:type w:val="continuous"/>
        </w:sectPr>
      </w:pPr>
    </w:p>
    <w:p>
      <w:pPr>
        <w:spacing w:after="0" w:line="6"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562"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3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Available for Distribution (CAFD) is a non-GAAP financial measure. We define CAFD as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8"/>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2020-02-27T05:44:31Z</dcterms:created>
  <dcterms:modified xsi:type="dcterms:W3CDTF">2020-02-27T05:44:31Z</dcterms:modified>
</cp:coreProperties>
</file>