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3)*</w:t>
      </w:r>
    </w:p>
    <w:p>
      <w:pPr>
        <w:spacing w:after="0" w:line="21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NRG YIELD, INC.</w:t>
      </w:r>
    </w:p>
    <w:p>
      <w:pPr>
        <w:spacing w:after="0" w:line="6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Class C common stock</w:t>
      </w:r>
    </w:p>
    <w:p>
      <w:pPr>
        <w:spacing w:after="0" w:line="22"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62942 X 306 (Class A common stock)</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62942 X 405 (Class C common stock)</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David R. Hill</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NRG Energy,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804 Carnegie Center</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Princeton, New Jersey 08540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(609) 524-4500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February 6, 2018</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CUSIP No. 62942 X 306 (Class A common stock); 62942 X 405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60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NRG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27940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-215900</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040" w:hanging="64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63" w:right="919" w:bottom="18" w:gutter="0" w:footer="0" w:header="0"/>
        </w:sectPr>
      </w:pPr>
    </w:p>
    <w:bookmarkStart w:id="1" w:name="page2"/>
    <w:bookmarkEnd w:id="1"/>
    <w:p>
      <w:pPr>
        <w:spacing w:after="0" w:line="9" w:lineRule="exact"/>
        <w:rPr>
          <w:sz w:val="20"/>
          <w:szCs w:val="20"/>
          <w:color w:val="auto"/>
        </w:rPr>
      </w:pPr>
    </w:p>
    <w:p>
      <w:pPr>
        <w:ind w:left="460"/>
        <w:spacing w:after="0"/>
        <w:tabs>
          <w:tab w:leader="none" w:pos="1080" w:val="left"/>
          <w:tab w:leader="none" w:pos="730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right="7700" w:hanging="646"/>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9"/>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100" w:hanging="646"/>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42,738,750 shares of Class A common stock; 42,738,750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55.3% of Class A common stock; 39.8% of Class C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-654050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Amendment No. 3 (this “Amendment”) amends and supplements the Schedule 13D originally filed with the Securities and Exchange Commission on August 1, 2013, by NRG Energy, Inc. (the “Reporting Person”), as amended by the Schedule 13D/A filed with the Securities and Exchange Commission on February 10, 2015 and as further amended by the Schedule 13D/A filed with the Securities and Exchange Commission on May 14, 2015. Capitalized terms used but not otherwise defined in this Amendment shall have the meanings ascribed to such terms in the Schedule 13D. Except as otherwise provided herein, each Item of the Schedule 13D remains unchanged.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is hereby amended and restated in its entirety to read as follows:</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This Amendment relates to the Class A common stock (“Class A Common Stock”) and Class C common stock (“Class C Common Stock”) of NRG Yield, Inc., a Delaware corporation (the “Issuer”). The principal offices of the Issuer are located at 804 Carnegie Center, Princeton, New Jersey 08540.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is hereby amended and restated in its entirety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is being filed by NRG Energy, Inc., a Delaware corporation (the “Reporting Person”).</w:t>
      </w:r>
    </w:p>
    <w:p>
      <w:pPr>
        <w:sectPr>
          <w:pgSz w:w="11900" w:h="16847" w:orient="portrait"/>
          <w:cols w:equalWidth="0" w:num="1">
            <w:col w:w="11420"/>
          </w:cols>
          <w:pgMar w:left="240" w:top="598" w:right="239" w:bottom="0" w:gutter="0" w:footer="0" w:header="0"/>
        </w:sectPr>
      </w:pPr>
    </w:p>
    <w:bookmarkStart w:id="2" w:name="page3"/>
    <w:bookmarkEnd w:id="2"/>
    <w:p>
      <w:pPr>
        <w:spacing w:after="0" w:line="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is certain information concerning the executive officers and directors of the Reporting Person as of the date of the filing of the Amendment.</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Reporting Person is principally engaged in the business of the ownership and operation of power generation facilities and the supply of energy and related services. The address of the principal executive offices of the Reporting Person is 804 Carnegie Center, Princeton, New Jersey 08540.</w:t>
      </w:r>
    </w:p>
    <w:p>
      <w:pPr>
        <w:spacing w:after="0" w:line="12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 xml:space="preserve">The principal business of Messrs. Gutierrez, Andrews, Callen, Chillemi, Hill and Moser, and Ms. Killinger, is to serve as executive officers of the Reporting Person, in the positions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principal business of each of the other persons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is set forth below:</w:t>
      </w:r>
    </w:p>
    <w:p>
      <w:pPr>
        <w:spacing w:after="0" w:line="124" w:lineRule="exact"/>
        <w:rPr>
          <w:sz w:val="20"/>
          <w:szCs w:val="20"/>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Abraham — Chairman and Chief Executive Officer of The Abraham Group and a director of the Reporting Person;</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Caldwell — Senior Pastor at the Windsor Village United Methodist Church in Houston, Texas, a member of the Board of Trustees of Baylor College of Medicine and a director of the Reporting Person;</w:t>
      </w:r>
    </w:p>
    <w:p>
      <w:pPr>
        <w:spacing w:after="0" w:line="170" w:lineRule="exact"/>
        <w:rPr>
          <w:rFonts w:ascii="Arial" w:cs="Arial" w:eastAsia="Arial" w:hAnsi="Arial"/>
          <w:sz w:val="18"/>
          <w:szCs w:val="18"/>
          <w:color w:val="auto"/>
        </w:rPr>
      </w:pPr>
    </w:p>
    <w:p>
      <w:pPr>
        <w:ind w:left="1300" w:hanging="644"/>
        <w:spacing w:after="0" w:line="264"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Coben — Chairman and Chief Executive Officer of Tremisis Energy Corporation LLC, a director of Freshpet, Inc., Executive Director of the Sustainable Preservation Initiative, Consulting Scholar at the University of Pennsylvania Museum of Archaeology and Anthropology, Chairman of the Reporting Person’s board of directors and a director of the Reporting Person;</w:t>
      </w:r>
    </w:p>
    <w:p>
      <w:pPr>
        <w:spacing w:after="0" w:line="181"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Messrs. Dallas, Silverstein and Young — Director of the Reporting Person;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Hantke — Director of PBF Energy Inc. and a director of the Reporting Person;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Hobby — Managing Partner of Genesis Park, L.P., Chairman of Texas Monthly and a director of the Reporting Person;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Schaumburg — Director of Brookfield Infrastructure Partners L.P. and a director of the Reporting Person;</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Smitherman — Energy industry consultant and senior advisor, an adjunct professor of Energy Law at The University of Texas School of Law and a director of the Reporting Person;</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Weidemeyer — Director of The Goodyear Tire &amp; Rubber Co., Waste Management, Inc. and Amsted Industries Incorporated and a director of the Reporting Person; and</w:t>
      </w:r>
    </w:p>
    <w:p>
      <w:pPr>
        <w:spacing w:after="0" w:line="170" w:lineRule="exact"/>
        <w:rPr>
          <w:rFonts w:ascii="Arial" w:cs="Arial" w:eastAsia="Arial" w:hAnsi="Arial"/>
          <w:sz w:val="18"/>
          <w:szCs w:val="18"/>
          <w:color w:val="auto"/>
        </w:rPr>
      </w:pPr>
    </w:p>
    <w:p>
      <w:pPr>
        <w:ind w:left="1300" w:right="140" w:hanging="644"/>
        <w:spacing w:after="0" w:line="259"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Wilder — Executive Chairman and a member of the Investment Committees of Bluescape Resources Company, Parallel Resource Partners and Bluescape Energy Partners, Executive Chairman and director of Exco Resources, Inc., member of the advisory boards of the McCombs School of Business at the University of Texas at Austin and the A.B. Freeman School of Business at Tulane University, Trustee of Texas Health Resources and a director of the Reporting Person.</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During the last five years, neither the Reporting Person, nor to the best knowledge of the Reporting Person, any of the persons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has been convicted in any criminal proceeding (excluding traffic violations or similar misdemeanors) or was a party to a civil proceeding before a judicial or administrative body of competent jurisdiction as a result of which such person was or is subject to a judgment, decree or final order enjoining future violations of, or prohibiting or mandating activities subject to, federal or state securities laws or finding of any violation with respect to such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to read as follows: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of the Class B Units (and beneficial ownership of Class A Common Stock reported herein) and Class D Units (and beneficial ownership of Class C Common Stock reported herein) were acquired for investment purposes.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Except as otherwise described in this Amendment, neither the Reporting Person nor, to the best knowledge of the Reporting Person, any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Amendment, currently has any plans or proposals that would result in or relate to any of the transactions or changes listed in Items 4(a) through 4(j) of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and Sale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6, 2018, the Reporting Person entered into a Purchase and Sale Agreement (the “Purchase Agreement”) with NRG Repowering Holdings LLC, a wholly owned subsidiary of the Reporting Person (“Repowering,” and together with the Reporting Person, the “NRG Parties”), and GIP III Zephyr Acquisition Partners, a subsidiary of Global Infrastructure Management LLC (“GIP”), pursuant to which the NRG Parties have agreed to sell to GIP one hundred percent (100%) of the outstanding membership interests of Zephyr Renewables LLC (the “Company”), a wholly owned subsidiary of Repowering (such sale, the “Transaction”).</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Prior to the Closing, the Company will own (i) one hundred percent (100%) of the Class B shares and one hundred percent (100%) of the Class D shares of the Issuer and (ii) one hundred percent (100%) of the Class B Units and one hundred percent (100%) of the Class D Units of NRG Yield LLC</w:t>
      </w:r>
    </w:p>
    <w:p>
      <w:pPr>
        <w:spacing w:after="0"/>
        <w:rPr>
          <w:sz w:val="20"/>
          <w:szCs w:val="20"/>
          <w:color w:val="auto"/>
        </w:rPr>
      </w:pPr>
      <w:r>
        <w:rPr>
          <w:rFonts w:ascii="Arial" w:cs="Arial" w:eastAsia="Arial" w:hAnsi="Arial"/>
          <w:sz w:val="17"/>
          <w:szCs w:val="17"/>
          <w:color w:val="auto"/>
        </w:rPr>
        <w:t xml:space="preserve">(“NYLD LLC”). As a result, following the consummation of the Transaction, the Reporting Person will no longer </w:t>
      </w:r>
      <w:r>
        <w:rPr>
          <w:rFonts w:ascii="Arial" w:cs="Arial" w:eastAsia="Arial" w:hAnsi="Arial"/>
          <w:sz w:val="16"/>
          <w:szCs w:val="16"/>
          <w:color w:val="auto"/>
        </w:rPr>
        <w:t>beneficially own any shares of Class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or Class C Common Stock.</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Subject to the terms and conditions of the Purchase Agreement, GIP has agreed to acquire all of the outstanding membership interests of the Company for an aggregate base purchase price, payable in United States funds, of approximately one billion three hundred seventy five million dollars ($1,375,000,000), subject to adjustments for cash deposits made by the NRG Parties into certain Company bank accounts to meet obligations set forth in the Company’s 2018 business plan, a potential transaction between a subsidiary of the Company and an unrelated third party, and required contribution amounts to be made prior to consummation of the Transaction in respect of certain solar and wind projects.</w:t>
      </w:r>
    </w:p>
    <w:p>
      <w:pPr>
        <w:sectPr>
          <w:pgSz w:w="11900" w:h="16859" w:orient="portrait"/>
          <w:cols w:equalWidth="0" w:num="1">
            <w:col w:w="11400"/>
          </w:cols>
          <w:pgMar w:left="240" w:top="341" w:right="259" w:bottom="0" w:gutter="0" w:footer="0" w:header="0"/>
        </w:sectPr>
      </w:pPr>
    </w:p>
    <w:bookmarkStart w:id="3" w:name="page4"/>
    <w:bookmarkEnd w:id="3"/>
    <w:p>
      <w:pPr>
        <w:jc w:val="both"/>
        <w:ind w:right="100"/>
        <w:spacing w:after="0" w:line="264" w:lineRule="auto"/>
        <w:rPr>
          <w:sz w:val="20"/>
          <w:szCs w:val="20"/>
          <w:color w:val="auto"/>
        </w:rPr>
      </w:pPr>
      <w:r>
        <w:rPr>
          <w:rFonts w:ascii="Arial" w:cs="Arial" w:eastAsia="Arial" w:hAnsi="Arial"/>
          <w:sz w:val="18"/>
          <w:szCs w:val="18"/>
          <w:color w:val="auto"/>
        </w:rPr>
        <w:t>The Purchase Agreement contains customary representations and warranties of each of the NRG Parties and GIP. The representations and warranties of each party set forth in the Purchase Agreement have been made solely for the benefit of the other parties to the Purchase Agreement, and such representations and warranties should not be relied on by any other person.</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Between the date of the Purchase Agreement and the consummation of the Transaction (the “Closing”), subject to certain exceptions, the NRG Parties have agreed to operate the Company and its subsidiaries in the ordinary course of business and good industry practice and to use commercially reasonable efforts to preserve, maintain and protect the assets and business of the Company and its subsidiaries (including the Issuer, NYLD LLC, and their respective subsidiaries), which actions may include proposing or considering one or more of the actions described in subsections (a) through (j) of Item 4 of Schedule 13D.</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Transaction is subject to various conditions to Closing, including: (a) the accuracy of the representations and warranties of each party at the time of Closing, (b) compliance in all material respects by each party with its covenants, (c) the absence of any law or order prohibiting the Closing, (d) certain contractual consents having been obtained, (e) receipt of certain regulatory approvals, as necessary (including HSR and FERC authorizations), (f) all conditions to NYLD’s consent to the Transaction set forth in the Consent and Indemnity Agreement (described below) having been satisfied and such consent and the Consent and Indemnity Agreement having been in full force and effect, (g) all NYLD board and committee approvals to the Transaction having been in full force and effect, and (h) the absence of a material adverse effect with respect to the Company or its subsidiaries (including the Issuer, NYLD LLC, and their respective subsidiaries), as well as other customary closing conditions. The Transaction is expected to close in the second half of 2018.</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closing of the Transaction, the NRG Parties and GIP will enter in to certain additional ancillary agreements, including a transition services agreement, a right of first offer agreement, and certain assignment agreements related to leased real property, an exchange agreement, and a registration rights agreement. Simultaneously with the execution and delivery of the Purchase Agreement, the NRG Parties, GIP, the Issuer, and NRG Yield Operating LLC also entered into a Consent and Indemnity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in its entirety to read as follows: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ownership percentages below are based on 77,325,000 shares of Class A common stock outstanding and 107,455,837 shares of Class C Common Stock outstanding as of February 6, 2018 (after giving effect to the exchange of 42,738,750 Class B Units outstanding as of such date, into an equivalent number of shares of Class A Common Stock, and the exchange of 42,738,750 Class D Units outstanding as of such date, into an equivalent number of shares of Class C Common Stock).</w:t>
      </w:r>
    </w:p>
    <w:p>
      <w:pPr>
        <w:spacing w:after="0" w:line="187" w:lineRule="exact"/>
        <w:rPr>
          <w:sz w:val="20"/>
          <w:szCs w:val="20"/>
          <w:color w:val="auto"/>
        </w:rPr>
      </w:pPr>
    </w:p>
    <w:p>
      <w:pPr>
        <w:ind w:firstLine="8"/>
        <w:spacing w:after="0" w:line="279" w:lineRule="auto"/>
        <w:tabs>
          <w:tab w:leader="none" w:pos="2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Reporting Person directly owns 42,738,750 Class B Units and 42,738,750 Class D Units. As a result of the Amended Exchange Agreement, the Class B Units are exchangeable for shares of Class A Common Stock of the Issuer, and the Class D Units are exchangeable for shares of Class C Common Stock of the Issuer. The Class B Units held by the Reporting Person represent 55.3% of the total number of shares of Class A Common Stock outstanding, and the Class D Units held by the Reporting Person represent 39.8% of the total number of shares of Class C Common Stock outstanding.</w:t>
      </w:r>
    </w:p>
    <w:p>
      <w:pPr>
        <w:spacing w:after="0" w:line="17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following executive officers of the Reporting Person beneficially own the specified number of shares of Class A Common Stock and Class C Common Stock as of the date of this Amendment: (i) Mr. Mauricio Gutierrez, the President and Chief Executive Officer of the Reporting Person and Chairman of the Issuer, beneficially owns 6,000 shares of Class A Common Stock and 6,000 shares of Class C Common Stock; (ii) Mr. Kirkland Andrews, the Executive Vice President and Chief Financial Officer of the Reporting Person and a director of the Issuer, beneficially owns 5,000 shares of Class A Common Stock and 5,000 shares of Class C Common Stock; (iii) Mr. David Callen, the Senior Vice President and Chief Accounting Officer of the Reporting Person and the Vice President and Accounting Officer of the Issuer, beneficially owns no shares of Class A Common Stock and 310 shares of Class C Common Stock;</w:t>
      </w:r>
    </w:p>
    <w:p>
      <w:pPr>
        <w:spacing w:after="0" w:line="5" w:lineRule="exact"/>
        <w:rPr>
          <w:sz w:val="20"/>
          <w:szCs w:val="20"/>
          <w:color w:val="auto"/>
        </w:rPr>
      </w:pPr>
    </w:p>
    <w:p>
      <w:pPr>
        <w:ind w:right="140" w:firstLine="8"/>
        <w:spacing w:after="0" w:line="281" w:lineRule="auto"/>
        <w:tabs>
          <w:tab w:leader="none" w:pos="3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John Chillemi, the Executive Vice President, National Business Development of the Reporting Person and a director of the Issuer, does not beneficially own any shares of Class A Common Stock or Class C Common Stock; (v) Mr. David Hill, the Executive Vice President and General Counsel of the Reporting Person and the Issuer, beneficially owns 3,500 shares of Class A Common Stock and 2,500 shares of Class C Common Stock;</w:t>
      </w:r>
    </w:p>
    <w:p>
      <w:pPr>
        <w:spacing w:after="0" w:line="2" w:lineRule="exact"/>
        <w:rPr>
          <w:rFonts w:ascii="Arial" w:cs="Arial" w:eastAsia="Arial" w:hAnsi="Arial"/>
          <w:sz w:val="16"/>
          <w:szCs w:val="16"/>
          <w:color w:val="auto"/>
        </w:rPr>
      </w:pPr>
    </w:p>
    <w:p>
      <w:pPr>
        <w:ind w:right="40" w:firstLine="8"/>
        <w:spacing w:after="0" w:line="292" w:lineRule="auto"/>
        <w:tabs>
          <w:tab w:leader="none" w:pos="3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Ms. Elizabeth Killinger, the Executive Vice President and President, NRG Retail of the Reporting Person, beneficially owns 300 shares of Class A Common Stock and 300 shares of Class C Common Stock; (vii) Christopher Moser, the Executive Vice President, Operations of the Reporting Person, beneficially owns 1,000 shares of Class A Common Stock and 1,000 shares of Class C Common Stock</w:t>
      </w:r>
      <w:r>
        <w:rPr>
          <w:rFonts w:ascii="Arial" w:cs="Arial" w:eastAsia="Arial" w:hAnsi="Arial"/>
          <w:sz w:val="16"/>
          <w:szCs w:val="16"/>
          <w:b w:val="1"/>
          <w:bCs w:val="1"/>
          <w:color w:val="auto"/>
        </w:rPr>
        <w:t>.</w:t>
      </w:r>
      <w:r>
        <w:rPr>
          <w:rFonts w:ascii="Arial" w:cs="Arial" w:eastAsia="Arial" w:hAnsi="Arial"/>
          <w:sz w:val="16"/>
          <w:szCs w:val="16"/>
          <w:color w:val="auto"/>
        </w:rPr>
        <w:t xml:space="preserve"> The Class A Common Stock held by the executive officers of the Reporting Person represents less than 1% of the total number of shares of Class A Common Stock outstanding, and the Class C Common Stock held by the executive offers of the Reporting Person represents less than 1% of the total number of shares of Class C Common Stock outstanding.</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directors of the Reporting Person beneficially own the specified number of shares of Class A Common Stock and Class C Common Stock as of the date of this Amendment: (i) Mr. Paul Hobby beneficially owns 3,000 shares of Class A Common Stock and 3,000 shares of Class C Common Stock; and</w:t>
      </w:r>
    </w:p>
    <w:p>
      <w:pPr>
        <w:ind w:right="60" w:firstLine="8"/>
        <w:spacing w:after="0" w:line="302"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Ms. Anne Schaumburg beneficially owns 2,500 shares of Class A Common Stock and 2,500 shares of Class C Common Stock. The Class A Common Stock held by directors of the Reporting Person represents less than 1% of the total number of Class A Common Stock outstanding, and the Class C Common Stock held by directors of the Reporting Person represents less than 1% of the total number of shares of Class C Common Stock outstanding.</w:t>
      </w:r>
    </w:p>
    <w:p>
      <w:pPr>
        <w:spacing w:after="0" w:line="155" w:lineRule="exact"/>
        <w:rPr>
          <w:sz w:val="20"/>
          <w:szCs w:val="20"/>
          <w:color w:val="auto"/>
        </w:rPr>
      </w:pPr>
    </w:p>
    <w:p>
      <w:pPr>
        <w:ind w:right="400" w:firstLine="8"/>
        <w:spacing w:after="0" w:line="277"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Reporting Person and the individuals named above each have the sole power to vote and dispose of the shares of the Class A Common Stock and Class C Common Stock that each such person beneficially owns.</w:t>
      </w:r>
    </w:p>
    <w:p>
      <w:pPr>
        <w:spacing w:after="0" w:line="170" w:lineRule="exact"/>
        <w:rPr>
          <w:rFonts w:ascii="Arial" w:cs="Arial" w:eastAsia="Arial" w:hAnsi="Arial"/>
          <w:sz w:val="18"/>
          <w:szCs w:val="18"/>
          <w:color w:val="auto"/>
        </w:rPr>
      </w:pPr>
    </w:p>
    <w:p>
      <w:pPr>
        <w:ind w:right="440" w:firstLine="8"/>
        <w:spacing w:after="0" w:line="277" w:lineRule="auto"/>
        <w:tabs>
          <w:tab w:leader="none" w:pos="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To the best knowledge of the Reporting Person, neither the Reporting Person nor any of the individuals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Amendment has effected a transaction in any class of the Issuer’s common stock during the past 60 days.</w:t>
      </w:r>
    </w:p>
    <w:p>
      <w:pPr>
        <w:spacing w:after="0" w:line="170"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than the Reporting Person, no other person is known to have the right to receive or the power to direct the receipt of dividends from, or the proceeds from the sale of, the Reporting Person’s securities.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is hereby amended and restated in its entirety to read as follows: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Reporting Person directly holds 42,738,750 shares of Class B common stock (“Class B Common Stock”) of the Issuer and 42,738,750 shares of Class D common stock (“Class D Common Stock”) of the Issuer. Each share of Class B Common Stock entitles the holder to one vote with respect to each matter presented to the Issuer’s stockholders on which the holders of Class B Common Stock are entitled to vote. Each share of Class D Common Stock entitles the holder to 1/100th of one vote with respect to each matter presented to the Issuer’s stockholders on which the holders of Class D Common Stock are entitled to vote. The executive officers and directors of the Reporting Person directly hold 21,300 shares of Class A Common Stock in the aggregate and may be deemed to beneficially own 21,300 shares of Class A Common Stock in the aggregate, and 20,610 shares of Class C Common Stock in the aggregate and may be deemed to beneficially own 20,610 shares of Class C Common Stock in the aggregate. Each share of Class A Common Stock entitles the holder to one vote with respect to each matter presented to the Issuer’s stockholders on which the holders of Class A Common Stock are entitled to vote. Each share of Class C Common Stock entitles the holder to 1/100th of one vote with respect to each matter presented to the Issuer’s stockholders on which the holders of Class C Common Stock are entitled to vote. Except in respect of matters relating to the election and removal of directors on the Issuer’s board of directors and as otherwise provided in the Issuer’s restated certificate of incorporation or required by law, all matters to be voted on by holders of Class A Common Stock, Class B Common Stock, Class C Common Stock, and Class D Common Stock must be approved by a majority, on a combined basis, of such shares present in person or by proxy at the meeting and entitled to vote on the subject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AND SALE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4 is hereby incorporated by reference.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Curci</w:t>
            </w:r>
          </w:p>
        </w:tc>
        <w:tc>
          <w:tcPr>
            <w:tcW w:w="40" w:type="dxa"/>
            <w:vAlign w:val="bottom"/>
          </w:tcPr>
          <w:p>
            <w:pPr>
              <w:spacing w:after="0"/>
              <w:rPr>
                <w:sz w:val="20"/>
                <w:szCs w:val="20"/>
                <w:color w:val="auto"/>
              </w:rPr>
            </w:pPr>
          </w:p>
        </w:tc>
      </w:tr>
      <w:tr>
        <w:trPr>
          <w:trHeight w:val="210"/>
        </w:trPr>
        <w:tc>
          <w:tcPr>
            <w:tcW w:w="6500" w:type="dxa"/>
            <w:vAlign w:val="bottom"/>
          </w:tcPr>
          <w:p>
            <w:pPr>
              <w:ind w:left="5720"/>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Curci</w:t>
            </w:r>
          </w:p>
        </w:tc>
        <w:tc>
          <w:tcPr>
            <w:tcW w:w="40" w:type="dxa"/>
            <w:vAlign w:val="bottom"/>
          </w:tcPr>
          <w:p>
            <w:pPr>
              <w:spacing w:after="0"/>
              <w:rPr>
                <w:sz w:val="18"/>
                <w:szCs w:val="18"/>
                <w:color w:val="auto"/>
              </w:rPr>
            </w:pPr>
          </w:p>
        </w:tc>
      </w:tr>
      <w:tr>
        <w:trPr>
          <w:trHeight w:val="21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18"/>
                <w:szCs w:val="18"/>
                <w:color w:val="auto"/>
              </w:rPr>
            </w:pPr>
          </w:p>
        </w:tc>
      </w:tr>
      <w:tr>
        <w:trPr>
          <w:trHeight w:val="426"/>
        </w:trPr>
        <w:tc>
          <w:tcPr>
            <w:tcW w:w="6500" w:type="dxa"/>
            <w:vAlign w:val="bottom"/>
          </w:tcPr>
          <w:p>
            <w:pPr>
              <w:jc w:val="right"/>
              <w:ind w:right="650"/>
              <w:spacing w:after="0"/>
              <w:rPr>
                <w:sz w:val="20"/>
                <w:szCs w:val="20"/>
                <w:color w:val="auto"/>
              </w:rPr>
            </w:pPr>
            <w:r>
              <w:rPr>
                <w:rFonts w:ascii="Arial" w:cs="Arial" w:eastAsia="Arial" w:hAnsi="Arial"/>
                <w:sz w:val="18"/>
                <w:szCs w:val="18"/>
                <w:color w:val="auto"/>
              </w:rPr>
              <w:t>7</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OFFICERS AND DIRECTORS OF NRG ENERGY, INC.</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name of each of the executive officers and directors of NRG Energy, Inc. is set forth below. Unless otherwise indicated, the business address of each of the executive officers and directors is 804 Carnegie Center, Princeton, New Jersey 08540. Unless otherwise indicated, each executive officer and each director of NRG Energy, Inc. is a citizen of the United States.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Mauricio Gutierrez</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President and Chief Executive Officer; Director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Kirkland Andrews</w:t>
            </w:r>
          </w:p>
        </w:tc>
        <w:tc>
          <w:tcPr>
            <w:tcW w:w="7700" w:type="dxa"/>
            <w:vAlign w:val="bottom"/>
          </w:tcPr>
          <w:p>
            <w:pPr>
              <w:ind w:left="2100"/>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David Callen</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Senior Vice President and Chief Accounting Officer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John Chillemi</w:t>
            </w:r>
          </w:p>
        </w:tc>
        <w:tc>
          <w:tcPr>
            <w:tcW w:w="7700" w:type="dxa"/>
            <w:vAlign w:val="bottom"/>
          </w:tcPr>
          <w:p>
            <w:pPr>
              <w:ind w:left="2100"/>
              <w:spacing w:after="0"/>
              <w:rPr>
                <w:sz w:val="20"/>
                <w:szCs w:val="20"/>
                <w:color w:val="auto"/>
              </w:rPr>
            </w:pPr>
            <w:r>
              <w:rPr>
                <w:rFonts w:ascii="Arial" w:cs="Arial" w:eastAsia="Arial" w:hAnsi="Arial"/>
                <w:sz w:val="18"/>
                <w:szCs w:val="18"/>
                <w:color w:val="auto"/>
              </w:rPr>
              <w:t>Executive Vice President, National Business Development</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David R. Hill</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Executive Vice President and General Counsel</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Elizabeth Killinger</w:t>
            </w:r>
          </w:p>
        </w:tc>
        <w:tc>
          <w:tcPr>
            <w:tcW w:w="7700" w:type="dxa"/>
            <w:vAlign w:val="bottom"/>
          </w:tcPr>
          <w:p>
            <w:pPr>
              <w:ind w:left="2100"/>
              <w:spacing w:after="0"/>
              <w:rPr>
                <w:sz w:val="20"/>
                <w:szCs w:val="20"/>
                <w:color w:val="auto"/>
              </w:rPr>
            </w:pPr>
            <w:r>
              <w:rPr>
                <w:rFonts w:ascii="Arial" w:cs="Arial" w:eastAsia="Arial" w:hAnsi="Arial"/>
                <w:sz w:val="18"/>
                <w:szCs w:val="18"/>
                <w:color w:val="auto"/>
              </w:rPr>
              <w:t>Executive Vice President and President, NRG Retail</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Christopher Moser</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Executive Vice President, Operations</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 Spencer Abraham</w:t>
            </w:r>
          </w:p>
        </w:tc>
        <w:tc>
          <w:tcPr>
            <w:tcW w:w="77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Kirbyjon H. Caldwell</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Lawrence S. Coben</w:t>
            </w:r>
          </w:p>
        </w:tc>
        <w:tc>
          <w:tcPr>
            <w:tcW w:w="7700" w:type="dxa"/>
            <w:vAlign w:val="bottom"/>
          </w:tcPr>
          <w:p>
            <w:pPr>
              <w:ind w:left="2100"/>
              <w:spacing w:after="0"/>
              <w:rPr>
                <w:sz w:val="20"/>
                <w:szCs w:val="20"/>
                <w:color w:val="auto"/>
              </w:rPr>
            </w:pPr>
            <w:r>
              <w:rPr>
                <w:rFonts w:ascii="Arial" w:cs="Arial" w:eastAsia="Arial" w:hAnsi="Arial"/>
                <w:sz w:val="18"/>
                <w:szCs w:val="18"/>
                <w:color w:val="auto"/>
              </w:rPr>
              <w:t>Director and Chairman</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Terry G. Dallas</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William E. Hantke</w:t>
            </w:r>
          </w:p>
        </w:tc>
        <w:tc>
          <w:tcPr>
            <w:tcW w:w="77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Paul W. Hobby</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Anne C. Schaumburg</w:t>
            </w:r>
          </w:p>
        </w:tc>
        <w:tc>
          <w:tcPr>
            <w:tcW w:w="77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Evan J. Silverstein</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Barry T. Smitherman</w:t>
            </w:r>
          </w:p>
        </w:tc>
        <w:tc>
          <w:tcPr>
            <w:tcW w:w="77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 John Wilder</w:t>
            </w:r>
          </w:p>
        </w:tc>
        <w:tc>
          <w:tcPr>
            <w:tcW w:w="77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Walter R. Young</w:t>
            </w:r>
          </w:p>
        </w:tc>
        <w:tc>
          <w:tcPr>
            <w:tcW w:w="77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432"/>
        </w:trPr>
        <w:tc>
          <w:tcPr>
            <w:tcW w:w="3720" w:type="dxa"/>
            <w:vAlign w:val="bottom"/>
          </w:tcPr>
          <w:p>
            <w:pPr>
              <w:spacing w:after="0"/>
              <w:rPr>
                <w:sz w:val="24"/>
                <w:szCs w:val="24"/>
                <w:color w:val="auto"/>
              </w:rPr>
            </w:pPr>
          </w:p>
        </w:tc>
        <w:tc>
          <w:tcPr>
            <w:tcW w:w="7700" w:type="dxa"/>
            <w:vAlign w:val="bottom"/>
          </w:tcPr>
          <w:p>
            <w:pPr>
              <w:ind w:left="19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r>
      <w:tr>
        <w:trPr>
          <w:trHeight w:val="131"/>
        </w:trPr>
        <w:tc>
          <w:tcPr>
            <w:tcW w:w="3720" w:type="dxa"/>
            <w:vAlign w:val="bottom"/>
            <w:tcBorders>
              <w:bottom w:val="single" w:sz="8" w:color="808080"/>
            </w:tcBorders>
          </w:tcPr>
          <w:p>
            <w:pPr>
              <w:spacing w:after="0"/>
              <w:rPr>
                <w:sz w:val="11"/>
                <w:szCs w:val="11"/>
                <w:color w:val="auto"/>
              </w:rPr>
            </w:pPr>
          </w:p>
        </w:tc>
        <w:tc>
          <w:tcPr>
            <w:tcW w:w="7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-28575</wp:posOffset>
            </wp:positionV>
            <wp:extent cx="12700"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-28575</wp:posOffset>
            </wp:positionV>
            <wp:extent cx="12700"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580" w:right="199"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3"/>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Roman"/>
      <w:start w:val="4"/>
    </w:lvl>
  </w:abstractNum>
  <w:abstractNum w:abstractNumId="11">
    <w:nsid w:val="3352255A"/>
    <w:multiLevelType w:val="hybridMultilevel"/>
    <w:lvl w:ilvl="0">
      <w:lvlJc w:val="left"/>
      <w:lvlText w:val="(%1)"/>
      <w:numFmt w:val="lowerRoman"/>
      <w:start w:val="6"/>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2019-12-06T06:51:27Z</dcterms:created>
  <dcterms:modified xsi:type="dcterms:W3CDTF">2019-12-06T06:51:27Z</dcterms:modified>
</cp:coreProperties>
</file>