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27" w:right="2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727" w:right="2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727" w:right="239" w:bottom="1440" w:gutter="0" w:footer="0" w:header="0"/>
          <w:type w:val="continuous"/>
        </w:sectPr>
      </w:pP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40" w:firstLine="8"/>
        <w:spacing w:after="0" w:line="498" w:lineRule="auto"/>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8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CWEN.A</w:t>
            </w:r>
          </w:p>
        </w:tc>
        <w:tc>
          <w:tcPr>
            <w:tcW w:w="4320" w:type="dxa"/>
            <w:vAlign w:val="bottom"/>
          </w:tcPr>
          <w:p>
            <w:pPr>
              <w:jc w:val="center"/>
              <w:ind w:left="250"/>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2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CWEN</w:t>
            </w:r>
          </w:p>
        </w:tc>
        <w:tc>
          <w:tcPr>
            <w:tcW w:w="43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420"/>
        <w:spacing w:after="0" w:line="207" w:lineRule="exact"/>
        <w:tabs>
          <w:tab w:leader="none" w:pos="105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2, 2019, Clearway Energy, Inc. (the “Company”) and Clearway Energy LLC (“Clearway LLC”) entered into an underwriting agreement (the “Underwriting Agreement”) with RBC Capital Markets, LLC, as underwriter (the “Underwriter”), providing for the issuance and sale in an underwritten public offering by the Company of 5,405,405 shares (the “Shares”) of the Company’s Class C common stock, $0.01 par value per share (the “Class C Common Stock”). The Underwriter purchased the Shares from the Company pursuant to the Underwriting Agreement at a price of $18.50 per share (the “Offering”). The Offering closed on December 5, 2019.</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offer and sale of the Shares was registered under the Securities Act of 1933, as amended (the “Securities Act”), pursuant to a shelf registration statement on Form S-3 (File No. 333-224684) of the Company filed with the Securities and Exchange Commission (the “SEC”), which registration statement became effective upon filing with the SEC on May 4, 2018.</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covenants by the Company. In addition, pursuant to the terms of the Underwriting Agreement, the Company and Clearway LLC agreed to indemnify the Underwriter against certain liabilities, including liabilities under the Securities Act, and to contribute to payments the Underwriter may be required to make because of any of those liabilities.</w:t>
      </w:r>
    </w:p>
    <w:p>
      <w:pPr>
        <w:spacing w:after="0" w:line="176"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attached as Exhibit 1.1 to this Current Report on Form 8-K (this “Current Report”) and is incorporated by reference 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Company is filing the opinion of Baker Botts L.L.P. as part of this Current Report that is to be incorporated by reference into the Registration Statement. The opinion of Baker Botts L.L.P. is filed as Exhibit 5.1 to this Current Report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300" w:type="dxa"/>
            <w:vAlign w:val="bottom"/>
            <w:tcBorders>
              <w:top w:val="single" w:sz="8" w:color="auto"/>
            </w:tcBorders>
            <w:gridSpan w:val="2"/>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hyperlink>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auto"/>
            </w:tcBorders>
            <w:gridSpan w:val="5"/>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Underwriting Agreement by and among Clearway Energy, Inc., Clearway Energy LLC and RBC Capital Markets, LLC, dated</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0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December 2, 2019.</w:t>
              </w:r>
            </w:hyperlink>
          </w:p>
        </w:tc>
        <w:tc>
          <w:tcPr>
            <w:tcW w:w="7860" w:type="dxa"/>
            <w:vAlign w:val="bottom"/>
            <w:gridSpan w:val="4"/>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40" w:type="dxa"/>
            <w:vAlign w:val="bottom"/>
            <w:gridSpan w:val="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Opinion of Baker Botts L.L.P.</w:t>
              </w:r>
            </w:hyperlink>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w w:val="95"/>
              </w:rPr>
            </w:pPr>
            <w:hyperlink w:anchor="page40">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hyperlink>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40" w:type="dxa"/>
            <w:vAlign w:val="bottom"/>
            <w:gridSpan w:val="6"/>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Consent of Baker Botts L.L.P. (included in Exhibit 5.1).</w:t>
              </w:r>
            </w:hyperlink>
          </w:p>
        </w:tc>
      </w:tr>
      <w:tr>
        <w:trPr>
          <w:trHeight w:val="20"/>
        </w:trPr>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 w:lineRule="exact"/>
        <w:rPr>
          <w:sz w:val="20"/>
          <w:szCs w:val="20"/>
          <w:color w:val="auto"/>
        </w:rPr>
      </w:pPr>
    </w:p>
    <w:p>
      <w:pPr>
        <w:ind w:left="1680" w:hanging="1024"/>
        <w:spacing w:after="0"/>
        <w:tabs>
          <w:tab w:leader="none" w:pos="1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2019</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0"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5,405,405 Shares of Class C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5,405,405 Shares of Class C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Clearway Energy, Inc., a Delaware corporation (the “Company”), confirms its agreement with RBC Capital Markets, LLC (the “Underwriters”), with respect to (i) the sale by the Company and the purchase by the Underwriters of 5,405,405 shares of Class C Common Stock, par value $0.01 per share, of the Company (“Common Stock”) (the aforesaid 5,405,405 shares of Common Stock to be purchased by the Underwriters are herein called the “Securities”). The Company is the sole managing member of Clearway Energy LLC, a Delaware limited liability company (“Clearway LLC”).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Underwriters deem advisable after this Agreement has been executed and delivered.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“Commission”) an automatic shelf registration statement on Form S-3 (File No. 333-224684) covering the public offering and sale of certain securities, including the Securities, under the Securities Act of 1933, as amended (the “1933 Act”), and the rules and regulations promulgated thereunder (the “1933 Act Regulations”), which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225"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“Applicable Time” means 4:15 P.M., New York City time, on December 2, 2019 or such other time as agreed by the Company and the Underwriters.</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all considered together.</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9"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“Issuer General Use Free Writing Prospectus”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 as evidenced by its being specified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“Issuer Limited Use Free Writing Prospectus” means any Issuer Free Writing Prospectus that is not an Issuer General Use Free Writing Prospectus.</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“subsidiary” means each direct and indirect subsidiary of the Company.</w:t>
      </w:r>
    </w:p>
    <w:p>
      <w:pPr>
        <w:spacing w:after="0" w:line="225" w:lineRule="exact"/>
        <w:rPr>
          <w:sz w:val="20"/>
          <w:szCs w:val="20"/>
          <w:color w:val="auto"/>
        </w:rPr>
      </w:pPr>
    </w:p>
    <w:p>
      <w:pPr>
        <w:ind w:left="64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left="-20" w:firstLine="656"/>
        <w:spacing w:after="0" w:line="267" w:lineRule="auto"/>
        <w:tabs>
          <w:tab w:leader="none" w:pos="14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 and Clearway LLC</w:t>
      </w:r>
      <w:r>
        <w:rPr>
          <w:rFonts w:ascii="Times New Roman" w:cs="Times New Roman" w:eastAsia="Times New Roman" w:hAnsi="Times New Roman"/>
          <w:sz w:val="18"/>
          <w:szCs w:val="18"/>
          <w:color w:val="auto"/>
        </w:rPr>
        <w:t>. The Company and Clearway LLC, jointly and severally,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warrant to the Underwriters as of the date hereof, the Applicable Time, the Closing Time (as defined below) and any Date of Delivery (as defined below), and agree with the Underwriters, as follows:</w:t>
      </w:r>
    </w:p>
    <w:p>
      <w:pPr>
        <w:spacing w:after="0" w:line="176" w:lineRule="exact"/>
        <w:rPr>
          <w:sz w:val="20"/>
          <w:szCs w:val="20"/>
          <w:color w:val="auto"/>
        </w:rPr>
      </w:pPr>
    </w:p>
    <w:p>
      <w:pPr>
        <w:jc w:val="both"/>
        <w:ind w:left="-20" w:firstLine="656"/>
        <w:spacing w:after="0" w:line="255" w:lineRule="auto"/>
        <w:tabs>
          <w:tab w:leader="none" w:pos="13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of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complied in all material respects with the requirements of the Securities Exchange Act of 1934 Act, as amended (the “1934 Act”), and the rules and regulations of the Commission under the 1934 Act.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89" w:lineRule="exact"/>
        <w:rPr>
          <w:sz w:val="20"/>
          <w:szCs w:val="20"/>
          <w:color w:val="auto"/>
        </w:rPr>
      </w:pPr>
    </w:p>
    <w:p>
      <w:pPr>
        <w:jc w:val="both"/>
        <w:ind w:firstLine="656"/>
        <w:spacing w:after="0" w:line="253"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neither (A) the General Disclosure Package nor (B) any individual Issuer Limited Use Free Writing Prospectus, when considered together with the General Disclosure Package, included an untrue statement of a material fact or omitted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the Underwriters expressly for use therein. For purposes of this Agreement, the only information so furnished shall be the information in the first paragraph under the subheading “Commissions and Discounts” and in the first and second paragraphs under the subheading “Short Positions” under the heading “Underwriting” in the Prospectus (collectively, the “Underwriter Information”).</w:t>
      </w:r>
    </w:p>
    <w:p>
      <w:pPr>
        <w:spacing w:after="0" w:line="184" w:lineRule="exact"/>
        <w:rPr>
          <w:sz w:val="20"/>
          <w:szCs w:val="20"/>
          <w:color w:val="auto"/>
        </w:rPr>
      </w:pPr>
    </w:p>
    <w:p>
      <w:pPr>
        <w:jc w:val="both"/>
        <w:ind w:firstLine="656"/>
        <w:spacing w:after="0" w:line="255" w:lineRule="auto"/>
        <w:tabs>
          <w:tab w:leader="none" w:pos="15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Prospectuses</w:t>
      </w:r>
      <w:r>
        <w:rPr>
          <w:rFonts w:ascii="Times New Roman" w:cs="Times New Roman" w:eastAsia="Times New Roman" w:hAnsi="Times New Roman"/>
          <w:sz w:val="18"/>
          <w:szCs w:val="18"/>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under the 1933 Act Regulations (“Rule 163”) and otherwise complied with the requirements of Rule 163, including without limitation the legending requirement, to qualify such offer for the exemption from Section 5(c) of the 1933 Act provided by Rule 163.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left="-8" w:firstLine="656"/>
        <w:spacing w:after="0" w:line="258" w:lineRule="auto"/>
        <w:tabs>
          <w:tab w:leader="none" w:pos="14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(A) At the original effectiveness of the Registration Statement, (B) if applicable,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39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0"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4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the 1934 Act, the 1934 Act Regulations and the Public Accounting Oversight Board.</w:t>
      </w:r>
    </w:p>
    <w:p>
      <w:pPr>
        <w:spacing w:after="0" w:line="176" w:lineRule="exact"/>
        <w:rPr>
          <w:rFonts w:ascii="Times New Roman" w:cs="Times New Roman" w:eastAsia="Times New Roman" w:hAnsi="Times New Roman"/>
          <w:sz w:val="18"/>
          <w:szCs w:val="18"/>
          <w:color w:val="auto"/>
        </w:rPr>
      </w:pPr>
    </w:p>
    <w:p>
      <w:pPr>
        <w:jc w:val="both"/>
        <w:ind w:left="-8" w:firstLine="656"/>
        <w:spacing w:after="0" w:line="253" w:lineRule="auto"/>
        <w:tabs>
          <w:tab w:leader="none" w:pos="13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Non-GAAP Financial Measures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except as may be expressly stated in the related notes thereto.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or incorporated by reference therein, no historical or pro forma financial statements or supporting schedules are required to be included or incorporated by reference in the Registration Statement, the General Disclosure Package or the Prospectus under the 1933 Act or the 1933 Act Regulations. All disclosures contained in the Registration Statement, the General Disclosure Package or the Prospectus, or incorporated by reference therein, regarding “non-GAAP financial measures” (as such term is defined by the rules and regulations of the Commission) comply with Regulation G of the 1934 Act and Item 10 of Regulation S-K of the 1933 Act, to the extent applicable. The interactive data in eXtensible Business Reporting Language included or incorporated by reference in the Registration Statement has been prepared in accordance with the Commission's rules and guidelines applicable thereto.</w:t>
      </w:r>
    </w:p>
    <w:p>
      <w:pPr>
        <w:spacing w:after="0" w:line="188"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129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the General Disclosure Package and the Prospectus, (A) there has been no material adverse change in the condition, financial or otherwise, or in the earnings, business, operations or prospects as described in or contemplated by the Registration Statement, the General Disclosure Package and the Prospectus, whether or not arising from transactions in the ordinary course of business, of the Company and its subsidiaries, considered as one entity (a “Material Adverse Effect”), (B)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w:t>
      </w:r>
    </w:p>
    <w:p>
      <w:pPr>
        <w:ind w:left="-8" w:firstLine="8"/>
        <w:spacing w:after="0" w:line="261"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dividend or distribution of any kind declared, paid or made by the Company or any of its subsidiaries on any class of their capital stock or other equity securities.</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8" w:name="page9"/>
    <w:bookmarkEnd w:id="8"/>
    <w:p>
      <w:pPr>
        <w:jc w:val="both"/>
        <w:ind w:firstLine="656"/>
        <w:spacing w:after="0" w:line="256" w:lineRule="auto"/>
        <w:tabs>
          <w:tab w:leader="none" w:pos="13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Subsidiaries</w:t>
      </w:r>
      <w:r>
        <w:rPr>
          <w:rFonts w:ascii="Times New Roman" w:cs="Times New Roman" w:eastAsia="Times New Roman" w:hAnsi="Times New Roman"/>
          <w:sz w:val="18"/>
          <w:szCs w:val="18"/>
          <w:color w:val="auto"/>
        </w:rPr>
        <w:t>. Each “significant subsidiary” of the Company (as such term is defined in Rule 1-02 of Regulation S-X)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Except as otherwise disclosed in the Registration Statement, the General Disclosure Package and the Prospectus or as would not, individually or in the aggregate, reasonably be expected to have a Material Adverse Effect, all of the issued and outstanding capital stock or other ownership interests of each subsidiary has been duly authorized and validly issued, is fully paid and non-assessable and is owned by the Company, directly or through subsidiaries, free and clear of any security interest, mortgage, pledge, lien, encumbrance or claim.</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13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and, upon consummation of the offering of the Common Stock, will be as set forth in the column entitled “Pro Forma (as adjusted for the Recapitalization and this offering)”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All outstanding shares of capital stock of the Company have been duly authorized and validly issued and are fully paid and non-assessable. None of the outstanding shares of capital stock of or ownership interest in the Company or any subsidiary were issued in violation of the preemptive or other similar rights of any securityholder of the Company or such subsidiary.</w:t>
      </w:r>
    </w:p>
    <w:p>
      <w:pPr>
        <w:spacing w:after="0" w:line="185"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 and its subsidiaries,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jc w:val="both"/>
        <w:ind w:firstLine="656"/>
        <w:spacing w:after="0" w:line="255" w:lineRule="auto"/>
        <w:tabs>
          <w:tab w:leader="none" w:pos="14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Clearway LLC’s Class A units, Class B units, Class C units and Class D units (collectively, the “LLC Units”) conform to all statements relating thereto contained in the Registration Statement, the General Disclosure Package and the Prospectus and such description conforms to the rights set forth in the instruments defining the same. No holder of Securities will be subject to personal liability by reason of being such a holder.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ind w:left="-8" w:firstLine="656"/>
        <w:spacing w:after="0" w:line="266" w:lineRule="auto"/>
        <w:tabs>
          <w:tab w:leader="none" w:pos="13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76" w:lineRule="exact"/>
        <w:rPr>
          <w:rFonts w:ascii="Times New Roman" w:cs="Times New Roman" w:eastAsia="Times New Roman" w:hAnsi="Times New Roman"/>
          <w:sz w:val="18"/>
          <w:szCs w:val="18"/>
          <w:color w:val="auto"/>
        </w:rPr>
      </w:pPr>
    </w:p>
    <w:p>
      <w:pPr>
        <w:jc w:val="both"/>
        <w:ind w:left="-8" w:firstLine="656"/>
        <w:spacing w:after="0" w:line="251" w:lineRule="auto"/>
        <w:tabs>
          <w:tab w:leader="none" w:pos="135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Defaults and Conflicts</w:t>
      </w:r>
      <w:r>
        <w:rPr>
          <w:rFonts w:ascii="Times New Roman" w:cs="Times New Roman" w:eastAsia="Times New Roman" w:hAnsi="Times New Roman"/>
          <w:sz w:val="18"/>
          <w:szCs w:val="18"/>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individually or in the aggregate, reasonably be expected to have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w:t>
      </w:r>
    </w:p>
    <w:p>
      <w:pPr>
        <w:spacing w:after="0" w:line="10"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3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any law, statute, rule, regulation, judgment, order, writ or decree of any Governmental Entity, except for such violations as would not, individually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0" w:name="page11"/>
    <w:bookmarkEnd w:id="10"/>
    <w:p>
      <w:pPr>
        <w:ind w:left="-20" w:firstLine="656"/>
        <w:spacing w:after="0" w:line="282" w:lineRule="auto"/>
        <w:tabs>
          <w:tab w:leader="none" w:pos="13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color w:val="auto"/>
        </w:rPr>
        <w:t>. No labor dispute with the employees of Clearway LLC or any of its subsidiaries engaged in the business of the Company exists or, to the knowledge of the Company, is imminent, which, in any case, would have a Material Adverse Effect.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3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13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Descriptions</w:t>
      </w:r>
      <w:r>
        <w:rPr>
          <w:rFonts w:ascii="Times New Roman" w:cs="Times New Roman" w:eastAsia="Times New Roman" w:hAnsi="Times New Roman"/>
          <w:sz w:val="18"/>
          <w:szCs w:val="18"/>
          <w:color w:val="auto"/>
        </w:rPr>
        <w:t>. The statements under the heading “Business—Regulatory Matters” in the Company’s Annual Report on Form 10-K for the year ended December 31, 2018 filed with the Commission on February 28, 2019, as amended by the report on Form 10-K/A filed on March 29, 2019, and under the heading “Certain Relationships and Related Person Transactions” in the Company’s Definitive Proxy Statement on Schedule 14A filed with the Commission on March 19, 2019,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as of the date of such filings. All agreements between the Company or any of its subsidiaries and any other party expressly referenced in the Registration Statement, the General Disclosure Package and the Prospectus, including the documents incorporated by reference therein pursuant to Item 12 of Form S-3 under the 1933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the General Disclosure Package and the Prospectus, neither the Company nor Clearway LLC have sent or received any notice indicating the termination of or intention to terminate any of the contracts or agreements referred to or described in the Registration Statement, the General Disclosure Package and the Prospectus or filed as an exhibit to the Registration Statement.</w:t>
      </w:r>
    </w:p>
    <w:p>
      <w:pPr>
        <w:spacing w:after="0" w:line="197"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5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by the 1933 Act or the 1933 Act Regulations to be described in the Registration Statement, the General Disclosure Package or the Prospectus or to be filed as exhibits to the Registration Statement which have not been so described and filed as required.</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3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or Clearway LLC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New York Stock Exchange, state securities laws or the rules of the Financial Industry Regulatory Authority, Inc. (“FINRA”).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 w:name="page12"/>
    <w:bookmarkEnd w:id="11"/>
    <w:p>
      <w:pPr>
        <w:jc w:val="both"/>
        <w:ind w:left="-20" w:firstLine="656"/>
        <w:spacing w:after="0" w:line="252" w:lineRule="auto"/>
        <w:tabs>
          <w:tab w:leader="none" w:pos="1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its subsidiaries have filed or caused to be filed with the appropriate Governmental Entities all forms, statements, reports, and documents (including all exhibits, amendments, and supplements thereto) (each a “Filing”) required to be filed by it 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“Governmental License”),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spacing w:after="0" w:line="198"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13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the General Disclosure Package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92"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4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 w:name="page13"/>
    <w:bookmarkEnd w:id="12"/>
    <w:p>
      <w:pPr>
        <w:jc w:val="both"/>
        <w:ind w:left="-20" w:firstLine="656"/>
        <w:spacing w:after="0" w:line="252" w:lineRule="auto"/>
        <w:tabs>
          <w:tab w:leader="none" w:pos="13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Except as described in the Registration Statement, the General Disclosure Package and the Prospectus or would not, individually or in the aggregate, reasonably be expected to have a Material Adverse Effect, the Company and its subsidiaries (A) are conducting and have conducted their businesses, operations and facilities in compliance with Environmental Laws (as defined below); (B) have duly obtained, possess, maintain in full force and effect and have fulfilled and performed all of their obligations under any and all permits, licenses or registrations required under Environmental Law (“Environmental Permits”); (C) have not received any notice from a governmental authority or any other third party alleging any violation of Environmental Law or liability thereunder; (D) are not subject to any pending or, to the best knowledge of the Company or any of its subsidiaries, threatened claim in writing or other legal proceeding under any Environmental Laws against the Company or any of its subsidiaries; (E)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(F) do not have knowledge of any facts or circumstances that reasonably would be expected to result in the Company or any of its subsidiaries being subjected to a material liability arising under Environmental Laws. As used in this paragraph, “Environmental Laws”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 (ii) 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“Hazardous Substances” means pollutants, contaminants, hazardous substances, materials or wastes, petroleum, petroleum products and their breakdown constituents or any other chemical substance regulated under Environmental Laws.</w:t>
      </w:r>
    </w:p>
    <w:p>
      <w:pPr>
        <w:spacing w:after="0" w:line="193"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 and Disclosure Controls</w:t>
      </w:r>
      <w:r>
        <w:rPr>
          <w:rFonts w:ascii="Times New Roman" w:cs="Times New Roman" w:eastAsia="Times New Roman" w:hAnsi="Times New Roman"/>
          <w:sz w:val="18"/>
          <w:szCs w:val="18"/>
          <w:color w:val="auto"/>
        </w:rPr>
        <w:t>. The Company and each of its subsidiaries maintain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is prepared in accordance with the Commission's rules and guidelines applicable thereto. Except as described in the Registration Statement, the General Disclosure Package and the Prospectus, since the Company’s inception, there has been (1) no material weakness in the Company’s internal control over financial reporting that could adversely affect the Company’s ability to record, process, summarize and report financial data and (2) no change in the Company’s internal control over financial reporting that has materially affected, or is reasonably likely to materially affect, the Company’s internal control over financial reporting.</w:t>
      </w:r>
    </w:p>
    <w:p>
      <w:pPr>
        <w:spacing w:after="0" w:line="192"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the Sarbanes-Oxley Act</w:t>
      </w:r>
      <w:r>
        <w:rPr>
          <w:rFonts w:ascii="Times New Roman" w:cs="Times New Roman" w:eastAsia="Times New Roman" w:hAnsi="Times New Roman"/>
          <w:sz w:val="18"/>
          <w:szCs w:val="18"/>
          <w:color w:val="auto"/>
        </w:rPr>
        <w:t>. The Company is in compliance in all material respects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To the Company’s knowledge, such internal controls over financial reporting are effective at a reasonable assurance level.</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13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All federal, state and other material tax returns required to be filed, and all federal, state and other material taxes required to be paid, by the Company, Clearway LLC and their subsidiaries pursuant to applicable law have been filed and paid, except for taxes required to be paid pursuant to assessments against which appeals have been or will be promptly taken and as to which adequate reserves have been provided in accordance with GAAP. The Company has made adequate charges, accruals and reserves in accordance with GAAP in the applicable financial statements referred to in Section 1(a)(ix)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 w:name="page14"/>
    <w:bookmarkEnd w:id="13"/>
    <w:p>
      <w:pPr>
        <w:jc w:val="both"/>
        <w:ind w:left="-20" w:firstLine="656"/>
        <w:spacing w:after="0" w:line="256" w:lineRule="auto"/>
        <w:tabs>
          <w:tab w:leader="none" w:pos="14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carry, or are entitled to the benefits of insurance, with financially sound 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4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Manipulation</w:t>
      </w:r>
      <w:r>
        <w:rPr>
          <w:rFonts w:ascii="Times New Roman" w:cs="Times New Roman" w:eastAsia="Times New Roman" w:hAnsi="Times New Roman"/>
          <w:sz w:val="18"/>
          <w:szCs w:val="18"/>
          <w:color w:val="auto"/>
        </w:rPr>
        <w:t>. Neither the Company nor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14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None of the following events has occurred or exists: (i) a failure to fulfill the obligations, if any, under the minimum funding standards of Section 302 of the United States Employee Retirement Income Security Act of 1974, as amended (“ERISA”),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Clearway LLC and their subsidiaries that could have a Material Adverse Effect; (iii) any breach of any contractual obligation, or any violation of law or applicable qualification standards, with respect to the employment or compensation of employees by any of the Company, Clearway LLC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Clearway LLC and their subsidiaries compared to the amount of such contributions made in the most recently completed fiscal year of any of the Company, Clearway LLC and their subsidiaries that could reasonably be expected to result in a Material Adverse Effect; (x) a material increase in the “accumulated post-retirement benefit obligations” (within the meaning of Statement of Financial Accounting Standards 106) of any of the Company, Clearway LLC and their subsidiaries compared to the amount of such obligations in the most recently completed fiscal year of any of the Company, Clearway LLC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Clearway LLC and their subsidiaries related to their employment that could have a Material Adverse Effect. For purposes of this paragraph, the term “Plan” means a plan (within the meaning of Section 3(3) of ERISA) subject to Title IV of ERISA with respect to which any of the Company, Clearway LLC and their subsidiaries may have any liability.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4" w:name="page15"/>
    <w:bookmarkEnd w:id="14"/>
    <w:p>
      <w:pPr>
        <w:jc w:val="both"/>
        <w:ind w:left="-8" w:firstLine="656"/>
        <w:spacing w:after="0" w:line="253" w:lineRule="auto"/>
        <w:tabs>
          <w:tab w:leader="none" w:pos="13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“FCPA”)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spacing w:after="0" w:line="192"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14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140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its subsidiaries or, to the knowledge of the Company, any director, officer, agent, employee,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89"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142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(A)(i) Except as would not, individually or in the aggregate, reasonably be expected to have a Material Adverse 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 (collectively, “IT Systems and Data”) and</w:t>
      </w:r>
    </w:p>
    <w:p>
      <w:pPr>
        <w:spacing w:after="0" w:line="3"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5" w:name="page16"/>
    <w:bookmarkEnd w:id="15"/>
    <w:p>
      <w:pPr>
        <w:jc w:val="both"/>
        <w:ind w:firstLine="656"/>
        <w:spacing w:after="0" w:line="261" w:lineRule="auto"/>
        <w:tabs>
          <w:tab w:leader="none" w:pos="13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Distributions</w:t>
      </w:r>
      <w:r>
        <w:rPr>
          <w:rFonts w:ascii="Times New Roman" w:cs="Times New Roman" w:eastAsia="Times New Roman" w:hAnsi="Times New Roman"/>
          <w:sz w:val="18"/>
          <w:szCs w:val="18"/>
          <w:color w:val="auto"/>
        </w:rPr>
        <w:t>. Except as described in the Registration Statement, the General Disclosure Package and the Prospectus, no subsidiary of the Company is currently prohibited in any material respect, directly or indirectly, from (A) paying any distributions to the Company or Clearway LLC or (B) (i) making any other distribution on such subsidiary’s equity interests, (ii) repaying to the Company any loans or advances to such subsidiary from the Company or (iii) transferring any of such subsidiary’s property or assets to the Company or any other subsidiary of the Company.</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Equity Awards</w:t>
      </w:r>
      <w:r>
        <w:rPr>
          <w:rFonts w:ascii="Times New Roman" w:cs="Times New Roman" w:eastAsia="Times New Roman" w:hAnsi="Times New Roman"/>
          <w:sz w:val="18"/>
          <w:szCs w:val="18"/>
          <w:color w:val="auto"/>
        </w:rPr>
        <w:t>. Except for grants disclosed in the Registration Statement, the General Disclosure Package and the Prospectus or the Section 16 filings related to the Company pursuant to the 1934 Act or otherwise granted pursuant to any employee benefit plans, qualified stock option plans, director compensation arrangements or the employee compensation plans of the Company and its subsidiaries, the Company has not granted to any person or entity, a stock option or other equity-based award to purchase or receive equity securities of the Company or Clearway LLC pursuant to an equity-based compensation plan or otherwise.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w:t>
      </w:r>
      <w:r>
        <w:rPr>
          <w:rFonts w:ascii="Times New Roman" w:cs="Times New Roman" w:eastAsia="Times New Roman" w:hAnsi="Times New Roman"/>
          <w:sz w:val="18"/>
          <w:szCs w:val="18"/>
          <w:color w:val="auto"/>
        </w:rPr>
        <w:t>. Except for the Underwriters’ discounts and commissions payable by the Company to the Underwriters in connection with the offering of the Securities contemplated herein or as otherwise disclosed in the General Disclosure Package and the Prospectus, the Company has not incurred any liability for any brokerage commission, finder’s fees or similar payments in connection with the offering of the Securities contemplated hereby.</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Relationships</w:t>
      </w:r>
      <w:r>
        <w:rPr>
          <w:rFonts w:ascii="Times New Roman" w:cs="Times New Roman" w:eastAsia="Times New Roman" w:hAnsi="Times New Roman"/>
          <w:sz w:val="18"/>
          <w:szCs w:val="18"/>
          <w:color w:val="auto"/>
        </w:rPr>
        <w:t>. No relationship, direct or indirect, exists between or among the Company or its subsidiaries, on the one hand, and the directors, officers or stockholders of the Company, on the other hand, which is required under the 1933 Act to be described in the Registration Statement, the General Disclosure Package or the Prospectus which is not so described. Except as disclosed in the Registration Statement, the General Disclosure Package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(xl)</w:t>
            </w:r>
          </w:p>
        </w:tc>
        <w:tc>
          <w:tcPr>
            <w:tcW w:w="100" w:type="dxa"/>
            <w:vAlign w:val="bottom"/>
          </w:tcPr>
          <w:p>
            <w:pPr>
              <w:spacing w:after="0"/>
              <w:rPr>
                <w:sz w:val="17"/>
                <w:szCs w:val="17"/>
                <w:color w:val="auto"/>
              </w:rPr>
            </w:pPr>
          </w:p>
        </w:tc>
        <w:tc>
          <w:tcPr>
            <w:tcW w:w="9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 Integration. Neither the Company nor Clearway LLC has sold or issued any securities that would be integrated with the offering of</w:t>
            </w:r>
          </w:p>
        </w:tc>
      </w:tr>
      <w:tr>
        <w:trPr>
          <w:trHeight w:val="20"/>
        </w:trPr>
        <w:tc>
          <w:tcPr>
            <w:tcW w:w="148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pursuant to the 1933 Act and the 1933 Act Regulations or the interpretations thereof by the Commission.</w:t>
            </w:r>
          </w:p>
        </w:tc>
      </w:tr>
      <w:tr>
        <w:trPr>
          <w:trHeight w:val="392"/>
        </w:trPr>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(xli)</w:t>
            </w:r>
          </w:p>
        </w:tc>
        <w:tc>
          <w:tcPr>
            <w:tcW w:w="10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Lending Relationship</w:t>
            </w:r>
            <w:r>
              <w:rPr>
                <w:rFonts w:ascii="Times New Roman" w:cs="Times New Roman" w:eastAsia="Times New Roman" w:hAnsi="Times New Roman"/>
                <w:sz w:val="18"/>
                <w:szCs w:val="18"/>
                <w:i w:val="1"/>
                <w:iCs w:val="1"/>
                <w:color w:val="auto"/>
                <w:w w:val="99"/>
              </w:rPr>
              <w:t>.</w:t>
            </w:r>
            <w:r>
              <w:rPr>
                <w:rFonts w:ascii="Times New Roman" w:cs="Times New Roman" w:eastAsia="Times New Roman" w:hAnsi="Times New Roman"/>
                <w:sz w:val="18"/>
                <w:szCs w:val="18"/>
                <w:color w:val="auto"/>
                <w:w w:val="99"/>
              </w:rPr>
              <w:t xml:space="preserve"> Except as disclosed in the Registration Statement, the General Disclosure Package and the Prospectus, the Company</w:t>
            </w:r>
          </w:p>
        </w:tc>
      </w:tr>
      <w:tr>
        <w:trPr>
          <w:trHeight w:val="20"/>
        </w:trPr>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9" w:lineRule="exact"/>
        <w:rPr>
          <w:sz w:val="20"/>
          <w:szCs w:val="20"/>
          <w:color w:val="auto"/>
        </w:rPr>
      </w:pPr>
    </w:p>
    <w:p>
      <w:pPr>
        <w:ind w:firstLine="8"/>
        <w:spacing w:after="0" w:line="282" w:lineRule="auto"/>
        <w:tabs>
          <w:tab w:leader="none" w:pos="2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material lending or other relationship with any bank or lending affiliate of the Underwriters and (ii) does not intend to use any of the proceeds from the sale of the Securities to repay any outstanding debt owed to any affiliate of any Underwriter.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or the Underwriters have obtained consent to the use of such data from such sources.</w:t>
      </w:r>
    </w:p>
    <w:p>
      <w:pPr>
        <w:spacing w:after="0" w:line="174" w:lineRule="exact"/>
        <w:rPr>
          <w:sz w:val="20"/>
          <w:szCs w:val="20"/>
          <w:color w:val="auto"/>
        </w:rPr>
      </w:pPr>
    </w:p>
    <w:p>
      <w:pPr>
        <w:jc w:val="both"/>
        <w:ind w:firstLine="656"/>
        <w:spacing w:after="0" w:line="267"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or any of its subsidiaries (including any entity that controls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delivered to the Underwriters or to counsel for the Underwriters shall be deemed a representation and warranty by the Company or such other entity, as applicable, to the Underwriters as to the matters covered thereby.</w:t>
      </w:r>
    </w:p>
    <w:p>
      <w:pPr>
        <w:spacing w:after="0" w:line="176"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Sale and Delivery to Underwriters; Closing</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7" w:lineRule="auto"/>
        <w:tabs>
          <w:tab w:leader="none" w:pos="13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 agrees to sell to the Underwriters, and the Underwriters agree to purchase from the Company, at the price per share of $18.50, that number of Securities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the Underwriters.</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5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purchase price for, and delivery of certificates for, the Securities shall be made at the offices of Latham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Watkins LLP, 885 Third Avenue, New York, New York, or at such other place as shall be agreed upon by the Underwriters and the Company, at 9:00 A.M. (New York City time) on the third business day after the date hereof, or such other time not later than ten business days after such date as shall be agreed upon by the Underwriters and the Company (such time and date of payment and delivery being herein called “Closing Time”).</w:t>
      </w:r>
    </w:p>
    <w:p>
      <w:pPr>
        <w:spacing w:after="0" w:line="18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Payment shall be made to the Company by wire transfer of immediately available funds to a bank account designated by the Company against delivery to the Underwriters of certificates for the Securities to be purchased by them.</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and Clearway LLC, jointly and severally, covenant with the Underwriters as follows:</w:t>
      </w:r>
    </w:p>
    <w:p>
      <w:pPr>
        <w:spacing w:after="0" w:line="223" w:lineRule="exact"/>
        <w:rPr>
          <w:sz w:val="20"/>
          <w:szCs w:val="20"/>
          <w:color w:val="auto"/>
        </w:rPr>
      </w:pPr>
    </w:p>
    <w:p>
      <w:pPr>
        <w:jc w:val="both"/>
        <w:ind w:firstLine="656"/>
        <w:spacing w:after="0" w:line="253" w:lineRule="auto"/>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 Section 3(b),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Rule 430B, and will notify the Underwriters promptly after receiving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use reasonable best efforts to prevent the issuance of any stop order, prevention or suspension and, if any such order is issued, to obtain the lifting thereof as soon as practicable.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ind w:left="-20" w:firstLine="656"/>
        <w:spacing w:after="0" w:line="252" w:lineRule="auto"/>
        <w:tabs>
          <w:tab w:leader="none" w:pos="14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comply with the 1933 Act, the 1933 Act Regulations, the 1934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Underwriters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Underwriters with copies of any such amendment or supplement and (C) file with the Commission any such amendment or supplement; provided that the Company shall not file or use any such amendment or supplement to which the Underwriters or counsel for the Underwriters shall reasonably object. The Company will furnish to the Underwriters such number of copies of such amendment or supplement as the Underwriters may reasonably request. The Company has given the Underwriters notice of any filings made pursuant to the 1934 Act or 1934 Act Regulations within 48 hours prior to the Applicable Time; the Company will give the Underwriters notice of its intention to make any such filing from the Applicable Time to the Closing Time and will furnish the Underwriters with copies of any such documents a reasonable amount of time prior to such proposed filing, as the case may be, and will not file or use any such document to which the Underwriters or counsel for the Underwriters shall reasonably object.</w:t>
      </w:r>
    </w:p>
    <w:p>
      <w:pPr>
        <w:spacing w:after="0" w:line="191" w:lineRule="exact"/>
        <w:rPr>
          <w:rFonts w:ascii="Times New Roman" w:cs="Times New Roman" w:eastAsia="Times New Roman" w:hAnsi="Times New Roman"/>
          <w:sz w:val="18"/>
          <w:szCs w:val="18"/>
          <w:color w:val="auto"/>
        </w:rPr>
      </w:pPr>
    </w:p>
    <w:p>
      <w:pPr>
        <w:jc w:val="both"/>
        <w:ind w:left="-20" w:firstLine="656"/>
        <w:spacing w:after="0" w:line="256" w:lineRule="auto"/>
        <w:tabs>
          <w:tab w:leader="none" w:pos="14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Registration Statements</w:t>
      </w:r>
      <w:r>
        <w:rPr>
          <w:rFonts w:ascii="Times New Roman" w:cs="Times New Roman" w:eastAsia="Times New Roman" w:hAnsi="Times New Roman"/>
          <w:sz w:val="18"/>
          <w:szCs w:val="18"/>
          <w:color w:val="auto"/>
        </w:rPr>
        <w:t>. The Company has furnished or will deliver to the Underwriters and counsel for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7"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has delivered to the Underwriters, without charge, as many copies of each preliminary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Underwriters reasonably requested, and the Company hereby consents to the use of such copies for purposes permitted by the 1933 Act. The Company will furnish to the Underwriters, without charge, during the period when a prospectus relating to the Securities is (or, but for the exception afforded by Rule 172, would be) required to be delivered under the 1933 Act, such number of copies of the Prospectus (as amended or supplemented) as the Underwriters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2" w:right="239" w:bottom="1440" w:gutter="0" w:footer="0" w:header="0"/>
        </w:sectPr>
      </w:pPr>
    </w:p>
    <w:bookmarkStart w:id="18" w:name="page19"/>
    <w:bookmarkEnd w:id="18"/>
    <w:p>
      <w:pPr>
        <w:jc w:val="both"/>
        <w:ind w:left="-20" w:firstLine="656"/>
        <w:spacing w:after="0" w:line="259" w:lineRule="auto"/>
        <w:tabs>
          <w:tab w:leader="none" w:pos="13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best efforts, in cooperation with the Underwriters, to qualify the Securities for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sale under the applicable securities laws of such states and other jurisdictions (domestic or foreign) as the Underwriters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67" w:lineRule="auto"/>
        <w:tabs>
          <w:tab w:leader="none" w:pos="140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timely file such reports pursuant to the 1934 Act as are necessary in order to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73" w:lineRule="exact"/>
        <w:rPr>
          <w:rFonts w:ascii="Times New Roman" w:cs="Times New Roman" w:eastAsia="Times New Roman" w:hAnsi="Times New Roman"/>
          <w:sz w:val="18"/>
          <w:szCs w:val="18"/>
          <w:color w:val="auto"/>
        </w:rPr>
      </w:pPr>
    </w:p>
    <w:p>
      <w:pPr>
        <w:ind w:left="-20" w:firstLine="656"/>
        <w:spacing w:after="0" w:line="284" w:lineRule="auto"/>
        <w:tabs>
          <w:tab w:leader="none" w:pos="13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and Clearway LLC will use the net proceeds received by them from the sale of the Securities in the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Registration Statement, the General Disclosure Package and the Prospectus under “Use of Proceeds.”</w:t>
      </w:r>
    </w:p>
    <w:p>
      <w:pPr>
        <w:spacing w:after="0" w:line="158" w:lineRule="exact"/>
        <w:rPr>
          <w:rFonts w:ascii="Times New Roman" w:cs="Times New Roman" w:eastAsia="Times New Roman" w:hAnsi="Times New Roman"/>
          <w:sz w:val="18"/>
          <w:szCs w:val="18"/>
          <w:color w:val="auto"/>
        </w:rPr>
      </w:pPr>
    </w:p>
    <w:p>
      <w:pPr>
        <w:ind w:left="-20" w:firstLine="656"/>
        <w:spacing w:after="0" w:line="284" w:lineRule="auto"/>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reasonable best efforts to effect and maintain the listing of the Common Stock (including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New York Stock Exchange.</w:t>
      </w:r>
    </w:p>
    <w:p>
      <w:pPr>
        <w:spacing w:after="0" w:line="158"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14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a period of 30 days from the date of the Prospectus, the Company and Clearway LLC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prior written consent of the Underwriters,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including without limitation LLC Units,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Registration Statement or the Securities to be sold hereunder, (B) any shares of common stock issued by the Company upon the exercise of an option or warrant or the conversion of a security outstanding on the date hereof and referred to in the Registration Statement, the General Disclosure Package and the Prospectus, (C) any shares of common stock issued or options to purchase common stock granted pursuant to employee benefit plans of the Company referred to in the Registration Statement, the General Disclosure Package and the Prospectus (including the filing of a registration statement on Form S-8 relating to such employee benefit plans of the Company referred to in the General Disclosure Package and the Prospectus) and (D) any units (including any LLC Units) issued by Clearway LLC.</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(or, but for the exception afforded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Shares as may be required under Rule 463 under the 1933 Act.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2" w:right="239" w:bottom="1440" w:gutter="0" w:footer="0" w:header="0"/>
        </w:sectPr>
      </w:pPr>
    </w:p>
    <w:bookmarkStart w:id="19" w:name="page20"/>
    <w:bookmarkEnd w:id="19"/>
    <w:p>
      <w:pPr>
        <w:jc w:val="both"/>
        <w:ind w:firstLine="656"/>
        <w:spacing w:after="0" w:line="253" w:lineRule="auto"/>
        <w:tabs>
          <w:tab w:leader="none" w:pos="15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agrees that, unless it obtains the prior written consent of the Underwriters,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Underwriters agree that, unless they obtain the prior consent of the Company, it will not make any offer relating to the Securities that would constitute an Issuer Free Writing Prospectus or that would otherwise constitute a “free writing prospectus,” or a portion thereof, required to be filed by the Company with the Commission or retained by the Company or the Underwriters, as applicable, under Rule 433; provided that the Underwriters will be deemed to have consented to the Issuer Free Writing Prospectuses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and any “road show that is a written communication” within the meaning of Rule 433(d)(8)(i) that has been reviewed by the Underwriters.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186" w:lineRule="exact"/>
        <w:rPr>
          <w:rFonts w:ascii="Times New Roman" w:cs="Times New Roman" w:eastAsia="Times New Roman" w:hAnsi="Times New Roman"/>
          <w:sz w:val="18"/>
          <w:szCs w:val="18"/>
          <w:color w:val="auto"/>
        </w:rPr>
      </w:pPr>
    </w:p>
    <w:p>
      <w:pPr>
        <w:jc w:val="both"/>
        <w:ind w:firstLine="656"/>
        <w:spacing w:after="0" w:line="267" w:lineRule="auto"/>
        <w:tabs>
          <w:tab w:leader="none" w:pos="143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Except as contemplated herein or in the General Disclosure Package and the Prospectus, each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Clearway LLC will not take, directly or indirectly, any action designed to or that would constitute or that might reasonably be expected to cause or result in, stabilization or manipulation of the price of any securities of the Company to facilitate the sale or resale of the Securities.</w:t>
      </w:r>
    </w:p>
    <w:p>
      <w:pPr>
        <w:spacing w:after="0" w:line="173"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w:t>
      </w:r>
      <w:r>
        <w:rPr>
          <w:rFonts w:ascii="Times New Roman" w:cs="Times New Roman" w:eastAsia="Times New Roman" w:hAnsi="Times New Roman"/>
          <w:sz w:val="18"/>
          <w:szCs w:val="18"/>
          <w:color w:val="auto"/>
        </w:rPr>
        <w:t>. The Company will comply in all material respects with all applicable provisions of the Sarbanes-Oxley Act that are in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53" w:lineRule="auto"/>
        <w:tabs>
          <w:tab w:leader="none" w:pos="147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will pay or cause to be paid all expenses incident to the performance of its obligations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and the initial resale and delivery thereof by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not to exceed $15,000 in connection therewith and in connection with the preparation of the Blue Sky Survey and any supplement thereto,</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any transfer agent or registrar for the Securities, (vii) the filing fees incident to, and the reasonable fees and disbursements of counsel to the Underwriters not to exceed $30,000 in connection with, the review by FINRA of the terms of the sale of the Securities, (viii) the fees and expenses incurred in connection with the listing of the Securities on the New York Stock Exchange and (ix) all other cost and expenses incident to the performance of the obligations of the Company hereunder for which provision is not otherwise made in this Section. It is understood, however, that except as provided in this Section 4, the Underwriters will pay all of their costs and expenses, including fees and disbursements of their counsel and any advertising expenses connected with any offers they may make.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0" w:name="page21"/>
    <w:bookmarkEnd w:id="20"/>
    <w:p>
      <w:pPr>
        <w:ind w:left="1360" w:hanging="704"/>
        <w:spacing w:after="0"/>
        <w:tabs>
          <w:tab w:leader="none" w:pos="13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Agreement</w:t>
      </w:r>
      <w:r>
        <w:rPr>
          <w:rFonts w:ascii="Times New Roman" w:cs="Times New Roman" w:eastAsia="Times New Roman" w:hAnsi="Times New Roman"/>
          <w:sz w:val="17"/>
          <w:szCs w:val="17"/>
          <w:color w:val="auto"/>
        </w:rPr>
        <w:t>. If this Agreement is terminated by the Underwriters in accordance with the provisions of Section 5, Section 9(a)</w:t>
      </w:r>
    </w:p>
    <w:p>
      <w:pPr>
        <w:spacing w:after="0" w:line="40" w:lineRule="exact"/>
        <w:rPr>
          <w:rFonts w:ascii="Times New Roman" w:cs="Times New Roman" w:eastAsia="Times New Roman" w:hAnsi="Times New Roman"/>
          <w:sz w:val="17"/>
          <w:szCs w:val="17"/>
          <w:color w:val="auto"/>
        </w:rPr>
      </w:pPr>
    </w:p>
    <w:p>
      <w:pPr>
        <w:ind w:firstLine="8"/>
        <w:spacing w:after="0" w:line="261" w:lineRule="auto"/>
        <w:tabs>
          <w:tab w:leader="none" w:pos="2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hereof, the Company shall reimburse the Underwriters for all of their reasonable and documented out-of-pocket expenses, including the fees and disbursements of counsel for the Underwriters.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Underwriters hereunder are subject to the accuracy of the representations and warranties of the Company and Clearway LLC contained in Section 1 herein or in certificates of any officer of the Company or any of its subsidiaries delivered pursuant to the provisions hereof, to the performance by the Company and Clearway LLC in all material respects of their respective covenants and other obligations hereunder, and to the following further conditions:</w:t>
      </w:r>
    </w:p>
    <w:p>
      <w:pPr>
        <w:spacing w:after="0" w:line="178" w:lineRule="exact"/>
        <w:rPr>
          <w:sz w:val="20"/>
          <w:szCs w:val="20"/>
          <w:color w:val="auto"/>
        </w:rPr>
      </w:pPr>
    </w:p>
    <w:p>
      <w:pPr>
        <w:jc w:val="both"/>
        <w:ind w:firstLine="656"/>
        <w:spacing w:after="0" w:line="255" w:lineRule="auto"/>
        <w:tabs>
          <w:tab w:leader="none" w:pos="14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At the Closing Time, no stop order suspending the effectiveness of the Registration Statement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threatened by the Commission; and the Company has complied with, to the reasonable satisfaction of the counsel to the Underwriters,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85" w:lineRule="exact"/>
        <w:rPr>
          <w:rFonts w:ascii="Times New Roman" w:cs="Times New Roman" w:eastAsia="Times New Roman" w:hAnsi="Times New Roman"/>
          <w:sz w:val="18"/>
          <w:szCs w:val="18"/>
          <w:color w:val="auto"/>
        </w:rPr>
      </w:pPr>
    </w:p>
    <w:p>
      <w:pPr>
        <w:ind w:firstLine="656"/>
        <w:spacing w:after="0" w:line="284" w:lineRule="auto"/>
        <w:tabs>
          <w:tab w:leader="none" w:pos="1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 and Clearway LLC</w:t>
      </w:r>
      <w:r>
        <w:rPr>
          <w:rFonts w:ascii="Times New Roman" w:cs="Times New Roman" w:eastAsia="Times New Roman" w:hAnsi="Times New Roman"/>
          <w:sz w:val="18"/>
          <w:szCs w:val="18"/>
          <w:color w:val="auto"/>
        </w:rPr>
        <w:t>. At the Closing Time, the Underwriters shall have received the opinion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assurance letter, dated the Closing Time, of Baker Botts L.L.P., counsel for the Company and Clearway LLC, each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Federal Regulatory Counsel for Company and Clearway LLC</w:t>
      </w:r>
      <w:r>
        <w:rPr>
          <w:rFonts w:ascii="Times New Roman" w:cs="Times New Roman" w:eastAsia="Times New Roman" w:hAnsi="Times New Roman"/>
          <w:sz w:val="18"/>
          <w:szCs w:val="18"/>
          <w:color w:val="auto"/>
        </w:rPr>
        <w:t>. At the Closing Time, the Underwriters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opinion, dated the Closing Time, of King &amp; Spalding LLP, federal regulatory counsel for the Company and Clearway LLC,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140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At the Closing Time, the Underwriters shall have received the favorable opinion, dated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Latham &amp; Watkins LLP, counsel for the Underwriters.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Underwriters.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13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Changes</w:t>
      </w:r>
      <w:r>
        <w:rPr>
          <w:rFonts w:ascii="Times New Roman" w:cs="Times New Roman" w:eastAsia="Times New Roman" w:hAnsi="Times New Roman"/>
          <w:sz w:val="18"/>
          <w:szCs w:val="18"/>
          <w:color w:val="auto"/>
        </w:rPr>
        <w:t>. Subsequent to the execution and delivery of this Agreement and prior to the Closing Time, there shall not have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change, or any development involving a prospective change, in the condition, financial or otherwise, or in the earnings, business or operations of the Company and its subsidiaries, considered as one enterprise, from that set forth in the Registration Statement, the General Disclosure Package and the Prospectus that, in the judgment of the Underwriters, is material and adverse and makes it, in the judgment of the Underwriters, impracticable or inadvisable to proceed with the offer, sale and delivery of the Securities on the terms and in the manner contemplated in this Agreement and the Prospectus.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1" w:name="page22"/>
    <w:bookmarkEnd w:id="21"/>
    <w:p>
      <w:pPr>
        <w:jc w:val="both"/>
        <w:ind w:left="-20" w:firstLine="656"/>
        <w:spacing w:after="0" w:line="255" w:lineRule="auto"/>
        <w:tabs>
          <w:tab w:leader="none" w:pos="15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Underwriters shall have received a certificate of an executive officer of the Company, in the capacity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only, and of the chief financial or chief accounting officer of the Company, in their respective capacities as officers only, dated the Closing Time, to the effect that (i) the representations and warranties of the Company in this Agreement that are not qualified by materiality are true and correct in all material respects and that the representations and warranties of the Company contained in this Agreement that are qualified by materiality are true and correct in all respects, in each case, as of the Closing Time, (ii) the Company and Clearway LLC have complied in all material respects with all agreements and satisfied all conditions on its part to be performed or satisfied at or prior to the Closing Time and (iii)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threatened by the Commission.</w:t>
      </w:r>
    </w:p>
    <w:p>
      <w:pPr>
        <w:spacing w:after="0" w:line="18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4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Underwriters shall have received from KPMG LLP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dated such date, in form and substance satisfactory to the Underwriters,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67" w:lineRule="auto"/>
        <w:tabs>
          <w:tab w:leader="none" w:pos="13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At the Closing Time, the Underwriters shall have received from KPMG LLP a letter, dated as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173" w:lineRule="exact"/>
        <w:rPr>
          <w:rFonts w:ascii="Times New Roman" w:cs="Times New Roman" w:eastAsia="Times New Roman" w:hAnsi="Times New Roman"/>
          <w:sz w:val="18"/>
          <w:szCs w:val="18"/>
          <w:color w:val="auto"/>
        </w:rPr>
      </w:pPr>
    </w:p>
    <w:p>
      <w:pPr>
        <w:ind w:left="-20" w:right="20" w:firstLine="656"/>
        <w:spacing w:after="0" w:line="284" w:lineRule="auto"/>
        <w:tabs>
          <w:tab w:leader="none" w:pos="1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Securities shall have been approved for listing on the New York Stock Exchange,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to official notice of issuance.</w:t>
      </w:r>
    </w:p>
    <w:p>
      <w:pPr>
        <w:spacing w:after="0" w:line="158" w:lineRule="exact"/>
        <w:rPr>
          <w:rFonts w:ascii="Times New Roman" w:cs="Times New Roman" w:eastAsia="Times New Roman" w:hAnsi="Times New Roman"/>
          <w:sz w:val="18"/>
          <w:szCs w:val="18"/>
          <w:color w:val="auto"/>
        </w:rPr>
      </w:pPr>
    </w:p>
    <w:p>
      <w:pPr>
        <w:ind w:left="-20" w:firstLine="656"/>
        <w:spacing w:after="0" w:line="284" w:lineRule="auto"/>
        <w:tabs>
          <w:tab w:leader="none" w:pos="13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FINRA has confirmed that it has not raised any objection with respect to the fairness and reasonableness of the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arrangements relating to the offering of the Securities.</w:t>
      </w:r>
    </w:p>
    <w:p>
      <w:pPr>
        <w:spacing w:after="0" w:line="158" w:lineRule="exact"/>
        <w:rPr>
          <w:rFonts w:ascii="Times New Roman" w:cs="Times New Roman" w:eastAsia="Times New Roman" w:hAnsi="Times New Roman"/>
          <w:sz w:val="18"/>
          <w:szCs w:val="18"/>
          <w:color w:val="auto"/>
        </w:rPr>
      </w:pPr>
    </w:p>
    <w:p>
      <w:pPr>
        <w:ind w:left="-20" w:firstLine="656"/>
        <w:spacing w:after="0" w:line="284" w:lineRule="auto"/>
        <w:tabs>
          <w:tab w:leader="none" w:pos="15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Underwriters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signed by the persons listed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w:t>
      </w:r>
    </w:p>
    <w:p>
      <w:pPr>
        <w:spacing w:after="0" w:line="158" w:lineRule="exact"/>
        <w:rPr>
          <w:rFonts w:ascii="Times New Roman" w:cs="Times New Roman" w:eastAsia="Times New Roman" w:hAnsi="Times New Roman"/>
          <w:sz w:val="18"/>
          <w:szCs w:val="18"/>
          <w:color w:val="auto"/>
        </w:rPr>
      </w:pPr>
    </w:p>
    <w:p>
      <w:pPr>
        <w:jc w:val="both"/>
        <w:ind w:left="-20" w:right="20" w:firstLine="656"/>
        <w:spacing w:after="0" w:line="261" w:lineRule="auto"/>
        <w:tabs>
          <w:tab w:leader="none" w:pos="13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Rating</w:t>
      </w:r>
      <w:r>
        <w:rPr>
          <w:rFonts w:ascii="Times New Roman" w:cs="Times New Roman" w:eastAsia="Times New Roman" w:hAnsi="Times New Roman"/>
          <w:sz w:val="18"/>
          <w:szCs w:val="18"/>
          <w:color w:val="auto"/>
        </w:rPr>
        <w:t>. Since the execution of this Agreement, there shall not have been any decrease in or withdrawal of the rating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the Company, Clearway LLC or any of its subsidiaries by any “nationally recognized statistical rating organization” (as defined for purposes of Rule 436(g) under the 1933 Act) or any notice given of any intended or potential decrease in or withdrawal of any such rating or of a possible change in any such rating that does not indicate the direction of the possible change.</w:t>
      </w:r>
    </w:p>
    <w:p>
      <w:pPr>
        <w:spacing w:after="0" w:line="180" w:lineRule="exact"/>
        <w:rPr>
          <w:rFonts w:ascii="Times New Roman" w:cs="Times New Roman" w:eastAsia="Times New Roman" w:hAnsi="Times New Roman"/>
          <w:sz w:val="18"/>
          <w:szCs w:val="18"/>
          <w:color w:val="auto"/>
        </w:rPr>
      </w:pPr>
    </w:p>
    <w:p>
      <w:pPr>
        <w:jc w:val="both"/>
        <w:ind w:left="-20" w:firstLine="656"/>
        <w:spacing w:after="0" w:line="259" w:lineRule="auto"/>
        <w:tabs>
          <w:tab w:leader="none" w:pos="14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At the Closing Time and at each Date of Delivery (if any) counsel for the Underwriters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Underwriters and counsel for the Underwriters.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2" w:right="239" w:bottom="1440" w:gutter="0" w:footer="0" w:header="0"/>
        </w:sectPr>
      </w:pPr>
    </w:p>
    <w:bookmarkStart w:id="22" w:name="page23"/>
    <w:bookmarkEnd w:id="22"/>
    <w:p>
      <w:pPr>
        <w:jc w:val="both"/>
        <w:ind w:firstLine="656"/>
        <w:spacing w:after="0" w:line="261" w:lineRule="auto"/>
        <w:tabs>
          <w:tab w:leader="none" w:pos="14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If any condition specified in this Section shall not have been fulfilled when and as required to be fulfilled,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may be terminated by the Underwriters by notice to the Company at any time at or prior to Closing Time or such Date of Delivery, as the case may be, and such termination shall be without liability of any party to any other party except as provided in Section 4 and except that Sections 1, 6, 7, 8, 14, 15 and 16 shall survive any such termination and remain in full force and effect.</w:t>
      </w:r>
    </w:p>
    <w:p>
      <w:pPr>
        <w:spacing w:after="0" w:line="18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56"/>
        <w:spacing w:after="0" w:line="267" w:lineRule="auto"/>
        <w:tabs>
          <w:tab w:leader="none" w:pos="15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w:t>
      </w:r>
      <w:r>
        <w:rPr>
          <w:rFonts w:ascii="Times New Roman" w:cs="Times New Roman" w:eastAsia="Times New Roman" w:hAnsi="Times New Roman"/>
          <w:sz w:val="18"/>
          <w:szCs w:val="18"/>
          <w:color w:val="auto"/>
        </w:rPr>
        <w:t>. The Company and Clearway LLC, jointly and severally, agree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its affiliates (as such term is defined in Rule 501(b) under the 1933 Act (each, an “Affiliate”)), its selling agents and each person, if any, who controls the Underwriters within the meaning of Section 15 of the 1933 Act or Section 20 of the 1934 Act as follows:</w:t>
      </w:r>
    </w:p>
    <w:p>
      <w:pPr>
        <w:spacing w:after="0" w:line="175"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83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Stock (“Marketing Materials”) not constituting an Issuer Free Writing Prospectus, including any “roadshow” (as defined in Rule 433 under the 1933 Act) or investor presentations made to investors by the Company (whether in person or electronically),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spacing w:after="0" w:line="18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9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fees and disbursements of counsel chosen by the Underwriters in accordance with paragraph (c) below),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any preliminary prospectus, any Issuer Free Writing Prospectus, the Prospectus (or any amendment or supplement thereto) or any Marketing Materials in reliance upon and in conformity with the Underwriter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3" w:name="page24"/>
    <w:bookmarkEnd w:id="23"/>
    <w:p>
      <w:pPr>
        <w:jc w:val="both"/>
        <w:ind w:firstLine="656"/>
        <w:spacing w:after="0" w:line="256" w:lineRule="auto"/>
        <w:tabs>
          <w:tab w:leader="none" w:pos="13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and Officers</w:t>
      </w:r>
      <w:r>
        <w:rPr>
          <w:rFonts w:ascii="Times New Roman" w:cs="Times New Roman" w:eastAsia="Times New Roman" w:hAnsi="Times New Roman"/>
          <w:sz w:val="18"/>
          <w:szCs w:val="18"/>
          <w:color w:val="auto"/>
        </w:rPr>
        <w:t>. The Underwriters agree to indemnify and hold harmless the Company and Clearway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and their directors or managers and each officer of the Company who signed the Registration Statement, and each person, if any, who controls the Company or Clearway LLC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any Issuer Free Writing Prospectus, the Prospectus (or any amendment or supplement thereto) or any Marketing Materials in reliance upon and in conformity with the Underwriter Information.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3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Underwriters,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Clearway LLC,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Clearway LLC, on the one hand, and of the Underwriters, on the other hand, in connection with the statements or omissions, which resulted in such losses, liabilities, claims, damages or expenses, as well as any other relevant equitable considerations.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and Clearway LLC,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Clearway LLC, on the one hand, and the total underwriting discounts and commissions received by the Underwriters, on the other hand, in each case as set forth on the cover of the Prospectus, bear to the aggregate public offering price of the Securities as set forth on the cover of the Prospectus.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or Clearway LLC,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Clearway LLC or by the Underwriters and the parties’ relative intent, knowledge, access to information and opportunity to correct or prevent such statement or omission.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Clearway LLC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this Section 7, the Underwriters shall not be required to contribute any amount in excess of the underwriting commissions received by the Underwriters in connection with the Securities underwritten by it and distributed to the public.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Section 7, each person, if any, who controls the Underwriters within the meaning of Section 15 of the 1933 Act or Section 20 of the 1934 Act and the Underwriters’ Affiliates and selling agents shall have the same rights to contribution as such Underwriter, and each director of the Company, each officer of the Company who signed the Registration Statement, and each person, if any, who controls the Company or Clearway LLC within the meaning of Section 15 of the 1933 Act or Section 20 of the 1934 Act, shall have the same rights to contribution as the Company or Clearway LLC. The Underwriters’ respective obligations to contribute pursuant to this Section 7 are several in proportion to the number of Securities set forth opposite their respective names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not joint.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the Underwriters or its Affiliates or selling agents, any person controlling any Underwriter, its officers or directors or any person controlling the Company or any person controlling Clearway LLC and (ii) delivery of and payment for the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Termination of Agreement</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656"/>
        <w:spacing w:after="0" w:line="252" w:lineRule="auto"/>
        <w:tabs>
          <w:tab w:leader="none" w:pos="138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to the Company, at any time at or prior to the Closing Time (i)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has been, in the judgment of the Underwriters,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operations or prospects as described in or contemplated by the Registration Statement, the General Disclosure Package and the Prospectus, whether or not arising from transactions in the ordinary course of business, of the Company and its subsidiaries, considered as one entity, except as set forth in the Prospectus,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Underwriters, impracticable or inadvisable to proceed with the completion of the offering or to enforce contracts for the sale of the Securities, or (iii) if trading in any securities of the Company has been suspended or materially limited by the Commission or the New York Stock Exchange,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w:t>
      </w:r>
    </w:p>
    <w:p>
      <w:pPr>
        <w:spacing w:after="0" w:line="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banking moratorium has been declared by either Federal or New York authorities.</w:t>
      </w:r>
    </w:p>
    <w:p>
      <w:pPr>
        <w:spacing w:after="0" w:line="204" w:lineRule="exact"/>
        <w:rPr>
          <w:rFonts w:ascii="Times New Roman" w:cs="Times New Roman" w:eastAsia="Times New Roman" w:hAnsi="Times New Roman"/>
          <w:sz w:val="18"/>
          <w:szCs w:val="18"/>
          <w:color w:val="auto"/>
        </w:rPr>
      </w:pPr>
    </w:p>
    <w:p>
      <w:pPr>
        <w:jc w:val="both"/>
        <w:ind w:firstLine="656"/>
        <w:spacing w:after="0" w:line="267" w:lineRule="auto"/>
        <w:tabs>
          <w:tab w:leader="none" w:pos="146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except as provided in Section 4 hereof, and provided further that Sections 1, 6, 7, 8, 13, 14 and 15 shall survive such termination and remain in full force and effect.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All notices and other communications hereunder shall be in writing and shall be deemed to have been duly given if mailed or transmitted by any standard form of telecommunication. Notices to the Underwriters shall be directed to RBC Capital Markets, LLC, 200 Vesey Street, New York, New York 10281, attention: Equity Syndicate, with a copy to Latham &amp; Watkins LLP, 885 Third Avenue, New York, New York 10022, attention to Keith Halverstam, and notices to the Company and Clearway LLC shall be directed to them at c/o Clearway Energy, Inc., 300 Carnegie Center, Suite 300, Princeton, New Jersey, 08540, attention of General Counsel, with a copy to Baker Botts L.L.P., 2001 Ross Avenue, Suite 900, Dallas, Texas 75201, attention to Preston Bernhisel.</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and Clearway LLC acknowledge and agree that (a) the purchase and sale of the Securities pursuant to this Agreement, including the determination of the public offering price of the Securities and any related discounts and commissions, is an arm’s-length commercial transaction between the Company and Clearway LLC, on the one hand, and the several Underwriters, on the other hand, (b) in connection with the offering of the Securities contemplated hereby and the process leading thereto, the Underwriters are and have been acting solely as a principal and is not the agent or fiduciary of the Company, any of its subsidiaries or their respective stockholders, creditors, employees or any other party, (c) the Underwriters have not assumed nor will they assume an advisory or fiduciary responsibility in favor of the Company and Clearway LLC with respect to the offering of the Securities contemplated hereby or the process leading thereto (irrespective of whether the Underwriters have advised or are currently advising the Company and Clearway LLC or any of their subsidiaries on other matters) and the Underwriters have no obligation to the Company and Clearway LLC with respect to the offering of the Securities contemplated hereby except the obligations expressly set forth in this Agreement,</w:t>
      </w:r>
    </w:p>
    <w:p>
      <w:pPr>
        <w:spacing w:after="0" w:line="7" w:lineRule="exact"/>
        <w:rPr>
          <w:sz w:val="20"/>
          <w:szCs w:val="20"/>
          <w:color w:val="auto"/>
        </w:rPr>
      </w:pPr>
    </w:p>
    <w:p>
      <w:pPr>
        <w:jc w:val="both"/>
        <w:ind w:firstLine="8"/>
        <w:spacing w:after="0" w:line="254" w:lineRule="auto"/>
        <w:tabs>
          <w:tab w:leader="none" w:pos="2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and their respective affiliates may be engaged in a broad range of transactions that involve interests that differ from those of the Company and Clearway LLC and (e) the Underwriters have not provided any legal, accounting, regulatory or tax advice with respect to the offering of the Securities contemplated hereby and the Company and Clearway LLC have consulted their own respective legal, accounting, regulatory and tax advisors to the extent it deemed appropriate.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This Agreement shall each inure to the benefit of and be binding upon the Underwriters, the Company and Clearway LLC and their respective successors. Nothing expressed or mentioned in this Agreement is intended or shall be construed to give any person, firm or corporation, other than the Underwriters, the Company and Clearway LLC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Clearway LLC and their respective successors, and said controlling persons and officers and directors and their heirs and legal representatives, and for the benefit of no other person, firm or corporation. No purchaser of Securities from the Underwriters shall be deemed to be a successor by reason merely of such purchase.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and Clearway LLC (on their behalf and, to the extent permitted by applicable law, on behalf of their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8"/>
          <w:szCs w:val="18"/>
          <w:u w:val="single" w:color="auto"/>
          <w:color w:val="auto"/>
        </w:rPr>
        <w:t>Recognition of the U.S. Special Resolution Regimes.</w:t>
      </w:r>
    </w:p>
    <w:p>
      <w:pPr>
        <w:spacing w:after="0" w:line="225" w:lineRule="exact"/>
        <w:rPr>
          <w:sz w:val="20"/>
          <w:szCs w:val="20"/>
          <w:color w:val="auto"/>
        </w:rPr>
      </w:pPr>
    </w:p>
    <w:p>
      <w:pPr>
        <w:jc w:val="both"/>
        <w:ind w:firstLine="1305"/>
        <w:spacing w:after="0" w:line="261" w:lineRule="auto"/>
        <w:tabs>
          <w:tab w:leader="none" w:pos="2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21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2660" w:hanging="707"/>
        <w:spacing w:after="0"/>
        <w:tabs>
          <w:tab w:leader="none" w:pos="2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660" w:hanging="707"/>
        <w:spacing w:after="0"/>
        <w:tabs>
          <w:tab w:leader="none" w:pos="2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660" w:hanging="707"/>
        <w:spacing w:after="0"/>
        <w:tabs>
          <w:tab w:leader="none" w:pos="2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the Company and Clearway LLC in accordance with its terms.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CONFIRMED AND ACCEPTED,</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 Michael Ventura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 Michael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39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 Equity Capital Markets</w:t>
      </w:r>
    </w:p>
    <w:p>
      <w:pPr>
        <w:spacing w:after="0" w:line="200" w:lineRule="exact"/>
        <w:rPr>
          <w:sz w:val="20"/>
          <w:szCs w:val="20"/>
          <w:color w:val="auto"/>
        </w:rPr>
      </w:pPr>
    </w:p>
    <w:p>
      <w:pPr>
        <w:spacing w:after="0" w:line="22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4"/>
          </w:tcPr>
          <w:p>
            <w:pPr>
              <w:jc w:val="center"/>
              <w:ind w:right="3560"/>
              <w:spacing w:after="0"/>
              <w:rPr>
                <w:sz w:val="20"/>
                <w:szCs w:val="20"/>
                <w:color w:val="auto"/>
              </w:rPr>
            </w:pPr>
            <w:r>
              <w:rPr>
                <w:rFonts w:ascii="Times New Roman" w:cs="Times New Roman" w:eastAsia="Times New Roman" w:hAnsi="Times New Roman"/>
                <w:sz w:val="18"/>
                <w:szCs w:val="18"/>
                <w:color w:val="auto"/>
              </w:rPr>
              <w:t>SCHEDULE A</w:t>
            </w:r>
          </w:p>
        </w:tc>
      </w:tr>
      <w:tr>
        <w:trPr>
          <w:trHeight w:val="414"/>
        </w:trPr>
        <w:tc>
          <w:tcPr>
            <w:tcW w:w="35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Securities to be</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Underwriter</w:t>
            </w:r>
          </w:p>
        </w:tc>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6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58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3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6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5,405,405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58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gridSpan w:val="4"/>
          </w:tcPr>
          <w:p>
            <w:pPr>
              <w:jc w:val="center"/>
              <w:ind w:right="3560"/>
              <w:spacing w:after="0"/>
              <w:rPr>
                <w:sz w:val="20"/>
                <w:szCs w:val="20"/>
                <w:color w:val="auto"/>
              </w:rPr>
            </w:pPr>
            <w:r>
              <w:rPr>
                <w:rFonts w:ascii="Times New Roman" w:cs="Times New Roman" w:eastAsia="Times New Roman" w:hAnsi="Times New Roman"/>
                <w:sz w:val="18"/>
                <w:szCs w:val="18"/>
                <w:color w:val="auto"/>
                <w:w w:val="98"/>
              </w:rPr>
              <w:t>Sch A</w:t>
            </w:r>
          </w:p>
        </w:tc>
      </w:tr>
    </w:tbl>
    <w:p>
      <w:pPr>
        <w:sectPr>
          <w:pgSz w:w="11900" w:h="16838" w:orient="portrait"/>
          <w:cols w:equalWidth="0" w:num="1">
            <w:col w:w="11420"/>
          </w:cols>
          <w:pgMar w:left="240" w:top="904" w:right="239" w:bottom="1440" w:gutter="0" w:footer="0" w:header="0"/>
        </w:sectPr>
      </w:pPr>
    </w:p>
    <w:bookmarkStart w:id="31" w:name="page32"/>
    <w:bookmarkEnd w:id="31"/>
    <w:p>
      <w:pPr>
        <w:jc w:val="right"/>
        <w:ind w:right="3959"/>
        <w:spacing w:after="0"/>
        <w:rPr>
          <w:sz w:val="20"/>
          <w:szCs w:val="20"/>
          <w:color w:val="auto"/>
        </w:rPr>
      </w:pPr>
      <w:r>
        <w:rPr>
          <w:rFonts w:ascii="Times New Roman" w:cs="Times New Roman" w:eastAsia="Times New Roman" w:hAnsi="Times New Roman"/>
          <w:sz w:val="18"/>
          <w:szCs w:val="18"/>
          <w:color w:val="auto"/>
        </w:rPr>
        <w:t>SCHEDULE B</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Pricing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to the public is $18.70.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Sch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SCHEDULE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Free Writing Prospectuses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 w:name="page34"/>
    <w:bookmarkEnd w:id="33"/>
    <w:p>
      <w:pPr>
        <w:jc w:val="center"/>
        <w:ind w:right="-1220"/>
        <w:spacing w:after="0"/>
        <w:rPr>
          <w:sz w:val="20"/>
          <w:szCs w:val="20"/>
          <w:color w:val="auto"/>
        </w:rPr>
      </w:pPr>
      <w:r>
        <w:rPr>
          <w:rFonts w:ascii="Times New Roman" w:cs="Times New Roman" w:eastAsia="Times New Roman" w:hAnsi="Times New Roman"/>
          <w:sz w:val="18"/>
          <w:szCs w:val="18"/>
          <w:color w:val="auto"/>
        </w:rPr>
        <w:t>SCHEDULE D</w:t>
      </w:r>
    </w:p>
    <w:p>
      <w:pPr>
        <w:spacing w:after="0" w:line="225"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u w:val="single" w:color="auto"/>
          <w:color w:val="auto"/>
        </w:rPr>
        <w:t>List of Persons and Entities Subject to Lock-up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Sotos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Chad Plotkin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Clive Nickolay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Bram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MacLennan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Stanley O’Neal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Stanley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Nathaniel Anschuetz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R. 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Ferrell P. McClean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Group LLC</w:t>
      </w: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FORM OF OPINION AND NEGATIVE ASSURANCE LETTER OF COMPANY’S COUNSEL</w:t>
      </w:r>
    </w:p>
    <w:p>
      <w:pPr>
        <w:spacing w:after="0" w:line="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TO BE DELIVERED PURSUANT TO SECTION 5(b)</w:t>
      </w:r>
    </w:p>
    <w:p>
      <w:pPr>
        <w:spacing w:after="0" w:line="20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FORM OF OPINION OF COMPANY’S FEDERAL REGULATORY COUNSEL</w:t>
      </w:r>
    </w:p>
    <w:p>
      <w:pPr>
        <w:spacing w:after="0" w:line="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TO BE DELIVERED PURSUANT TO SECTION 5(c)</w:t>
      </w:r>
    </w:p>
    <w:p>
      <w:pPr>
        <w:spacing w:after="0" w:line="20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Proposed Public Offering by Clearway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a stockholder and an officer and/or director of Clearway Energy, Inc., a Delaware corporation (the “Company”), understands that RBC Capital Markets, LLC (the “Underwriter”) proposes to enter into an Underwriting Agreement (the “Underwriting Agreement”) with the Company and Clearway Energy LLC (“Clearway LLC”) providing for the public offering (the “Public Offering”) of the Securities of the Company’s Class C common stock, par value $0.01 per share. Capitalized terms used herein, but not otherwise defined, have the meaning ascribed to them in the Underwriting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recognition of the benefit that such an offering will confer upon the undersigned as a current or prospective holder of securities of the Company or any of its subsidiaries or an officer and/or director of the Company, and for other good and valuable consideration, the receipt and sufficiency of which are hereby acknowledged, the undersigned agrees with the Underwriter that, during the period beginning on the date hereof and ending on the date that is 30 days from the date of the Underwriting Agreement (the “Restricted Period”), the undersigned will not, without the prior written consent of the Underwriter, directly or indirectly, (i) offer, pledge, sell, contract to sell, sell any option or contract to purchase, purchase any option or contract to sell, grant any option, right or warrant for the sale of, or otherwise dispose of or transfer any class of common stock of the Company (collectively, “Common Stock”) or any securities convertible into or exchangeable or exercisable for Common Stock of the Company,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Lock-Up Securities without the prior written consent of the Underwriter provided that (1) with respect to any distribution, transfer, exchange, conversion or sale made pursuant to clause (i), (ii), (iii) or</w:t>
      </w:r>
    </w:p>
    <w:p>
      <w:pPr>
        <w:jc w:val="both"/>
        <w:ind w:firstLine="8"/>
        <w:spacing w:after="0" w:line="252" w:lineRule="auto"/>
        <w:tabs>
          <w:tab w:leader="none" w:pos="3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the Underwriter receive a signed lock-up agreement for the balance of the lock-up period from each donee, trustee, distributee or transferee, as the case may be, that is a record holder or a beneficial owner, as defined by Rule 13d-3 of the Securities and Exchange Act of 1934, as amended (the “Exchange Act”), of the Lock-Up Securities following such transfer, (2) with respect to any distribution, transfer, exchange, conversion or sale made pursuant to clause (i), (ii), (iii), (iv) or (v) below, such transfers are not required to be reported in a public report or filing with the Securities and Exchange Commission, including on a Form 4 in accordance with Section 16 of the Exchange Act, and the undersigned does not otherwise voluntarily effect any public filing or report regarding such distribution, transfer, exchange, conversion or sale and (3) such distribution, transfer, exchange, conversion or sale is made, or such transaction constitutes: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left="2020" w:hanging="715"/>
        <w:spacing w:after="0"/>
        <w:tabs>
          <w:tab w:leader="none" w:pos="2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or by will or intestacy;</w:t>
      </w:r>
    </w:p>
    <w:p>
      <w:pPr>
        <w:spacing w:after="0" w:line="227" w:lineRule="exact"/>
        <w:rPr>
          <w:rFonts w:ascii="Times New Roman" w:cs="Times New Roman" w:eastAsia="Times New Roman" w:hAnsi="Times New Roman"/>
          <w:sz w:val="18"/>
          <w:szCs w:val="18"/>
          <w:color w:val="auto"/>
        </w:rPr>
      </w:pPr>
    </w:p>
    <w:p>
      <w:pPr>
        <w:ind w:left="660" w:firstLine="645"/>
        <w:spacing w:after="0" w:line="282" w:lineRule="auto"/>
        <w:tabs>
          <w:tab w:leader="none" w:pos="20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w:t>
      </w:r>
    </w:p>
    <w:p>
      <w:pPr>
        <w:spacing w:after="0" w:line="161"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to limited partners or stockholders of the undersigned;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undersigned’s affiliates or to any entity controlled or managed by the undersigned;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sale by the undersigned of shares of common stock purchased in open market transactions after completion of the distribution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0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 written plan meeting the requirements of Rule 10b5-1 under the Exchange Act relating to the sale of the Common Stock provided that (a) no sales or transfers of Common Stock occur during the Restricted Period and (b) to the extent a public announcement or filing under the Exchange Act shall be required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Securities to the Company in a transaction exempt from Section 16(b) of the Exchange Act solely in connection with the payment of taxes or other governmental withholding obligations due in connection with any exercise or vesting of any award of equity under any plan or arrangement in effect as of the date of the Underwriting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(i) if the Underwriting Agreement does not become effective by January 1, 2020, (ii) if the Company files and later withdraws the registration statement relating to the Public Offering or (iii) if the Underwriting Agreement (other than the provisions thereof which survive termination) shall terminate or be terminated prior to the payment for and delivery of the Securities to be sold thereunder, the undersigned shall be released from all obligations under this letter.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8" w:name="page39"/>
    <w:bookmarkEnd w:id="38"/>
    <w:p>
      <w:pPr>
        <w:ind w:left="4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17145</wp:posOffset>
            </wp:positionV>
            <wp:extent cx="3035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17145</wp:posOffset>
            </wp:positionV>
            <wp:extent cx="30359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454660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9" w:name="page40"/>
    <w:bookmarkEnd w:id="39"/>
    <w:tbl>
      <w:tblPr>
        <w:tblLayout w:type="fixed"/>
        <w:tblInd w:w="5720" w:type="dxa"/>
        <w:tblCellMar>
          <w:top w:w="0" w:type="dxa"/>
          <w:left w:w="0" w:type="dxa"/>
          <w:bottom w:w="0" w:type="dxa"/>
          <w:right w:w="0" w:type="dxa"/>
        </w:tblCellMar>
      </w:tblPr>
      <w:tr>
        <w:trPr>
          <w:trHeight w:val="287"/>
        </w:trPr>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Pr>
          <w:p>
            <w:pPr>
              <w:ind w:left="1020"/>
              <w:spacing w:after="0"/>
              <w:rPr>
                <w:sz w:val="20"/>
                <w:szCs w:val="20"/>
                <w:color w:val="auto"/>
              </w:rPr>
            </w:pPr>
            <w:r>
              <w:rPr>
                <w:rFonts w:ascii="Times New Roman" w:cs="Times New Roman" w:eastAsia="Times New Roman" w:hAnsi="Times New Roman"/>
                <w:sz w:val="22"/>
                <w:szCs w:val="22"/>
                <w:b w:val="1"/>
                <w:bCs w:val="1"/>
                <w:color w:val="auto"/>
                <w:w w:val="95"/>
              </w:rPr>
              <w:t>Exhibit 5.1</w:t>
            </w:r>
          </w:p>
        </w:tc>
      </w:tr>
      <w:tr>
        <w:trPr>
          <w:trHeight w:val="42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2001 ROSS AVENUE</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AUSTIN</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LONDON</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BEIJING</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75201-2980</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BRUSSELS</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2000" w:type="dxa"/>
            <w:vAlign w:val="bottom"/>
          </w:tcPr>
          <w:p>
            <w:pPr>
              <w:spacing w:after="0"/>
              <w:rPr>
                <w:sz w:val="18"/>
                <w:szCs w:val="18"/>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DALLAS</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TEL  +1 214.953.6500</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DUBAI</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FAX +1 214.953.6503</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HONG KONG</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HOUSTON</w:t>
            </w: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WASHINGTON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2710180" cy="360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0180" cy="3600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1297"/>
        <w:spacing w:after="0" w:line="261" w:lineRule="auto"/>
        <w:rPr>
          <w:sz w:val="20"/>
          <w:szCs w:val="20"/>
          <w:color w:val="auto"/>
        </w:rPr>
      </w:pPr>
      <w:r>
        <w:rPr>
          <w:rFonts w:ascii="Times New Roman" w:cs="Times New Roman" w:eastAsia="Times New Roman" w:hAnsi="Times New Roman"/>
          <w:sz w:val="18"/>
          <w:szCs w:val="18"/>
          <w:color w:val="auto"/>
        </w:rPr>
        <w:t>We have acted as counsel to Clearway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proposed issuance and sale in an underwritten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an aggregate of 5,405,405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its Class C common stock, par value $.01 per share, pursuant to that certain Underwriting Agreement dated December 2, 2019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by and among the Company, Clearway Energy LLC and RBC Capital Markets, LLC, as the underwriter.</w:t>
      </w:r>
    </w:p>
    <w:p>
      <w:pPr>
        <w:spacing w:after="0" w:line="180" w:lineRule="exact"/>
        <w:rPr>
          <w:sz w:val="20"/>
          <w:szCs w:val="20"/>
          <w:color w:val="auto"/>
        </w:rPr>
      </w:pPr>
    </w:p>
    <w:p>
      <w:pPr>
        <w:ind w:right="120" w:firstLine="1297"/>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S-3 (Registration Statement No. 333-224684) with respect to the Shares being sold by the Company in the Offering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which Registration Statement became effective upon filing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May 4, 2018. The final prospectus supplement dated December 2, 2019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which together with the accompanying prospectus dated May 4, 2018 filed with the Registration Statement, has been filed pursuant to Rule 424(b) promulgated under the Securities Act.</w:t>
      </w:r>
    </w:p>
    <w:p>
      <w:pPr>
        <w:spacing w:after="0" w:line="184" w:lineRule="exact"/>
        <w:rPr>
          <w:sz w:val="20"/>
          <w:szCs w:val="20"/>
          <w:color w:val="auto"/>
        </w:rPr>
      </w:pPr>
    </w:p>
    <w:p>
      <w:pPr>
        <w:ind w:right="120" w:firstLine="1297"/>
        <w:spacing w:after="0" w:line="256" w:lineRule="auto"/>
        <w:rPr>
          <w:sz w:val="20"/>
          <w:szCs w:val="20"/>
          <w:color w:val="auto"/>
        </w:rPr>
      </w:pPr>
      <w:r>
        <w:rPr>
          <w:rFonts w:ascii="Times New Roman" w:cs="Times New Roman" w:eastAsia="Times New Roman" w:hAnsi="Times New Roman"/>
          <w:sz w:val="18"/>
          <w:szCs w:val="18"/>
          <w:color w:val="auto"/>
        </w:rPr>
        <w:t>As the basis for the opinion hereinafter expressed, we examined the Restated Certificate of Incorporation of the Company, dated as of May 2, 2016, as amended to date, the Fourth Amended and Restated Bylaws of the Company, effective as of August 31, 2018, the Underwriting Agreement, the Delaware General Corporation Law, corporate records and documents related to the Company, certificates of the Company and public officials, and other instruments and documents as we deemed necessary or advisable for the purposes of this opinion. In making our examination, we have assumed that all signatures on documents examined by us are genuine, that all documents submitted to us as originals are authentic and that all documents submitted to us as copies conform with the original copies of such documents.</w:t>
      </w:r>
    </w:p>
    <w:p>
      <w:pPr>
        <w:spacing w:after="0" w:line="188" w:lineRule="exact"/>
        <w:rPr>
          <w:sz w:val="20"/>
          <w:szCs w:val="20"/>
          <w:color w:val="auto"/>
        </w:rPr>
      </w:pPr>
    </w:p>
    <w:p>
      <w:pPr>
        <w:ind w:right="280" w:firstLine="1297"/>
        <w:spacing w:after="0" w:line="266" w:lineRule="auto"/>
        <w:rPr>
          <w:sz w:val="20"/>
          <w:szCs w:val="20"/>
          <w:color w:val="auto"/>
        </w:rPr>
      </w:pPr>
      <w:r>
        <w:rPr>
          <w:rFonts w:ascii="Times New Roman" w:cs="Times New Roman" w:eastAsia="Times New Roman" w:hAnsi="Times New Roman"/>
          <w:sz w:val="18"/>
          <w:szCs w:val="18"/>
          <w:color w:val="auto"/>
        </w:rPr>
        <w:t>Based on the foregoing and on such legal considerations as we deem relevant, we are of the opinion that the Shares, when issued and delivered in the Offering on behalf of the Company against payment therefor as described in the Underwriting Agreement, will be duly authorized, validly issued, fully paid and non-assessable.</w:t>
      </w:r>
    </w:p>
    <w:p>
      <w:pPr>
        <w:spacing w:after="0" w:line="176" w:lineRule="exact"/>
        <w:rPr>
          <w:sz w:val="20"/>
          <w:szCs w:val="20"/>
          <w:color w:val="auto"/>
        </w:rPr>
      </w:pPr>
    </w:p>
    <w:p>
      <w:pPr>
        <w:ind w:right="240" w:firstLine="1297"/>
        <w:spacing w:after="0" w:line="282" w:lineRule="auto"/>
        <w:rPr>
          <w:sz w:val="20"/>
          <w:szCs w:val="20"/>
          <w:color w:val="auto"/>
        </w:rPr>
      </w:pPr>
      <w:r>
        <w:rPr>
          <w:rFonts w:ascii="Times New Roman" w:cs="Times New Roman" w:eastAsia="Times New Roman" w:hAnsi="Times New Roman"/>
          <w:sz w:val="18"/>
          <w:szCs w:val="18"/>
          <w:color w:val="auto"/>
        </w:rPr>
        <w:t>This opinion is limited in all respects to the federal laws of the United States of America and the laws of the state of Delaware, each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0" w:name="page41"/>
    <w:bookmarkEnd w:id="40"/>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86585"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886585" cy="248920"/>
                    </a:xfrm>
                    <a:prstGeom prst="rect">
                      <a:avLst/>
                    </a:prstGeom>
                    <a:noFill/>
                  </pic:spPr>
                </pic:pic>
              </a:graphicData>
            </a:graphic>
          </wp:anchor>
        </w:drawing>
      </w:r>
    </w:p>
    <w:p>
      <w:pPr>
        <w:jc w:val="right"/>
        <w:spacing w:after="0"/>
        <w:tabs>
          <w:tab w:leader="none" w:pos="1300" w:val="left"/>
        </w:tabs>
        <w:rPr>
          <w:sz w:val="20"/>
          <w:szCs w:val="20"/>
          <w:color w:val="auto"/>
        </w:rPr>
      </w:pPr>
      <w:r>
        <w:rPr>
          <w:rFonts w:ascii="Times New Roman" w:cs="Times New Roman" w:eastAsia="Times New Roman" w:hAnsi="Times New Roman"/>
          <w:sz w:val="18"/>
          <w:szCs w:val="18"/>
          <w:color w:val="auto"/>
        </w:rPr>
        <w:t>- 2 -</w:t>
      </w:r>
      <w:r>
        <w:rPr>
          <w:sz w:val="20"/>
          <w:szCs w:val="20"/>
          <w:color w:val="auto"/>
        </w:rPr>
        <w:tab/>
      </w:r>
      <w:r>
        <w:rPr>
          <w:rFonts w:ascii="Times New Roman" w:cs="Times New Roman" w:eastAsia="Times New Roman" w:hAnsi="Times New Roman"/>
          <w:sz w:val="17"/>
          <w:szCs w:val="17"/>
          <w:color w:val="auto"/>
        </w:rPr>
        <w:t>December 5, 2019</w:t>
      </w:r>
    </w:p>
    <w:p>
      <w:pPr>
        <w:spacing w:after="0" w:line="225" w:lineRule="exact"/>
        <w:rPr>
          <w:sz w:val="20"/>
          <w:szCs w:val="20"/>
          <w:color w:val="auto"/>
        </w:rPr>
      </w:pPr>
    </w:p>
    <w:p>
      <w:pPr>
        <w:ind w:right="120" w:firstLine="1297"/>
        <w:spacing w:after="0" w:line="258" w:lineRule="auto"/>
        <w:rPr>
          <w:sz w:val="20"/>
          <w:szCs w:val="20"/>
          <w:color w:val="auto"/>
        </w:rPr>
      </w:pPr>
      <w:r>
        <w:rPr>
          <w:rFonts w:ascii="Times New Roman" w:cs="Times New Roman" w:eastAsia="Times New Roman" w:hAnsi="Times New Roman"/>
          <w:sz w:val="18"/>
          <w:szCs w:val="18"/>
          <w:color w:val="auto"/>
        </w:rPr>
        <w:t>At your request, this opinion is being furnished to you for filing as an exhibit to the Company’s Current Report on Form 8-K filed on the date hereof. We hereby consent to the statements with respect to us under the heading “Legal Matters” in the Prospectus Supplement and to the filing of this opinion as an exhibit to the Company’s Current Report on Form 8-K filed on the date hereof. In giving this consent, we do not hereby admit that we are within the category of persons whose consent is required under Section 7 of the Securities Act, or the rules and regulations of the Commission issued thereunder.</w:t>
      </w:r>
    </w:p>
    <w:p>
      <w:pPr>
        <w:spacing w:after="0" w:line="1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MPB/RPM/JLY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o"/>
      <w:numFmt w:val="bullet"/>
      <w:start w:val="1"/>
    </w:lvl>
  </w:abstractNum>
  <w:abstractNum w:abstractNumId="1">
    <w:nsid w:val="333AB105"/>
    <w:multiLevelType w:val="hybridMultilevel"/>
    <w:lvl w:ilvl="0">
      <w:lvlJc w:val="left"/>
      <w:lvlText w:val="%1"/>
      <w:numFmt w:val="decimal"/>
      <w:start w:val="104"/>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Roman"/>
      <w:start w:val="1"/>
    </w:lvl>
  </w:abstractNum>
  <w:abstractNum w:abstractNumId="4">
    <w:nsid w:val="2D1D5AE9"/>
    <w:multiLevelType w:val="hybridMultilevel"/>
    <w:lvl w:ilvl="0">
      <w:lvlJc w:val="left"/>
      <w:lvlText w:val="(%1)"/>
      <w:numFmt w:val="lowerRoman"/>
      <w:start w:val="2"/>
    </w:lvl>
  </w:abstractNum>
  <w:abstractNum w:abstractNumId="5">
    <w:nsid w:val="6763845E"/>
    <w:multiLevelType w:val="hybridMultilevel"/>
    <w:lvl w:ilvl="0">
      <w:lvlJc w:val="left"/>
      <w:lvlText w:val="(%1)"/>
      <w:numFmt w:val="lowerRoman"/>
      <w:start w:val="3"/>
    </w:lvl>
  </w:abstractNum>
  <w:abstractNum w:abstractNumId="6">
    <w:nsid w:val="75A2A8D4"/>
    <w:multiLevelType w:val="hybridMultilevel"/>
    <w:lvl w:ilvl="0">
      <w:lvlJc w:val="left"/>
      <w:lvlText w:val="%1"/>
      <w:numFmt w:val="upperLetter"/>
      <w:start w:val="1"/>
    </w:lvl>
    <w:lvl w:ilvl="1">
      <w:lvlJc w:val="left"/>
      <w:lvlText w:val="(%2)"/>
      <w:numFmt w:val="lowerRoman"/>
      <w:start w:val="4"/>
    </w:lvl>
  </w:abstractNum>
  <w:abstractNum w:abstractNumId="7">
    <w:nsid w:val="8EDBDAB"/>
    <w:multiLevelType w:val="hybridMultilevel"/>
    <w:lvl w:ilvl="0">
      <w:lvlJc w:val="left"/>
      <w:lvlText w:val="(%1)"/>
      <w:numFmt w:val="upperLetter"/>
      <w:start w:val="3"/>
    </w:lvl>
    <w:lvl w:ilvl="1">
      <w:lvlJc w:val="left"/>
      <w:lvlText w:val="%2"/>
      <w:numFmt w:val="lowerRoman"/>
      <w:start w:val="1"/>
    </w:lvl>
  </w:abstractNum>
  <w:abstractNum w:abstractNumId="8">
    <w:nsid w:val="79838CB2"/>
    <w:multiLevelType w:val="hybridMultilevel"/>
    <w:lvl w:ilvl="0">
      <w:lvlJc w:val="left"/>
      <w:lvlText w:val="(%1)"/>
      <w:numFmt w:val="lowerRoman"/>
      <w:start w:val="9"/>
    </w:lvl>
  </w:abstractNum>
  <w:abstractNum w:abstractNumId="9">
    <w:nsid w:val="4353D0CD"/>
    <w:multiLevelType w:val="hybridMultilevel"/>
    <w:lvl w:ilvl="0">
      <w:lvlJc w:val="left"/>
      <w:lvlText w:val="%1"/>
      <w:numFmt w:val="lowerRoman"/>
      <w:start w:val="1"/>
    </w:lvl>
    <w:lvl w:ilvl="1">
      <w:lvlJc w:val="left"/>
      <w:lvlText w:val="(%2)"/>
      <w:numFmt w:val="lowerRoman"/>
      <w:start w:val="14"/>
    </w:lvl>
  </w:abstractNum>
  <w:abstractNum w:abstractNumId="10">
    <w:nsid w:val="B03E0C6"/>
    <w:multiLevelType w:val="hybridMultilevel"/>
    <w:lvl w:ilvl="0">
      <w:lvlJc w:val="left"/>
      <w:lvlText w:val="(%1)"/>
      <w:numFmt w:val="lowerRoman"/>
      <w:start w:val="3"/>
    </w:lvl>
    <w:lvl w:ilvl="1">
      <w:lvlJc w:val="left"/>
      <w:lvlText w:val="%2"/>
      <w:numFmt w:val="lowerRoman"/>
      <w:start w:val="1"/>
    </w:lvl>
  </w:abstractNum>
  <w:abstractNum w:abstractNumId="11">
    <w:nsid w:val="189A769B"/>
    <w:multiLevelType w:val="hybridMultilevel"/>
    <w:lvl w:ilvl="0">
      <w:lvlJc w:val="left"/>
      <w:lvlText w:val="(%1)"/>
      <w:numFmt w:val="lowerRoman"/>
      <w:start w:val="16"/>
    </w:lvl>
  </w:abstractNum>
  <w:abstractNum w:abstractNumId="12">
    <w:nsid w:val="54E49EB4"/>
    <w:multiLevelType w:val="hybridMultilevel"/>
    <w:lvl w:ilvl="0">
      <w:lvlJc w:val="left"/>
      <w:lvlText w:val="(%1)"/>
      <w:numFmt w:val="lowerRoman"/>
      <w:start w:val="21"/>
    </w:lvl>
  </w:abstractNum>
  <w:abstractNum w:abstractNumId="13">
    <w:nsid w:val="71F32454"/>
    <w:multiLevelType w:val="hybridMultilevel"/>
    <w:lvl w:ilvl="0">
      <w:lvlJc w:val="left"/>
      <w:lvlText w:val="(%1)"/>
      <w:numFmt w:val="lowerRoman"/>
      <w:start w:val="24"/>
    </w:lvl>
  </w:abstractNum>
  <w:abstractNum w:abstractNumId="14">
    <w:nsid w:val="2CA88611"/>
    <w:multiLevelType w:val="hybridMultilevel"/>
    <w:lvl w:ilvl="0">
      <w:lvlJc w:val="left"/>
      <w:lvlText w:val="(%1)"/>
      <w:numFmt w:val="lowerRoman"/>
      <w:start w:val="28"/>
    </w:lvl>
  </w:abstractNum>
  <w:abstractNum w:abstractNumId="15">
    <w:nsid w:val="836C40E"/>
    <w:multiLevelType w:val="hybridMultilevel"/>
    <w:lvl w:ilvl="0">
      <w:lvlJc w:val="left"/>
      <w:lvlText w:val="%1"/>
      <w:numFmt w:val="lowerRoman"/>
      <w:start w:val="1"/>
    </w:lvl>
    <w:lvl w:ilvl="1">
      <w:lvlJc w:val="left"/>
      <w:lvlText w:val="(%2)"/>
      <w:numFmt w:val="lowerRoman"/>
      <w:start w:val="32"/>
    </w:lvl>
  </w:abstractNum>
  <w:abstractNum w:abstractNumId="16">
    <w:nsid w:val="2901D82"/>
    <w:multiLevelType w:val="hybridMultilevel"/>
    <w:lvl w:ilvl="0">
      <w:lvlJc w:val="left"/>
      <w:lvlText w:val="(%1)"/>
      <w:numFmt w:val="lowerRoman"/>
      <w:start w:val="2"/>
    </w:lvl>
    <w:lvl w:ilvl="1">
      <w:lvlJc w:val="left"/>
      <w:lvlText w:val="%2"/>
      <w:numFmt w:val="lowerRoman"/>
      <w:start w:val="1"/>
    </w:lvl>
  </w:abstractNum>
  <w:abstractNum w:abstractNumId="17">
    <w:nsid w:val="3A95F874"/>
    <w:multiLevelType w:val="hybridMultilevel"/>
    <w:lvl w:ilvl="0">
      <w:lvlJc w:val="left"/>
      <w:lvlText w:val="(%1)"/>
      <w:numFmt w:val="lowerRoman"/>
      <w:start w:val="36"/>
    </w:lvl>
  </w:abstractNum>
  <w:abstractNum w:abstractNumId="18">
    <w:nsid w:val="8138641"/>
    <w:multiLevelType w:val="hybridMultilevel"/>
    <w:lvl w:ilvl="0">
      <w:lvlJc w:val="left"/>
      <w:lvlText w:val="(%1)"/>
      <w:numFmt w:val="lowerRoman"/>
      <w:start w:val="1"/>
    </w:lvl>
  </w:abstractNum>
  <w:abstractNum w:abstractNumId="19">
    <w:nsid w:val="1E7FF521"/>
    <w:multiLevelType w:val="hybridMultilevel"/>
    <w:lvl w:ilvl="0">
      <w:lvlJc w:val="left"/>
      <w:lvlText w:val="(%1)"/>
      <w:numFmt w:val="lowerLetter"/>
      <w:start w:val="2"/>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1)"/>
      <w:numFmt w:val="lowerLetter"/>
      <w:start w:val="5"/>
    </w:lvl>
  </w:abstractNum>
  <w:abstractNum w:abstractNumId="24">
    <w:nsid w:val="4516DDE9"/>
    <w:multiLevelType w:val="hybridMultilevel"/>
    <w:lvl w:ilvl="0">
      <w:lvlJc w:val="left"/>
      <w:lvlText w:val="(%1)"/>
      <w:numFmt w:val="lowerLetter"/>
      <w:start w:val="11"/>
    </w:lvl>
  </w:abstractNum>
  <w:abstractNum w:abstractNumId="25">
    <w:nsid w:val="3006C83E"/>
    <w:multiLevelType w:val="hybridMultilevel"/>
    <w:lvl w:ilvl="0">
      <w:lvlJc w:val="left"/>
      <w:lvlText w:val="%1"/>
      <w:numFmt w:val="lowerRoman"/>
      <w:start w:val="1"/>
    </w:lvl>
    <w:lvl w:ilvl="1">
      <w:lvlJc w:val="left"/>
      <w:lvlText w:val="(%2)"/>
      <w:numFmt w:val="lowerLetter"/>
      <w:start w:val="1"/>
    </w:lvl>
  </w:abstractNum>
  <w:abstractNum w:abstractNumId="26">
    <w:nsid w:val="614FD4A1"/>
    <w:multiLevelType w:val="hybridMultilevel"/>
    <w:lvl w:ilvl="0">
      <w:lvlJc w:val="left"/>
      <w:lvlText w:val="(%1)"/>
      <w:numFmt w:val="lowerRoman"/>
      <w:start w:val="6"/>
    </w:lvl>
    <w:lvl w:ilvl="1">
      <w:lvlJc w:val="left"/>
      <w:lvlText w:val="%2"/>
      <w:numFmt w:val="lowerLetter"/>
      <w:start w:val="1"/>
    </w:lvl>
  </w:abstractNum>
  <w:abstractNum w:abstractNumId="27">
    <w:nsid w:val="419AC241"/>
    <w:multiLevelType w:val="hybridMultilevel"/>
    <w:lvl w:ilvl="0">
      <w:lvlJc w:val="left"/>
      <w:lvlText w:val="%1"/>
      <w:numFmt w:val="lowerLetter"/>
      <w:start w:val="1"/>
    </w:lvl>
    <w:lvl w:ilvl="1">
      <w:lvlJc w:val="left"/>
      <w:lvlText w:val="(%2)"/>
      <w:numFmt w:val="lowerLetter"/>
      <w:start w:val="2"/>
    </w:lvl>
  </w:abstractNum>
  <w:abstractNum w:abstractNumId="28">
    <w:nsid w:val="5577F8E1"/>
    <w:multiLevelType w:val="hybridMultilevel"/>
    <w:lvl w:ilvl="0">
      <w:lvlJc w:val="left"/>
      <w:lvlText w:val="(%1)"/>
      <w:numFmt w:val="lowerLetter"/>
      <w:start w:val="9"/>
    </w:lvl>
    <w:lvl w:ilvl="1">
      <w:lvlJc w:val="left"/>
      <w:lvlText w:val="%2"/>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6"/>
    </w:lvl>
  </w:abstractNum>
  <w:abstractNum w:abstractNumId="31">
    <w:nsid w:val="3804823E"/>
    <w:multiLevelType w:val="hybridMultilevel"/>
    <w:lvl w:ilvl="0">
      <w:lvlJc w:val="left"/>
      <w:lvlText w:val="(%1)"/>
      <w:numFmt w:val="lowerLetter"/>
      <w:start w:val="14"/>
    </w:lvl>
  </w:abstractNum>
  <w:abstractNum w:abstractNumId="32">
    <w:nsid w:val="77465F01"/>
    <w:multiLevelType w:val="hybridMultilevel"/>
    <w:lvl w:ilvl="0">
      <w:lvlJc w:val="left"/>
      <w:lvlText w:val="(%1)"/>
      <w:numFmt w:val="lowerLetter"/>
      <w:start w:val="1"/>
    </w:lvl>
    <w:lvl w:ilvl="1">
      <w:lvlJc w:val="left"/>
      <w:lvlText w:val="(%2)"/>
      <w:numFmt w:val="lowerRoman"/>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lowerRoman"/>
      <w:start w:val="1"/>
    </w:lvl>
    <w:lvl w:ilvl="1">
      <w:lvlJc w:val="left"/>
      <w:lvlText w:val="(%2)"/>
      <w:numFmt w:val="lowerLetter"/>
      <w:start w:val="1"/>
    </w:lvl>
  </w:abstractNum>
  <w:abstractNum w:abstractNumId="35">
    <w:nsid w:val="2463B9EA"/>
    <w:multiLevelType w:val="hybridMultilevel"/>
    <w:lvl w:ilvl="0">
      <w:lvlJc w:val="left"/>
      <w:lvlText w:val="(%1)"/>
      <w:numFmt w:val="lowerRoman"/>
      <w:start w:val="6"/>
    </w:lvl>
    <w:lvl w:ilvl="1">
      <w:lvlJc w:val="left"/>
      <w:lvlText w:val="(%2)"/>
      <w:numFmt w:val="lowerLetter"/>
      <w:start w:val="2"/>
    </w:lvl>
  </w:abstractNum>
  <w:abstractNum w:abstractNumId="36">
    <w:nsid w:val="5E884ADC"/>
    <w:multiLevelType w:val="hybridMultilevel"/>
    <w:lvl w:ilvl="0">
      <w:lvlJc w:val="left"/>
      <w:lvlText w:val="(%1)"/>
      <w:numFmt w:val="lowerLetter"/>
      <w:start w:val="4"/>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lowerRoman"/>
      <w:start w:val="4"/>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2019-12-28T01:14:34Z</dcterms:created>
  <dcterms:modified xsi:type="dcterms:W3CDTF">2019-12-28T01:14:34Z</dcterms:modified>
</cp:coreProperties>
</file>