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Global Infrastructure Investors III,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20"/>
        <w:spacing w:after="0" w:line="365" w:lineRule="auto"/>
        <w:rPr>
          <w:sz w:val="20"/>
          <w:szCs w:val="20"/>
          <w:color w:val="auto"/>
        </w:rPr>
      </w:pPr>
      <w:r>
        <w:rPr>
          <w:rFonts w:ascii="Times New Roman" w:cs="Times New Roman" w:eastAsia="Times New Roman" w:hAnsi="Times New Roman"/>
          <w:sz w:val="17"/>
          <w:szCs w:val="17"/>
          <w:color w:val="0000FF"/>
        </w:rPr>
        <w:t>1345 AVENUE OF THE AMERICAS, 30TH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Clearway Energy,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CWEN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78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vMerge w:val="continue"/>
          </w:tcPr>
          <w:p>
            <w:pPr>
              <w:spacing w:after="0"/>
              <w:rPr>
                <w:sz w:val="2"/>
                <w:szCs w:val="2"/>
                <w:color w:val="auto"/>
              </w:rPr>
            </w:pPr>
          </w:p>
        </w:tc>
        <w:tc>
          <w:tcPr>
            <w:tcW w:w="16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05/13/2022</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03"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80" w:type="dxa"/>
            <w:vAlign w:val="bottom"/>
          </w:tcPr>
          <w:p>
            <w:pPr>
              <w:spacing w:after="0"/>
              <w:rPr>
                <w:sz w:val="13"/>
                <w:szCs w:val="13"/>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4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420" w:type="dxa"/>
            <w:vAlign w:val="bottom"/>
          </w:tcPr>
          <w:p>
            <w:pPr>
              <w:spacing w:after="0"/>
              <w:rPr>
                <w:sz w:val="11"/>
                <w:szCs w:val="11"/>
                <w:color w:val="auto"/>
              </w:rPr>
            </w:pP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6"/>
                <w:szCs w:val="6"/>
                <w:color w:val="auto"/>
              </w:rPr>
            </w:pPr>
          </w:p>
        </w:tc>
        <w:tc>
          <w:tcPr>
            <w:tcW w:w="92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3"/>
            <w:vMerge w:val="continue"/>
          </w:tcPr>
          <w:p>
            <w:pPr>
              <w:spacing w:after="0"/>
              <w:rPr>
                <w:sz w:val="8"/>
                <w:szCs w:val="8"/>
                <w:color w:val="auto"/>
              </w:rPr>
            </w:pPr>
          </w:p>
        </w:tc>
        <w:tc>
          <w:tcPr>
            <w:tcW w:w="11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600" w:type="dxa"/>
            <w:vAlign w:val="bottom"/>
            <w:gridSpan w:val="4"/>
            <w:vMerge w:val="restart"/>
          </w:tcPr>
          <w:p>
            <w:pPr>
              <w:ind w:left="380"/>
              <w:spacing w:after="0"/>
              <w:rPr>
                <w:sz w:val="20"/>
                <w:szCs w:val="20"/>
                <w:color w:val="auto"/>
              </w:rPr>
            </w:pPr>
            <w:r>
              <w:rPr>
                <w:rFonts w:ascii="Times New Roman" w:cs="Times New Roman" w:eastAsia="Times New Roman" w:hAnsi="Times New Roman"/>
                <w:sz w:val="17"/>
                <w:szCs w:val="17"/>
                <w:color w:val="0000FF"/>
              </w:rPr>
              <w:t>05/13/2022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vMerge w:val="restart"/>
          </w:tcPr>
          <w:p>
            <w:pPr>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860" w:type="dxa"/>
            <w:vAlign w:val="bottom"/>
            <w:vMerge w:val="restart"/>
          </w:tcPr>
          <w:p>
            <w:pPr>
              <w:jc w:val="right"/>
              <w:ind w:right="112"/>
              <w:spacing w:after="0"/>
              <w:rPr>
                <w:sz w:val="20"/>
                <w:szCs w:val="20"/>
                <w:color w:val="auto"/>
              </w:rPr>
            </w:pPr>
            <w:r>
              <w:rPr>
                <w:rFonts w:ascii="Times New Roman" w:cs="Times New Roman" w:eastAsia="Times New Roman" w:hAnsi="Times New Roman"/>
                <w:sz w:val="17"/>
                <w:szCs w:val="17"/>
                <w:color w:val="0000FF"/>
              </w:rPr>
              <w:t>236,624</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31.33</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65,227</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60" w:type="dxa"/>
            <w:vAlign w:val="bottom"/>
            <w:gridSpan w:val="4"/>
            <w:vMerge w:val="continue"/>
          </w:tcPr>
          <w:p>
            <w:pPr>
              <w:spacing w:after="0"/>
              <w:rPr>
                <w:sz w:val="10"/>
                <w:szCs w:val="10"/>
                <w:color w:val="auto"/>
              </w:rPr>
            </w:pPr>
          </w:p>
        </w:tc>
        <w:tc>
          <w:tcPr>
            <w:tcW w:w="160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tcBorders>
              <w:top w:val="single" w:sz="8" w:color="2C2C2C"/>
            </w:tcBorders>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600" w:type="dxa"/>
            <w:vAlign w:val="bottom"/>
            <w:tcBorders>
              <w:top w:val="single" w:sz="8" w:color="2C2C2C"/>
            </w:tcBorders>
            <w:gridSpan w:val="4"/>
            <w:vMerge w:val="restart"/>
          </w:tcPr>
          <w:p>
            <w:pPr>
              <w:ind w:left="380"/>
              <w:spacing w:after="0"/>
              <w:rPr>
                <w:sz w:val="20"/>
                <w:szCs w:val="20"/>
                <w:color w:val="auto"/>
              </w:rPr>
            </w:pPr>
            <w:r>
              <w:rPr>
                <w:rFonts w:ascii="Times New Roman" w:cs="Times New Roman" w:eastAsia="Times New Roman" w:hAnsi="Times New Roman"/>
                <w:sz w:val="17"/>
                <w:szCs w:val="17"/>
                <w:color w:val="0000FF"/>
              </w:rPr>
              <w:t>05/15/2022</w:t>
            </w: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vMerge w:val="restart"/>
          </w:tcPr>
          <w:p>
            <w:pPr>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860" w:type="dxa"/>
            <w:vAlign w:val="bottom"/>
            <w:tcBorders>
              <w:top w:val="single" w:sz="8" w:color="2C2C2C"/>
            </w:tcBorders>
            <w:vMerge w:val="restart"/>
          </w:tcPr>
          <w:p>
            <w:pPr>
              <w:jc w:val="right"/>
              <w:ind w:right="192"/>
              <w:spacing w:after="0"/>
              <w:rPr>
                <w:sz w:val="20"/>
                <w:szCs w:val="20"/>
                <w:color w:val="auto"/>
              </w:rPr>
            </w:pPr>
            <w:r>
              <w:rPr>
                <w:rFonts w:ascii="Times New Roman" w:cs="Times New Roman" w:eastAsia="Times New Roman" w:hAnsi="Times New Roman"/>
                <w:sz w:val="17"/>
                <w:szCs w:val="17"/>
                <w:color w:val="0000FF"/>
              </w:rPr>
              <w:t>3,192</w:t>
            </w:r>
          </w:p>
        </w:tc>
        <w:tc>
          <w:tcPr>
            <w:tcW w:w="44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top w:val="single" w:sz="8" w:color="2C2C2C"/>
            </w:tcBorders>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31.33</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62,035</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60" w:type="dxa"/>
            <w:vAlign w:val="bottom"/>
            <w:gridSpan w:val="4"/>
            <w:vMerge w:val="continue"/>
          </w:tcPr>
          <w:p>
            <w:pPr>
              <w:spacing w:after="0"/>
              <w:rPr>
                <w:sz w:val="10"/>
                <w:szCs w:val="10"/>
                <w:color w:val="auto"/>
              </w:rPr>
            </w:pPr>
          </w:p>
        </w:tc>
        <w:tc>
          <w:tcPr>
            <w:tcW w:w="160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18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560" w:type="dxa"/>
            <w:vAlign w:val="bottom"/>
            <w:gridSpan w:val="19"/>
          </w:tcPr>
          <w:p>
            <w:pPr>
              <w:jc w:val="center"/>
              <w:ind w:left="44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980" w:type="dxa"/>
            <w:vAlign w:val="bottom"/>
            <w:gridSpan w:val="15"/>
          </w:tcPr>
          <w:p>
            <w:pPr>
              <w:jc w:val="center"/>
              <w:ind w:left="13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6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Global Infrastructure Investors III, LLC</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10105</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Global Infrastructure GP III,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10105</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-5318760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GIP III Zephyr Acquisition Partners L.P.</w:t>
        </w:r>
      </w:hyperlink>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6"/>
        </w:trPr>
        <w:tc>
          <w:tcPr>
            <w:tcW w:w="10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60" w:type="dxa"/>
            <w:vAlign w:val="bottom"/>
            <w:gridSpan w:val="3"/>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Clearway Energy Group LLC</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-2970530</wp:posOffset>
            </wp:positionV>
            <wp:extent cx="2809240" cy="30505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3050540"/>
                    </a:xfrm>
                    <a:prstGeom prst="rect">
                      <a:avLst/>
                    </a:prstGeom>
                    <a:noFill/>
                  </pic:spPr>
                </pic:pic>
              </a:graphicData>
            </a:graphic>
          </wp:anchor>
        </w:drawing>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34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grant of shares of restricted stock of the Issuer granted by Clearway Energy Group LLC ("Clearway Energy Group") under its Long Term Equity Incentive Program to one or more of its employees.</w:t>
      </w:r>
    </w:p>
    <w:p>
      <w:pPr>
        <w:spacing w:after="0" w:line="7" w:lineRule="exact"/>
        <w:rPr>
          <w:rFonts w:ascii="Times New Roman" w:cs="Times New Roman" w:eastAsia="Times New Roman" w:hAnsi="Times New Roman"/>
          <w:sz w:val="13"/>
          <w:szCs w:val="13"/>
          <w:color w:val="008000"/>
        </w:rPr>
      </w:pPr>
    </w:p>
    <w:p>
      <w:pPr>
        <w:jc w:val="both"/>
        <w:ind w:left="20" w:right="2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held directly by Clearway Energy Group. Global Infrastructure Investors III, LLC ("Global Investors") is the sole general partner of Global Infrastructure GP III, L.P. ("Global GP"), which is the general partner of GIP III Zephyr Acquisition Partners, L.P. ("GIP"), which is the sole member of Clearway Energy Group. As a result, Global Investors, Global GP, and GIP may be deemed to share beneficial ownership of the Issuer securities owned by Clearway Energy Group. 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6"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Reporting Persons disclaims beneficial ownership of the securities reported herein, except to the extent of such Reporting Person's pecuniary interest therein, and, pursuant to Rule 16a-1(a)</w:t>
      </w:r>
    </w:p>
    <w:p>
      <w:pPr>
        <w:spacing w:after="0" w:line="11" w:lineRule="exact"/>
        <w:rPr>
          <w:rFonts w:ascii="Times New Roman" w:cs="Times New Roman" w:eastAsia="Times New Roman" w:hAnsi="Times New Roman"/>
          <w:sz w:val="13"/>
          <w:szCs w:val="13"/>
          <w:color w:val="008000"/>
        </w:rPr>
      </w:pPr>
    </w:p>
    <w:p>
      <w:pPr>
        <w:ind w:left="20" w:right="22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ectPr>
          <w:pgSz w:w="11900" w:h="16838" w:orient="portrait"/>
          <w:cols w:equalWidth="0" w:num="1">
            <w:col w:w="10840"/>
          </w:cols>
          <w:pgMar w:left="480" w:top="125" w:right="579" w:bottom="1440" w:gutter="0" w:footer="0" w:header="0"/>
        </w:sectPr>
      </w:pPr>
    </w:p>
    <w:p>
      <w:pPr>
        <w:spacing w:after="0" w:line="4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445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08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36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Bram Title: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700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4457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49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06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31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95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52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75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7696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93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06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GP III, L.P.,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5318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118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11188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31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95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52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75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0687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GROUP LLC By: /s/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Cornelius Name: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04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10204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Cornelius Title: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13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829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99" w:lineRule="exact"/>
        <w:rPr>
          <w:sz w:val="20"/>
          <w:szCs w:val="20"/>
          <w:color w:val="auto"/>
        </w:rPr>
      </w:pPr>
    </w:p>
    <w:p>
      <w:pPr>
        <w:sectPr>
          <w:pgSz w:w="11900" w:h="16838" w:orient="portrait"/>
          <w:cols w:equalWidth="0" w:num="2">
            <w:col w:w="8700" w:space="60"/>
            <w:col w:w="2080"/>
          </w:cols>
          <w:pgMar w:left="480" w:top="125" w:right="57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2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480" w:top="125" w:right="5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12" Type="http://schemas.openxmlformats.org/officeDocument/2006/relationships/hyperlink" Target="http://www.sec.gov/cgi-bin/browse-edgar?action=getcompany&amp;CIK=000174719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747185" TargetMode="External"/><Relationship Id="rId16" Type="http://schemas.openxmlformats.org/officeDocument/2006/relationships/hyperlink" Target="http://www.sec.gov/cgi-bin/browse-edgar?action=getcompany&amp;CIK=0001752556" TargetMode="External"/><Relationship Id="rId17"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2022-05-17T15:38:12Z</dcterms:created>
  <dcterms:modified xsi:type="dcterms:W3CDTF">2022-05-17T15:38:12Z</dcterms:modified>
</cp:coreProperties>
</file>