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815975</wp:posOffset>
            </wp:positionV>
            <wp:extent cx="716534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12700"/>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231F20"/>
        </w:rPr>
        <w:t>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November 4, 2021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CLEARWAY ENERGY, INC.</w:t>
      </w:r>
    </w:p>
    <w:p>
      <w:pPr>
        <w:sectPr>
          <w:pgSz w:w="11900" w:h="16838" w:orient="portrait"/>
          <w:cols w:equalWidth="0" w:num="1">
            <w:col w:w="11280"/>
          </w:cols>
          <w:pgMar w:left="300" w:top="1416" w:right="319" w:bottom="1440" w:gutter="0" w:footer="0" w:header="0"/>
        </w:sectPr>
      </w:pPr>
    </w:p>
    <w:p>
      <w:pPr>
        <w:spacing w:after="0" w:line="310"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Delaware</w:t>
      </w:r>
    </w:p>
    <w:p>
      <w:pPr>
        <w:spacing w:after="0" w:line="25" w:lineRule="exact"/>
        <w:rPr>
          <w:sz w:val="24"/>
          <w:szCs w:val="24"/>
          <w:color w:val="auto"/>
        </w:rPr>
      </w:pPr>
    </w:p>
    <w:p>
      <w:pPr>
        <w:jc w:val="center"/>
        <w:ind w:left="32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(Exact name of registrant as specified in its charter)</w:t>
      </w:r>
    </w:p>
    <w:p>
      <w:pPr>
        <w:spacing w:after="0" w:line="95"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001-36002</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14"/>
          <w:szCs w:val="14"/>
          <w:color w:val="auto"/>
        </w:rPr>
        <w:t>(Commission File Number)</w:t>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300 Carnegie Center, Suite 300, Princeton, New Jersey 08540</w:t>
      </w:r>
    </w:p>
    <w:p>
      <w:pPr>
        <w:spacing w:after="0" w:line="38" w:lineRule="exact"/>
        <w:rPr>
          <w:sz w:val="24"/>
          <w:szCs w:val="24"/>
          <w:color w:val="auto"/>
        </w:rPr>
      </w:pPr>
    </w:p>
    <w:p>
      <w:pPr>
        <w:ind w:left="140"/>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54"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(609) 608-1525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N/A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46-1777204</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(I.R.S. Employer Identification No.)</w:t>
      </w:r>
    </w:p>
    <w:p>
      <w:pPr>
        <w:spacing w:after="0" w:line="1487" w:lineRule="exact"/>
        <w:rPr>
          <w:sz w:val="24"/>
          <w:szCs w:val="24"/>
          <w:color w:val="auto"/>
        </w:rPr>
      </w:pPr>
    </w:p>
    <w:p>
      <w:pPr>
        <w:sectPr>
          <w:pgSz w:w="11900" w:h="16838" w:orient="portrait"/>
          <w:cols w:equalWidth="0" w:num="3">
            <w:col w:w="3580" w:space="300"/>
            <w:col w:w="3540" w:space="660"/>
            <w:col w:w="3200"/>
          </w:cols>
          <w:pgMar w:left="300" w:top="1416" w:right="319" w:bottom="1440" w:gutter="0" w:footer="0" w:header="0"/>
          <w:type w:val="continuous"/>
        </w:sect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200" w:hanging="168"/>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200" w:hanging="168"/>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00" w:hanging="168"/>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12" w:lineRule="exact"/>
        <w:rPr>
          <w:rFonts w:ascii="MS PGothic" w:cs="MS PGothic" w:eastAsia="MS PGothic" w:hAnsi="MS PGothic"/>
          <w:sz w:val="14"/>
          <w:szCs w:val="14"/>
          <w:color w:val="auto"/>
        </w:rPr>
      </w:pPr>
    </w:p>
    <w:p>
      <w:pPr>
        <w:ind w:right="5000" w:firstLine="32"/>
        <w:spacing w:after="0" w:line="271" w:lineRule="auto"/>
        <w:tabs>
          <w:tab w:leader="none" w:pos="19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 xml:space="preserve">Pre-commencement communications pursuant to Rule 13e-4(c) under the Exchange Act (17 CFR 240.13e-4(c)) </w:t>
      </w:r>
      <w:r>
        <w:rPr>
          <w:rFonts w:ascii="Arial" w:cs="Arial" w:eastAsia="Arial" w:hAnsi="Arial"/>
          <w:sz w:val="14"/>
          <w:szCs w:val="14"/>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4"/>
              </w:rPr>
              <w:t>Title of each class</w:t>
            </w:r>
          </w:p>
        </w:tc>
        <w:tc>
          <w:tcPr>
            <w:tcW w:w="27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7"/>
              </w:rPr>
              <w:t>Trading Symbol(s)</w:t>
            </w:r>
          </w:p>
        </w:tc>
        <w:tc>
          <w:tcPr>
            <w:tcW w:w="47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4"/>
        </w:trPr>
        <w:tc>
          <w:tcPr>
            <w:tcW w:w="3800" w:type="dxa"/>
            <w:vAlign w:val="bottom"/>
          </w:tcPr>
          <w:p>
            <w:pPr>
              <w:jc w:val="center"/>
              <w:ind w:left="32"/>
              <w:spacing w:after="0"/>
              <w:rPr>
                <w:sz w:val="20"/>
                <w:szCs w:val="20"/>
                <w:color w:val="auto"/>
              </w:rPr>
            </w:pPr>
            <w:r>
              <w:rPr>
                <w:rFonts w:ascii="Arial" w:cs="Arial" w:eastAsia="Arial" w:hAnsi="Arial"/>
                <w:sz w:val="14"/>
                <w:szCs w:val="14"/>
                <w:color w:val="auto"/>
                <w:w w:val="88"/>
              </w:rPr>
              <w:t>Class A Common Stock, par value $0.01</w:t>
            </w:r>
          </w:p>
        </w:tc>
        <w:tc>
          <w:tcPr>
            <w:tcW w:w="2780" w:type="dxa"/>
            <w:vAlign w:val="bottom"/>
          </w:tcPr>
          <w:p>
            <w:pPr>
              <w:jc w:val="center"/>
              <w:ind w:right="112"/>
              <w:spacing w:after="0"/>
              <w:rPr>
                <w:sz w:val="20"/>
                <w:szCs w:val="20"/>
                <w:color w:val="auto"/>
              </w:rPr>
            </w:pPr>
            <w:r>
              <w:rPr>
                <w:rFonts w:ascii="Arial" w:cs="Arial" w:eastAsia="Arial" w:hAnsi="Arial"/>
                <w:sz w:val="14"/>
                <w:szCs w:val="14"/>
                <w:color w:val="auto"/>
                <w:w w:val="92"/>
              </w:rPr>
              <w:t>CWEN.A</w:t>
            </w:r>
          </w:p>
        </w:tc>
        <w:tc>
          <w:tcPr>
            <w:tcW w:w="4700" w:type="dxa"/>
            <w:vAlign w:val="bottom"/>
          </w:tcPr>
          <w:p>
            <w:pPr>
              <w:jc w:val="center"/>
              <w:ind w:right="212"/>
              <w:spacing w:after="0"/>
              <w:rPr>
                <w:sz w:val="20"/>
                <w:szCs w:val="20"/>
                <w:color w:val="auto"/>
              </w:rPr>
            </w:pPr>
            <w:r>
              <w:rPr>
                <w:rFonts w:ascii="Arial" w:cs="Arial" w:eastAsia="Arial" w:hAnsi="Arial"/>
                <w:sz w:val="14"/>
                <w:szCs w:val="14"/>
                <w:color w:val="auto"/>
                <w:w w:val="88"/>
              </w:rPr>
              <w:t>New York Stock Exchange</w:t>
            </w:r>
          </w:p>
        </w:tc>
      </w:tr>
      <w:tr>
        <w:trPr>
          <w:trHeight w:val="173"/>
        </w:trPr>
        <w:tc>
          <w:tcPr>
            <w:tcW w:w="3800" w:type="dxa"/>
            <w:vAlign w:val="bottom"/>
          </w:tcPr>
          <w:p>
            <w:pPr>
              <w:jc w:val="center"/>
              <w:ind w:left="32"/>
              <w:spacing w:after="0"/>
              <w:rPr>
                <w:sz w:val="20"/>
                <w:szCs w:val="20"/>
                <w:color w:val="auto"/>
              </w:rPr>
            </w:pPr>
            <w:r>
              <w:rPr>
                <w:rFonts w:ascii="Arial" w:cs="Arial" w:eastAsia="Arial" w:hAnsi="Arial"/>
                <w:sz w:val="14"/>
                <w:szCs w:val="14"/>
                <w:color w:val="auto"/>
                <w:w w:val="87"/>
              </w:rPr>
              <w:t>Class C Common Stock, par value $0.01</w:t>
            </w:r>
          </w:p>
        </w:tc>
        <w:tc>
          <w:tcPr>
            <w:tcW w:w="2780" w:type="dxa"/>
            <w:vAlign w:val="bottom"/>
          </w:tcPr>
          <w:p>
            <w:pPr>
              <w:jc w:val="center"/>
              <w:ind w:right="112"/>
              <w:spacing w:after="0"/>
              <w:rPr>
                <w:sz w:val="20"/>
                <w:szCs w:val="20"/>
                <w:color w:val="auto"/>
              </w:rPr>
            </w:pPr>
            <w:r>
              <w:rPr>
                <w:rFonts w:ascii="Arial" w:cs="Arial" w:eastAsia="Arial" w:hAnsi="Arial"/>
                <w:sz w:val="14"/>
                <w:szCs w:val="14"/>
                <w:color w:val="auto"/>
                <w:w w:val="93"/>
              </w:rPr>
              <w:t>CWEN</w:t>
            </w:r>
          </w:p>
        </w:tc>
        <w:tc>
          <w:tcPr>
            <w:tcW w:w="4700" w:type="dxa"/>
            <w:vAlign w:val="bottom"/>
          </w:tcPr>
          <w:p>
            <w:pPr>
              <w:jc w:val="center"/>
              <w:ind w:right="212"/>
              <w:spacing w:after="0"/>
              <w:rPr>
                <w:sz w:val="20"/>
                <w:szCs w:val="20"/>
                <w:color w:val="auto"/>
              </w:rPr>
            </w:pPr>
            <w:r>
              <w:rPr>
                <w:rFonts w:ascii="Arial" w:cs="Arial" w:eastAsia="Arial" w:hAnsi="Arial"/>
                <w:sz w:val="14"/>
                <w:szCs w:val="14"/>
                <w:color w:val="auto"/>
                <w:w w:val="88"/>
              </w:rPr>
              <w:t>New York Stock Exchange</w:t>
            </w:r>
          </w:p>
        </w:tc>
      </w:tr>
    </w:tbl>
    <w:p>
      <w:pPr>
        <w:spacing w:after="0" w:line="235" w:lineRule="exact"/>
        <w:rPr>
          <w:sz w:val="24"/>
          <w:szCs w:val="24"/>
          <w:color w:val="auto"/>
        </w:rPr>
      </w:pPr>
    </w:p>
    <w:p>
      <w:pPr>
        <w:jc w:val="both"/>
        <w:ind w:right="20"/>
        <w:spacing w:after="0" w:line="24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640"/>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203" w:lineRule="exact"/>
        <w:rPr>
          <w:sz w:val="24"/>
          <w:szCs w:val="24"/>
          <w:color w:val="auto"/>
        </w:rPr>
      </w:pPr>
    </w:p>
    <w:p>
      <w:pPr>
        <w:ind w:right="120"/>
        <w:spacing w:after="0" w:line="24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679450</wp:posOffset>
            </wp:positionV>
            <wp:extent cx="719074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100"/>
                    </a:xfrm>
                    <a:prstGeom prst="rect">
                      <a:avLst/>
                    </a:prstGeom>
                    <a:noFill/>
                  </pic:spPr>
                </pic:pic>
              </a:graphicData>
            </a:graphic>
          </wp:anchor>
        </w:drawing>
      </w:r>
    </w:p>
    <w:p>
      <w:pPr>
        <w:sectPr>
          <w:pgSz w:w="11900" w:h="16838" w:orient="portrait"/>
          <w:cols w:equalWidth="0" w:num="1">
            <w:col w:w="11280"/>
          </w:cols>
          <w:pgMar w:left="300" w:top="1416" w:right="319" w:bottom="144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9" w:lineRule="exact"/>
        <w:rPr>
          <w:sz w:val="20"/>
          <w:szCs w:val="20"/>
          <w:color w:val="auto"/>
        </w:rPr>
      </w:pPr>
    </w:p>
    <w:p>
      <w:pPr>
        <w:jc w:val="both"/>
        <w:ind w:firstLine="154"/>
        <w:spacing w:after="0" w:line="315" w:lineRule="auto"/>
        <w:rPr>
          <w:sz w:val="20"/>
          <w:szCs w:val="20"/>
          <w:color w:val="auto"/>
        </w:rPr>
      </w:pPr>
      <w:r>
        <w:rPr>
          <w:rFonts w:ascii="Arial" w:cs="Arial" w:eastAsia="Arial" w:hAnsi="Arial"/>
          <w:sz w:val="12"/>
          <w:szCs w:val="12"/>
          <w:color w:val="auto"/>
        </w:rPr>
        <w:t xml:space="preserve">On November 4, 2021, Clearway Energy, Inc. issued a press release announcing its financial results for the quarter ended September 30, 2021. A copy of the press release is furnished as Exhibit 99.1 to this report on Form 8-K and is hereby incorporated by reference. </w:t>
      </w:r>
      <w:r>
        <w:rPr>
          <w:rFonts w:ascii="Arial" w:cs="Arial" w:eastAsia="Arial" w:hAnsi="Arial"/>
          <w:sz w:val="12"/>
          <w:szCs w:val="12"/>
          <w:color w:val="212529"/>
        </w:rPr>
        <w:t>In accordance with General Instruction B.2 of Form 8-K, the information set forth in this Item 2.02 and in the attached exhibit are deemed to</w:t>
      </w:r>
      <w:r>
        <w:rPr>
          <w:rFonts w:ascii="Arial" w:cs="Arial" w:eastAsia="Arial" w:hAnsi="Arial"/>
          <w:sz w:val="12"/>
          <w:szCs w:val="12"/>
          <w:color w:val="auto"/>
        </w:rPr>
        <w:t xml:space="preserve"> </w:t>
      </w:r>
      <w:r>
        <w:rPr>
          <w:rFonts w:ascii="Arial" w:cs="Arial" w:eastAsia="Arial" w:hAnsi="Arial"/>
          <w:sz w:val="12"/>
          <w:szCs w:val="12"/>
          <w:color w:val="212529"/>
        </w:rPr>
        <w:t>be furnished and shall not be deemed to be “filed” for purposes of Section 18 of the Securities Exchange Act of 1934, as amended (the “Exchange Act”).</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 Exhibits</w:t>
      </w:r>
    </w:p>
    <w:p>
      <w:pPr>
        <w:spacing w:after="0" w:line="187" w:lineRule="exact"/>
        <w:rPr>
          <w:sz w:val="20"/>
          <w:szCs w:val="20"/>
          <w:color w:val="auto"/>
        </w:rPr>
      </w:pPr>
    </w:p>
    <w:p>
      <w:pPr>
        <w:jc w:val="both"/>
        <w:ind w:firstLine="491"/>
        <w:spacing w:after="0" w:line="262" w:lineRule="auto"/>
        <w:rPr>
          <w:sz w:val="20"/>
          <w:szCs w:val="20"/>
          <w:color w:val="auto"/>
        </w:rPr>
      </w:pPr>
      <w:r>
        <w:rPr>
          <w:rFonts w:ascii="Arial" w:cs="Arial" w:eastAsia="Arial" w:hAnsi="Arial"/>
          <w:sz w:val="14"/>
          <w:szCs w:val="14"/>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80"/>
          </w:cols>
          <w:pgMar w:left="300" w:top="1016" w:right="31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12655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5555" cy="63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1796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9695" cy="6350"/>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 xml:space="preserve">Press Release, dated November </w:t>
        </w:r>
      </w:hyperlink>
      <w:r>
        <w:rPr>
          <w:rFonts w:ascii="Arial" w:cs="Arial" w:eastAsia="Arial" w:hAnsi="Arial"/>
          <w:sz w:val="14"/>
          <w:szCs w:val="14"/>
          <w:u w:val="single" w:color="auto"/>
          <w:color w:val="0000FF"/>
        </w:rPr>
        <w:t xml:space="preserve">4, </w:t>
      </w:r>
      <w:hyperlink w:anchor="page4">
        <w:r>
          <w:rPr>
            <w:rFonts w:ascii="Arial" w:cs="Arial" w:eastAsia="Arial" w:hAnsi="Arial"/>
            <w:sz w:val="14"/>
            <w:szCs w:val="14"/>
            <w:u w:val="single" w:color="auto"/>
            <w:color w:val="0000FF"/>
          </w:rPr>
          <w:t>2021</w:t>
        </w:r>
      </w:hyperlink>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p>
      <w:pPr>
        <w:spacing w:after="0" w:line="223" w:lineRule="exact"/>
        <w:rPr>
          <w:sz w:val="20"/>
          <w:szCs w:val="20"/>
          <w:color w:val="auto"/>
        </w:rPr>
      </w:pPr>
    </w:p>
    <w:p>
      <w:pPr>
        <w:sectPr>
          <w:pgSz w:w="11900" w:h="16838" w:orient="portrait"/>
          <w:cols w:equalWidth="0" w:num="2">
            <w:col w:w="1760" w:space="720"/>
            <w:col w:w="8800"/>
          </w:cols>
          <w:pgMar w:left="300" w:top="101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193675</wp:posOffset>
            </wp:positionV>
            <wp:extent cx="719074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740" cy="38100"/>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4"/>
          <w:szCs w:val="14"/>
          <w:b w:val="1"/>
          <w:bCs w:val="1"/>
          <w:u w:val="single" w:color="auto"/>
          <w:color w:val="auto"/>
        </w:rPr>
        <w:t>SIGNATURES</w:t>
      </w: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Clearway Energy, Inc.</w:t>
      </w:r>
    </w:p>
    <w:p>
      <w:pPr>
        <w:spacing w:after="0" w:line="1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(Registrant)</w:t>
      </w:r>
    </w:p>
    <w:p>
      <w:pPr>
        <w:spacing w:after="0" w:line="207" w:lineRule="exact"/>
        <w:rPr>
          <w:sz w:val="20"/>
          <w:szCs w:val="20"/>
          <w:color w:val="auto"/>
        </w:rPr>
      </w:pPr>
    </w:p>
    <w:tbl>
      <w:tblPr>
        <w:tblLayout w:type="fixed"/>
        <w:tblInd w:w="5600" w:type="dxa"/>
        <w:tblCellMar>
          <w:top w:w="0" w:type="dxa"/>
          <w:left w:w="0" w:type="dxa"/>
          <w:bottom w:w="0" w:type="dxa"/>
          <w:right w:w="0" w:type="dxa"/>
        </w:tblCellMar>
      </w:tblPr>
      <w:tr>
        <w:trPr>
          <w:trHeight w:val="174"/>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Kevin P. Malcarney</w:t>
            </w:r>
          </w:p>
        </w:tc>
      </w:tr>
      <w:tr>
        <w:trPr>
          <w:trHeight w:val="164"/>
        </w:trPr>
        <w:tc>
          <w:tcPr>
            <w:tcW w:w="56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Kevin P. Malcarney</w:t>
            </w:r>
          </w:p>
        </w:tc>
      </w:tr>
      <w:tr>
        <w:trPr>
          <w:trHeight w:val="173"/>
        </w:trPr>
        <w:tc>
          <w:tcPr>
            <w:tcW w:w="56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General Counsel and Corporate Secretary</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Dated: 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20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1849755" cy="24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9755" cy="24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Clearway Energy, Inc. Reports Third Quarter 2021 Financial Results</w:t>
      </w:r>
    </w:p>
    <w:p>
      <w:pPr>
        <w:spacing w:after="0" w:line="218" w:lineRule="exact"/>
        <w:rPr>
          <w:sz w:val="20"/>
          <w:szCs w:val="20"/>
          <w:color w:val="auto"/>
        </w:rPr>
      </w:pPr>
    </w:p>
    <w:p>
      <w:pPr>
        <w:ind w:left="480" w:hanging="23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Signed binding agreement with KKR to sell Clearway’s Thermal Business for $1.9 billion</w:t>
      </w:r>
    </w:p>
    <w:p>
      <w:pPr>
        <w:spacing w:after="0" w:line="10" w:lineRule="exact"/>
        <w:rPr>
          <w:rFonts w:ascii="Arial" w:cs="Arial" w:eastAsia="Arial" w:hAnsi="Arial"/>
          <w:sz w:val="16"/>
          <w:szCs w:val="16"/>
          <w:color w:val="auto"/>
        </w:rPr>
      </w:pPr>
    </w:p>
    <w:p>
      <w:pPr>
        <w:ind w:left="480" w:hanging="233"/>
        <w:spacing w:after="0"/>
        <w:tabs>
          <w:tab w:leader="none" w:pos="480" w:val="left"/>
        </w:tabs>
        <w:numPr>
          <w:ilvl w:val="0"/>
          <w:numId w:val="2"/>
        </w:numPr>
        <w:rPr>
          <w:rFonts w:ascii="Arial" w:cs="Arial" w:eastAsia="Arial" w:hAnsi="Arial"/>
          <w:sz w:val="16"/>
          <w:szCs w:val="16"/>
          <w:b w:val="1"/>
          <w:bCs w:val="1"/>
          <w:color w:val="auto"/>
        </w:rPr>
      </w:pPr>
      <w:r>
        <w:rPr>
          <w:rFonts w:ascii="Arial" w:cs="Arial" w:eastAsia="Arial" w:hAnsi="Arial"/>
          <w:sz w:val="14"/>
          <w:szCs w:val="14"/>
          <w:b w:val="1"/>
          <w:bCs w:val="1"/>
          <w:color w:val="auto"/>
        </w:rPr>
        <w:t>Entered into new Resource Adequacy contracts for Marsh Landing and Walnut Creek; now approximately 80% and 100% contracted, respectively, through 2026</w:t>
      </w:r>
    </w:p>
    <w:p>
      <w:pPr>
        <w:spacing w:after="0" w:line="2" w:lineRule="exact"/>
        <w:rPr>
          <w:rFonts w:ascii="Arial" w:cs="Arial" w:eastAsia="Arial" w:hAnsi="Arial"/>
          <w:sz w:val="16"/>
          <w:szCs w:val="16"/>
          <w:b w:val="1"/>
          <w:bCs w:val="1"/>
          <w:color w:val="auto"/>
        </w:rPr>
      </w:pPr>
    </w:p>
    <w:p>
      <w:pPr>
        <w:ind w:left="480" w:hanging="233"/>
        <w:spacing w:after="0"/>
        <w:tabs>
          <w:tab w:leader="none" w:pos="48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Executed agreement to acquire the remaining 50% interest in the 530 MW Utah Solar Portfolio</w:t>
      </w:r>
    </w:p>
    <w:p>
      <w:pPr>
        <w:spacing w:after="0" w:line="10" w:lineRule="exact"/>
        <w:rPr>
          <w:rFonts w:ascii="Arial" w:cs="Arial" w:eastAsia="Arial" w:hAnsi="Arial"/>
          <w:sz w:val="14"/>
          <w:szCs w:val="14"/>
          <w:b w:val="1"/>
          <w:bCs w:val="1"/>
          <w:color w:val="auto"/>
        </w:rPr>
      </w:pPr>
    </w:p>
    <w:p>
      <w:pPr>
        <w:ind w:left="480" w:hanging="23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Committed drop down investments with 4Q21 completion dates remain on track for closing by year-end</w:t>
      </w:r>
    </w:p>
    <w:p>
      <w:pPr>
        <w:spacing w:after="0" w:line="2" w:lineRule="exact"/>
        <w:rPr>
          <w:rFonts w:ascii="Arial" w:cs="Arial" w:eastAsia="Arial" w:hAnsi="Arial"/>
          <w:sz w:val="16"/>
          <w:szCs w:val="16"/>
          <w:color w:val="auto"/>
        </w:rPr>
      </w:pPr>
    </w:p>
    <w:p>
      <w:pPr>
        <w:ind w:left="480" w:hanging="233"/>
        <w:spacing w:after="0"/>
        <w:tabs>
          <w:tab w:leader="none" w:pos="48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Refinanced $350 million of corporate debt through the issuance of the 2032 Green Bond Senior Notes</w:t>
      </w:r>
    </w:p>
    <w:p>
      <w:pPr>
        <w:ind w:left="480" w:hanging="233"/>
        <w:spacing w:after="0"/>
        <w:tabs>
          <w:tab w:leader="none" w:pos="48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Reaffirming 2021 financial guidance, updating pro forma CAFD outlook, and initiating 2022 financial guidance</w:t>
      </w:r>
    </w:p>
    <w:p>
      <w:pPr>
        <w:spacing w:after="0" w:line="21" w:lineRule="exact"/>
        <w:rPr>
          <w:rFonts w:ascii="Arial" w:cs="Arial" w:eastAsia="Arial" w:hAnsi="Arial"/>
          <w:sz w:val="14"/>
          <w:szCs w:val="14"/>
          <w:b w:val="1"/>
          <w:bCs w:val="1"/>
          <w:color w:val="auto"/>
        </w:rPr>
      </w:pPr>
    </w:p>
    <w:p>
      <w:pPr>
        <w:ind w:left="500" w:hanging="253"/>
        <w:spacing w:after="0" w:line="235" w:lineRule="auto"/>
        <w:tabs>
          <w:tab w:leader="none" w:pos="496"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Increasing the quarterly dividend by 1.6% to $0.34 per share in the fourth quarter of 2021, or $1.36 per share annualized; now targeting to be in the upper range of 5-8% annual dividend growth objective through 2026</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 xml:space="preserve">PRINCETON, NJ </w:t>
      </w:r>
      <w:r>
        <w:rPr>
          <w:rFonts w:ascii="Arial" w:cs="Arial" w:eastAsia="Arial" w:hAnsi="Arial"/>
          <w:sz w:val="14"/>
          <w:szCs w:val="14"/>
          <w:color w:val="auto"/>
        </w:rPr>
        <w:t>—</w:t>
      </w:r>
      <w:r>
        <w:rPr>
          <w:rFonts w:ascii="Arial" w:cs="Arial" w:eastAsia="Arial" w:hAnsi="Arial"/>
          <w:sz w:val="14"/>
          <w:szCs w:val="14"/>
          <w:b w:val="1"/>
          <w:bCs w:val="1"/>
          <w:color w:val="auto"/>
        </w:rPr>
        <w:t xml:space="preserve"> November 4, 2021</w:t>
      </w:r>
      <w:r>
        <w:rPr>
          <w:rFonts w:ascii="Arial" w:cs="Arial" w:eastAsia="Arial" w:hAnsi="Arial"/>
          <w:sz w:val="14"/>
          <w:szCs w:val="14"/>
          <w:color w:val="auto"/>
        </w:rPr>
        <w:t>— Clearway Energy, Inc. (NYSE: CWEN, CWEN.A) today reported third quarter 2021 financial results, including Net Income of $25 million, Adjusted EBITDA</w:t>
      </w:r>
      <w:r>
        <w:rPr>
          <w:rFonts w:ascii="Arial" w:cs="Arial" w:eastAsia="Arial" w:hAnsi="Arial"/>
          <w:sz w:val="14"/>
          <w:szCs w:val="14"/>
          <w:b w:val="1"/>
          <w:bCs w:val="1"/>
          <w:color w:val="auto"/>
        </w:rPr>
        <w:t xml:space="preserve"> </w:t>
      </w:r>
      <w:r>
        <w:rPr>
          <w:rFonts w:ascii="Arial" w:cs="Arial" w:eastAsia="Arial" w:hAnsi="Arial"/>
          <w:sz w:val="14"/>
          <w:szCs w:val="14"/>
          <w:color w:val="auto"/>
        </w:rPr>
        <w:t>of $337 million, Cash from Operating Activities of $288 million, and Cash Available for Distribution (CAFD) of $161 million.</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the near term, Clearway remains on track to meet its financial objectives. Year to date, results are in-line with our performance sensitivities and the growth outlook into 2022 is on target as our sponsor’s remaining 2021 construction projects and the recently announced acquisition of the remaining interest in the Utah Solar Portfolio are all expected to close by year end,” said Christopher Sotos, Clearway Energy, Inc.’s President and Chief Executive Officer. "As we now look out over the long term, Clearway has never been better positioned to achieve its strategic objectives. The recently signed agreement to sell the Thermal Business provides Clearway significant financial flexibility to deliver on our goals and enhance shareholder value. Through this transaction, the Company expects to receive approximately $1.3 billion in net proceeds, of which $620 million will be allocated to the existing committed drop downs from our sponsor and the acquisition of the remaining interest in the Utah Solar Portfolio. The remaining $680 million is available for future capital deployment. Furthermore, we successfully re-contracted additional capacity at Marsh Landing and Walnut Creek such that the plants are now approximately 80% and 100% contracted, respectively, through 2026 at terms that maintain current run-rate project level CAFD. As a result of these announcements and our sponsor’s robust renewable energy development pipeline, we are updating our pro forma CAFD per share outlook and believe the Company is now well positioned to be in the upper range of its 5% to 8% annual dividend growth objective through at least 2026.”</w:t>
      </w: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and Cash Available for Distribution used in this press release are non-GAAP measures and are explained in greater detail under “Non-GAAP Financial Information”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Overview of Financial and Operating Results</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Segment Results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Table 1: Net Income/(Loss)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3"/>
        </w:trPr>
        <w:tc>
          <w:tcPr>
            <w:tcW w:w="458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5"/>
                <w:szCs w:val="15"/>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9/30/21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w w:val="85"/>
              </w:rPr>
              <w:t>9/30/20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9/30/21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9/30/20</w:t>
            </w:r>
          </w:p>
        </w:tc>
      </w:tr>
      <w:tr>
        <w:trPr>
          <w:trHeight w:val="16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4"/>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4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Income/(Loss)</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2: Adjusted EBITDA</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2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5"/>
                <w:szCs w:val="15"/>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9/30/21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w w:val="85"/>
              </w:rPr>
              <w:t>9/30/20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9/30/21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9/30/20</w:t>
            </w:r>
          </w:p>
        </w:tc>
      </w:tr>
      <w:tr>
        <w:trPr>
          <w:trHeight w:val="16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74"/>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4"/>
        </w:trPr>
        <w:tc>
          <w:tcPr>
            <w:tcW w:w="4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3: Cash from Operating Activities and Cash Available for Distribution (CAFD)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Pr>
          <w:p>
            <w:pPr>
              <w:spacing w:after="0"/>
              <w:rPr>
                <w:sz w:val="15"/>
                <w:szCs w:val="15"/>
                <w:color w:val="auto"/>
              </w:rPr>
            </w:pPr>
          </w:p>
        </w:tc>
      </w:tr>
      <w:tr>
        <w:trPr>
          <w:trHeight w:val="176"/>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9/30/21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9/30/20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9/30/21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9/30/20</w:t>
            </w:r>
          </w:p>
        </w:tc>
        <w:tc>
          <w:tcPr>
            <w:tcW w:w="520" w:type="dxa"/>
            <w:vAlign w:val="bottom"/>
          </w:tcPr>
          <w:p>
            <w:pPr>
              <w:spacing w:after="0"/>
              <w:rPr>
                <w:sz w:val="15"/>
                <w:szCs w:val="15"/>
                <w:color w:val="auto"/>
              </w:rPr>
            </w:pPr>
          </w:p>
        </w:tc>
      </w:tr>
      <w:tr>
        <w:trPr>
          <w:trHeight w:val="164"/>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from Operating Activities</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4"/>
        </w:trPr>
        <w:tc>
          <w:tcPr>
            <w:tcW w:w="4420" w:type="dxa"/>
            <w:vAlign w:val="bottom"/>
            <w:tcBorders>
              <w:bottom w:val="single" w:sz="8" w:color="auto"/>
            </w:tcBorders>
          </w:tcPr>
          <w:p>
            <w:pPr>
              <w:ind w:left="20"/>
              <w:spacing w:after="0" w:line="185" w:lineRule="exact"/>
              <w:rPr>
                <w:sz w:val="20"/>
                <w:szCs w:val="20"/>
                <w:color w:val="auto"/>
              </w:rPr>
            </w:pPr>
            <w:r>
              <w:rPr>
                <w:rFonts w:ascii="Arial" w:cs="Arial" w:eastAsia="Arial" w:hAnsi="Arial"/>
                <w:sz w:val="14"/>
                <w:szCs w:val="14"/>
                <w:color w:val="auto"/>
              </w:rPr>
              <w:t>Cash Available for Distribution (CAFD)</w:t>
            </w:r>
            <w:r>
              <w:rPr>
                <w:rFonts w:ascii="Arial" w:cs="Arial" w:eastAsia="Arial" w:hAnsi="Arial"/>
                <w:sz w:val="17"/>
                <w:szCs w:val="17"/>
                <w:color w:val="auto"/>
                <w:vertAlign w:val="superscript"/>
              </w:rPr>
              <w:t>1</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r>
    </w:tbl>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For the third quarter of 2021, the Company reported Net Income of $25 million, Adjusted EBITDA of $337 million, Cash from Operating Activities of $288 million, and CAFD of $161 million. Net Income decreased versus the third quarter of 2020 primarily due to higher depreciation expense from growth investments. Adjusted EBITDA results in the third quarter of 2021 were higher than the third quarter of 2020 primarily due to the contribution from growth investments. In the third quarter of 2021, CAFD results were lower than third quarter of 2020 primarily due to the timing of project level debt service which was partially offset by higher Adjusted EBITDA.</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Update</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Due to the COVID-19 pandemic, the Company has implemented measures and developed corporate and regional response plans to protect its employees and to maintain safe and reliable operations at its facilities. The Company does not currently anticipate any material impact to its financial conditions resulting from the pandemic, however it has seen some degradation in volumetric sales on a weather normalized basis at certain Thermal locations. The Company continues to anticipate that there will be lower volumetric sales on a weather normalized basis at the Thermal segment through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Operational Performance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8"/>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Table 4: Selected Operating Results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360" w:type="dxa"/>
            <w:vAlign w:val="bottom"/>
            <w:gridSpan w:val="3"/>
          </w:tcPr>
          <w:p>
            <w:pPr>
              <w:ind w:left="20"/>
              <w:spacing w:after="0"/>
              <w:rPr>
                <w:sz w:val="20"/>
                <w:szCs w:val="20"/>
                <w:color w:val="auto"/>
              </w:rPr>
            </w:pPr>
            <w:r>
              <w:rPr>
                <w:rFonts w:ascii="Arial" w:cs="Arial" w:eastAsia="Arial" w:hAnsi="Arial"/>
                <w:sz w:val="14"/>
                <w:szCs w:val="14"/>
                <w:i w:val="1"/>
                <w:iCs w:val="1"/>
                <w:color w:val="auto"/>
              </w:rPr>
              <w:t>(MWh and MWht in thousands)</w:t>
            </w:r>
          </w:p>
        </w:tc>
        <w:tc>
          <w:tcPr>
            <w:tcW w:w="1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Nine Months Ended</w:t>
            </w:r>
          </w:p>
        </w:tc>
        <w:tc>
          <w:tcPr>
            <w:tcW w:w="1040" w:type="dxa"/>
            <w:vAlign w:val="bottom"/>
          </w:tcPr>
          <w:p>
            <w:pPr>
              <w:spacing w:after="0"/>
              <w:rPr>
                <w:sz w:val="16"/>
                <w:szCs w:val="16"/>
                <w:color w:val="auto"/>
              </w:rPr>
            </w:pPr>
          </w:p>
        </w:tc>
      </w:tr>
      <w:tr>
        <w:trPr>
          <w:trHeight w:val="176"/>
        </w:trPr>
        <w:tc>
          <w:tcPr>
            <w:tcW w:w="5360" w:type="dxa"/>
            <w:vAlign w:val="bottom"/>
            <w:gridSpan w:val="3"/>
          </w:tcPr>
          <w:p>
            <w:pPr>
              <w:ind w:left="4940"/>
              <w:spacing w:after="0"/>
              <w:rPr>
                <w:sz w:val="20"/>
                <w:szCs w:val="20"/>
                <w:color w:val="auto"/>
              </w:rPr>
            </w:pPr>
            <w:r>
              <w:rPr>
                <w:rFonts w:ascii="Arial" w:cs="Arial" w:eastAsia="Arial" w:hAnsi="Arial"/>
                <w:sz w:val="14"/>
                <w:szCs w:val="14"/>
                <w:b w:val="1"/>
                <w:bCs w:val="1"/>
                <w:color w:val="auto"/>
                <w:w w:val="85"/>
              </w:rPr>
              <w:t>9/30/21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9/30/20</w:t>
            </w: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9/30/21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w w:val="89"/>
              </w:rPr>
              <w:t>9/30/20</w:t>
            </w:r>
          </w:p>
        </w:tc>
      </w:tr>
      <w:tr>
        <w:trPr>
          <w:trHeight w:val="185"/>
        </w:trPr>
        <w:tc>
          <w:tcPr>
            <w:tcW w:w="4220" w:type="dxa"/>
            <w:vAlign w:val="bottom"/>
            <w:tcBorders>
              <w:top w:val="single" w:sz="8" w:color="auto"/>
            </w:tcBorders>
            <w:shd w:val="clear" w:color="auto" w:fill="CCEEFF"/>
          </w:tcPr>
          <w:p>
            <w:pPr>
              <w:ind w:left="20"/>
              <w:spacing w:after="0" w:line="185" w:lineRule="exact"/>
              <w:rPr>
                <w:sz w:val="20"/>
                <w:szCs w:val="20"/>
                <w:color w:val="auto"/>
              </w:rPr>
            </w:pPr>
            <w:r>
              <w:rPr>
                <w:rFonts w:ascii="Arial" w:cs="Arial" w:eastAsia="Arial" w:hAnsi="Arial"/>
                <w:sz w:val="14"/>
                <w:szCs w:val="14"/>
                <w:color w:val="auto"/>
              </w:rPr>
              <w:t>Conventional Equivalent Availability Factor</w:t>
            </w:r>
            <w:r>
              <w:rPr>
                <w:rFonts w:ascii="Arial" w:cs="Arial" w:eastAsia="Arial" w:hAnsi="Arial"/>
                <w:sz w:val="17"/>
                <w:szCs w:val="17"/>
                <w:color w:val="auto"/>
                <w:vertAlign w:val="superscript"/>
              </w:rPr>
              <w:t>2</w:t>
            </w: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99.8 %</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98.9 %</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93.4 %</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94.3 %</w:t>
            </w:r>
          </w:p>
        </w:tc>
      </w:tr>
      <w:tr>
        <w:trPr>
          <w:trHeight w:val="194"/>
        </w:trPr>
        <w:tc>
          <w:tcPr>
            <w:tcW w:w="5360" w:type="dxa"/>
            <w:vAlign w:val="bottom"/>
            <w:gridSpan w:val="3"/>
          </w:tcPr>
          <w:p>
            <w:pPr>
              <w:ind w:left="20"/>
              <w:spacing w:after="0" w:line="194" w:lineRule="exact"/>
              <w:rPr>
                <w:sz w:val="20"/>
                <w:szCs w:val="20"/>
                <w:color w:val="auto"/>
              </w:rPr>
            </w:pPr>
            <w:r>
              <w:rPr>
                <w:rFonts w:ascii="Arial" w:cs="Arial" w:eastAsia="Arial" w:hAnsi="Arial"/>
                <w:sz w:val="14"/>
                <w:szCs w:val="14"/>
                <w:color w:val="auto"/>
              </w:rPr>
              <w:t>Renewables Generation Sold (MWh)</w:t>
            </w:r>
            <w:r>
              <w:rPr>
                <w:rFonts w:ascii="Arial" w:cs="Arial" w:eastAsia="Arial" w:hAnsi="Arial"/>
                <w:sz w:val="17"/>
                <w:szCs w:val="17"/>
                <w:color w:val="auto"/>
                <w:vertAlign w:val="superscript"/>
              </w:rPr>
              <w:t>3</w:t>
            </w: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2,740</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color w:val="auto"/>
                <w:w w:val="96"/>
              </w:rPr>
              <w:t>1,815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5,746</w:t>
            </w:r>
          </w:p>
        </w:tc>
      </w:tr>
      <w:tr>
        <w:trPr>
          <w:trHeight w:val="174"/>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Thermal Generation Sold (MWh/MWht)</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526</w:t>
            </w:r>
          </w:p>
        </w:tc>
        <w:tc>
          <w:tcPr>
            <w:tcW w:w="1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w:t>
            </w:r>
          </w:p>
        </w:tc>
      </w:tr>
    </w:tbl>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the third quarter of 2021, availability at the Conventional segment was higher than the third quarter of 2020 primarily due to excellent summer performance with improved availability across the portfolio. Generation in the Renewables segment during the third quarter of 2021 was 51% higher than the third quarter of 2020 primarily due to the contribution of growth investments. These growth investments included the acquisition of the 35% interest in Agua Caliente and the additional interest in the Distributed Generation partnerships where results for both are now consolidated due to the resulting change in ownership. Thermal generation sold was 9% higher during the third quarter of 2021 versus the third quarter of 2020 primarily due to favorable weather conditions for the segment and the effects of the COVID-19 pandemic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12979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334" w:lineRule="exact"/>
        <w:rPr>
          <w:sz w:val="20"/>
          <w:szCs w:val="20"/>
          <w:color w:val="auto"/>
        </w:rPr>
      </w:pPr>
    </w:p>
    <w:p>
      <w:pPr>
        <w:ind w:left="80" w:hanging="78"/>
        <w:spacing w:after="0"/>
        <w:tabs>
          <w:tab w:leader="none" w:pos="80" w:val="left"/>
        </w:tabs>
        <w:numPr>
          <w:ilvl w:val="0"/>
          <w:numId w:val="3"/>
        </w:numPr>
        <w:rPr>
          <w:rFonts w:ascii="Arial" w:cs="Arial" w:eastAsia="Arial" w:hAnsi="Arial"/>
          <w:sz w:val="17"/>
          <w:szCs w:val="17"/>
          <w:color w:val="auto"/>
          <w:vertAlign w:val="superscript"/>
        </w:rPr>
      </w:pPr>
      <w:r>
        <w:rPr>
          <w:rFonts w:ascii="Arial" w:cs="Arial" w:eastAsia="Arial" w:hAnsi="Arial"/>
          <w:sz w:val="10"/>
          <w:szCs w:val="10"/>
          <w:color w:val="auto"/>
        </w:rPr>
        <w:t>Includes adjustments to reflect CAFD generated by unconsolidated investments that were not able to distribute project dividends prior to PG&amp;E's emergence from bankruptcy on July 1, 2020 and subsequent release post-bankruptcy</w:t>
      </w:r>
    </w:p>
    <w:p>
      <w:pPr>
        <w:spacing w:after="0" w:line="14" w:lineRule="exact"/>
        <w:rPr>
          <w:rFonts w:ascii="Arial" w:cs="Arial" w:eastAsia="Arial" w:hAnsi="Arial"/>
          <w:sz w:val="17"/>
          <w:szCs w:val="17"/>
          <w:color w:val="auto"/>
          <w:vertAlign w:val="superscript"/>
        </w:rPr>
      </w:pPr>
    </w:p>
    <w:p>
      <w:pPr>
        <w:spacing w:after="0" w:line="186"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2</w:t>
      </w:r>
      <w:r>
        <w:rPr>
          <w:rFonts w:ascii="Arial" w:cs="Arial" w:eastAsia="Arial" w:hAnsi="Arial"/>
          <w:sz w:val="10"/>
          <w:szCs w:val="10"/>
          <w:color w:val="auto"/>
        </w:rPr>
        <w:t xml:space="preserve"> Excludes unconsolidated projects</w:t>
      </w:r>
    </w:p>
    <w:p>
      <w:pPr>
        <w:spacing w:after="0"/>
        <w:rPr>
          <w:rFonts w:ascii="Arial" w:cs="Arial" w:eastAsia="Arial" w:hAnsi="Arial"/>
          <w:sz w:val="17"/>
          <w:szCs w:val="17"/>
          <w:color w:val="auto"/>
          <w:vertAlign w:val="superscript"/>
        </w:rPr>
      </w:pPr>
      <w:r>
        <w:rPr>
          <w:rFonts w:ascii="Arial" w:cs="Arial" w:eastAsia="Arial" w:hAnsi="Arial"/>
          <w:sz w:val="17"/>
          <w:szCs w:val="17"/>
          <w:color w:val="auto"/>
          <w:vertAlign w:val="superscript"/>
        </w:rPr>
        <w:t>3</w:t>
      </w:r>
      <w:r>
        <w:rPr>
          <w:rFonts w:ascii="Arial" w:cs="Arial" w:eastAsia="Arial" w:hAnsi="Arial"/>
          <w:sz w:val="11"/>
          <w:szCs w:val="11"/>
          <w:color w:val="auto"/>
        </w:rPr>
        <w:t xml:space="preserve"> Generation sold excludes MWh that are reimbursable for economic curtailment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740"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5"/>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Liquidity and Capital Resources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8"/>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Table 5: Liquidity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5"/>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12/31/2020</w:t>
            </w:r>
          </w:p>
        </w:tc>
      </w:tr>
      <w:tr>
        <w:trPr>
          <w:trHeight w:val="154"/>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74"/>
        </w:trPr>
        <w:tc>
          <w:tcPr>
            <w:tcW w:w="7080" w:type="dxa"/>
            <w:vAlign w:val="bottom"/>
            <w:gridSpan w:val="2"/>
          </w:tcPr>
          <w:p>
            <w:pPr>
              <w:ind w:left="160"/>
              <w:spacing w:after="0"/>
              <w:rPr>
                <w:sz w:val="20"/>
                <w:szCs w:val="20"/>
                <w:color w:val="auto"/>
              </w:rPr>
            </w:pPr>
            <w:r>
              <w:rPr>
                <w:rFonts w:ascii="Arial" w:cs="Arial" w:eastAsia="Arial" w:hAnsi="Arial"/>
                <w:sz w:val="12"/>
                <w:szCs w:val="12"/>
                <w:color w:val="auto"/>
              </w:rPr>
              <w:t>Clearway Energy, Inc. and Clearway Energy LLC, excluding subsidiaries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74"/>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Subsidiaries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61"/>
        </w:trPr>
        <w:tc>
          <w:tcPr>
            <w:tcW w:w="7080" w:type="dxa"/>
            <w:vAlign w:val="bottom"/>
            <w:gridSpan w:val="2"/>
          </w:tcPr>
          <w:p>
            <w:pPr>
              <w:ind w:left="20"/>
              <w:spacing w:after="0"/>
              <w:rPr>
                <w:sz w:val="20"/>
                <w:szCs w:val="20"/>
                <w:color w:val="auto"/>
              </w:rPr>
            </w:pPr>
            <w:r>
              <w:rPr>
                <w:rFonts w:ascii="Arial" w:cs="Arial" w:eastAsia="Arial" w:hAnsi="Arial"/>
                <w:sz w:val="12"/>
                <w:szCs w:val="12"/>
                <w:b w:val="1"/>
                <w:bCs w:val="1"/>
                <w:color w:val="auto"/>
              </w:rPr>
              <w:t>Restricted Cash:</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Operating accounts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74"/>
        </w:trPr>
        <w:tc>
          <w:tcPr>
            <w:tcW w:w="7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Reserves, including debt service, distributions, performance obligations and other reserves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r>
      <w:tr>
        <w:trPr>
          <w:trHeight w:val="164"/>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Cash</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r>
      <w:tr>
        <w:trPr>
          <w:trHeight w:val="164"/>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Revolving credit facility availability</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r>
      <w:tr>
        <w:trPr>
          <w:trHeight w:val="189"/>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Liquidity</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Total liquidity as of September 30, 2021 was $898 million, which was $4 million higher than as of December 31, 2020 as the issuance of the 3.75% Senior Notes due 2031 and higher restricted cash balances at project level subsidiaries was largely offset by the execution of growth investments and the redemption of the 5.75% Senior Notes due 2025.</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231F20"/>
        </w:rPr>
        <w:t xml:space="preserve">The Company's liquidity includes </w:t>
      </w:r>
      <w:r>
        <w:rPr>
          <w:rFonts w:ascii="Arial" w:cs="Arial" w:eastAsia="Arial" w:hAnsi="Arial"/>
          <w:sz w:val="14"/>
          <w:szCs w:val="14"/>
          <w:color w:val="000000"/>
        </w:rPr>
        <w:t>$366 million</w:t>
      </w:r>
      <w:r>
        <w:rPr>
          <w:rFonts w:ascii="Arial" w:cs="Arial" w:eastAsia="Arial" w:hAnsi="Arial"/>
          <w:sz w:val="14"/>
          <w:szCs w:val="14"/>
          <w:color w:val="231F20"/>
        </w:rPr>
        <w:t xml:space="preserve"> of restricted cash as of September 30, 2021. Restricted cash consists primarily of funds to satisfy the requirements of certain debt arrangements and funds held within the Company's projects that are restricted in their use. As </w:t>
      </w:r>
      <w:r>
        <w:rPr>
          <w:rFonts w:ascii="Arial" w:cs="Arial" w:eastAsia="Arial" w:hAnsi="Arial"/>
          <w:sz w:val="14"/>
          <w:szCs w:val="14"/>
          <w:color w:val="000000"/>
        </w:rPr>
        <w:t>of September 30, 2021, these restricted funds were comprised of $121 million designated to fund operating expenses, approximately $68</w:t>
      </w:r>
      <w:r>
        <w:rPr>
          <w:rFonts w:ascii="Arial" w:cs="Arial" w:eastAsia="Arial" w:hAnsi="Arial"/>
          <w:sz w:val="14"/>
          <w:szCs w:val="14"/>
          <w:color w:val="231F20"/>
        </w:rPr>
        <w:t xml:space="preserve"> </w:t>
      </w:r>
      <w:r>
        <w:rPr>
          <w:rFonts w:ascii="Arial" w:cs="Arial" w:eastAsia="Arial" w:hAnsi="Arial"/>
          <w:sz w:val="14"/>
          <w:szCs w:val="14"/>
          <w:color w:val="000000"/>
        </w:rPr>
        <w:t>million designated for current debt service payments, and $133 million of reserves for debt service, performance obligations and other items including capital expenditures. The remaining $44 million is held in distribution reserve accounts.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Potential future sources of liquidity include excess operating cash flow, availability under the revolving credit facility, which stands at $375 million as of October 31, 2021, proceeds from asset dispositions, including the sale of the Thermal Business, and, subject to market conditions, new corporate debt and equity financings.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Due to the timing of growth investments and the expected closing date for the disposition of the Thermal Business, the Company expects to arrange additional temporary bridge financing to acquire the remaining 50% interest in the Utah Solar Portfolio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Disposition of the Thermal Business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October 25, 2021, the Company announced that through its subsidiary Clearway Energy Operating LLC, it had entered into a binding agreement to sell its Thermal Business to KKR for total consideration of $1.9 billion, subject to customary closing and working capital adjustments. Based on current estimates, the Company expects total net cash proceeds of approximately $1.3 billion as a result of the transaction. The estimated cash proceeds to the Company are after the assumption of project level debt, estimated taxes and other obligations owed, transaction expenses, and capital expenditures required to be funded pursuant to terms and conditions of the definitive agreement.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Company's Thermal Business, commercially known as Clearway Community Energy, consists of thermal infrastructure assets that provide steam, hot water and/or chilled water, and in some instances electricity, to commercial businesses, universities, hospitals, and governmental customers across the United States. For 2022, Clearway estimates that the Thermal Business would contribute approximately $40 million in segment level CAFD on a full year basis.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is subject to various customary closing conditions, approvals, and consents and is expected to close in the first half of 2022.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Investments and Commercial Agreements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70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Resource Adequacy Agreements at Marsh Landing and Walnut Creek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During the third quarter, the Company signed contracts with California Load Serving Entities to sell Resource Adequacy for the following assets:</w:t>
      </w:r>
    </w:p>
    <w:p>
      <w:pPr>
        <w:spacing w:after="0" w:line="185" w:lineRule="exact"/>
        <w:rPr>
          <w:sz w:val="20"/>
          <w:szCs w:val="20"/>
          <w:color w:val="auto"/>
        </w:rPr>
      </w:pPr>
    </w:p>
    <w:p>
      <w:pPr>
        <w:jc w:val="both"/>
        <w:ind w:left="500" w:hanging="253"/>
        <w:spacing w:after="0" w:line="249"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Marsh Landing: </w:t>
      </w:r>
      <w:r>
        <w:rPr>
          <w:rFonts w:ascii="Arial" w:cs="Arial" w:eastAsia="Arial" w:hAnsi="Arial"/>
          <w:sz w:val="14"/>
          <w:szCs w:val="14"/>
          <w:color w:val="auto"/>
        </w:rPr>
        <w:t>The Company contracted with Pacific Gas and Electric Company (PG&amp;E) to sell approximately 500 MW of Resource Adequacy commencing in May 2023. The agreement is for</w:t>
      </w:r>
      <w:r>
        <w:rPr>
          <w:rFonts w:ascii="Arial" w:cs="Arial" w:eastAsia="Arial" w:hAnsi="Arial"/>
          <w:sz w:val="14"/>
          <w:szCs w:val="14"/>
          <w:b w:val="1"/>
          <w:bCs w:val="1"/>
          <w:color w:val="auto"/>
        </w:rPr>
        <w:t xml:space="preserve"> </w:t>
      </w:r>
      <w:r>
        <w:rPr>
          <w:rFonts w:ascii="Arial" w:cs="Arial" w:eastAsia="Arial" w:hAnsi="Arial"/>
          <w:sz w:val="14"/>
          <w:szCs w:val="14"/>
          <w:color w:val="auto"/>
        </w:rPr>
        <w:t>approximately three years. As of the end of the third quarter, approximately 80% of Marsh Landing's net qualifying capacity is contracted for a weighted average contract tenor of approximately four years commencing in May 2023 at terms sufficient to maintain project level CAFD in-line with current expectations.</w:t>
      </w:r>
    </w:p>
    <w:p>
      <w:pPr>
        <w:spacing w:after="0" w:line="1" w:lineRule="exact"/>
        <w:rPr>
          <w:rFonts w:ascii="Arial" w:cs="Arial" w:eastAsia="Arial" w:hAnsi="Arial"/>
          <w:sz w:val="14"/>
          <w:szCs w:val="14"/>
          <w:color w:val="auto"/>
        </w:rPr>
      </w:pPr>
    </w:p>
    <w:p>
      <w:pPr>
        <w:ind w:left="500" w:hanging="253"/>
        <w:spacing w:after="0" w:line="328" w:lineRule="auto"/>
        <w:tabs>
          <w:tab w:leader="none" w:pos="496"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Walnut Creek: </w:t>
      </w:r>
      <w:r>
        <w:rPr>
          <w:rFonts w:ascii="Arial" w:cs="Arial" w:eastAsia="Arial" w:hAnsi="Arial"/>
          <w:sz w:val="12"/>
          <w:szCs w:val="12"/>
          <w:color w:val="auto"/>
        </w:rPr>
        <w:t>The Company contracted with Southern California Edison (SCE) to sell 483 MW of Resource Adequacy commencing in June 2023. The agreement is for 100% of Walnut Creek's</w:t>
      </w:r>
      <w:r>
        <w:rPr>
          <w:rFonts w:ascii="Arial" w:cs="Arial" w:eastAsia="Arial" w:hAnsi="Arial"/>
          <w:sz w:val="12"/>
          <w:szCs w:val="12"/>
          <w:b w:val="1"/>
          <w:bCs w:val="1"/>
          <w:color w:val="auto"/>
        </w:rPr>
        <w:t xml:space="preserve"> </w:t>
      </w:r>
      <w:r>
        <w:rPr>
          <w:rFonts w:ascii="Arial" w:cs="Arial" w:eastAsia="Arial" w:hAnsi="Arial"/>
          <w:sz w:val="12"/>
          <w:szCs w:val="12"/>
          <w:color w:val="auto"/>
        </w:rPr>
        <w:t>net qualifying capacity and has a contract tenor of approximately three and a half years. The agreement is at terms sufficient to maintain project level CAFD in-line with current expectations.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Binding Agreement to Acquire the Remaining 50% Interest in the 530 MW Utah Solar Portfolio</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On August 23, 2021, the Company announced that it had entered into an agreement to acquire the remaining 50% equity interest in the Utah Solar Portfolio that it does not currently own for $335 million, subject to customary working capital adjustments. The Utah Solar Portfolio consists of seven utility-scale solar farms located in Utah representing 530 MW of capacity that achieved commercial operations in 2016. The assets within the portfolio sell power subject to 20-year PPAs with PacifiCorp that have approximately 15 years remaining under the agreements. In lieu of new non-recourse project level debt, and because of the expected proceeds from the sale of the Thermal Business, the Company now expects to fund the $335 million purchase price with corporate capital. Subject to customary closing conditions, the Company expects to close the transaction in the fourth quarter of 2021, with the acquisition expected to provide incremental annual asset CAFD on a five-year average basis of approximately $30 million beginning January 1, 2022. The Company’s existing 50% interest in the Utah Solar Portfolio is accounted for as an equity method investment. Following the close of the acquisition of the remaining 50% interest in the portfolio, the Company will consolidate the Utah Solar Portfolio in its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Equity Partnership in a 1.6 GW Portfolio</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On December 22, 2020, the Company announced agreements providing for Clearway’s co-investment in a 1,204 MW portfolio of renewable energy projects developed by Clearway Group (CEG) consisting of i) 1,012 MW from five geographically diversified wind, solar, and solar plus storage assets under development and ii) the 192 MW Rosamond Central solar project which commenced operations in early 2021. Additionally, the parties amended the existing partnership agreement for the 419 MW Mesquite Star wind project providing the Company an additional 27.51% of the project’s cash flows after the first half of 2031. Approximately 90% of the generation from the projects are contracted with a diverse group of primarily investment grade counterparties and the portfolio has a greater than 14-year blended average contract length. Subject to closing adjustments and the projects achieving certain milestones, the Company expects to invest approximately $238 million in net corporate capital by the first half of 2023 of which the Company has funded $19 million to date, which is inclusive of a purchase price adjustment of $5 million received concurrent with a partnership agreement amendment for the additional interest in Mesquite Star. Based on the current expected timing of the projects achieving COD, the Company expects, before corporate financing costs, the asset CAFD contribution from the investments to be immaterial in 2021, approximately $9 million in 2022, and $22 million on a 5-year average basis beginning on January 1, 2023.</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71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20"/>
                <w:szCs w:val="20"/>
                <w:color w:val="auto"/>
              </w:rPr>
            </w:pPr>
            <w:r>
              <w:rPr>
                <w:rFonts w:ascii="Arial" w:cs="Arial" w:eastAsia="Arial" w:hAnsi="Arial"/>
                <w:sz w:val="14"/>
                <w:szCs w:val="14"/>
                <w:color w:val="auto"/>
              </w:rPr>
              <w:t>The assets in the partnership include:</w:t>
            </w:r>
            <w:r>
              <w:rPr>
                <w:rFonts w:ascii="Arial" w:cs="Arial" w:eastAsia="Arial" w:hAnsi="Arial"/>
                <w:sz w:val="17"/>
                <w:szCs w:val="17"/>
                <w:color w:val="FFFFFF"/>
                <w:vertAlign w:val="superscript"/>
              </w:rPr>
              <w:t>4,5</w:t>
            </w:r>
          </w:p>
        </w:tc>
        <w:tc>
          <w:tcPr>
            <w:tcW w:w="2260" w:type="dxa"/>
            <w:vAlign w:val="bottom"/>
          </w:tcPr>
          <w:p>
            <w:pPr>
              <w:spacing w:after="0"/>
              <w:rPr>
                <w:sz w:val="19"/>
                <w:szCs w:val="19"/>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CWEN Cash</w:t>
            </w: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1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Asset</w:t>
            </w:r>
          </w:p>
        </w:tc>
        <w:tc>
          <w:tcPr>
            <w:tcW w:w="2260" w:type="dxa"/>
            <w:vAlign w:val="bottom"/>
            <w:vMerge w:val="restart"/>
          </w:tcPr>
          <w:p>
            <w:pPr>
              <w:jc w:val="center"/>
              <w:ind w:left="332"/>
              <w:spacing w:after="0"/>
              <w:rPr>
                <w:sz w:val="20"/>
                <w:szCs w:val="20"/>
                <w:color w:val="auto"/>
              </w:rPr>
            </w:pPr>
            <w:r>
              <w:rPr>
                <w:rFonts w:ascii="Arial" w:cs="Arial" w:eastAsia="Arial" w:hAnsi="Arial"/>
                <w:sz w:val="14"/>
                <w:szCs w:val="14"/>
                <w:b w:val="1"/>
                <w:bCs w:val="1"/>
                <w:color w:val="auto"/>
                <w:w w:val="88"/>
              </w:rPr>
              <w:t>Project Type</w:t>
            </w:r>
          </w:p>
        </w:tc>
        <w:tc>
          <w:tcPr>
            <w:tcW w:w="1760" w:type="dxa"/>
            <w:vAlign w:val="bottom"/>
            <w:vMerge w:val="continue"/>
          </w:tcPr>
          <w:p>
            <w:pPr>
              <w:spacing w:after="0"/>
              <w:rPr>
                <w:sz w:val="7"/>
                <w:szCs w:val="7"/>
                <w:color w:val="auto"/>
              </w:rPr>
            </w:pPr>
          </w:p>
        </w:tc>
        <w:tc>
          <w:tcPr>
            <w:tcW w:w="13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17"/>
                <w:szCs w:val="17"/>
                <w:b w:val="1"/>
                <w:bCs w:val="1"/>
                <w:color w:val="auto"/>
                <w:vertAlign w:val="superscript"/>
              </w:rPr>
              <w:t>4</w:t>
            </w:r>
          </w:p>
        </w:tc>
        <w:tc>
          <w:tcPr>
            <w:tcW w:w="108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1"/>
              </w:rPr>
              <w:t>State</w:t>
            </w:r>
          </w:p>
        </w:tc>
        <w:tc>
          <w:tcPr>
            <w:tcW w:w="174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88"/>
              </w:rPr>
              <w:t>Target Financial Closing</w:t>
            </w:r>
          </w:p>
        </w:tc>
        <w:tc>
          <w:tcPr>
            <w:tcW w:w="0" w:type="dxa"/>
            <w:vAlign w:val="bottom"/>
          </w:tcPr>
          <w:p>
            <w:pPr>
              <w:spacing w:after="0"/>
              <w:rPr>
                <w:sz w:val="1"/>
                <w:szCs w:val="1"/>
                <w:color w:val="auto"/>
              </w:rPr>
            </w:pPr>
          </w:p>
        </w:tc>
      </w:tr>
      <w:tr>
        <w:trPr>
          <w:trHeight w:val="174"/>
        </w:trPr>
        <w:tc>
          <w:tcPr>
            <w:tcW w:w="312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Allocation</w:t>
            </w:r>
          </w:p>
        </w:tc>
        <w:tc>
          <w:tcPr>
            <w:tcW w:w="13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120" w:type="dxa"/>
            <w:vAlign w:val="bottom"/>
            <w:shd w:val="clear" w:color="auto" w:fill="CCEEFF"/>
          </w:tcPr>
          <w:p>
            <w:pPr>
              <w:ind w:left="20"/>
              <w:spacing w:after="0" w:line="164" w:lineRule="exact"/>
              <w:rPr>
                <w:sz w:val="20"/>
                <w:szCs w:val="20"/>
                <w:color w:val="auto"/>
              </w:rPr>
            </w:pPr>
            <w:r>
              <w:rPr>
                <w:rFonts w:ascii="Arial" w:cs="Arial" w:eastAsia="Arial" w:hAnsi="Arial"/>
                <w:sz w:val="14"/>
                <w:szCs w:val="14"/>
                <w:color w:val="auto"/>
              </w:rPr>
              <w:t>Additional Interest in Mesquite Star</w:t>
            </w:r>
            <w:r>
              <w:rPr>
                <w:rFonts w:ascii="Arial" w:cs="Arial" w:eastAsia="Arial" w:hAnsi="Arial"/>
                <w:sz w:val="17"/>
                <w:szCs w:val="17"/>
                <w:color w:val="auto"/>
                <w:vertAlign w:val="superscript"/>
              </w:rPr>
              <w:t>5</w:t>
            </w:r>
          </w:p>
        </w:tc>
        <w:tc>
          <w:tcPr>
            <w:tcW w:w="226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97"/>
              </w:rPr>
              <w:t>Utility Wind</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85"/>
              </w:rPr>
              <w:t>419</w:t>
            </w:r>
          </w:p>
        </w:tc>
        <w:tc>
          <w:tcPr>
            <w:tcW w:w="108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rPr>
              <w:t>TX</w:t>
            </w:r>
          </w:p>
        </w:tc>
        <w:tc>
          <w:tcPr>
            <w:tcW w:w="174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1"/>
              </w:rPr>
              <w:t>Operating</w:t>
            </w:r>
          </w:p>
        </w:tc>
        <w:tc>
          <w:tcPr>
            <w:tcW w:w="0" w:type="dxa"/>
            <w:vAlign w:val="bottom"/>
          </w:tcPr>
          <w:p>
            <w:pPr>
              <w:spacing w:after="0"/>
              <w:rPr>
                <w:sz w:val="1"/>
                <w:szCs w:val="1"/>
                <w:color w:val="auto"/>
              </w:rPr>
            </w:pPr>
          </w:p>
        </w:tc>
      </w:tr>
      <w:tr>
        <w:trPr>
          <w:trHeight w:val="174"/>
        </w:trPr>
        <w:tc>
          <w:tcPr>
            <w:tcW w:w="3120" w:type="dxa"/>
            <w:vAlign w:val="bottom"/>
          </w:tcPr>
          <w:p>
            <w:pPr>
              <w:ind w:left="20"/>
              <w:spacing w:after="0"/>
              <w:rPr>
                <w:sz w:val="20"/>
                <w:szCs w:val="20"/>
                <w:color w:val="auto"/>
              </w:rPr>
            </w:pPr>
            <w:r>
              <w:rPr>
                <w:rFonts w:ascii="Arial" w:cs="Arial" w:eastAsia="Arial" w:hAnsi="Arial"/>
                <w:sz w:val="14"/>
                <w:szCs w:val="14"/>
                <w:color w:val="auto"/>
              </w:rPr>
              <w:t>Rosamond Central</w:t>
            </w:r>
          </w:p>
        </w:tc>
        <w:tc>
          <w:tcPr>
            <w:tcW w:w="2260" w:type="dxa"/>
            <w:vAlign w:val="bottom"/>
          </w:tcPr>
          <w:p>
            <w:pPr>
              <w:jc w:val="center"/>
              <w:ind w:left="352"/>
              <w:spacing w:after="0"/>
              <w:rPr>
                <w:sz w:val="20"/>
                <w:szCs w:val="20"/>
                <w:color w:val="auto"/>
              </w:rPr>
            </w:pPr>
            <w:r>
              <w:rPr>
                <w:rFonts w:ascii="Arial" w:cs="Arial" w:eastAsia="Arial" w:hAnsi="Arial"/>
                <w:sz w:val="14"/>
                <w:szCs w:val="14"/>
                <w:color w:val="auto"/>
                <w:w w:val="85"/>
              </w:rPr>
              <w:t>Solar</w:t>
            </w:r>
          </w:p>
        </w:tc>
        <w:tc>
          <w:tcPr>
            <w:tcW w:w="17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tcPr>
          <w:p>
            <w:pPr>
              <w:jc w:val="center"/>
              <w:ind w:right="12"/>
              <w:spacing w:after="0"/>
              <w:rPr>
                <w:sz w:val="20"/>
                <w:szCs w:val="20"/>
                <w:color w:val="auto"/>
              </w:rPr>
            </w:pPr>
            <w:r>
              <w:rPr>
                <w:rFonts w:ascii="Arial" w:cs="Arial" w:eastAsia="Arial" w:hAnsi="Arial"/>
                <w:sz w:val="14"/>
                <w:szCs w:val="14"/>
                <w:color w:val="auto"/>
                <w:w w:val="85"/>
              </w:rPr>
              <w:t>192</w:t>
            </w:r>
          </w:p>
        </w:tc>
        <w:tc>
          <w:tcPr>
            <w:tcW w:w="1080" w:type="dxa"/>
            <w:vAlign w:val="bottom"/>
          </w:tcPr>
          <w:p>
            <w:pPr>
              <w:jc w:val="center"/>
              <w:ind w:left="212"/>
              <w:spacing w:after="0"/>
              <w:rPr>
                <w:sz w:val="20"/>
                <w:szCs w:val="20"/>
                <w:color w:val="auto"/>
              </w:rPr>
            </w:pPr>
            <w:r>
              <w:rPr>
                <w:rFonts w:ascii="Arial" w:cs="Arial" w:eastAsia="Arial" w:hAnsi="Arial"/>
                <w:sz w:val="14"/>
                <w:szCs w:val="14"/>
                <w:color w:val="auto"/>
              </w:rPr>
              <w:t>CA</w:t>
            </w:r>
          </w:p>
        </w:tc>
        <w:tc>
          <w:tcPr>
            <w:tcW w:w="1740" w:type="dxa"/>
            <w:vAlign w:val="bottom"/>
          </w:tcPr>
          <w:p>
            <w:pPr>
              <w:jc w:val="center"/>
              <w:ind w:left="152"/>
              <w:spacing w:after="0"/>
              <w:rPr>
                <w:sz w:val="20"/>
                <w:szCs w:val="20"/>
                <w:color w:val="auto"/>
              </w:rPr>
            </w:pPr>
            <w:r>
              <w:rPr>
                <w:rFonts w:ascii="Arial" w:cs="Arial" w:eastAsia="Arial" w:hAnsi="Arial"/>
                <w:sz w:val="14"/>
                <w:szCs w:val="14"/>
                <w:color w:val="auto"/>
                <w:w w:val="91"/>
              </w:rPr>
              <w:t>Operating</w:t>
            </w: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Sky</w:t>
            </w:r>
          </w:p>
        </w:tc>
        <w:tc>
          <w:tcPr>
            <w:tcW w:w="226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97"/>
              </w:rPr>
              <w:t>Utility Wind</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85"/>
              </w:rPr>
              <w:t>345</w:t>
            </w:r>
          </w:p>
        </w:tc>
        <w:tc>
          <w:tcPr>
            <w:tcW w:w="108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rPr>
              <w:t>TX</w:t>
            </w:r>
          </w:p>
        </w:tc>
        <w:tc>
          <w:tcPr>
            <w:tcW w:w="174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3"/>
              </w:rPr>
              <w:t>4Q21</w:t>
            </w:r>
          </w:p>
        </w:tc>
        <w:tc>
          <w:tcPr>
            <w:tcW w:w="0" w:type="dxa"/>
            <w:vAlign w:val="bottom"/>
          </w:tcPr>
          <w:p>
            <w:pPr>
              <w:spacing w:after="0"/>
              <w:rPr>
                <w:sz w:val="1"/>
                <w:szCs w:val="1"/>
                <w:color w:val="auto"/>
              </w:rPr>
            </w:pPr>
          </w:p>
        </w:tc>
      </w:tr>
      <w:tr>
        <w:trPr>
          <w:trHeight w:val="174"/>
        </w:trPr>
        <w:tc>
          <w:tcPr>
            <w:tcW w:w="3120" w:type="dxa"/>
            <w:vAlign w:val="bottom"/>
          </w:tcPr>
          <w:p>
            <w:pPr>
              <w:ind w:left="20"/>
              <w:spacing w:after="0"/>
              <w:rPr>
                <w:sz w:val="20"/>
                <w:szCs w:val="20"/>
                <w:color w:val="auto"/>
              </w:rPr>
            </w:pPr>
            <w:r>
              <w:rPr>
                <w:rFonts w:ascii="Arial" w:cs="Arial" w:eastAsia="Arial" w:hAnsi="Arial"/>
                <w:sz w:val="14"/>
                <w:szCs w:val="14"/>
                <w:color w:val="auto"/>
              </w:rPr>
              <w:t>Black Rock</w:t>
            </w:r>
          </w:p>
        </w:tc>
        <w:tc>
          <w:tcPr>
            <w:tcW w:w="2260" w:type="dxa"/>
            <w:vAlign w:val="bottom"/>
          </w:tcPr>
          <w:p>
            <w:pPr>
              <w:jc w:val="center"/>
              <w:ind w:left="352"/>
              <w:spacing w:after="0"/>
              <w:rPr>
                <w:sz w:val="20"/>
                <w:szCs w:val="20"/>
                <w:color w:val="auto"/>
              </w:rPr>
            </w:pPr>
            <w:r>
              <w:rPr>
                <w:rFonts w:ascii="Arial" w:cs="Arial" w:eastAsia="Arial" w:hAnsi="Arial"/>
                <w:sz w:val="14"/>
                <w:szCs w:val="14"/>
                <w:color w:val="auto"/>
                <w:w w:val="97"/>
              </w:rPr>
              <w:t>Utility Wind</w:t>
            </w:r>
          </w:p>
        </w:tc>
        <w:tc>
          <w:tcPr>
            <w:tcW w:w="17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tcPr>
          <w:p>
            <w:pPr>
              <w:jc w:val="center"/>
              <w:ind w:right="12"/>
              <w:spacing w:after="0"/>
              <w:rPr>
                <w:sz w:val="20"/>
                <w:szCs w:val="20"/>
                <w:color w:val="auto"/>
              </w:rPr>
            </w:pPr>
            <w:r>
              <w:rPr>
                <w:rFonts w:ascii="Arial" w:cs="Arial" w:eastAsia="Arial" w:hAnsi="Arial"/>
                <w:sz w:val="14"/>
                <w:szCs w:val="14"/>
                <w:color w:val="auto"/>
                <w:w w:val="85"/>
              </w:rPr>
              <w:t>115</w:t>
            </w:r>
          </w:p>
        </w:tc>
        <w:tc>
          <w:tcPr>
            <w:tcW w:w="1080" w:type="dxa"/>
            <w:vAlign w:val="bottom"/>
          </w:tcPr>
          <w:p>
            <w:pPr>
              <w:jc w:val="center"/>
              <w:ind w:left="212"/>
              <w:spacing w:after="0"/>
              <w:rPr>
                <w:sz w:val="20"/>
                <w:szCs w:val="20"/>
                <w:color w:val="auto"/>
              </w:rPr>
            </w:pPr>
            <w:r>
              <w:rPr>
                <w:rFonts w:ascii="Arial" w:cs="Arial" w:eastAsia="Arial" w:hAnsi="Arial"/>
                <w:sz w:val="14"/>
                <w:szCs w:val="14"/>
                <w:color w:val="auto"/>
              </w:rPr>
              <w:t>WV</w:t>
            </w:r>
          </w:p>
        </w:tc>
        <w:tc>
          <w:tcPr>
            <w:tcW w:w="1740" w:type="dxa"/>
            <w:vAlign w:val="bottom"/>
          </w:tcPr>
          <w:p>
            <w:pPr>
              <w:jc w:val="center"/>
              <w:ind w:left="152"/>
              <w:spacing w:after="0"/>
              <w:rPr>
                <w:sz w:val="20"/>
                <w:szCs w:val="20"/>
                <w:color w:val="auto"/>
              </w:rPr>
            </w:pPr>
            <w:r>
              <w:rPr>
                <w:rFonts w:ascii="Arial" w:cs="Arial" w:eastAsia="Arial" w:hAnsi="Arial"/>
                <w:sz w:val="14"/>
                <w:szCs w:val="14"/>
                <w:color w:val="auto"/>
                <w:w w:val="93"/>
              </w:rPr>
              <w:t>4Q21</w:t>
            </w: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Waiawa</w:t>
            </w:r>
          </w:p>
        </w:tc>
        <w:tc>
          <w:tcPr>
            <w:tcW w:w="2260" w:type="dxa"/>
            <w:vAlign w:val="bottom"/>
            <w:shd w:val="clear" w:color="auto" w:fill="CCEEFF"/>
          </w:tcPr>
          <w:p>
            <w:pPr>
              <w:jc w:val="center"/>
              <w:ind w:left="332"/>
              <w:spacing w:after="0"/>
              <w:rPr>
                <w:sz w:val="20"/>
                <w:szCs w:val="20"/>
                <w:color w:val="auto"/>
              </w:rPr>
            </w:pPr>
            <w:r>
              <w:rPr>
                <w:rFonts w:ascii="Arial" w:cs="Arial" w:eastAsia="Arial" w:hAnsi="Arial"/>
                <w:sz w:val="14"/>
                <w:szCs w:val="14"/>
                <w:color w:val="auto"/>
                <w:w w:val="86"/>
              </w:rPr>
              <w:t>Solar/Storage</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76"/>
              </w:rPr>
              <w:t>36</w:t>
            </w:r>
          </w:p>
        </w:tc>
        <w:tc>
          <w:tcPr>
            <w:tcW w:w="108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rPr>
              <w:t>HI</w:t>
            </w:r>
          </w:p>
        </w:tc>
        <w:tc>
          <w:tcPr>
            <w:tcW w:w="174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5"/>
              </w:rPr>
              <w:t>2H22</w:t>
            </w:r>
          </w:p>
        </w:tc>
        <w:tc>
          <w:tcPr>
            <w:tcW w:w="0" w:type="dxa"/>
            <w:vAlign w:val="bottom"/>
          </w:tcPr>
          <w:p>
            <w:pPr>
              <w:spacing w:after="0"/>
              <w:rPr>
                <w:sz w:val="1"/>
                <w:szCs w:val="1"/>
                <w:color w:val="auto"/>
              </w:rPr>
            </w:pPr>
          </w:p>
        </w:tc>
      </w:tr>
      <w:tr>
        <w:trPr>
          <w:trHeight w:val="174"/>
        </w:trPr>
        <w:tc>
          <w:tcPr>
            <w:tcW w:w="3120" w:type="dxa"/>
            <w:vAlign w:val="bottom"/>
          </w:tcPr>
          <w:p>
            <w:pPr>
              <w:ind w:left="20"/>
              <w:spacing w:after="0"/>
              <w:rPr>
                <w:sz w:val="20"/>
                <w:szCs w:val="20"/>
                <w:color w:val="auto"/>
              </w:rPr>
            </w:pPr>
            <w:r>
              <w:rPr>
                <w:rFonts w:ascii="Arial" w:cs="Arial" w:eastAsia="Arial" w:hAnsi="Arial"/>
                <w:sz w:val="14"/>
                <w:szCs w:val="14"/>
                <w:color w:val="auto"/>
              </w:rPr>
              <w:t>Mililani</w:t>
            </w:r>
          </w:p>
        </w:tc>
        <w:tc>
          <w:tcPr>
            <w:tcW w:w="2260" w:type="dxa"/>
            <w:vAlign w:val="bottom"/>
          </w:tcPr>
          <w:p>
            <w:pPr>
              <w:jc w:val="center"/>
              <w:ind w:left="332"/>
              <w:spacing w:after="0"/>
              <w:rPr>
                <w:sz w:val="20"/>
                <w:szCs w:val="20"/>
                <w:color w:val="auto"/>
              </w:rPr>
            </w:pPr>
            <w:r>
              <w:rPr>
                <w:rFonts w:ascii="Arial" w:cs="Arial" w:eastAsia="Arial" w:hAnsi="Arial"/>
                <w:sz w:val="14"/>
                <w:szCs w:val="14"/>
                <w:color w:val="auto"/>
                <w:w w:val="86"/>
              </w:rPr>
              <w:t>Solar/Storage</w:t>
            </w:r>
          </w:p>
        </w:tc>
        <w:tc>
          <w:tcPr>
            <w:tcW w:w="17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320" w:type="dxa"/>
            <w:vAlign w:val="bottom"/>
          </w:tcPr>
          <w:p>
            <w:pPr>
              <w:jc w:val="center"/>
              <w:ind w:right="12"/>
              <w:spacing w:after="0"/>
              <w:rPr>
                <w:sz w:val="20"/>
                <w:szCs w:val="20"/>
                <w:color w:val="auto"/>
              </w:rPr>
            </w:pPr>
            <w:r>
              <w:rPr>
                <w:rFonts w:ascii="Arial" w:cs="Arial" w:eastAsia="Arial" w:hAnsi="Arial"/>
                <w:sz w:val="14"/>
                <w:szCs w:val="14"/>
                <w:color w:val="auto"/>
                <w:w w:val="76"/>
              </w:rPr>
              <w:t>39</w:t>
            </w:r>
          </w:p>
        </w:tc>
        <w:tc>
          <w:tcPr>
            <w:tcW w:w="1080" w:type="dxa"/>
            <w:vAlign w:val="bottom"/>
          </w:tcPr>
          <w:p>
            <w:pPr>
              <w:jc w:val="center"/>
              <w:ind w:left="212"/>
              <w:spacing w:after="0"/>
              <w:rPr>
                <w:sz w:val="20"/>
                <w:szCs w:val="20"/>
                <w:color w:val="auto"/>
              </w:rPr>
            </w:pPr>
            <w:r>
              <w:rPr>
                <w:rFonts w:ascii="Arial" w:cs="Arial" w:eastAsia="Arial" w:hAnsi="Arial"/>
                <w:sz w:val="14"/>
                <w:szCs w:val="14"/>
                <w:color w:val="auto"/>
              </w:rPr>
              <w:t>HI</w:t>
            </w:r>
          </w:p>
        </w:tc>
        <w:tc>
          <w:tcPr>
            <w:tcW w:w="1740" w:type="dxa"/>
            <w:vAlign w:val="bottom"/>
          </w:tcPr>
          <w:p>
            <w:pPr>
              <w:jc w:val="center"/>
              <w:ind w:left="152"/>
              <w:spacing w:after="0"/>
              <w:rPr>
                <w:sz w:val="20"/>
                <w:szCs w:val="20"/>
                <w:color w:val="auto"/>
              </w:rPr>
            </w:pPr>
            <w:r>
              <w:rPr>
                <w:rFonts w:ascii="Arial" w:cs="Arial" w:eastAsia="Arial" w:hAnsi="Arial"/>
                <w:sz w:val="14"/>
                <w:szCs w:val="14"/>
                <w:color w:val="auto"/>
                <w:w w:val="95"/>
              </w:rPr>
              <w:t>2H22</w:t>
            </w: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Daggett Solar</w:t>
            </w:r>
          </w:p>
        </w:tc>
        <w:tc>
          <w:tcPr>
            <w:tcW w:w="2260" w:type="dxa"/>
            <w:vAlign w:val="bottom"/>
            <w:shd w:val="clear" w:color="auto" w:fill="CCEEFF"/>
          </w:tcPr>
          <w:p>
            <w:pPr>
              <w:jc w:val="center"/>
              <w:ind w:left="332"/>
              <w:spacing w:after="0"/>
              <w:rPr>
                <w:sz w:val="20"/>
                <w:szCs w:val="20"/>
                <w:color w:val="auto"/>
              </w:rPr>
            </w:pPr>
            <w:r>
              <w:rPr>
                <w:rFonts w:ascii="Arial" w:cs="Arial" w:eastAsia="Arial" w:hAnsi="Arial"/>
                <w:sz w:val="14"/>
                <w:szCs w:val="14"/>
                <w:color w:val="auto"/>
                <w:w w:val="86"/>
              </w:rPr>
              <w:t>Solar/Storage</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132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85"/>
              </w:rPr>
              <w:t>482</w:t>
            </w:r>
          </w:p>
        </w:tc>
        <w:tc>
          <w:tcPr>
            <w:tcW w:w="108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rPr>
              <w:t>CA</w:t>
            </w:r>
          </w:p>
        </w:tc>
        <w:tc>
          <w:tcPr>
            <w:tcW w:w="174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0"/>
              </w:rPr>
              <w:t>2H22/1H23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Pinnacle Wind Repowering</w:t>
      </w:r>
    </w:p>
    <w:p>
      <w:pPr>
        <w:spacing w:after="0" w:line="187"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The existing Pinnacle Wind power purchase agreements will continue to run through 2031. Commercial operations and corporate capital funding for the Pinnacle Wind Repowering Partnership are expected to occur in the fourth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Update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2032 Green Bond Senior Notes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and interest payments will commence on January 15, 2022. The 2032 Senior Notes are unsecured obligations of Clearway Energy Operating LLC and are guaranteed by Clearway Energy LLC and by certain of Clearway Energy Operating LLC's wholly owned current and future subsidiaries. The net proceeds from the 2032 Senior Notes were used to repurchase the 2026 Senior Notes.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Repurchase of 2026 Senior Notes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October 1, 2021, the Company completed the repurchase of an aggregate principal amount of $123 million, or 35.3%, of the 2026 Senior Notes outstanding as part of the cash tender offer announced on September 24, 2021. On October 25, 2021, the Company exercised its right to optionally redeem the remaining principal amount of $227 million that were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Dividend</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On November 3, 2021, Clearway Energy, Inc.’s Board of Directors declared a quarterly dividend on Class A and Class C common stock of $0.34 per share payable on December 15, 2021, to stockholders of record as of December 1, 2021.</w:t>
      </w:r>
    </w:p>
    <w:p>
      <w:pPr>
        <w:spacing w:after="0"/>
        <w:rPr>
          <w:sz w:val="20"/>
          <w:szCs w:val="20"/>
          <w:color w:val="auto"/>
        </w:rPr>
      </w:pPr>
      <w:r>
        <w:rPr>
          <w:rFonts w:ascii="Arial" w:cs="Arial" w:eastAsia="Arial" w:hAnsi="Arial"/>
          <w:sz w:val="14"/>
          <w:szCs w:val="14"/>
          <w:b w:val="1"/>
          <w:bCs w:val="1"/>
          <w:color w:val="auto"/>
        </w:rPr>
        <w:t>Seasonality</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Clearway Energy, Inc.’s quarterly operating results are impacted by seasonal factors, as well as weather variability which can impact renewable energy resource and volumetric sales of steam and chilled water at the Thermal segment. Most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12979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29" w:lineRule="exact"/>
        <w:rPr>
          <w:sz w:val="20"/>
          <w:szCs w:val="20"/>
          <w:color w:val="auto"/>
        </w:rPr>
      </w:pPr>
    </w:p>
    <w:p>
      <w:pPr>
        <w:ind w:left="80" w:hanging="78"/>
        <w:spacing w:after="0"/>
        <w:tabs>
          <w:tab w:leader="none" w:pos="8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MW capacity is subject to change prior to COD; excludes 328 MW/1,312 MWh of co-located storage assets at Daggett, Waiawa, and Mililani</w:t>
      </w:r>
    </w:p>
    <w:p>
      <w:pPr>
        <w:ind w:left="80" w:hanging="78"/>
        <w:spacing w:after="0" w:line="189" w:lineRule="auto"/>
        <w:tabs>
          <w:tab w:leader="none" w:pos="80" w:val="left"/>
        </w:tabs>
        <w:numPr>
          <w:ilvl w:val="0"/>
          <w:numId w:val="6"/>
        </w:numPr>
        <w:rPr>
          <w:rFonts w:ascii="Arial" w:cs="Arial" w:eastAsia="Arial" w:hAnsi="Arial"/>
          <w:sz w:val="18"/>
          <w:szCs w:val="18"/>
          <w:color w:val="auto"/>
          <w:vertAlign w:val="superscript"/>
        </w:rPr>
      </w:pPr>
      <w:r>
        <w:rPr>
          <w:rFonts w:ascii="Arial" w:cs="Arial" w:eastAsia="Arial" w:hAnsi="Arial"/>
          <w:sz w:val="11"/>
          <w:szCs w:val="11"/>
          <w:color w:val="auto"/>
        </w:rPr>
        <w:t>The 50% cash allocation percentage for Mesquite Star represents CWEN’s total cash allocation percentage in the project inclusive of its September 1, 2020 acquisition of its initial interest in the project.</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99" w:right="319" w:bottom="1440" w:gutter="0" w:footer="0" w:header="0"/>
        </w:sectPr>
      </w:pPr>
    </w:p>
    <w:bookmarkStart w:id="8" w:name="page9"/>
    <w:bookmarkEnd w:id="8"/>
    <w:p>
      <w:pPr>
        <w:spacing w:after="0" w:line="262" w:lineRule="auto"/>
        <w:rPr>
          <w:sz w:val="20"/>
          <w:szCs w:val="20"/>
          <w:color w:val="auto"/>
        </w:rPr>
      </w:pPr>
      <w:r>
        <w:rPr>
          <w:rFonts w:ascii="Arial" w:cs="Arial" w:eastAsia="Arial" w:hAnsi="Arial"/>
          <w:sz w:val="14"/>
          <w:szCs w:val="14"/>
          <w:color w:val="auto"/>
        </w:rPr>
        <w:t>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60" w:lineRule="exact"/>
        <w:rPr>
          <w:sz w:val="20"/>
          <w:szCs w:val="20"/>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summer capacity prices from conventional assets;</w:t>
      </w:r>
    </w:p>
    <w:p>
      <w:pPr>
        <w:spacing w:after="0" w:line="12" w:lineRule="exact"/>
        <w:rPr>
          <w:rFonts w:ascii="Arial" w:cs="Arial" w:eastAsia="Arial" w:hAnsi="Arial"/>
          <w:sz w:val="14"/>
          <w:szCs w:val="14"/>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solar insolation during the summer months;</w:t>
      </w:r>
    </w:p>
    <w:p>
      <w:pPr>
        <w:spacing w:after="0" w:line="2" w:lineRule="exact"/>
        <w:rPr>
          <w:rFonts w:ascii="Arial" w:cs="Arial" w:eastAsia="Arial" w:hAnsi="Arial"/>
          <w:sz w:val="14"/>
          <w:szCs w:val="14"/>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wind resources during the spring and summer months;</w:t>
      </w:r>
    </w:p>
    <w:p>
      <w:pPr>
        <w:spacing w:after="0" w:line="2" w:lineRule="exact"/>
        <w:rPr>
          <w:rFonts w:ascii="Arial" w:cs="Arial" w:eastAsia="Arial" w:hAnsi="Arial"/>
          <w:sz w:val="14"/>
          <w:szCs w:val="14"/>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Debt service payments which are made either quarterly or semi-annually;</w:t>
      </w:r>
    </w:p>
    <w:p>
      <w:pPr>
        <w:spacing w:after="0" w:line="2" w:lineRule="exact"/>
        <w:rPr>
          <w:rFonts w:ascii="Arial" w:cs="Arial" w:eastAsia="Arial" w:hAnsi="Arial"/>
          <w:sz w:val="14"/>
          <w:szCs w:val="14"/>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Timing of maintenance capital expenditures and the impact of both unforced and forced outages; and</w:t>
      </w:r>
    </w:p>
    <w:p>
      <w:pPr>
        <w:spacing w:after="0" w:line="2" w:lineRule="exact"/>
        <w:rPr>
          <w:rFonts w:ascii="Arial" w:cs="Arial" w:eastAsia="Arial" w:hAnsi="Arial"/>
          <w:sz w:val="14"/>
          <w:szCs w:val="14"/>
          <w:color w:val="auto"/>
        </w:rPr>
      </w:pPr>
    </w:p>
    <w:p>
      <w:pPr>
        <w:ind w:left="480" w:hanging="233"/>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Timing of distributions from unconsolidated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Guidance and Pro Forma CAFD Outlook</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The Company is reiterating its 2021 full year CAFD guidance of $325 million. 2021 financial guidance factors in the contribution of committed growth investments based on current expected closing timelines, the change in cash interest payments due to corporate financings, estimates for potential impacts on Thermal volumes related to the COVID-19 pandemic, and the impact from the February 2021 severe weather event in Texas. 2021 CAFD guidance does not factor in the timing of when CAFD is realized from new growth investments pursuant to 5-year averages beyond 2021.</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is initiating 2022 full year CAFD guidance of $395 million, which assumes a full year contribution from the Thermal Business of approximately $40 million. 2022 financial guidance factors in the contribution of committed growth investments based on current expected closing timelines, the acquisition of the remaining 50% equity interest in the Utah Solar Portfolio, and the financing updates described above. 2022 full-year CAFD does not factor in the timing of when CAFD is realized from new growth investments pursuant to 5-year averages beyond 2022. The Company plans to update 2022 full year CAFD guidance after the Thermal Business transaction closes.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 the effects above, the timing of CAFD realization pursuant to 5-year averages, asset CAFD across all segments being materially in-line with current profiles, and the impact of the disposition of the Company's Thermal Platform, the Company is updating its pro forma CAFD outlook expectations to approximately $385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Financial guidance and the pro forma CAFD outlook continue to be based on median renewable energy production estimates for the full year.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Conference Call</w:t>
      </w:r>
    </w:p>
    <w:p>
      <w:pPr>
        <w:spacing w:after="0" w:line="189" w:lineRule="exact"/>
        <w:rPr>
          <w:sz w:val="20"/>
          <w:szCs w:val="20"/>
          <w:color w:val="auto"/>
        </w:rPr>
      </w:pPr>
    </w:p>
    <w:p>
      <w:pPr>
        <w:jc w:val="both"/>
        <w:spacing w:after="0" w:line="346" w:lineRule="auto"/>
        <w:rPr>
          <w:sz w:val="20"/>
          <w:szCs w:val="20"/>
          <w:color w:val="auto"/>
        </w:rPr>
      </w:pPr>
      <w:r>
        <w:rPr>
          <w:rFonts w:ascii="Arial" w:cs="Arial" w:eastAsia="Arial" w:hAnsi="Arial"/>
          <w:sz w:val="12"/>
          <w:szCs w:val="12"/>
          <w:color w:val="auto"/>
        </w:rPr>
        <w:t>On November 4, 2021,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Clearway Energy, Inc.</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 Harbor Disclosure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711" w:right="31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4"/>
          <w:szCs w:val="14"/>
          <w:color w:val="auto"/>
        </w:rPr>
        <w:t>limited to, statements regarding the Company’s pending disposition of its Thermal Business, the Company’s dividend expectations and its operations, its facilities and its financial results, impacts related to COVID-19 (including any variant of the virus) or any other pandemic, the benefits of the relationship with Global Infrastructure Partners and Global Infrastructure Partners' expertise, the Company’s future relationship and arrangements with Global Infrastructure Partners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(including any variant of the virus)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financing through the capital markets or otherwise, cyber terrorism and inadequate cybersecurity, the ability to engage in successful acquisitions and dispositions activity, unanticipated outages at its generation facilities, adverse results in current and future litigation, failure to identify, execute or successfully implement acquisitions or dispositions (including receipt of third party consents and regulatory approvals), the Company's ability to enter into new contracts as existing contracts expire, risk relating to the Company's relationships with Global Infrastructure Partners and Clearway Energy Group, the Company's ability to acquire assets from Global Infrastructure Partners,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Clearway Energy, Inc. undertakes no obligation to update or revise any forward-looking statements, whether as a result of new information, future events or otherwise. The Adjusted EBITDA and Cash Available for Distribution are estimates as of today’s date, November 4, 2021,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 #</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pacing w:after="0" w:line="175"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b w:val="1"/>
          <w:bCs w:val="1"/>
          <w:color w:val="auto"/>
        </w:rPr>
        <w:t>Investors:</w:t>
      </w:r>
      <w:r>
        <w:rPr>
          <w:sz w:val="20"/>
          <w:szCs w:val="20"/>
          <w:color w:val="auto"/>
        </w:rPr>
        <w:tab/>
      </w:r>
      <w:r>
        <w:rPr>
          <w:rFonts w:ascii="Arial" w:cs="Arial" w:eastAsia="Arial" w:hAnsi="Arial"/>
          <w:sz w:val="14"/>
          <w:szCs w:val="14"/>
          <w:b w:val="1"/>
          <w:bCs w:val="1"/>
          <w:color w:val="auto"/>
        </w:rPr>
        <w:t>Media:</w:t>
      </w:r>
    </w:p>
    <w:p>
      <w:pPr>
        <w:spacing w:after="0" w:line="14"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4"/>
          <w:szCs w:val="14"/>
          <w:color w:val="auto"/>
        </w:rPr>
        <w:t>Akil Marsh</w:t>
      </w:r>
      <w:r>
        <w:rPr>
          <w:sz w:val="20"/>
          <w:szCs w:val="20"/>
          <w:color w:val="auto"/>
        </w:rPr>
        <w:tab/>
      </w:r>
      <w:r>
        <w:rPr>
          <w:rFonts w:ascii="Arial" w:cs="Arial" w:eastAsia="Arial" w:hAnsi="Arial"/>
          <w:sz w:val="12"/>
          <w:szCs w:val="12"/>
          <w:color w:val="auto"/>
        </w:rPr>
        <w:t>media@clearwayenergy.com</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investor.relations@clearwayenergy.com</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609-608-1500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80"/>
          </w:cols>
          <w:pgMar w:left="300" w:top="711" w:right="319" w:bottom="1440" w:gutter="0" w:footer="0" w:header="0"/>
        </w:sectPr>
      </w:pPr>
    </w:p>
    <w:bookmarkStart w:id="10" w:name="page11"/>
    <w:bookmarkEnd w:id="10"/>
    <w:p>
      <w:pPr>
        <w:jc w:val="center"/>
        <w:ind w:right="320"/>
        <w:spacing w:after="0"/>
        <w:rPr>
          <w:sz w:val="20"/>
          <w:szCs w:val="20"/>
          <w:color w:val="auto"/>
        </w:rPr>
      </w:pPr>
      <w:r>
        <w:rPr>
          <w:rFonts w:ascii="Arial" w:cs="Arial" w:eastAsia="Arial" w:hAnsi="Arial"/>
          <w:sz w:val="14"/>
          <w:szCs w:val="14"/>
          <w:b w:val="1"/>
          <w:bCs w:val="1"/>
          <w:color w:val="auto"/>
        </w:rPr>
        <w:t>CLEARWAY ENERGY, INC.</w:t>
      </w:r>
    </w:p>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5"/>
          </w:tcPr>
          <w:p>
            <w:pPr>
              <w:ind w:left="200"/>
              <w:spacing w:after="0"/>
              <w:rPr>
                <w:sz w:val="20"/>
                <w:szCs w:val="20"/>
                <w:color w:val="auto"/>
              </w:rPr>
            </w:pPr>
            <w:r>
              <w:rPr>
                <w:rFonts w:ascii="Arial" w:cs="Arial" w:eastAsia="Arial" w:hAnsi="Arial"/>
                <w:sz w:val="11"/>
                <w:szCs w:val="11"/>
                <w:b w:val="1"/>
                <w:bCs w:val="1"/>
                <w:color w:val="auto"/>
              </w:rPr>
              <w:t>Three months ended September 30,</w:t>
            </w:r>
          </w:p>
        </w:tc>
        <w:tc>
          <w:tcPr>
            <w:tcW w:w="280" w:type="dxa"/>
            <w:vAlign w:val="bottom"/>
          </w:tcPr>
          <w:p>
            <w:pPr>
              <w:spacing w:after="0"/>
              <w:rPr>
                <w:sz w:val="12"/>
                <w:szCs w:val="12"/>
                <w:color w:val="auto"/>
              </w:rPr>
            </w:pPr>
          </w:p>
        </w:tc>
        <w:tc>
          <w:tcPr>
            <w:tcW w:w="2300" w:type="dxa"/>
            <w:vAlign w:val="bottom"/>
            <w:gridSpan w:val="4"/>
          </w:tcPr>
          <w:p>
            <w:pPr>
              <w:jc w:val="right"/>
              <w:ind w:right="439"/>
              <w:spacing w:after="0"/>
              <w:rPr>
                <w:sz w:val="20"/>
                <w:szCs w:val="20"/>
                <w:color w:val="auto"/>
              </w:rPr>
            </w:pPr>
            <w:r>
              <w:rPr>
                <w:rFonts w:ascii="Arial" w:cs="Arial" w:eastAsia="Arial" w:hAnsi="Arial"/>
                <w:sz w:val="11"/>
                <w:szCs w:val="11"/>
                <w:b w:val="1"/>
                <w:bCs w:val="1"/>
                <w:color w:val="auto"/>
                <w:w w:val="98"/>
              </w:rPr>
              <w:t>Nine months ended September 30,</w:t>
            </w:r>
          </w:p>
        </w:tc>
        <w:tc>
          <w:tcPr>
            <w:tcW w:w="0" w:type="dxa"/>
            <w:vAlign w:val="bottom"/>
          </w:tcPr>
          <w:p>
            <w:pPr>
              <w:spacing w:after="0"/>
              <w:rPr>
                <w:sz w:val="1"/>
                <w:szCs w:val="1"/>
                <w:color w:val="auto"/>
              </w:rPr>
            </w:pPr>
          </w:p>
        </w:tc>
      </w:tr>
      <w:tr>
        <w:trPr>
          <w:trHeight w:val="140"/>
        </w:trPr>
        <w:tc>
          <w:tcPr>
            <w:tcW w:w="5380" w:type="dxa"/>
            <w:vAlign w:val="bottom"/>
          </w:tcPr>
          <w:p>
            <w:pPr>
              <w:ind w:left="20"/>
              <w:spacing w:after="0"/>
              <w:rPr>
                <w:sz w:val="20"/>
                <w:szCs w:val="20"/>
                <w:color w:val="auto"/>
              </w:rPr>
            </w:pPr>
            <w:r>
              <w:rPr>
                <w:rFonts w:ascii="Arial" w:cs="Arial" w:eastAsia="Arial" w:hAnsi="Arial"/>
                <w:sz w:val="11"/>
                <w:szCs w:val="11"/>
                <w:b w:val="1"/>
                <w:bCs w:val="1"/>
                <w:color w:val="auto"/>
              </w:rPr>
              <w:t>(In millions, except per share amounts)</w:t>
            </w: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3"/>
        </w:trPr>
        <w:tc>
          <w:tcPr>
            <w:tcW w:w="5380" w:type="dxa"/>
            <w:vAlign w:val="bottom"/>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operating revenues</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919</w:t>
            </w:r>
          </w:p>
        </w:tc>
        <w:tc>
          <w:tcPr>
            <w:tcW w:w="0" w:type="dxa"/>
            <w:vAlign w:val="bottom"/>
          </w:tcPr>
          <w:p>
            <w:pPr>
              <w:spacing w:after="0"/>
              <w:rPr>
                <w:sz w:val="1"/>
                <w:szCs w:val="1"/>
                <w:color w:val="auto"/>
              </w:rPr>
            </w:pPr>
          </w:p>
        </w:tc>
      </w:tr>
      <w:tr>
        <w:trPr>
          <w:trHeight w:val="141"/>
        </w:trPr>
        <w:tc>
          <w:tcPr>
            <w:tcW w:w="5380" w:type="dxa"/>
            <w:vAlign w:val="bottom"/>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operations, exclusive of depreciation, amortization and accretion shown separately below</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61"/>
        </w:trPr>
        <w:tc>
          <w:tcPr>
            <w:tcW w:w="5380" w:type="dxa"/>
            <w:vAlign w:val="bottom"/>
          </w:tcPr>
          <w:p>
            <w:pPr>
              <w:ind w:left="100"/>
              <w:spacing w:after="0"/>
              <w:rPr>
                <w:sz w:val="20"/>
                <w:szCs w:val="20"/>
                <w:color w:val="auto"/>
              </w:rPr>
            </w:pPr>
            <w:r>
              <w:rPr>
                <w:rFonts w:ascii="Arial" w:cs="Arial" w:eastAsia="Arial" w:hAnsi="Arial"/>
                <w:sz w:val="12"/>
                <w:szCs w:val="12"/>
                <w:color w:val="auto"/>
              </w:rPr>
              <w:t>Depreciation, amortization and accretion</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61"/>
        </w:trPr>
        <w:tc>
          <w:tcPr>
            <w:tcW w:w="5380" w:type="dxa"/>
            <w:vAlign w:val="bottom"/>
          </w:tcPr>
          <w:p>
            <w:pPr>
              <w:ind w:left="100"/>
              <w:spacing w:after="0"/>
              <w:rPr>
                <w:sz w:val="20"/>
                <w:szCs w:val="20"/>
                <w:color w:val="auto"/>
              </w:rPr>
            </w:pPr>
            <w:r>
              <w:rPr>
                <w:rFonts w:ascii="Arial" w:cs="Arial" w:eastAsia="Arial" w:hAnsi="Arial"/>
                <w:sz w:val="12"/>
                <w:szCs w:val="12"/>
                <w:color w:val="auto"/>
              </w:rPr>
              <w:t>Transaction and integration costs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 costs</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1"/>
        </w:trPr>
        <w:tc>
          <w:tcPr>
            <w:tcW w:w="538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operating costs and expenses</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Income</w:t>
            </w: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41"/>
        </w:trPr>
        <w:tc>
          <w:tcPr>
            <w:tcW w:w="538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61"/>
        </w:trPr>
        <w:tc>
          <w:tcPr>
            <w:tcW w:w="5380" w:type="dxa"/>
            <w:vAlign w:val="bottom"/>
          </w:tcPr>
          <w:p>
            <w:pPr>
              <w:ind w:left="120"/>
              <w:spacing w:after="0"/>
              <w:rPr>
                <w:sz w:val="20"/>
                <w:szCs w:val="20"/>
                <w:color w:val="auto"/>
              </w:rPr>
            </w:pPr>
            <w:r>
              <w:rPr>
                <w:rFonts w:ascii="Arial" w:cs="Arial" w:eastAsia="Arial" w:hAnsi="Arial"/>
                <w:sz w:val="12"/>
                <w:szCs w:val="12"/>
                <w:color w:val="auto"/>
              </w:rPr>
              <w:t>Gain on sale of unconsolidated affiliate</w:t>
            </w: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net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1"/>
        </w:trPr>
        <w:tc>
          <w:tcPr>
            <w:tcW w:w="5380" w:type="dxa"/>
            <w:vAlign w:val="bottom"/>
          </w:tcPr>
          <w:p>
            <w:pPr>
              <w:ind w:left="12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51"/>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other expense, net</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(Loss) Before Income Taxes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61"/>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Income tax expense (benefit)</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1"/>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Income (loss) attributable to noncontrolling interests and redeemable interests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8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Attributable to Clearway Energy, Inc.</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103" w:lineRule="exact"/>
              <w:rPr>
                <w:sz w:val="20"/>
                <w:szCs w:val="20"/>
                <w:color w:val="auto"/>
              </w:rPr>
            </w:pPr>
            <w:r>
              <w:rPr>
                <w:rFonts w:ascii="Arial" w:cs="Arial" w:eastAsia="Arial" w:hAnsi="Arial"/>
                <w:sz w:val="11"/>
                <w:szCs w:val="11"/>
                <w:b w:val="1"/>
                <w:bCs w:val="1"/>
                <w:color w:val="auto"/>
              </w:rPr>
              <w:t>Earnings Per Share Attributable to Clearway Energy, Inc. Class A and Class C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53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380" w:type="dxa"/>
            <w:vAlign w:val="bottom"/>
          </w:tcPr>
          <w:p>
            <w:pPr>
              <w:ind w:left="140"/>
              <w:spacing w:after="0"/>
              <w:rPr>
                <w:sz w:val="20"/>
                <w:szCs w:val="20"/>
                <w:color w:val="auto"/>
              </w:rPr>
            </w:pPr>
            <w:r>
              <w:rPr>
                <w:rFonts w:ascii="Arial" w:cs="Arial" w:eastAsia="Arial" w:hAnsi="Arial"/>
                <w:sz w:val="12"/>
                <w:szCs w:val="12"/>
                <w:b w:val="1"/>
                <w:bCs w:val="1"/>
                <w:color w:val="auto"/>
              </w:rPr>
              <w:t>Stockholders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Weighted average number of Class A common shares outstanding - basic and diluted</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61"/>
        </w:trPr>
        <w:tc>
          <w:tcPr>
            <w:tcW w:w="5380" w:type="dxa"/>
            <w:vAlign w:val="bottom"/>
          </w:tcPr>
          <w:p>
            <w:pPr>
              <w:ind w:left="120"/>
              <w:spacing w:after="0"/>
              <w:rPr>
                <w:sz w:val="20"/>
                <w:szCs w:val="20"/>
                <w:color w:val="auto"/>
              </w:rPr>
            </w:pPr>
            <w:r>
              <w:rPr>
                <w:rFonts w:ascii="Arial" w:cs="Arial" w:eastAsia="Arial" w:hAnsi="Arial"/>
                <w:sz w:val="12"/>
                <w:szCs w:val="12"/>
                <w:color w:val="auto"/>
              </w:rPr>
              <w:t>Weighted average number of Class C common shares outstanding - basic and diluted</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Earnings per Weighted Average Class A and Class C Common Share - Basic and Diluted</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0.27</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0.51</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38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Dividends Per Class A Common Share</w:t>
            </w:r>
          </w:p>
        </w:tc>
        <w:tc>
          <w:tcPr>
            <w:tcW w:w="280" w:type="dxa"/>
            <w:vAlign w:val="bottom"/>
            <w:tcBorders>
              <w:bottom w:val="single" w:sz="8" w:color="auto"/>
            </w:tcBorders>
          </w:tcPr>
          <w:p>
            <w:pPr>
              <w:jc w:val="right"/>
              <w:ind w:right="139"/>
              <w:spacing w:after="0" w:line="125" w:lineRule="exact"/>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0.3345</w:t>
            </w:r>
          </w:p>
        </w:tc>
        <w:tc>
          <w:tcPr>
            <w:tcW w:w="80" w:type="dxa"/>
            <w:vAlign w:val="bottom"/>
          </w:tcPr>
          <w:p>
            <w:pPr>
              <w:spacing w:after="0"/>
              <w:rPr>
                <w:sz w:val="10"/>
                <w:szCs w:val="10"/>
                <w:color w:val="auto"/>
              </w:rPr>
            </w:pPr>
          </w:p>
        </w:tc>
        <w:tc>
          <w:tcPr>
            <w:tcW w:w="300" w:type="dxa"/>
            <w:vAlign w:val="bottom"/>
            <w:tcBorders>
              <w:bottom w:val="single" w:sz="8" w:color="auto"/>
            </w:tcBorders>
          </w:tcPr>
          <w:p>
            <w:pPr>
              <w:jc w:val="right"/>
              <w:ind w:right="159"/>
              <w:spacing w:after="0" w:line="125"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0.3125</w:t>
            </w:r>
          </w:p>
        </w:tc>
        <w:tc>
          <w:tcPr>
            <w:tcW w:w="80" w:type="dxa"/>
            <w:vAlign w:val="bottom"/>
          </w:tcPr>
          <w:p>
            <w:pPr>
              <w:spacing w:after="0"/>
              <w:rPr>
                <w:sz w:val="10"/>
                <w:szCs w:val="10"/>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0.9875</w:t>
            </w:r>
          </w:p>
        </w:tc>
        <w:tc>
          <w:tcPr>
            <w:tcW w:w="60" w:type="dxa"/>
            <w:vAlign w:val="bottom"/>
          </w:tcPr>
          <w:p>
            <w:pPr>
              <w:spacing w:after="0"/>
              <w:rPr>
                <w:sz w:val="10"/>
                <w:szCs w:val="10"/>
                <w:color w:val="auto"/>
              </w:rPr>
            </w:pPr>
          </w:p>
        </w:tc>
        <w:tc>
          <w:tcPr>
            <w:tcW w:w="300" w:type="dxa"/>
            <w:vAlign w:val="bottom"/>
            <w:tcBorders>
              <w:bottom w:val="single" w:sz="8" w:color="auto"/>
            </w:tcBorders>
          </w:tcPr>
          <w:p>
            <w:pPr>
              <w:jc w:val="right"/>
              <w:ind w:right="159"/>
              <w:spacing w:after="0" w:line="125"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0.7325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C Common Share</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0.3345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0.3125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0.9875</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0.7325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960"/>
          </w:cols>
          <w:pgMar w:left="620" w:top="61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5"/>
          </w:tcPr>
          <w:p>
            <w:pPr>
              <w:ind w:left="200"/>
              <w:spacing w:after="0"/>
              <w:rPr>
                <w:sz w:val="20"/>
                <w:szCs w:val="20"/>
                <w:color w:val="auto"/>
              </w:rPr>
            </w:pPr>
            <w:r>
              <w:rPr>
                <w:rFonts w:ascii="Arial" w:cs="Arial" w:eastAsia="Arial" w:hAnsi="Arial"/>
                <w:sz w:val="11"/>
                <w:szCs w:val="11"/>
                <w:b w:val="1"/>
                <w:bCs w:val="1"/>
                <w:color w:val="auto"/>
              </w:rPr>
              <w:t>Three months ended September 30,</w:t>
            </w:r>
          </w:p>
        </w:tc>
        <w:tc>
          <w:tcPr>
            <w:tcW w:w="280" w:type="dxa"/>
            <w:vAlign w:val="bottom"/>
          </w:tcPr>
          <w:p>
            <w:pPr>
              <w:spacing w:after="0"/>
              <w:rPr>
                <w:sz w:val="12"/>
                <w:szCs w:val="12"/>
                <w:color w:val="auto"/>
              </w:rPr>
            </w:pPr>
          </w:p>
        </w:tc>
        <w:tc>
          <w:tcPr>
            <w:tcW w:w="23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w w:val="98"/>
              </w:rPr>
              <w:t>Nine months ended September 30,</w:t>
            </w:r>
          </w:p>
        </w:tc>
      </w:tr>
      <w:tr>
        <w:trPr>
          <w:trHeight w:val="112"/>
        </w:trPr>
        <w:tc>
          <w:tcPr>
            <w:tcW w:w="20" w:type="dxa"/>
            <w:vAlign w:val="bottom"/>
          </w:tcPr>
          <w:p>
            <w:pPr>
              <w:spacing w:after="0"/>
              <w:rPr>
                <w:sz w:val="9"/>
                <w:szCs w:val="9"/>
                <w:color w:val="auto"/>
              </w:rPr>
            </w:pPr>
          </w:p>
        </w:tc>
        <w:tc>
          <w:tcPr>
            <w:tcW w:w="6020" w:type="dxa"/>
            <w:vAlign w:val="bottom"/>
            <w:gridSpan w:val="2"/>
          </w:tcPr>
          <w:p>
            <w:pPr>
              <w:spacing w:after="0" w:line="112" w:lineRule="exact"/>
              <w:rPr>
                <w:sz w:val="20"/>
                <w:szCs w:val="20"/>
                <w:color w:val="auto"/>
              </w:rPr>
            </w:pPr>
            <w:r>
              <w:rPr>
                <w:rFonts w:ascii="Arial" w:cs="Arial" w:eastAsia="Arial" w:hAnsi="Arial"/>
                <w:sz w:val="11"/>
                <w:szCs w:val="11"/>
                <w:b w:val="1"/>
                <w:bCs w:val="1"/>
                <w:color w:val="auto"/>
              </w:rPr>
              <w:t>(In millions)</w:t>
            </w: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460"/>
              <w:spacing w:after="0" w:line="112" w:lineRule="exact"/>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460"/>
              <w:spacing w:after="0" w:line="112" w:lineRule="exact"/>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460"/>
              <w:spacing w:after="0" w:line="112" w:lineRule="exact"/>
              <w:rPr>
                <w:sz w:val="20"/>
                <w:szCs w:val="20"/>
                <w:color w:val="auto"/>
              </w:rPr>
            </w:pPr>
            <w:r>
              <w:rPr>
                <w:rFonts w:ascii="Arial" w:cs="Arial" w:eastAsia="Arial" w:hAnsi="Arial"/>
                <w:sz w:val="11"/>
                <w:szCs w:val="11"/>
                <w:b w:val="1"/>
                <w:bCs w:val="1"/>
                <w:color w:val="auto"/>
              </w:rPr>
              <w:t>2021</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460"/>
              <w:spacing w:after="0" w:line="112" w:lineRule="exact"/>
              <w:rPr>
                <w:sz w:val="20"/>
                <w:szCs w:val="20"/>
                <w:color w:val="auto"/>
              </w:rPr>
            </w:pPr>
            <w:r>
              <w:rPr>
                <w:rFonts w:ascii="Arial" w:cs="Arial" w:eastAsia="Arial" w:hAnsi="Arial"/>
                <w:sz w:val="11"/>
                <w:szCs w:val="11"/>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center"/>
              <w:ind w:left="700"/>
              <w:spacing w:after="0"/>
              <w:rPr>
                <w:sz w:val="20"/>
                <w:szCs w:val="20"/>
                <w:color w:val="auto"/>
              </w:rPr>
            </w:pPr>
            <w:r>
              <w:rPr>
                <w:rFonts w:ascii="Arial" w:cs="Arial" w:eastAsia="Arial" w:hAnsi="Arial"/>
                <w:sz w:val="12"/>
                <w:szCs w:val="12"/>
                <w:color w:val="auto"/>
                <w:w w:val="89"/>
              </w:rPr>
              <w:t>11</w:t>
            </w:r>
          </w:p>
        </w:tc>
      </w:tr>
      <w:tr>
        <w:trPr>
          <w:trHeight w:val="161"/>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Other Comprehensive Income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Unrealized gain on derivatives, net of income tax benefit of $(2), $(1), $(3) and $0</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ind w:left="700"/>
              <w:spacing w:after="0"/>
              <w:rPr>
                <w:sz w:val="20"/>
                <w:szCs w:val="20"/>
                <w:color w:val="auto"/>
              </w:rPr>
            </w:pPr>
            <w:r>
              <w:rPr>
                <w:rFonts w:ascii="Arial" w:cs="Arial" w:eastAsia="Arial" w:hAnsi="Arial"/>
                <w:sz w:val="12"/>
                <w:szCs w:val="12"/>
                <w:color w:val="auto"/>
                <w:w w:val="99"/>
              </w:rPr>
              <w:t>—</w:t>
            </w:r>
          </w:p>
        </w:tc>
      </w:tr>
      <w:tr>
        <w:trPr>
          <w:trHeight w:val="151"/>
        </w:trPr>
        <w:tc>
          <w:tcPr>
            <w:tcW w:w="20" w:type="dxa"/>
            <w:vAlign w:val="bottom"/>
            <w:tcBorders>
              <w:bottom w:val="single" w:sz="8" w:color="CCEEFF"/>
            </w:tcBorders>
          </w:tcPr>
          <w:p>
            <w:pPr>
              <w:spacing w:after="0"/>
              <w:rPr>
                <w:sz w:val="13"/>
                <w:szCs w:val="13"/>
                <w:color w:val="auto"/>
              </w:rPr>
            </w:pPr>
          </w:p>
        </w:tc>
        <w:tc>
          <w:tcPr>
            <w:tcW w:w="60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Other comprehensive income</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700"/>
              <w:spacing w:after="0"/>
              <w:rPr>
                <w:sz w:val="20"/>
                <w:szCs w:val="20"/>
                <w:color w:val="auto"/>
              </w:rPr>
            </w:pPr>
            <w:r>
              <w:rPr>
                <w:rFonts w:ascii="Arial" w:cs="Arial" w:eastAsia="Arial" w:hAnsi="Arial"/>
                <w:sz w:val="12"/>
                <w:szCs w:val="12"/>
                <w:color w:val="auto"/>
                <w:w w:val="99"/>
              </w:rPr>
              <w:t>—</w:t>
            </w:r>
          </w:p>
        </w:tc>
      </w:tr>
      <w:tr>
        <w:trPr>
          <w:trHeight w:val="156"/>
        </w:trPr>
        <w:tc>
          <w:tcPr>
            <w:tcW w:w="20" w:type="dxa"/>
            <w:vAlign w:val="bottom"/>
            <w:shd w:val="clear" w:color="auto" w:fill="CCEEFF"/>
          </w:tcPr>
          <w:p>
            <w:pPr>
              <w:spacing w:after="0"/>
              <w:rPr>
                <w:sz w:val="13"/>
                <w:szCs w:val="13"/>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Income (Loss)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left="700"/>
              <w:spacing w:after="0"/>
              <w:rPr>
                <w:sz w:val="20"/>
                <w:szCs w:val="20"/>
                <w:color w:val="auto"/>
              </w:rPr>
            </w:pPr>
            <w:r>
              <w:rPr>
                <w:rFonts w:ascii="Arial" w:cs="Arial" w:eastAsia="Arial" w:hAnsi="Arial"/>
                <w:sz w:val="12"/>
                <w:szCs w:val="12"/>
                <w:color w:val="auto"/>
                <w:w w:val="89"/>
              </w:rPr>
              <w:t>11</w:t>
            </w:r>
          </w:p>
        </w:tc>
      </w:tr>
      <w:tr>
        <w:trPr>
          <w:trHeight w:val="161"/>
        </w:trPr>
        <w:tc>
          <w:tcPr>
            <w:tcW w:w="20" w:type="dxa"/>
            <w:vAlign w:val="bottom"/>
            <w:tcBorders>
              <w:bottom w:val="single" w:sz="8" w:color="CCEEFF"/>
            </w:tcBorders>
          </w:tcPr>
          <w:p>
            <w:pPr>
              <w:spacing w:after="0"/>
              <w:rPr>
                <w:sz w:val="14"/>
                <w:szCs w:val="14"/>
                <w:color w:val="auto"/>
              </w:rPr>
            </w:pPr>
          </w:p>
        </w:tc>
        <w:tc>
          <w:tcPr>
            <w:tcW w:w="60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Less: Comprehensive income (loss) attributable to noncontrolling interests and redeemable interests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660"/>
              <w:spacing w:after="0"/>
              <w:rPr>
                <w:sz w:val="20"/>
                <w:szCs w:val="20"/>
                <w:color w:val="auto"/>
              </w:rPr>
            </w:pPr>
            <w:r>
              <w:rPr>
                <w:rFonts w:ascii="Arial" w:cs="Arial" w:eastAsia="Arial" w:hAnsi="Arial"/>
                <w:sz w:val="12"/>
                <w:szCs w:val="12"/>
                <w:color w:val="auto"/>
                <w:w w:val="93"/>
              </w:rPr>
              <w:t>(39)</w:t>
            </w: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Income Attributable to Clearway Energy, Inc.</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center"/>
              <w:ind w:left="700"/>
              <w:spacing w:after="0"/>
              <w:rPr>
                <w:sz w:val="20"/>
                <w:szCs w:val="20"/>
                <w:color w:val="auto"/>
              </w:rPr>
            </w:pPr>
            <w:r>
              <w:rPr>
                <w:rFonts w:ascii="Arial" w:cs="Arial" w:eastAsia="Arial" w:hAnsi="Arial"/>
                <w:sz w:val="12"/>
                <w:szCs w:val="12"/>
                <w:color w:val="auto"/>
                <w:w w:val="89"/>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w:t>
            </w:r>
          </w:p>
        </w:tc>
      </w:tr>
    </w:tbl>
    <w:p>
      <w:pPr>
        <w:sectPr>
          <w:pgSz w:w="11900" w:h="16838" w:orient="portrait"/>
          <w:cols w:equalWidth="0" w:num="1">
            <w:col w:w="11280"/>
          </w:cols>
          <w:pgMar w:left="300" w:top="617" w:right="319" w:bottom="1440" w:gutter="0" w:footer="0" w:header="0"/>
        </w:sectPr>
      </w:pPr>
    </w:p>
    <w:bookmarkStart w:id="12" w:name="page13"/>
    <w:bookmarkEnd w:id="12"/>
    <w:p>
      <w:pPr>
        <w:jc w:val="center"/>
        <w:ind w:right="220"/>
        <w:spacing w:after="0"/>
        <w:rPr>
          <w:sz w:val="20"/>
          <w:szCs w:val="20"/>
          <w:color w:val="auto"/>
        </w:rPr>
      </w:pPr>
      <w:r>
        <w:rPr>
          <w:rFonts w:ascii="Arial" w:cs="Arial" w:eastAsia="Arial" w:hAnsi="Arial"/>
          <w:sz w:val="14"/>
          <w:szCs w:val="14"/>
          <w:b w:val="1"/>
          <w:bCs w:val="1"/>
          <w:color w:val="auto"/>
        </w:rPr>
        <w:t>CLEARWAY ENERGY, INC.</w:t>
      </w:r>
    </w:p>
    <w:p>
      <w:pPr>
        <w:spacing w:after="0" w:line="12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380" w:type="dxa"/>
            <w:vAlign w:val="bottom"/>
          </w:tcPr>
          <w:p>
            <w:pPr>
              <w:spacing w:after="0"/>
              <w:rPr>
                <w:sz w:val="20"/>
                <w:szCs w:val="20"/>
                <w:color w:val="auto"/>
              </w:rPr>
            </w:pPr>
            <w:r>
              <w:rPr>
                <w:rFonts w:ascii="Arial" w:cs="Arial" w:eastAsia="Arial" w:hAnsi="Arial"/>
                <w:sz w:val="11"/>
                <w:szCs w:val="11"/>
                <w:b w:val="1"/>
                <w:bCs w:val="1"/>
                <w:color w:val="auto"/>
              </w:rPr>
              <w:t>(In millions, except shares)</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b w:val="1"/>
                <w:bCs w:val="1"/>
                <w:color w:val="auto"/>
                <w:w w:val="89"/>
              </w:rPr>
              <w:t>September 30, 2021</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December 31, 2020</w:t>
            </w:r>
          </w:p>
        </w:tc>
        <w:tc>
          <w:tcPr>
            <w:tcW w:w="0" w:type="dxa"/>
            <w:vAlign w:val="bottom"/>
          </w:tcPr>
          <w:p>
            <w:pPr>
              <w:spacing w:after="0"/>
              <w:rPr>
                <w:sz w:val="1"/>
                <w:szCs w:val="1"/>
                <w:color w:val="auto"/>
              </w:rPr>
            </w:pPr>
          </w:p>
        </w:tc>
      </w:tr>
      <w:tr>
        <w:trPr>
          <w:trHeight w:val="148"/>
        </w:trPr>
        <w:tc>
          <w:tcPr>
            <w:tcW w:w="7380" w:type="dxa"/>
            <w:vAlign w:val="bottom"/>
          </w:tcPr>
          <w:p>
            <w:pPr>
              <w:ind w:left="3460"/>
              <w:spacing w:after="0"/>
              <w:rPr>
                <w:sz w:val="20"/>
                <w:szCs w:val="20"/>
                <w:color w:val="auto"/>
              </w:rPr>
            </w:pPr>
            <w:r>
              <w:rPr>
                <w:rFonts w:ascii="Arial" w:cs="Arial" w:eastAsia="Arial" w:hAnsi="Arial"/>
                <w:sz w:val="12"/>
                <w:szCs w:val="12"/>
                <w:b w:val="1"/>
                <w:bCs w:val="1"/>
                <w:color w:val="auto"/>
              </w:rPr>
              <w:t>ASSETS</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(unaudited)</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8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50"/>
        </w:trPr>
        <w:tc>
          <w:tcPr>
            <w:tcW w:w="738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366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 trade</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50"/>
        </w:trPr>
        <w:tc>
          <w:tcPr>
            <w:tcW w:w="7380" w:type="dxa"/>
            <w:vAlign w:val="bottom"/>
          </w:tcPr>
          <w:p>
            <w:pPr>
              <w:ind w:left="120"/>
              <w:spacing w:after="0"/>
              <w:rPr>
                <w:sz w:val="20"/>
                <w:szCs w:val="20"/>
                <w:color w:val="auto"/>
              </w:rPr>
            </w:pPr>
            <w:r>
              <w:rPr>
                <w:rFonts w:ascii="Arial" w:cs="Arial" w:eastAsia="Arial" w:hAnsi="Arial"/>
                <w:sz w:val="12"/>
                <w:szCs w:val="12"/>
                <w:color w:val="auto"/>
              </w:rPr>
              <w:t>Inventory</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Prepayments and other current assets</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7"/>
        </w:trPr>
        <w:tc>
          <w:tcPr>
            <w:tcW w:w="73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853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708</w:t>
            </w:r>
          </w:p>
        </w:tc>
        <w:tc>
          <w:tcPr>
            <w:tcW w:w="0" w:type="dxa"/>
            <w:vAlign w:val="bottom"/>
          </w:tcPr>
          <w:p>
            <w:pPr>
              <w:spacing w:after="0"/>
              <w:rPr>
                <w:sz w:val="1"/>
                <w:szCs w:val="1"/>
                <w:color w:val="auto"/>
              </w:rPr>
            </w:pPr>
          </w:p>
        </w:tc>
      </w:tr>
      <w:tr>
        <w:trPr>
          <w:trHeight w:val="140"/>
        </w:trPr>
        <w:tc>
          <w:tcPr>
            <w:tcW w:w="7380" w:type="dxa"/>
            <w:vAlign w:val="bottom"/>
          </w:tcPr>
          <w:p>
            <w:pPr>
              <w:spacing w:after="0" w:line="137" w:lineRule="exact"/>
              <w:rPr>
                <w:sz w:val="20"/>
                <w:szCs w:val="20"/>
                <w:color w:val="auto"/>
              </w:rPr>
            </w:pPr>
            <w:r>
              <w:rPr>
                <w:rFonts w:ascii="Arial" w:cs="Arial" w:eastAsia="Arial" w:hAnsi="Arial"/>
                <w:sz w:val="12"/>
                <w:szCs w:val="12"/>
                <w:b w:val="1"/>
                <w:bCs w:val="1"/>
                <w:color w:val="auto"/>
              </w:rPr>
              <w:t>Property, plant and equipment, net</w:t>
            </w:r>
          </w:p>
        </w:tc>
        <w:tc>
          <w:tcPr>
            <w:tcW w:w="220" w:type="dxa"/>
            <w:vAlign w:val="bottom"/>
          </w:tcPr>
          <w:p>
            <w:pPr>
              <w:spacing w:after="0"/>
              <w:rPr>
                <w:sz w:val="12"/>
                <w:szCs w:val="12"/>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7,438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7,217</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380" w:type="dxa"/>
            <w:vAlign w:val="bottom"/>
          </w:tcPr>
          <w:p>
            <w:pPr>
              <w:ind w:left="120"/>
              <w:spacing w:after="0"/>
              <w:rPr>
                <w:sz w:val="20"/>
                <w:szCs w:val="20"/>
                <w:color w:val="auto"/>
              </w:rPr>
            </w:pPr>
            <w:r>
              <w:rPr>
                <w:rFonts w:ascii="Arial" w:cs="Arial" w:eastAsia="Arial" w:hAnsi="Arial"/>
                <w:sz w:val="12"/>
                <w:szCs w:val="12"/>
                <w:color w:val="auto"/>
              </w:rPr>
              <w:t>Equity investments in affiliates</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632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Intangible assets for power purchase agreements, net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2,154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1,231</w:t>
            </w:r>
          </w:p>
        </w:tc>
        <w:tc>
          <w:tcPr>
            <w:tcW w:w="0" w:type="dxa"/>
            <w:vAlign w:val="bottom"/>
          </w:tcPr>
          <w:p>
            <w:pPr>
              <w:spacing w:after="0"/>
              <w:rPr>
                <w:sz w:val="1"/>
                <w:szCs w:val="1"/>
                <w:color w:val="auto"/>
              </w:rPr>
            </w:pPr>
          </w:p>
        </w:tc>
      </w:tr>
      <w:tr>
        <w:trPr>
          <w:trHeight w:val="150"/>
        </w:trPr>
        <w:tc>
          <w:tcPr>
            <w:tcW w:w="7380" w:type="dxa"/>
            <w:vAlign w:val="bottom"/>
          </w:tcPr>
          <w:p>
            <w:pPr>
              <w:ind w:left="120"/>
              <w:spacing w:after="0"/>
              <w:rPr>
                <w:sz w:val="20"/>
                <w:szCs w:val="20"/>
                <w:color w:val="auto"/>
              </w:rPr>
            </w:pPr>
            <w:r>
              <w:rPr>
                <w:rFonts w:ascii="Arial" w:cs="Arial" w:eastAsia="Arial" w:hAnsi="Arial"/>
                <w:sz w:val="12"/>
                <w:szCs w:val="12"/>
                <w:color w:val="auto"/>
              </w:rPr>
              <w:t>Other intangible assets, net</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132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0"/>
        </w:trPr>
        <w:tc>
          <w:tcPr>
            <w:tcW w:w="738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Right of use assets, net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50"/>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non-current assets</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44"/>
        </w:trPr>
        <w:tc>
          <w:tcPr>
            <w:tcW w:w="73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3,489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2,667</w:t>
            </w:r>
          </w:p>
        </w:tc>
        <w:tc>
          <w:tcPr>
            <w:tcW w:w="0" w:type="dxa"/>
            <w:vAlign w:val="bottom"/>
          </w:tcPr>
          <w:p>
            <w:pPr>
              <w:spacing w:after="0"/>
              <w:rPr>
                <w:sz w:val="1"/>
                <w:szCs w:val="1"/>
                <w:color w:val="auto"/>
              </w:rPr>
            </w:pPr>
          </w:p>
        </w:tc>
      </w:tr>
      <w:tr>
        <w:trPr>
          <w:trHeight w:val="147"/>
        </w:trPr>
        <w:tc>
          <w:tcPr>
            <w:tcW w:w="738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11,780</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10,592</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380" w:type="dxa"/>
            <w:vAlign w:val="bottom"/>
            <w:shd w:val="clear" w:color="auto" w:fill="CCEEFF"/>
          </w:tcPr>
          <w:p>
            <w:pPr>
              <w:ind w:left="2420"/>
              <w:spacing w:after="0" w:line="114" w:lineRule="exact"/>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8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portion of long-term debt</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545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50"/>
        </w:trPr>
        <w:tc>
          <w:tcPr>
            <w:tcW w:w="7380" w:type="dxa"/>
            <w:vAlign w:val="bottom"/>
          </w:tcPr>
          <w:p>
            <w:pPr>
              <w:ind w:left="100"/>
              <w:spacing w:after="0"/>
              <w:rPr>
                <w:sz w:val="20"/>
                <w:szCs w:val="20"/>
                <w:color w:val="auto"/>
              </w:rPr>
            </w:pPr>
            <w:r>
              <w:rPr>
                <w:rFonts w:ascii="Arial" w:cs="Arial" w:eastAsia="Arial" w:hAnsi="Arial"/>
                <w:sz w:val="12"/>
                <w:szCs w:val="12"/>
                <w:color w:val="auto"/>
              </w:rPr>
              <w:t>Accounts payable — trade</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 affiliates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0"/>
        </w:trPr>
        <w:tc>
          <w:tcPr>
            <w:tcW w:w="7380" w:type="dxa"/>
            <w:vAlign w:val="bottom"/>
          </w:tcPr>
          <w:p>
            <w:pPr>
              <w:ind w:left="100"/>
              <w:spacing w:after="0"/>
              <w:rPr>
                <w:sz w:val="20"/>
                <w:szCs w:val="20"/>
                <w:color w:val="auto"/>
              </w:rPr>
            </w:pPr>
            <w:r>
              <w:rPr>
                <w:rFonts w:ascii="Arial" w:cs="Arial" w:eastAsia="Arial" w:hAnsi="Arial"/>
                <w:sz w:val="12"/>
                <w:szCs w:val="12"/>
                <w:color w:val="auto"/>
              </w:rPr>
              <w:t>Derivative instruments</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 expense</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50"/>
        </w:trPr>
        <w:tc>
          <w:tcPr>
            <w:tcW w:w="7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Accrued expenses and other current liabilities</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7"/>
        </w:trPr>
        <w:tc>
          <w:tcPr>
            <w:tcW w:w="73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816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634</w:t>
            </w:r>
          </w:p>
        </w:tc>
        <w:tc>
          <w:tcPr>
            <w:tcW w:w="0" w:type="dxa"/>
            <w:vAlign w:val="bottom"/>
          </w:tcPr>
          <w:p>
            <w:pPr>
              <w:spacing w:after="0"/>
              <w:rPr>
                <w:sz w:val="1"/>
                <w:szCs w:val="1"/>
                <w:color w:val="auto"/>
              </w:rPr>
            </w:pPr>
          </w:p>
        </w:tc>
      </w:tr>
      <w:tr>
        <w:trPr>
          <w:trHeight w:val="131"/>
        </w:trPr>
        <w:tc>
          <w:tcPr>
            <w:tcW w:w="7380" w:type="dxa"/>
            <w:vAlign w:val="bottom"/>
          </w:tcPr>
          <w:p>
            <w:pPr>
              <w:spacing w:after="0" w:line="129" w:lineRule="exact"/>
              <w:rPr>
                <w:sz w:val="20"/>
                <w:szCs w:val="20"/>
                <w:color w:val="auto"/>
              </w:rPr>
            </w:pPr>
            <w:r>
              <w:rPr>
                <w:rFonts w:ascii="Arial" w:cs="Arial" w:eastAsia="Arial" w:hAnsi="Arial"/>
                <w:sz w:val="12"/>
                <w:szCs w:val="12"/>
                <w:b w:val="1"/>
                <w:bCs w:val="1"/>
                <w:color w:val="auto"/>
              </w:rPr>
              <w:t>Other Liabilities</w:t>
            </w: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Long-term debt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7,299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6,585</w:t>
            </w:r>
          </w:p>
        </w:tc>
        <w:tc>
          <w:tcPr>
            <w:tcW w:w="0" w:type="dxa"/>
            <w:vAlign w:val="bottom"/>
          </w:tcPr>
          <w:p>
            <w:pPr>
              <w:spacing w:after="0"/>
              <w:rPr>
                <w:sz w:val="1"/>
                <w:szCs w:val="1"/>
                <w:color w:val="auto"/>
              </w:rPr>
            </w:pPr>
          </w:p>
        </w:tc>
      </w:tr>
      <w:tr>
        <w:trPr>
          <w:trHeight w:val="150"/>
        </w:trPr>
        <w:tc>
          <w:tcPr>
            <w:tcW w:w="7380" w:type="dxa"/>
            <w:vAlign w:val="bottom"/>
          </w:tcPr>
          <w:p>
            <w:pPr>
              <w:ind w:left="80"/>
              <w:spacing w:after="0"/>
              <w:rPr>
                <w:sz w:val="20"/>
                <w:szCs w:val="20"/>
                <w:color w:val="auto"/>
              </w:rPr>
            </w:pPr>
            <w:r>
              <w:rPr>
                <w:rFonts w:ascii="Arial" w:cs="Arial" w:eastAsia="Arial" w:hAnsi="Arial"/>
                <w:sz w:val="12"/>
                <w:szCs w:val="12"/>
                <w:color w:val="auto"/>
              </w:rPr>
              <w:t>Derivative instruments</w:t>
            </w:r>
          </w:p>
        </w:tc>
        <w:tc>
          <w:tcPr>
            <w:tcW w:w="22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Long-term lease liabilities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50"/>
        </w:trPr>
        <w:tc>
          <w:tcPr>
            <w:tcW w:w="7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non-current liabilities</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47"/>
        </w:trPr>
        <w:tc>
          <w:tcPr>
            <w:tcW w:w="73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non-current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8,009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7,243</w:t>
            </w:r>
          </w:p>
        </w:tc>
        <w:tc>
          <w:tcPr>
            <w:tcW w:w="0" w:type="dxa"/>
            <w:vAlign w:val="bottom"/>
          </w:tcPr>
          <w:p>
            <w:pPr>
              <w:spacing w:after="0"/>
              <w:rPr>
                <w:sz w:val="1"/>
                <w:szCs w:val="1"/>
                <w:color w:val="auto"/>
              </w:rPr>
            </w:pPr>
          </w:p>
        </w:tc>
      </w:tr>
      <w:tr>
        <w:trPr>
          <w:trHeight w:val="140"/>
        </w:trPr>
        <w:tc>
          <w:tcPr>
            <w:tcW w:w="7380" w:type="dxa"/>
            <w:vAlign w:val="bottom"/>
            <w:tcBorders>
              <w:bottom w:val="single" w:sz="8" w:color="CCEEFF"/>
            </w:tcBorders>
          </w:tcPr>
          <w:p>
            <w:pPr>
              <w:spacing w:after="0" w:line="137" w:lineRule="exact"/>
              <w:rPr>
                <w:sz w:val="20"/>
                <w:szCs w:val="20"/>
                <w:color w:val="auto"/>
              </w:rPr>
            </w:pPr>
            <w:r>
              <w:rPr>
                <w:rFonts w:ascii="Arial" w:cs="Arial" w:eastAsia="Arial" w:hAnsi="Arial"/>
                <w:sz w:val="12"/>
                <w:szCs w:val="12"/>
                <w:b w:val="1"/>
                <w:bCs w:val="1"/>
                <w:color w:val="auto"/>
              </w:rPr>
              <w:t>Total Liabilities</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8,825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7,877</w:t>
            </w:r>
          </w:p>
        </w:tc>
        <w:tc>
          <w:tcPr>
            <w:tcW w:w="0" w:type="dxa"/>
            <w:vAlign w:val="bottom"/>
          </w:tcPr>
          <w:p>
            <w:pPr>
              <w:spacing w:after="0"/>
              <w:rPr>
                <w:sz w:val="1"/>
                <w:szCs w:val="1"/>
                <w:color w:val="auto"/>
              </w:rPr>
            </w:pPr>
          </w:p>
        </w:tc>
      </w:tr>
      <w:tr>
        <w:trPr>
          <w:trHeight w:val="136"/>
        </w:trPr>
        <w:tc>
          <w:tcPr>
            <w:tcW w:w="73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Commitments and Contingencies</w:t>
            </w: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380" w:type="dxa"/>
            <w:vAlign w:val="bottom"/>
          </w:tcPr>
          <w:p>
            <w:pPr>
              <w:spacing w:after="0"/>
              <w:rPr>
                <w:sz w:val="20"/>
                <w:szCs w:val="20"/>
                <w:color w:val="auto"/>
              </w:rPr>
            </w:pPr>
            <w:r>
              <w:rPr>
                <w:rFonts w:ascii="Arial" w:cs="Arial" w:eastAsia="Arial" w:hAnsi="Arial"/>
                <w:sz w:val="12"/>
                <w:szCs w:val="12"/>
                <w:b w:val="1"/>
                <w:bCs w:val="1"/>
                <w:color w:val="auto"/>
              </w:rPr>
              <w:t>Stockholders' Equity</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 $0.01 par value; 10,000,000 shares authorized; none issued</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7380" w:type="dxa"/>
            <w:vAlign w:val="bottom"/>
          </w:tcPr>
          <w:p>
            <w:pPr>
              <w:ind w:left="80"/>
              <w:spacing w:after="0" w:line="113" w:lineRule="exact"/>
              <w:rPr>
                <w:sz w:val="20"/>
                <w:szCs w:val="20"/>
                <w:color w:val="auto"/>
              </w:rPr>
            </w:pPr>
            <w:r>
              <w:rPr>
                <w:rFonts w:ascii="Arial" w:cs="Arial" w:eastAsia="Arial" w:hAnsi="Arial"/>
                <w:sz w:val="12"/>
                <w:szCs w:val="12"/>
                <w:color w:val="auto"/>
                <w:w w:val="87"/>
              </w:rPr>
              <w:t>Class A, Class B, Class C and Class D common stock, $0.01 par value; 3,000,000,000 shares authorized (Class A 500,000,000, Class B 500,000,000, Class</w:t>
            </w: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380" w:type="dxa"/>
            <w:vAlign w:val="bottom"/>
          </w:tcPr>
          <w:p>
            <w:pPr>
              <w:ind w:left="80"/>
              <w:spacing w:after="0" w:line="113" w:lineRule="exact"/>
              <w:rPr>
                <w:sz w:val="20"/>
                <w:szCs w:val="20"/>
                <w:color w:val="auto"/>
              </w:rPr>
            </w:pPr>
            <w:r>
              <w:rPr>
                <w:rFonts w:ascii="Arial" w:cs="Arial" w:eastAsia="Arial" w:hAnsi="Arial"/>
                <w:sz w:val="12"/>
                <w:szCs w:val="12"/>
                <w:color w:val="auto"/>
                <w:w w:val="87"/>
              </w:rPr>
              <w:t>C 1,000,000,000, Class D 1,000,000,000); 201,846,253 shares issued and outstanding (Class A 34,599,645, Class B 42,738,750, Class C 81,769,108, Class</w:t>
            </w: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380" w:type="dxa"/>
            <w:vAlign w:val="bottom"/>
          </w:tcPr>
          <w:p>
            <w:pPr>
              <w:ind w:left="80"/>
              <w:spacing w:after="0" w:line="113" w:lineRule="exact"/>
              <w:rPr>
                <w:sz w:val="20"/>
                <w:szCs w:val="20"/>
                <w:color w:val="auto"/>
              </w:rPr>
            </w:pPr>
            <w:r>
              <w:rPr>
                <w:rFonts w:ascii="Arial" w:cs="Arial" w:eastAsia="Arial" w:hAnsi="Arial"/>
                <w:sz w:val="12"/>
                <w:szCs w:val="12"/>
                <w:color w:val="auto"/>
                <w:w w:val="87"/>
              </w:rPr>
              <w:t>D 42,738,750) at September 30, 2021 and 201,635,990 shares issued and outstanding (Class A 34,599,645, Class B 42,738,750, Class C 81,558,845, Class</w:t>
            </w:r>
          </w:p>
        </w:tc>
        <w:tc>
          <w:tcPr>
            <w:tcW w:w="220" w:type="dxa"/>
            <w:vAlign w:val="bottom"/>
          </w:tcPr>
          <w:p>
            <w:pPr>
              <w:spacing w:after="0"/>
              <w:rPr>
                <w:sz w:val="9"/>
                <w:szCs w:val="9"/>
                <w:color w:val="auto"/>
              </w:rPr>
            </w:pPr>
          </w:p>
        </w:tc>
        <w:tc>
          <w:tcPr>
            <w:tcW w:w="1480" w:type="dxa"/>
            <w:vAlign w:val="bottom"/>
            <w:vMerge w:val="restart"/>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0"/>
        </w:trPr>
        <w:tc>
          <w:tcPr>
            <w:tcW w:w="7380" w:type="dxa"/>
            <w:vAlign w:val="bottom"/>
          </w:tcPr>
          <w:p>
            <w:pPr>
              <w:ind w:left="80"/>
              <w:spacing w:after="0"/>
              <w:rPr>
                <w:sz w:val="20"/>
                <w:szCs w:val="20"/>
                <w:color w:val="auto"/>
              </w:rPr>
            </w:pPr>
            <w:r>
              <w:rPr>
                <w:rFonts w:ascii="Arial" w:cs="Arial" w:eastAsia="Arial" w:hAnsi="Arial"/>
                <w:sz w:val="12"/>
                <w:szCs w:val="12"/>
                <w:color w:val="auto"/>
              </w:rPr>
              <w:t>D 42,738,750) at December 31, 2020</w:t>
            </w:r>
          </w:p>
        </w:tc>
        <w:tc>
          <w:tcPr>
            <w:tcW w:w="2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1,810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1,922</w:t>
            </w:r>
          </w:p>
        </w:tc>
        <w:tc>
          <w:tcPr>
            <w:tcW w:w="0" w:type="dxa"/>
            <w:vAlign w:val="bottom"/>
          </w:tcPr>
          <w:p>
            <w:pPr>
              <w:spacing w:after="0"/>
              <w:rPr>
                <w:sz w:val="1"/>
                <w:szCs w:val="1"/>
                <w:color w:val="auto"/>
              </w:rPr>
            </w:pPr>
          </w:p>
        </w:tc>
      </w:tr>
      <w:tr>
        <w:trPr>
          <w:trHeight w:val="150"/>
        </w:trPr>
        <w:tc>
          <w:tcPr>
            <w:tcW w:w="738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56"/>
        </w:trPr>
        <w:tc>
          <w:tcPr>
            <w:tcW w:w="7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0"/>
        </w:trPr>
        <w:tc>
          <w:tcPr>
            <w:tcW w:w="7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Noncontrolling interest</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890</w:t>
            </w:r>
          </w:p>
        </w:tc>
        <w:tc>
          <w:tcPr>
            <w:tcW w:w="0" w:type="dxa"/>
            <w:vAlign w:val="bottom"/>
          </w:tcPr>
          <w:p>
            <w:pPr>
              <w:spacing w:after="0"/>
              <w:rPr>
                <w:sz w:val="1"/>
                <w:szCs w:val="1"/>
                <w:color w:val="auto"/>
              </w:rPr>
            </w:pPr>
          </w:p>
        </w:tc>
      </w:tr>
      <w:tr>
        <w:trPr>
          <w:trHeight w:val="144"/>
        </w:trPr>
        <w:tc>
          <w:tcPr>
            <w:tcW w:w="7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Stockholders'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2,955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2,715</w:t>
            </w:r>
          </w:p>
        </w:tc>
        <w:tc>
          <w:tcPr>
            <w:tcW w:w="0" w:type="dxa"/>
            <w:vAlign w:val="bottom"/>
          </w:tcPr>
          <w:p>
            <w:pPr>
              <w:spacing w:after="0"/>
              <w:rPr>
                <w:sz w:val="1"/>
                <w:szCs w:val="1"/>
                <w:color w:val="auto"/>
              </w:rPr>
            </w:pPr>
          </w:p>
        </w:tc>
      </w:tr>
      <w:tr>
        <w:trPr>
          <w:trHeight w:val="147"/>
        </w:trPr>
        <w:tc>
          <w:tcPr>
            <w:tcW w:w="738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11,780</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10,592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060"/>
          </w:cols>
          <w:pgMar w:left="520" w:top="617" w:right="319" w:bottom="1440" w:gutter="0" w:footer="0" w:header="0"/>
        </w:sectPr>
      </w:pPr>
    </w:p>
    <w:bookmarkStart w:id="13" w:name="page14"/>
    <w:bookmarkEnd w:id="13"/>
    <w:p>
      <w:pPr>
        <w:jc w:val="center"/>
        <w:ind w:right="580"/>
        <w:spacing w:after="0"/>
        <w:rPr>
          <w:sz w:val="20"/>
          <w:szCs w:val="20"/>
          <w:color w:val="auto"/>
        </w:rPr>
      </w:pPr>
      <w:r>
        <w:rPr>
          <w:rFonts w:ascii="Arial" w:cs="Arial" w:eastAsia="Arial" w:hAnsi="Arial"/>
          <w:sz w:val="14"/>
          <w:szCs w:val="14"/>
          <w:b w:val="1"/>
          <w:bCs w:val="1"/>
          <w:color w:val="auto"/>
        </w:rPr>
        <w:t>CLEARWAY ENERGY, INC.</w:t>
      </w:r>
    </w:p>
    <w:p>
      <w:pPr>
        <w:spacing w:after="0" w:line="43"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3"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6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1"/>
                <w:szCs w:val="11"/>
                <w:b w:val="1"/>
                <w:bCs w:val="1"/>
                <w:color w:val="auto"/>
                <w:w w:val="97"/>
              </w:rPr>
              <w:t>Nine months ended September 30,</w:t>
            </w:r>
          </w:p>
        </w:tc>
      </w:tr>
      <w:tr>
        <w:trPr>
          <w:trHeight w:val="140"/>
        </w:trPr>
        <w:tc>
          <w:tcPr>
            <w:tcW w:w="76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2020</w:t>
            </w:r>
          </w:p>
        </w:tc>
      </w:tr>
      <w:tr>
        <w:trPr>
          <w:trHeight w:val="143"/>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6"/>
        </w:trPr>
        <w:tc>
          <w:tcPr>
            <w:tcW w:w="762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(Loss) Income</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61"/>
        </w:trPr>
        <w:tc>
          <w:tcPr>
            <w:tcW w:w="7620" w:type="dxa"/>
            <w:vAlign w:val="bottom"/>
          </w:tcPr>
          <w:p>
            <w:pPr>
              <w:ind w:left="180"/>
              <w:spacing w:after="0"/>
              <w:rPr>
                <w:sz w:val="20"/>
                <w:szCs w:val="20"/>
                <w:color w:val="auto"/>
              </w:rPr>
            </w:pPr>
            <w:r>
              <w:rPr>
                <w:rFonts w:ascii="Arial" w:cs="Arial" w:eastAsia="Arial" w:hAnsi="Arial"/>
                <w:sz w:val="12"/>
                <w:szCs w:val="12"/>
                <w:color w:val="auto"/>
              </w:rPr>
              <w:t>Adjustments to reconcile net (loss) income to net cash provided by operating activities: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Equity in earnings of unconsolidated affiliates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Distributions from unconsolidated affiliates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Depreciation, amortization and accretion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Amortization of financing costs and debt discounts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intangibles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Reduction in carrying amount of right-of-use assets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Gain on sale of unconsolidated affiliate</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deferred income taxes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Changes in derivative instruments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66"/>
        </w:trPr>
        <w:tc>
          <w:tcPr>
            <w:tcW w:w="7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provided by (used in) changes in other working capital</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Changes in prepaid and accrued liabilities for tolling agreements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other working capital</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51"/>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w:t>
            </w:r>
          </w:p>
        </w:tc>
      </w:tr>
      <w:tr>
        <w:trPr>
          <w:trHeight w:val="146"/>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Acquisitions, net of cash acquired</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Acquisition of Drop Down Asset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Consolidation of DGPV Holdco 3 LLC</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Capital expenditures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Asset purchase from affiliate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Return of investment from unconsolidated affiliates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Investments in unconsolidated affiliates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receipts from notes receivable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Proceeds from sale of assets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Insurance proceeds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61"/>
        </w:trPr>
        <w:tc>
          <w:tcPr>
            <w:tcW w:w="76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41"/>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contributions from noncontrolling interests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Buyout of Repowering Partnership II LLC noncontrolling interest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the issuance of common stock</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Payments of dividends and distributions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of debt issuance costs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Proceeds from the revolving credit facility</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265</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for the revolving credit facility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r>
      <w:tr>
        <w:trPr>
          <w:trHeight w:val="161"/>
        </w:trPr>
        <w:tc>
          <w:tcPr>
            <w:tcW w:w="7620" w:type="dxa"/>
            <w:vAlign w:val="bottom"/>
          </w:tcPr>
          <w:p>
            <w:pPr>
              <w:ind w:left="260"/>
              <w:spacing w:after="0"/>
              <w:rPr>
                <w:sz w:val="20"/>
                <w:szCs w:val="20"/>
                <w:color w:val="auto"/>
              </w:rPr>
            </w:pPr>
            <w:r>
              <w:rPr>
                <w:rFonts w:ascii="Arial" w:cs="Arial" w:eastAsia="Arial" w:hAnsi="Arial"/>
                <w:sz w:val="12"/>
                <w:szCs w:val="12"/>
                <w:color w:val="auto"/>
              </w:rPr>
              <w:t>Proceeds from the issuance of long-term debt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1,037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775</w:t>
            </w:r>
          </w:p>
        </w:tc>
      </w:tr>
      <w:tr>
        <w:trPr>
          <w:trHeight w:val="166"/>
        </w:trPr>
        <w:tc>
          <w:tcPr>
            <w:tcW w:w="7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for long-term debt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w:t>
            </w:r>
          </w:p>
        </w:tc>
      </w:tr>
      <w:tr>
        <w:trPr>
          <w:trHeight w:val="161"/>
        </w:trPr>
        <w:tc>
          <w:tcPr>
            <w:tcW w:w="76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w:t>
            </w:r>
          </w:p>
        </w:tc>
      </w:tr>
      <w:tr>
        <w:trPr>
          <w:trHeight w:val="151"/>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120</w:t>
            </w:r>
          </w:p>
        </w:tc>
      </w:tr>
      <w:tr>
        <w:trPr>
          <w:trHeight w:val="164"/>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w:t>
            </w:r>
          </w:p>
        </w:tc>
      </w:tr>
      <w:tr>
        <w:trPr>
          <w:trHeight w:val="156"/>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w:t>
            </w: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700"/>
          </w:cols>
          <w:pgMar w:left="880" w:top="617" w:right="319" w:bottom="1440" w:gutter="0" w:footer="0" w:header="0"/>
        </w:sectPr>
      </w:pPr>
    </w:p>
    <w:bookmarkStart w:id="14" w:name="page15"/>
    <w:bookmarkEnd w:id="14"/>
    <w:p>
      <w:pPr>
        <w:jc w:val="center"/>
        <w:ind w:right="580"/>
        <w:spacing w:after="0"/>
        <w:rPr>
          <w:sz w:val="20"/>
          <w:szCs w:val="20"/>
          <w:color w:val="auto"/>
        </w:rPr>
      </w:pPr>
      <w:r>
        <w:rPr>
          <w:rFonts w:ascii="Arial" w:cs="Arial" w:eastAsia="Arial" w:hAnsi="Arial"/>
          <w:sz w:val="14"/>
          <w:szCs w:val="14"/>
          <w:b w:val="1"/>
          <w:bCs w:val="1"/>
          <w:color w:val="auto"/>
        </w:rPr>
        <w:t>CLEARWAY ENERGY, INC.</w:t>
      </w:r>
    </w:p>
    <w:p>
      <w:pPr>
        <w:spacing w:after="0" w:line="125"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27"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auto"/>
        </w:rPr>
        <w:t>For the Nine Months Ended September 30, 2021</w:t>
      </w:r>
    </w:p>
    <w:p>
      <w:pPr>
        <w:spacing w:after="0" w:line="123"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3"/>
          </w:tcPr>
          <w:p>
            <w:pPr>
              <w:ind w:left="720"/>
              <w:spacing w:after="0"/>
              <w:rPr>
                <w:sz w:val="20"/>
                <w:szCs w:val="20"/>
                <w:color w:val="auto"/>
              </w:rPr>
            </w:pPr>
            <w:r>
              <w:rPr>
                <w:rFonts w:ascii="Arial" w:cs="Arial" w:eastAsia="Arial" w:hAnsi="Arial"/>
                <w:sz w:val="10"/>
                <w:szCs w:val="10"/>
                <w:b w:val="1"/>
                <w:bCs w:val="1"/>
                <w:color w:val="auto"/>
              </w:rPr>
              <w:t>Additional</w:t>
            </w:r>
          </w:p>
        </w:tc>
        <w:tc>
          <w:tcPr>
            <w:tcW w:w="6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Accumulated</w:t>
            </w:r>
          </w:p>
        </w:tc>
        <w:tc>
          <w:tcPr>
            <w:tcW w:w="58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rPr>
              <w:t>Accumulated</w:t>
            </w:r>
          </w:p>
        </w:tc>
        <w:tc>
          <w:tcPr>
            <w:tcW w:w="6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Noncontrolling</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(In millions)</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Preferred Stock</w:t>
            </w:r>
          </w:p>
        </w:tc>
        <w:tc>
          <w:tcPr>
            <w:tcW w:w="60" w:type="dxa"/>
            <w:vAlign w:val="bottom"/>
            <w:vMerge w:val="restart"/>
          </w:tcPr>
          <w:p>
            <w:pPr>
              <w:spacing w:after="0"/>
              <w:rPr>
                <w:sz w:val="8"/>
                <w:szCs w:val="8"/>
                <w:color w:val="auto"/>
              </w:rPr>
            </w:pPr>
          </w:p>
        </w:tc>
        <w:tc>
          <w:tcPr>
            <w:tcW w:w="1180" w:type="dxa"/>
            <w:vAlign w:val="bottom"/>
            <w:gridSpan w:val="2"/>
            <w:vMerge w:val="restart"/>
          </w:tcPr>
          <w:p>
            <w:pPr>
              <w:ind w:left="520"/>
              <w:spacing w:after="0"/>
              <w:rPr>
                <w:sz w:val="20"/>
                <w:szCs w:val="20"/>
                <w:color w:val="auto"/>
              </w:rPr>
            </w:pPr>
            <w:r>
              <w:rPr>
                <w:rFonts w:ascii="Arial" w:cs="Arial" w:eastAsia="Arial" w:hAnsi="Arial"/>
                <w:sz w:val="10"/>
                <w:szCs w:val="10"/>
                <w:b w:val="1"/>
                <w:bCs w:val="1"/>
                <w:color w:val="auto"/>
                <w:w w:val="87"/>
              </w:rPr>
              <w:t>Common Stock</w:t>
            </w:r>
          </w:p>
        </w:tc>
        <w:tc>
          <w:tcPr>
            <w:tcW w:w="60" w:type="dxa"/>
            <w:vAlign w:val="bottom"/>
            <w:vMerge w:val="restart"/>
          </w:tcPr>
          <w:p>
            <w:pPr>
              <w:spacing w:after="0"/>
              <w:rPr>
                <w:sz w:val="8"/>
                <w:szCs w:val="8"/>
                <w:color w:val="auto"/>
              </w:rPr>
            </w:pPr>
          </w:p>
        </w:tc>
        <w:tc>
          <w:tcPr>
            <w:tcW w:w="960" w:type="dxa"/>
            <w:vAlign w:val="bottom"/>
          </w:tcPr>
          <w:p>
            <w:pPr>
              <w:jc w:val="right"/>
              <w:ind w:right="65"/>
              <w:spacing w:after="0" w:line="92" w:lineRule="exact"/>
              <w:rPr>
                <w:sz w:val="20"/>
                <w:szCs w:val="20"/>
                <w:color w:val="auto"/>
              </w:rPr>
            </w:pPr>
            <w:r>
              <w:rPr>
                <w:rFonts w:ascii="Arial" w:cs="Arial" w:eastAsia="Arial" w:hAnsi="Arial"/>
                <w:sz w:val="10"/>
                <w:szCs w:val="10"/>
                <w:b w:val="1"/>
                <w:bCs w:val="1"/>
                <w:color w:val="auto"/>
              </w:rPr>
              <w:t>Paid-In</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340" w:type="dxa"/>
            <w:vAlign w:val="bottom"/>
            <w:gridSpan w:val="3"/>
          </w:tcPr>
          <w:p>
            <w:pPr>
              <w:ind w:left="520"/>
              <w:spacing w:after="0" w:line="92" w:lineRule="exact"/>
              <w:rPr>
                <w:sz w:val="20"/>
                <w:szCs w:val="20"/>
                <w:color w:val="auto"/>
              </w:rPr>
            </w:pPr>
            <w:r>
              <w:rPr>
                <w:rFonts w:ascii="Arial" w:cs="Arial" w:eastAsia="Arial" w:hAnsi="Arial"/>
                <w:sz w:val="10"/>
                <w:szCs w:val="10"/>
                <w:b w:val="1"/>
                <w:bCs w:val="1"/>
                <w:color w:val="auto"/>
              </w:rPr>
              <w:t>Other</w:t>
            </w:r>
          </w:p>
        </w:tc>
        <w:tc>
          <w:tcPr>
            <w:tcW w:w="6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60" w:type="dxa"/>
            <w:vAlign w:val="bottom"/>
          </w:tcPr>
          <w:p>
            <w:pPr>
              <w:jc w:val="right"/>
              <w:ind w:right="25"/>
              <w:spacing w:after="0" w:line="92" w:lineRule="exact"/>
              <w:rPr>
                <w:sz w:val="20"/>
                <w:szCs w:val="20"/>
                <w:color w:val="auto"/>
              </w:rPr>
            </w:pPr>
            <w:r>
              <w:rPr>
                <w:rFonts w:ascii="Arial" w:cs="Arial" w:eastAsia="Arial" w:hAnsi="Arial"/>
                <w:sz w:val="10"/>
                <w:szCs w:val="10"/>
                <w:b w:val="1"/>
                <w:bCs w:val="1"/>
                <w:color w:val="auto"/>
              </w:rPr>
              <w:t>Stockholders'</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340" w:type="dxa"/>
            <w:vAlign w:val="bottom"/>
            <w:tcBorders>
              <w:bottom w:val="single" w:sz="8" w:color="CCEEFF"/>
            </w:tcBorders>
            <w:vMerge w:val="continue"/>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Capital</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gridSpan w:val="2"/>
          </w:tcPr>
          <w:p>
            <w:pPr>
              <w:ind w:left="520"/>
              <w:spacing w:after="0"/>
              <w:rPr>
                <w:sz w:val="20"/>
                <w:szCs w:val="20"/>
                <w:color w:val="auto"/>
              </w:rPr>
            </w:pPr>
            <w:r>
              <w:rPr>
                <w:rFonts w:ascii="Arial" w:cs="Arial" w:eastAsia="Arial" w:hAnsi="Arial"/>
                <w:sz w:val="10"/>
                <w:szCs w:val="10"/>
                <w:b w:val="1"/>
                <w:bCs w:val="1"/>
                <w:color w:val="auto"/>
              </w:rPr>
              <w:t>Deficit</w:t>
            </w:r>
          </w:p>
        </w:tc>
        <w:tc>
          <w:tcPr>
            <w:tcW w:w="6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0"/>
                <w:szCs w:val="10"/>
                <w:b w:val="1"/>
                <w:bCs w:val="1"/>
                <w:color w:val="auto"/>
              </w:rPr>
              <w:t>Comprehensive Loss</w:t>
            </w:r>
          </w:p>
        </w:tc>
        <w:tc>
          <w:tcPr>
            <w:tcW w:w="6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0"/>
                <w:szCs w:val="10"/>
                <w:b w:val="1"/>
                <w:bCs w:val="1"/>
                <w:color w:val="auto"/>
              </w:rPr>
              <w:t>Interest</w:t>
            </w: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Equity</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CEEFF"/>
          </w:tcPr>
          <w:p>
            <w:pPr>
              <w:ind w:left="500"/>
              <w:spacing w:after="0" w:line="103" w:lineRule="exact"/>
              <w:rPr>
                <w:sz w:val="20"/>
                <w:szCs w:val="20"/>
                <w:color w:val="auto"/>
              </w:rPr>
            </w:pPr>
            <w:r>
              <w:rPr>
                <w:rFonts w:ascii="Arial" w:cs="Arial" w:eastAsia="Arial" w:hAnsi="Arial"/>
                <w:sz w:val="11"/>
                <w:szCs w:val="11"/>
                <w:b w:val="1"/>
                <w:bCs w:val="1"/>
                <w:color w:val="auto"/>
              </w:rPr>
              <w:t>Balances at</w:t>
            </w:r>
          </w:p>
        </w:tc>
        <w:tc>
          <w:tcPr>
            <w:tcW w:w="82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1,922</w:t>
            </w: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2,715</w:t>
            </w: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2020</w:t>
            </w:r>
          </w:p>
        </w:tc>
        <w:tc>
          <w:tcPr>
            <w:tcW w:w="82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(81)</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Unrealized</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w w:val="95"/>
              </w:rPr>
              <w:t>gain on derivatives, net</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of tax</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w w:val="96"/>
              </w:rPr>
              <w:t>Contributions</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from CEG, non-cash</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w w:val="96"/>
              </w:rPr>
              <w:t>Contributions</w:t>
            </w:r>
          </w:p>
        </w:tc>
        <w:tc>
          <w:tcPr>
            <w:tcW w:w="8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from CEG, cash</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w w:val="96"/>
              </w:rPr>
              <w:t>Contributions</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from noncontrolling</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interests, net of</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126</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distributions, cash</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Agua</w:t>
            </w:r>
          </w:p>
        </w:tc>
        <w:tc>
          <w:tcPr>
            <w:tcW w:w="8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Caliente acquisition</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rPr>
              <w:t>Rattlesnake</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(118)</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99"/>
              </w:rPr>
              <w:t>(118)</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Drop Down</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Non-cash</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w w:val="94"/>
              </w:rPr>
              <w:t>adjustments for change</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 tax basis</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rPr>
              <w:t>Dividends to</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common stockholders</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and distributions to</w:t>
            </w:r>
          </w:p>
        </w:tc>
        <w:tc>
          <w:tcPr>
            <w:tcW w:w="8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8"/>
        </w:trPr>
        <w:tc>
          <w:tcPr>
            <w:tcW w:w="13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CEG</w:t>
            </w: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40" w:type="dxa"/>
            <w:vAlign w:val="bottom"/>
            <w:shd w:val="clear" w:color="auto" w:fill="CCEEFF"/>
          </w:tcPr>
          <w:p>
            <w:pPr>
              <w:ind w:left="500"/>
              <w:spacing w:after="0" w:line="105" w:lineRule="exact"/>
              <w:rPr>
                <w:sz w:val="20"/>
                <w:szCs w:val="20"/>
                <w:color w:val="auto"/>
              </w:rPr>
            </w:pPr>
            <w:r>
              <w:rPr>
                <w:rFonts w:ascii="Arial" w:cs="Arial" w:eastAsia="Arial" w:hAnsi="Arial"/>
                <w:sz w:val="12"/>
                <w:szCs w:val="12"/>
                <w:b w:val="1"/>
                <w:bCs w:val="1"/>
                <w:color w:val="auto"/>
              </w:rPr>
              <w:t>Balances at</w:t>
            </w:r>
          </w:p>
        </w:tc>
        <w:tc>
          <w:tcPr>
            <w:tcW w:w="82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1,886</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6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2,995</w:t>
            </w: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2021</w:t>
            </w:r>
          </w:p>
        </w:tc>
        <w:tc>
          <w:tcPr>
            <w:tcW w:w="82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Unrealized</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gain (loss) on</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derivatives, net of tax</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w w:val="96"/>
              </w:rPr>
              <w:t>Contributions</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from CEG, non-cash</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w w:val="96"/>
              </w:rPr>
              <w:t>Contributions</w:t>
            </w:r>
          </w:p>
        </w:tc>
        <w:tc>
          <w:tcPr>
            <w:tcW w:w="8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from CEG, cash</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w w:val="96"/>
              </w:rPr>
              <w:t>Contributions</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from noncontrolling</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interests, net of</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distributions, cash</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Stock-based</w:t>
            </w:r>
          </w:p>
        </w:tc>
        <w:tc>
          <w:tcPr>
            <w:tcW w:w="8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compensation</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rPr>
              <w:t>Rattlesnake</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Drop Down</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Non-cash</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w w:val="94"/>
              </w:rPr>
              <w:t>adjustments for change</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 tax basis</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rPr>
              <w:t>Dividends to</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common stockholders</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40"/>
              <w:spacing w:after="0" w:line="123" w:lineRule="exact"/>
              <w:rPr>
                <w:sz w:val="20"/>
                <w:szCs w:val="20"/>
                <w:color w:val="auto"/>
              </w:rPr>
            </w:pPr>
            <w:r>
              <w:rPr>
                <w:rFonts w:ascii="Arial" w:cs="Arial" w:eastAsia="Arial" w:hAnsi="Arial"/>
                <w:sz w:val="12"/>
                <w:szCs w:val="12"/>
                <w:color w:val="auto"/>
              </w:rPr>
              <w:t>and distributions to</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8"/>
        </w:trPr>
        <w:tc>
          <w:tcPr>
            <w:tcW w:w="13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CEG</w:t>
            </w: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40" w:type="dxa"/>
            <w:vAlign w:val="bottom"/>
            <w:shd w:val="clear" w:color="auto" w:fill="CCEEFF"/>
          </w:tcPr>
          <w:p>
            <w:pPr>
              <w:ind w:left="500"/>
              <w:spacing w:after="0" w:line="105" w:lineRule="exact"/>
              <w:rPr>
                <w:sz w:val="20"/>
                <w:szCs w:val="20"/>
                <w:color w:val="auto"/>
              </w:rPr>
            </w:pPr>
            <w:r>
              <w:rPr>
                <w:rFonts w:ascii="Arial" w:cs="Arial" w:eastAsia="Arial" w:hAnsi="Arial"/>
                <w:sz w:val="12"/>
                <w:szCs w:val="12"/>
                <w:b w:val="1"/>
                <w:bCs w:val="1"/>
                <w:color w:val="auto"/>
              </w:rPr>
              <w:t>Balances at</w:t>
            </w:r>
          </w:p>
        </w:tc>
        <w:tc>
          <w:tcPr>
            <w:tcW w:w="82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1,848</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1,209</w:t>
            </w:r>
          </w:p>
        </w:tc>
        <w:tc>
          <w:tcPr>
            <w:tcW w:w="6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3,003</w:t>
            </w: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June 30, 2021</w:t>
            </w:r>
          </w:p>
        </w:tc>
        <w:tc>
          <w:tcPr>
            <w:tcW w:w="82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Unrealized</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w w:val="95"/>
              </w:rPr>
              <w:t>gain on derivatives, net</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of tax</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w w:val="96"/>
              </w:rPr>
              <w:t>Contributions</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from CEG, non-cash</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Distributions</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to noncontrolling</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interests, net of</w:t>
            </w:r>
          </w:p>
        </w:tc>
        <w:tc>
          <w:tcPr>
            <w:tcW w:w="8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 cash</w:t>
            </w:r>
          </w:p>
        </w:tc>
        <w:tc>
          <w:tcPr>
            <w:tcW w:w="8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640"/>
              <w:spacing w:after="0" w:line="126" w:lineRule="exact"/>
              <w:rPr>
                <w:sz w:val="20"/>
                <w:szCs w:val="20"/>
                <w:color w:val="auto"/>
              </w:rPr>
            </w:pPr>
            <w:r>
              <w:rPr>
                <w:rFonts w:ascii="Arial" w:cs="Arial" w:eastAsia="Arial" w:hAnsi="Arial"/>
                <w:sz w:val="12"/>
                <w:szCs w:val="12"/>
                <w:color w:val="auto"/>
              </w:rPr>
              <w:t>Stock-based</w:t>
            </w:r>
          </w:p>
        </w:tc>
        <w:tc>
          <w:tcPr>
            <w:tcW w:w="82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1340" w:type="dxa"/>
            <w:vAlign w:val="bottom"/>
          </w:tcPr>
          <w:p>
            <w:pPr>
              <w:ind w:left="140"/>
              <w:spacing w:after="0"/>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Dividends to</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common stockholders</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and distributions to</w:t>
            </w:r>
          </w:p>
        </w:tc>
        <w:tc>
          <w:tcPr>
            <w:tcW w:w="8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60"/>
        </w:trPr>
        <w:tc>
          <w:tcPr>
            <w:tcW w:w="1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CEG</w:t>
            </w: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40" w:type="dxa"/>
            <w:vAlign w:val="bottom"/>
          </w:tcPr>
          <w:p>
            <w:pPr>
              <w:ind w:left="500"/>
              <w:spacing w:after="0" w:line="103" w:lineRule="exact"/>
              <w:rPr>
                <w:sz w:val="20"/>
                <w:szCs w:val="20"/>
                <w:color w:val="auto"/>
              </w:rPr>
            </w:pPr>
            <w:r>
              <w:rPr>
                <w:rFonts w:ascii="Arial" w:cs="Arial" w:eastAsia="Arial" w:hAnsi="Arial"/>
                <w:sz w:val="11"/>
                <w:szCs w:val="11"/>
                <w:b w:val="1"/>
                <w:bCs w:val="1"/>
                <w:color w:val="auto"/>
              </w:rPr>
              <w:t>Balances at</w:t>
            </w:r>
          </w:p>
        </w:tc>
        <w:tc>
          <w:tcPr>
            <w:tcW w:w="82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8"/>
                <w:szCs w:val="8"/>
                <w:color w:val="auto"/>
              </w:rPr>
            </w:pPr>
          </w:p>
        </w:tc>
        <w:tc>
          <w:tcPr>
            <w:tcW w:w="960" w:type="dxa"/>
            <w:vAlign w:val="bottom"/>
            <w:vMerge w:val="restart"/>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1,810</w:t>
            </w:r>
          </w:p>
        </w:tc>
        <w:tc>
          <w:tcPr>
            <w:tcW w:w="60" w:type="dxa"/>
            <w:vAlign w:val="bottom"/>
          </w:tcPr>
          <w:p>
            <w:pPr>
              <w:spacing w:after="0"/>
              <w:rPr>
                <w:sz w:val="8"/>
                <w:szCs w:val="8"/>
                <w:color w:val="auto"/>
              </w:rPr>
            </w:pPr>
          </w:p>
        </w:tc>
        <w:tc>
          <w:tcPr>
            <w:tcW w:w="600" w:type="dxa"/>
            <w:vAlign w:val="bottom"/>
            <w:vMerge w:val="restart"/>
          </w:tcPr>
          <w:p>
            <w:pPr>
              <w:ind w:left="520"/>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1,177</w:t>
            </w:r>
          </w:p>
        </w:tc>
        <w:tc>
          <w:tcPr>
            <w:tcW w:w="60" w:type="dxa"/>
            <w:vAlign w:val="bottom"/>
          </w:tcPr>
          <w:p>
            <w:pPr>
              <w:spacing w:after="0"/>
              <w:rPr>
                <w:sz w:val="8"/>
                <w:szCs w:val="8"/>
                <w:color w:val="auto"/>
              </w:rPr>
            </w:pPr>
          </w:p>
        </w:tc>
        <w:tc>
          <w:tcPr>
            <w:tcW w:w="1060" w:type="dxa"/>
            <w:vAlign w:val="bottom"/>
            <w:vMerge w:val="restart"/>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86"/>
              </w:rPr>
              <w:t>2,955</w:t>
            </w:r>
          </w:p>
        </w:tc>
        <w:tc>
          <w:tcPr>
            <w:tcW w:w="0" w:type="dxa"/>
            <w:vAlign w:val="bottom"/>
          </w:tcPr>
          <w:p>
            <w:pPr>
              <w:spacing w:after="0"/>
              <w:rPr>
                <w:sz w:val="1"/>
                <w:szCs w:val="1"/>
                <w:color w:val="auto"/>
              </w:rPr>
            </w:pPr>
          </w:p>
        </w:tc>
      </w:tr>
      <w:tr>
        <w:trPr>
          <w:trHeight w:val="143"/>
        </w:trPr>
        <w:tc>
          <w:tcPr>
            <w:tcW w:w="1340" w:type="dxa"/>
            <w:vAlign w:val="bottom"/>
          </w:tcPr>
          <w:p>
            <w:pPr>
              <w:spacing w:after="0"/>
              <w:rPr>
                <w:sz w:val="20"/>
                <w:szCs w:val="20"/>
                <w:color w:val="auto"/>
              </w:rPr>
            </w:pPr>
            <w:r>
              <w:rPr>
                <w:rFonts w:ascii="Arial" w:cs="Arial" w:eastAsia="Arial" w:hAnsi="Arial"/>
                <w:sz w:val="12"/>
                <w:szCs w:val="12"/>
                <w:b w:val="1"/>
                <w:bCs w:val="1"/>
                <w:color w:val="auto"/>
              </w:rPr>
              <w:t>September 30, 2021</w:t>
            </w:r>
          </w:p>
        </w:tc>
        <w:tc>
          <w:tcPr>
            <w:tcW w:w="82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bl>
    <w:p>
      <w:pPr>
        <w:sectPr>
          <w:pgSz w:w="11900" w:h="16838" w:orient="portrait"/>
          <w:cols w:equalWidth="0" w:num="1">
            <w:col w:w="10860"/>
          </w:cols>
          <w:pgMar w:left="800" w:top="617" w:right="239" w:bottom="1440" w:gutter="0" w:footer="0" w:header="0"/>
        </w:sectPr>
      </w:pPr>
    </w:p>
    <w:bookmarkStart w:id="15" w:name="page16"/>
    <w:bookmarkEnd w:id="15"/>
    <w:p>
      <w:pPr>
        <w:jc w:val="center"/>
        <w:ind w:right="340"/>
        <w:spacing w:after="0"/>
        <w:rPr>
          <w:sz w:val="20"/>
          <w:szCs w:val="20"/>
          <w:color w:val="auto"/>
        </w:rPr>
      </w:pPr>
      <w:r>
        <w:rPr>
          <w:rFonts w:ascii="Arial" w:cs="Arial" w:eastAsia="Arial" w:hAnsi="Arial"/>
          <w:sz w:val="14"/>
          <w:szCs w:val="14"/>
          <w:b w:val="1"/>
          <w:bCs w:val="1"/>
          <w:color w:val="auto"/>
        </w:rPr>
        <w:t>CLEARWAY ENERGY, INC.</w:t>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27"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For the Nine Months Ended September 30, 2020</w:t>
      </w:r>
    </w:p>
    <w:p>
      <w:pPr>
        <w:spacing w:after="0" w:line="123"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Additional</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Accumulated</w:t>
            </w: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5"/>
              </w:rPr>
              <w:t>Non-controlling</w:t>
            </w:r>
          </w:p>
        </w:tc>
        <w:tc>
          <w:tcPr>
            <w:tcW w:w="140" w:type="dxa"/>
            <w:vAlign w:val="bottom"/>
          </w:tcPr>
          <w:p>
            <w:pPr>
              <w:spacing w:after="0"/>
              <w:rPr>
                <w:sz w:val="10"/>
                <w:szCs w:val="10"/>
                <w:color w:val="auto"/>
              </w:rPr>
            </w:pPr>
          </w:p>
        </w:tc>
        <w:tc>
          <w:tcPr>
            <w:tcW w:w="780" w:type="dxa"/>
            <w:vAlign w:val="bottom"/>
          </w:tcPr>
          <w:p>
            <w:pPr>
              <w:jc w:val="center"/>
              <w:ind w:right="80"/>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2"/>
        </w:trPr>
        <w:tc>
          <w:tcPr>
            <w:tcW w:w="39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8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Preferred Stock</w:t>
            </w:r>
          </w:p>
        </w:tc>
        <w:tc>
          <w:tcPr>
            <w:tcW w:w="8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92" w:lineRule="exact"/>
              <w:rPr>
                <w:sz w:val="20"/>
                <w:szCs w:val="20"/>
                <w:color w:val="auto"/>
              </w:rPr>
            </w:pPr>
            <w:r>
              <w:rPr>
                <w:rFonts w:ascii="Arial" w:cs="Arial" w:eastAsia="Arial" w:hAnsi="Arial"/>
                <w:sz w:val="10"/>
                <w:szCs w:val="10"/>
                <w:b w:val="1"/>
                <w:bCs w:val="1"/>
                <w:color w:val="auto"/>
                <w:w w:val="89"/>
              </w:rPr>
              <w:t>Paid-In</w:t>
            </w:r>
          </w:p>
        </w:tc>
        <w:tc>
          <w:tcPr>
            <w:tcW w:w="9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w w:val="97"/>
              </w:rPr>
              <w:t>Accumulated Deficit</w:t>
            </w:r>
          </w:p>
        </w:tc>
        <w:tc>
          <w:tcPr>
            <w:tcW w:w="80" w:type="dxa"/>
            <w:vAlign w:val="bottom"/>
          </w:tcPr>
          <w:p>
            <w:pPr>
              <w:spacing w:after="0"/>
              <w:rPr>
                <w:sz w:val="8"/>
                <w:szCs w:val="8"/>
                <w:color w:val="auto"/>
              </w:rPr>
            </w:pPr>
          </w:p>
        </w:tc>
        <w:tc>
          <w:tcPr>
            <w:tcW w:w="1040" w:type="dxa"/>
            <w:vAlign w:val="bottom"/>
            <w:gridSpan w:val="2"/>
          </w:tcPr>
          <w:p>
            <w:pPr>
              <w:jc w:val="center"/>
              <w:ind w:right="200"/>
              <w:spacing w:after="0" w:line="92" w:lineRule="exact"/>
              <w:rPr>
                <w:sz w:val="20"/>
                <w:szCs w:val="20"/>
                <w:color w:val="auto"/>
              </w:rPr>
            </w:pPr>
            <w:r>
              <w:rPr>
                <w:rFonts w:ascii="Arial" w:cs="Arial" w:eastAsia="Arial" w:hAnsi="Arial"/>
                <w:sz w:val="10"/>
                <w:szCs w:val="10"/>
                <w:b w:val="1"/>
                <w:bCs w:val="1"/>
                <w:color w:val="auto"/>
                <w:w w:val="89"/>
              </w:rPr>
              <w:t>Other</w:t>
            </w: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center"/>
              <w:ind w:right="80"/>
              <w:spacing w:after="0" w:line="92" w:lineRule="exact"/>
              <w:rPr>
                <w:sz w:val="20"/>
                <w:szCs w:val="20"/>
                <w:color w:val="auto"/>
              </w:rPr>
            </w:pPr>
            <w:r>
              <w:rPr>
                <w:rFonts w:ascii="Arial" w:cs="Arial" w:eastAsia="Arial" w:hAnsi="Arial"/>
                <w:sz w:val="10"/>
                <w:szCs w:val="10"/>
                <w:b w:val="1"/>
                <w:bCs w:val="1"/>
                <w:color w:val="auto"/>
                <w:w w:val="85"/>
              </w:rPr>
              <w:t>Stockholders'</w:t>
            </w:r>
          </w:p>
        </w:tc>
        <w:tc>
          <w:tcPr>
            <w:tcW w:w="0" w:type="dxa"/>
            <w:vAlign w:val="bottom"/>
          </w:tcPr>
          <w:p>
            <w:pPr>
              <w:spacing w:after="0"/>
              <w:rPr>
                <w:sz w:val="1"/>
                <w:szCs w:val="1"/>
                <w:color w:val="auto"/>
              </w:rPr>
            </w:pPr>
          </w:p>
        </w:tc>
      </w:tr>
      <w:tr>
        <w:trPr>
          <w:trHeight w:val="102"/>
        </w:trPr>
        <w:tc>
          <w:tcPr>
            <w:tcW w:w="3900" w:type="dxa"/>
            <w:vAlign w:val="bottom"/>
            <w:gridSpan w:val="3"/>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89"/>
              </w:rPr>
              <w:t>Capital</w:t>
            </w:r>
          </w:p>
        </w:tc>
        <w:tc>
          <w:tcPr>
            <w:tcW w:w="9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200"/>
              <w:spacing w:after="0" w:line="103" w:lineRule="exact"/>
              <w:rPr>
                <w:sz w:val="20"/>
                <w:szCs w:val="20"/>
                <w:color w:val="auto"/>
              </w:rPr>
            </w:pPr>
            <w:r>
              <w:rPr>
                <w:rFonts w:ascii="Arial" w:cs="Arial" w:eastAsia="Arial" w:hAnsi="Arial"/>
                <w:sz w:val="10"/>
                <w:szCs w:val="10"/>
                <w:b w:val="1"/>
                <w:bCs w:val="1"/>
                <w:color w:val="auto"/>
                <w:w w:val="83"/>
              </w:rPr>
              <w:t>Comprehensive Loss</w:t>
            </w: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88"/>
              </w:rPr>
              <w:t>Interest</w:t>
            </w:r>
          </w:p>
        </w:tc>
        <w:tc>
          <w:tcPr>
            <w:tcW w:w="140" w:type="dxa"/>
            <w:vAlign w:val="bottom"/>
          </w:tcPr>
          <w:p>
            <w:pPr>
              <w:spacing w:after="0"/>
              <w:rPr>
                <w:sz w:val="8"/>
                <w:szCs w:val="8"/>
                <w:color w:val="auto"/>
              </w:rPr>
            </w:pPr>
          </w:p>
        </w:tc>
        <w:tc>
          <w:tcPr>
            <w:tcW w:w="780" w:type="dxa"/>
            <w:vAlign w:val="bottom"/>
          </w:tcPr>
          <w:p>
            <w:pPr>
              <w:jc w:val="center"/>
              <w:ind w:right="80"/>
              <w:spacing w:after="0" w:line="103" w:lineRule="exact"/>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December 31, 2019</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60"/>
              <w:spacing w:after="0"/>
              <w:rPr>
                <w:sz w:val="20"/>
                <w:szCs w:val="20"/>
                <w:color w:val="auto"/>
              </w:rPr>
            </w:pPr>
            <w:r>
              <w:rPr>
                <w:rFonts w:ascii="Arial" w:cs="Arial" w:eastAsia="Arial" w:hAnsi="Arial"/>
                <w:sz w:val="12"/>
                <w:szCs w:val="12"/>
                <w:color w:val="auto"/>
              </w:rPr>
              <w:t>Net loss</w:t>
            </w:r>
          </w:p>
        </w:tc>
        <w:tc>
          <w:tcPr>
            <w:tcW w:w="3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Unrealized loss on derivatives, net of tax</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Contributions from CEG, cash</w:t>
            </w:r>
          </w:p>
        </w:tc>
        <w:tc>
          <w:tcPr>
            <w:tcW w:w="3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Contributions from noncontrolling interests, net of distributions, cash</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w w:val="94"/>
              </w:rPr>
              <w:t>Net proceeds from the issuance of common stock under the ATM Program</w:t>
            </w:r>
          </w:p>
        </w:tc>
        <w:tc>
          <w:tcPr>
            <w:tcW w:w="3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Distributions to noncontrolling interests, non-cash</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Dividends to common stockholders and distributions to CEG</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6"/>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March 31, 2020</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60"/>
              <w:spacing w:after="0"/>
              <w:rPr>
                <w:sz w:val="20"/>
                <w:szCs w:val="20"/>
                <w:color w:val="auto"/>
              </w:rPr>
            </w:pPr>
            <w:r>
              <w:rPr>
                <w:rFonts w:ascii="Arial" w:cs="Arial" w:eastAsia="Arial" w:hAnsi="Arial"/>
                <w:sz w:val="12"/>
                <w:szCs w:val="12"/>
                <w:color w:val="auto"/>
              </w:rPr>
              <w:t>Net income</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Unrealized gain on derivatives, net of tax</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Contributions from CEG, non-cash</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Contributions from CEG, cash</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Distributions from noncontrolling interests, net of contribution, cash</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Consolidation of DGPV Holdco 3</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Buyout of Repowering Partnership II LLC noncontrolling interest</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Non-cash adjustment for change in tax basis</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w w:val="94"/>
              </w:rPr>
              <w:t>Net proceeds from the issuance of common stock under the ATM Program</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Dividends to common stockholders and distributions to CEG</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6"/>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June 30, 2020</w:t>
            </w:r>
          </w:p>
        </w:tc>
        <w:tc>
          <w:tcPr>
            <w:tcW w:w="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80" w:type="dxa"/>
            <w:vAlign w:val="bottom"/>
            <w:gridSpan w:val="2"/>
          </w:tcPr>
          <w:p>
            <w:pPr>
              <w:ind w:left="160"/>
              <w:spacing w:after="0"/>
              <w:rPr>
                <w:sz w:val="20"/>
                <w:szCs w:val="20"/>
                <w:color w:val="auto"/>
              </w:rPr>
            </w:pPr>
            <w:r>
              <w:rPr>
                <w:rFonts w:ascii="Arial" w:cs="Arial" w:eastAsia="Arial" w:hAnsi="Arial"/>
                <w:sz w:val="12"/>
                <w:szCs w:val="12"/>
                <w:color w:val="auto"/>
              </w:rPr>
              <w:t>Net income</w:t>
            </w:r>
          </w:p>
        </w:tc>
        <w:tc>
          <w:tcPr>
            <w:tcW w:w="3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Unrealized gain on derivatives, net of tax</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Distributions to CEG, non-cash</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Distributions to tax equity interests, net of contributions, cash</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rPr>
              <w:t>Consolidation of DGPV Holdco 3</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Mesquite Star Drop Down</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gridSpan w:val="2"/>
          </w:tcPr>
          <w:p>
            <w:pPr>
              <w:ind w:left="140"/>
              <w:spacing w:after="0"/>
              <w:rPr>
                <w:sz w:val="20"/>
                <w:szCs w:val="20"/>
                <w:color w:val="auto"/>
              </w:rPr>
            </w:pPr>
            <w:r>
              <w:rPr>
                <w:rFonts w:ascii="Arial" w:cs="Arial" w:eastAsia="Arial" w:hAnsi="Arial"/>
                <w:sz w:val="12"/>
                <w:szCs w:val="12"/>
                <w:color w:val="auto"/>
                <w:w w:val="94"/>
              </w:rPr>
              <w:t>Net proceeds from the issuance of common stock under the ATM Program</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Common stock dividends and distributions to CEG</w:t>
            </w:r>
          </w:p>
        </w:tc>
        <w:tc>
          <w:tcPr>
            <w:tcW w:w="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1"/>
        </w:trPr>
        <w:tc>
          <w:tcPr>
            <w:tcW w:w="390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Balances at September 30, 2020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1,918</w:t>
            </w:r>
          </w:p>
        </w:tc>
        <w:tc>
          <w:tcPr>
            <w:tcW w:w="10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355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940"/>
          </w:cols>
          <w:pgMar w:left="640" w:top="617" w:right="3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Appendix Table A-1: Three Months Ended September 30, 2021, Segment Adjusted EBITDA Reconciliation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Corporate</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4"/>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Plus: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Income Tax Expense</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 Amortization</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Other non-recurring charges</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3"/>
        </w:trPr>
        <w:tc>
          <w:tcPr>
            <w:tcW w:w="42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4"/>
                <w:szCs w:val="14"/>
                <w:color w:val="auto"/>
              </w:rPr>
              <w:t>Adjustments to reflect CWEN’s pro-rata share of Adjusted EBITDA</w:t>
            </w:r>
          </w:p>
        </w:tc>
        <w:tc>
          <w:tcPr>
            <w:tcW w:w="9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9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Appendix Table A-2: Three Months Ended September 30, 2020, Segment Adjusted EBITDA Reconciliation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4"/>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Plus: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Income Tax Expense</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 Amortization</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Loss on Debt Extinguishment</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Acquisition-related transaction and integration costs</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Other non-recurring charges</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3"/>
        </w:trPr>
        <w:tc>
          <w:tcPr>
            <w:tcW w:w="42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4"/>
                <w:szCs w:val="14"/>
                <w:color w:val="auto"/>
              </w:rPr>
              <w:t>Adjustments to reflect CWEN’s pro-rata share of Adjusted EBITDA</w:t>
            </w:r>
          </w:p>
        </w:tc>
        <w:tc>
          <w:tcPr>
            <w:tcW w:w="9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9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280"/>
          </w:cols>
          <w:pgMar w:left="300" w:top="613" w:right="3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Appendix Table A-3: Nine Months Ended September 30, 2021, Segment Adjusted EBITDA Reconciliation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Corporate</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4"/>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Benefit</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3"/>
        </w:trPr>
        <w:tc>
          <w:tcPr>
            <w:tcW w:w="428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Adjustments to reflect CWEN’s pro-rata share of Adjusted EBITDA</w:t>
            </w:r>
          </w:p>
        </w:tc>
        <w:tc>
          <w:tcPr>
            <w:tcW w:w="96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4"/>
        </w:trPr>
        <w:tc>
          <w:tcPr>
            <w:tcW w:w="4280" w:type="dxa"/>
            <w:vAlign w:val="bottom"/>
            <w:gridSpan w:val="2"/>
          </w:tcPr>
          <w:p>
            <w:pPr>
              <w:ind w:left="260"/>
              <w:spacing w:after="0"/>
              <w:rPr>
                <w:sz w:val="20"/>
                <w:szCs w:val="20"/>
                <w:color w:val="auto"/>
              </w:rPr>
            </w:pPr>
            <w:r>
              <w:rPr>
                <w:rFonts w:ascii="Arial" w:cs="Arial" w:eastAsia="Arial" w:hAnsi="Arial"/>
                <w:sz w:val="14"/>
                <w:szCs w:val="14"/>
                <w:color w:val="auto"/>
              </w:rPr>
              <w:t>from Unconsolidated Affiliates</w:t>
            </w:r>
          </w:p>
        </w:tc>
        <w:tc>
          <w:tcPr>
            <w:tcW w:w="9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Non-Cash Equity Compensation</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292</w:t>
            </w:r>
          </w:p>
        </w:tc>
        <w:tc>
          <w:tcPr>
            <w:tcW w:w="1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w:t>
            </w:r>
          </w:p>
        </w:tc>
        <w:tc>
          <w:tcPr>
            <w:tcW w:w="1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Appendix Table A-4: Nine Months Ended September 30, 2020, Segment Adjusted EBITDA Reconciliation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Corporate</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4"/>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3"/>
        </w:trPr>
        <w:tc>
          <w:tcPr>
            <w:tcW w:w="428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Mark to Market (MtM) Losses</w:t>
            </w:r>
          </w:p>
        </w:tc>
        <w:tc>
          <w:tcPr>
            <w:tcW w:w="960" w:type="dxa"/>
            <w:vAlign w:val="bottom"/>
          </w:tcPr>
          <w:p>
            <w:pPr>
              <w:spacing w:after="0"/>
              <w:rPr>
                <w:sz w:val="11"/>
                <w:szCs w:val="11"/>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1"/>
                <w:szCs w:val="11"/>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4"/>
        </w:trPr>
        <w:tc>
          <w:tcPr>
            <w:tcW w:w="4280" w:type="dxa"/>
            <w:vAlign w:val="bottom"/>
            <w:gridSpan w:val="2"/>
          </w:tcPr>
          <w:p>
            <w:pPr>
              <w:ind w:left="240"/>
              <w:spacing w:after="0"/>
              <w:rPr>
                <w:sz w:val="20"/>
                <w:szCs w:val="20"/>
                <w:color w:val="auto"/>
              </w:rPr>
            </w:pPr>
            <w:r>
              <w:rPr>
                <w:rFonts w:ascii="Arial" w:cs="Arial" w:eastAsia="Arial" w:hAnsi="Arial"/>
                <w:sz w:val="14"/>
                <w:szCs w:val="14"/>
                <w:color w:val="auto"/>
              </w:rPr>
              <w:t>on economic hedges</w:t>
            </w:r>
          </w:p>
        </w:tc>
        <w:tc>
          <w:tcPr>
            <w:tcW w:w="9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Other Non-recurring Charges</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3"/>
        </w:trPr>
        <w:tc>
          <w:tcPr>
            <w:tcW w:w="42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4"/>
                <w:szCs w:val="14"/>
                <w:color w:val="auto"/>
              </w:rPr>
              <w:t>Adjustments to reflect CWEN’s pro-rata share of Adjusted EBITDA</w:t>
            </w:r>
          </w:p>
        </w:tc>
        <w:tc>
          <w:tcPr>
            <w:tcW w:w="9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4"/>
        </w:trPr>
        <w:tc>
          <w:tcPr>
            <w:tcW w:w="42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9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9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293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80"/>
          </w:cols>
          <w:pgMar w:left="300" w:top="613" w:right="3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Appendix Table A-5: Cash Available for Distribution Reconciliation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Cash Available for Distribution and provides a reconciliation to Cash from Operating Activities: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24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w:t>
            </w:r>
          </w:p>
        </w:tc>
        <w:tc>
          <w:tcPr>
            <w:tcW w:w="0" w:type="dxa"/>
            <w:vAlign w:val="bottom"/>
          </w:tcPr>
          <w:p>
            <w:pPr>
              <w:spacing w:after="0"/>
              <w:rPr>
                <w:sz w:val="1"/>
                <w:szCs w:val="1"/>
                <w:color w:val="auto"/>
              </w:rPr>
            </w:pPr>
          </w:p>
        </w:tc>
      </w:tr>
      <w:tr>
        <w:trPr>
          <w:trHeight w:val="164"/>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312</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900</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853</w:t>
            </w:r>
          </w:p>
        </w:tc>
        <w:tc>
          <w:tcPr>
            <w:tcW w:w="0" w:type="dxa"/>
            <w:vAlign w:val="bottom"/>
          </w:tcPr>
          <w:p>
            <w:pPr>
              <w:spacing w:after="0"/>
              <w:rPr>
                <w:sz w:val="1"/>
                <w:szCs w:val="1"/>
                <w:color w:val="auto"/>
              </w:rPr>
            </w:pPr>
          </w:p>
        </w:tc>
      </w:tr>
      <w:tr>
        <w:trPr>
          <w:trHeight w:val="164"/>
        </w:trPr>
        <w:tc>
          <w:tcPr>
            <w:tcW w:w="5180" w:type="dxa"/>
            <w:vAlign w:val="bottom"/>
          </w:tcPr>
          <w:p>
            <w:pPr>
              <w:ind w:left="100"/>
              <w:spacing w:after="0"/>
              <w:rPr>
                <w:sz w:val="20"/>
                <w:szCs w:val="20"/>
                <w:color w:val="auto"/>
              </w:rPr>
            </w:pPr>
            <w:r>
              <w:rPr>
                <w:rFonts w:ascii="Arial" w:cs="Arial" w:eastAsia="Arial" w:hAnsi="Arial"/>
                <w:sz w:val="14"/>
                <w:szCs w:val="14"/>
                <w:color w:val="auto"/>
              </w:rPr>
              <w:t>Cash interest paid</w:t>
            </w: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4"/>
        </w:trPr>
        <w:tc>
          <w:tcPr>
            <w:tcW w:w="5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5180" w:type="dxa"/>
            <w:vAlign w:val="bottom"/>
          </w:tcPr>
          <w:p>
            <w:pPr>
              <w:ind w:left="100"/>
              <w:spacing w:after="0"/>
              <w:rPr>
                <w:sz w:val="20"/>
                <w:szCs w:val="20"/>
                <w:color w:val="auto"/>
              </w:rPr>
            </w:pPr>
            <w:r>
              <w:rPr>
                <w:rFonts w:ascii="Arial" w:cs="Arial" w:eastAsia="Arial" w:hAnsi="Arial"/>
                <w:sz w:val="14"/>
                <w:szCs w:val="14"/>
                <w:color w:val="auto"/>
              </w:rPr>
              <w:t>Pro-rata Adjusted EBITDA from unconsolidated affiliates</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4"/>
        </w:trPr>
        <w:tc>
          <w:tcPr>
            <w:tcW w:w="5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from unconsolidated affiliates</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4"/>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Changes in working capital and other</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4"/>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164"/>
        </w:trPr>
        <w:tc>
          <w:tcPr>
            <w:tcW w:w="5180" w:type="dxa"/>
            <w:vAlign w:val="bottom"/>
          </w:tcPr>
          <w:p>
            <w:pPr>
              <w:ind w:left="100"/>
              <w:spacing w:after="0"/>
              <w:rPr>
                <w:sz w:val="20"/>
                <w:szCs w:val="20"/>
                <w:color w:val="auto"/>
              </w:rPr>
            </w:pPr>
            <w:r>
              <w:rPr>
                <w:rFonts w:ascii="Arial" w:cs="Arial" w:eastAsia="Arial" w:hAnsi="Arial"/>
                <w:sz w:val="14"/>
                <w:szCs w:val="14"/>
                <w:color w:val="auto"/>
              </w:rPr>
              <w:t>Changes in working capital and other</w:t>
            </w: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ind w:left="100"/>
              <w:spacing w:after="0" w:line="194" w:lineRule="exact"/>
              <w:rPr>
                <w:sz w:val="20"/>
                <w:szCs w:val="20"/>
                <w:color w:val="auto"/>
              </w:rPr>
            </w:pPr>
            <w:r>
              <w:rPr>
                <w:rFonts w:ascii="Arial" w:cs="Arial" w:eastAsia="Arial" w:hAnsi="Arial"/>
                <w:sz w:val="14"/>
                <w:szCs w:val="14"/>
                <w:color w:val="auto"/>
              </w:rPr>
              <w:t>Development Expenses</w:t>
            </w:r>
            <w:r>
              <w:rPr>
                <w:rFonts w:ascii="Arial" w:cs="Arial" w:eastAsia="Arial" w:hAnsi="Arial"/>
                <w:sz w:val="17"/>
                <w:szCs w:val="17"/>
                <w:color w:val="auto"/>
                <w:vertAlign w:val="superscript"/>
              </w:rPr>
              <w:t>6</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4"/>
        </w:trPr>
        <w:tc>
          <w:tcPr>
            <w:tcW w:w="5180" w:type="dxa"/>
            <w:vAlign w:val="bottom"/>
          </w:tcPr>
          <w:p>
            <w:pPr>
              <w:ind w:left="100"/>
              <w:spacing w:after="0"/>
              <w:rPr>
                <w:sz w:val="20"/>
                <w:szCs w:val="20"/>
                <w:color w:val="auto"/>
              </w:rPr>
            </w:pPr>
            <w:r>
              <w:rPr>
                <w:rFonts w:ascii="Arial" w:cs="Arial" w:eastAsia="Arial" w:hAnsi="Arial"/>
                <w:sz w:val="14"/>
                <w:szCs w:val="14"/>
                <w:color w:val="auto"/>
              </w:rPr>
              <w:t>Return of investment from unconsolidated affiliates</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ind w:left="100"/>
              <w:spacing w:after="0" w:line="194" w:lineRule="exact"/>
              <w:rPr>
                <w:sz w:val="20"/>
                <w:szCs w:val="20"/>
                <w:color w:val="auto"/>
              </w:rPr>
            </w:pPr>
            <w:r>
              <w:rPr>
                <w:rFonts w:ascii="Arial" w:cs="Arial" w:eastAsia="Arial" w:hAnsi="Arial"/>
                <w:sz w:val="14"/>
                <w:szCs w:val="14"/>
                <w:color w:val="auto"/>
              </w:rPr>
              <w:t>Net contributions (to)/from non-controlling interest</w:t>
            </w:r>
            <w:r>
              <w:rPr>
                <w:rFonts w:ascii="Arial" w:cs="Arial" w:eastAsia="Arial" w:hAnsi="Arial"/>
                <w:sz w:val="17"/>
                <w:szCs w:val="17"/>
                <w:color w:val="auto"/>
                <w:vertAlign w:val="superscript"/>
              </w:rPr>
              <w:t>7</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4"/>
        </w:trPr>
        <w:tc>
          <w:tcPr>
            <w:tcW w:w="5180" w:type="dxa"/>
            <w:vAlign w:val="bottom"/>
          </w:tcPr>
          <w:p>
            <w:pPr>
              <w:ind w:left="100"/>
              <w:spacing w:after="0"/>
              <w:rPr>
                <w:sz w:val="20"/>
                <w:szCs w:val="20"/>
                <w:color w:val="auto"/>
              </w:rPr>
            </w:pPr>
            <w:r>
              <w:rPr>
                <w:rFonts w:ascii="Arial" w:cs="Arial" w:eastAsia="Arial" w:hAnsi="Arial"/>
                <w:sz w:val="14"/>
                <w:szCs w:val="14"/>
                <w:color w:val="auto"/>
              </w:rPr>
              <w:t>Maintenance capital expenditures</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ind w:left="100"/>
              <w:spacing w:after="0" w:line="194" w:lineRule="exact"/>
              <w:rPr>
                <w:sz w:val="20"/>
                <w:szCs w:val="20"/>
                <w:color w:val="auto"/>
              </w:rPr>
            </w:pPr>
            <w:r>
              <w:rPr>
                <w:rFonts w:ascii="Arial" w:cs="Arial" w:eastAsia="Arial" w:hAnsi="Arial"/>
                <w:sz w:val="14"/>
                <w:szCs w:val="14"/>
                <w:color w:val="auto"/>
              </w:rPr>
              <w:t>Principal amortization of indebtedness</w:t>
            </w:r>
            <w:r>
              <w:rPr>
                <w:rFonts w:ascii="Arial" w:cs="Arial" w:eastAsia="Arial" w:hAnsi="Arial"/>
                <w:sz w:val="17"/>
                <w:szCs w:val="17"/>
                <w:color w:val="auto"/>
                <w:vertAlign w:val="superscript"/>
              </w:rPr>
              <w:t>8</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33"/>
        </w:trPr>
        <w:tc>
          <w:tcPr>
            <w:tcW w:w="5180" w:type="dxa"/>
            <w:vAlign w:val="bottom"/>
          </w:tcPr>
          <w:p>
            <w:pPr>
              <w:ind w:left="100"/>
              <w:spacing w:after="0" w:line="133" w:lineRule="exact"/>
              <w:rPr>
                <w:sz w:val="20"/>
                <w:szCs w:val="20"/>
                <w:color w:val="auto"/>
              </w:rPr>
            </w:pPr>
            <w:r>
              <w:rPr>
                <w:rFonts w:ascii="Arial" w:cs="Arial" w:eastAsia="Arial" w:hAnsi="Arial"/>
                <w:sz w:val="14"/>
                <w:szCs w:val="14"/>
                <w:color w:val="auto"/>
                <w:w w:val="91"/>
              </w:rPr>
              <w:t>Adjustments to reflect CAFD generated by unconsolidated investments that are unable to</w:t>
            </w:r>
          </w:p>
        </w:tc>
        <w:tc>
          <w:tcPr>
            <w:tcW w:w="1060" w:type="dxa"/>
            <w:vAlign w:val="bottom"/>
          </w:tcPr>
          <w:p>
            <w:pPr>
              <w:spacing w:after="0"/>
              <w:rPr>
                <w:sz w:val="11"/>
                <w:szCs w:val="11"/>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4"/>
        </w:trPr>
        <w:tc>
          <w:tcPr>
            <w:tcW w:w="5180" w:type="dxa"/>
            <w:vAlign w:val="bottom"/>
          </w:tcPr>
          <w:p>
            <w:pPr>
              <w:ind w:left="100"/>
              <w:spacing w:after="0"/>
              <w:rPr>
                <w:sz w:val="20"/>
                <w:szCs w:val="20"/>
                <w:color w:val="auto"/>
              </w:rPr>
            </w:pPr>
            <w:r>
              <w:rPr>
                <w:rFonts w:ascii="Arial" w:cs="Arial" w:eastAsia="Arial" w:hAnsi="Arial"/>
                <w:sz w:val="14"/>
                <w:szCs w:val="14"/>
                <w:color w:val="auto"/>
              </w:rPr>
              <w:t>distribute project dividends due to the PG&amp;E bankruptcy</w:t>
            </w:r>
          </w:p>
        </w:tc>
        <w:tc>
          <w:tcPr>
            <w:tcW w:w="10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106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356870</wp:posOffset>
            </wp:positionV>
            <wp:extent cx="12979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0" w:hanging="78"/>
        <w:spacing w:after="0"/>
        <w:tabs>
          <w:tab w:leader="none" w:pos="80" w:val="left"/>
        </w:tabs>
        <w:numPr>
          <w:ilvl w:val="0"/>
          <w:numId w:val="8"/>
        </w:numPr>
        <w:rPr>
          <w:rFonts w:ascii="Arial" w:cs="Arial" w:eastAsia="Arial" w:hAnsi="Arial"/>
          <w:sz w:val="18"/>
          <w:szCs w:val="18"/>
          <w:color w:val="auto"/>
          <w:vertAlign w:val="superscript"/>
        </w:rPr>
      </w:pPr>
      <w:r>
        <w:rPr>
          <w:rFonts w:ascii="Arial" w:cs="Arial" w:eastAsia="Arial" w:hAnsi="Arial"/>
          <w:sz w:val="11"/>
          <w:szCs w:val="11"/>
          <w:color w:val="auto"/>
        </w:rPr>
        <w:t>Primarily relates to Thermal Development Expenses</w:t>
      </w:r>
    </w:p>
    <w:p>
      <w:pPr>
        <w:ind w:left="80" w:hanging="78"/>
        <w:spacing w:after="0" w:line="199" w:lineRule="auto"/>
        <w:tabs>
          <w:tab w:leader="none" w:pos="80" w:val="left"/>
        </w:tabs>
        <w:numPr>
          <w:ilvl w:val="0"/>
          <w:numId w:val="9"/>
        </w:numPr>
        <w:rPr>
          <w:rFonts w:ascii="Arial" w:cs="Arial" w:eastAsia="Arial" w:hAnsi="Arial"/>
          <w:sz w:val="15"/>
          <w:szCs w:val="15"/>
          <w:color w:val="auto"/>
          <w:vertAlign w:val="superscript"/>
        </w:rPr>
      </w:pPr>
      <w:r>
        <w:rPr>
          <w:rFonts w:ascii="Arial" w:cs="Arial" w:eastAsia="Arial" w:hAnsi="Arial"/>
          <w:sz w:val="10"/>
          <w:szCs w:val="10"/>
          <w:color w:val="auto"/>
        </w:rPr>
        <w:t>2021 excludes $107 million of contributions related to funding of Rattlesnake and $49 million of Hawaii refundable state tax credits; 2020 excludes $152 million of contributions relating to funding of Repowering 1.0 Partnership</w:t>
      </w:r>
    </w:p>
    <w:p>
      <w:pPr>
        <w:spacing w:after="0" w:line="25" w:lineRule="exact"/>
        <w:rPr>
          <w:sz w:val="20"/>
          <w:szCs w:val="20"/>
          <w:color w:val="auto"/>
        </w:rPr>
      </w:pPr>
    </w:p>
    <w:p>
      <w:pPr>
        <w:ind w:right="120" w:firstLine="2"/>
        <w:spacing w:after="0" w:line="200" w:lineRule="auto"/>
        <w:tabs>
          <w:tab w:leader="none" w:pos="78" w:val="left"/>
        </w:tabs>
        <w:numPr>
          <w:ilvl w:val="0"/>
          <w:numId w:val="10"/>
        </w:numPr>
        <w:rPr>
          <w:rFonts w:ascii="Arial" w:cs="Arial" w:eastAsia="Arial" w:hAnsi="Arial"/>
          <w:sz w:val="17"/>
          <w:szCs w:val="17"/>
          <w:color w:val="auto"/>
          <w:vertAlign w:val="superscript"/>
        </w:rPr>
      </w:pPr>
      <w:r>
        <w:rPr>
          <w:rFonts w:ascii="Arial" w:cs="Arial" w:eastAsia="Arial" w:hAnsi="Arial"/>
          <w:sz w:val="10"/>
          <w:szCs w:val="10"/>
          <w:color w:val="auto"/>
        </w:rPr>
        <w:t>2021 excludes $936 million total consideration for the redemption of Corporate Notes and revolver payments, $176 million in connection with Rattlesnake debt repaid at acquisition, and $52 million in connection with Pinnacle repowering; 2020 excludes $247 million for the refinancing of the Utah Solar Portfolio, $158 million for the refinancing of Alpine, Blythe, and Roadrunner (NIMH Solar), and $135 million total consideration for the redemption of Corporate Notes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80"/>
          </w:cols>
          <w:pgMar w:left="300" w:top="797" w:right="319" w:bottom="1440" w:gutter="0" w:footer="0" w:header="0"/>
        </w:sectPr>
      </w:pPr>
    </w:p>
    <w:bookmarkStart w:id="19" w:name="page20"/>
    <w:bookmarkEnd w:id="19"/>
    <w:p>
      <w:pPr>
        <w:spacing w:after="0" w:line="271" w:lineRule="auto"/>
        <w:rPr>
          <w:sz w:val="20"/>
          <w:szCs w:val="20"/>
          <w:color w:val="auto"/>
        </w:rPr>
      </w:pPr>
      <w:r>
        <w:rPr>
          <w:rFonts w:ascii="Arial" w:cs="Arial" w:eastAsia="Arial" w:hAnsi="Arial"/>
          <w:sz w:val="15"/>
          <w:szCs w:val="15"/>
          <w:b w:val="1"/>
          <w:bCs w:val="1"/>
          <w:color w:val="auto"/>
        </w:rPr>
        <w:t xml:space="preserve">Appendix Table A-6: Nine Months Ended September 30, 2021, Sources and Uses of Liquidity </w:t>
      </w:r>
      <w:r>
        <w:rPr>
          <w:rFonts w:ascii="Arial" w:cs="Arial" w:eastAsia="Arial" w:hAnsi="Arial"/>
          <w:sz w:val="15"/>
          <w:szCs w:val="15"/>
          <w:color w:val="auto"/>
        </w:rPr>
        <w:t>The following table summarizes the sources and uses of liquidity in 2021:</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4926330" cy="11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Sources: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Net cash provided by operating activities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Net contributions from non-controlling interests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4926330" cy="116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26330" cy="116840"/>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Uses: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for the revolving credit facility</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 of dividends and distributions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Acquisition of Drop Down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1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6330" cy="1104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Capital expenditures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926330" cy="12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6330" cy="1295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jc w:val="center"/>
        <w:ind w:right="3540"/>
        <w:spacing w:after="0"/>
        <w:rPr>
          <w:sz w:val="20"/>
          <w:szCs w:val="20"/>
          <w:color w:val="auto"/>
        </w:rPr>
      </w:pPr>
      <w:r>
        <w:rPr>
          <w:rFonts w:ascii="Arial" w:cs="Arial" w:eastAsia="Arial" w:hAnsi="Arial"/>
          <w:sz w:val="14"/>
          <w:szCs w:val="14"/>
          <w:b w:val="1"/>
          <w:bCs w:val="1"/>
          <w:color w:val="auto"/>
        </w:rPr>
        <w:t>Nine Months Ended</w:t>
      </w:r>
    </w:p>
    <w:p>
      <w:pPr>
        <w:spacing w:after="0" w:line="14" w:lineRule="exact"/>
        <w:rPr>
          <w:sz w:val="20"/>
          <w:szCs w:val="20"/>
          <w:color w:val="auto"/>
        </w:rPr>
      </w:pPr>
    </w:p>
    <w:p>
      <w:pPr>
        <w:jc w:val="center"/>
        <w:ind w:right="3540"/>
        <w:spacing w:after="0"/>
        <w:rPr>
          <w:sz w:val="20"/>
          <w:szCs w:val="20"/>
          <w:color w:val="auto"/>
        </w:rPr>
      </w:pPr>
      <w:r>
        <w:rPr>
          <w:rFonts w:ascii="Arial" w:cs="Arial" w:eastAsia="Arial" w:hAnsi="Arial"/>
          <w:sz w:val="14"/>
          <w:szCs w:val="14"/>
          <w:b w:val="1"/>
          <w:bCs w:val="1"/>
          <w:color w:val="auto"/>
        </w:rPr>
        <w:t>9/30/21</w:t>
      </w:r>
    </w:p>
    <w:p>
      <w:pPr>
        <w:spacing w:after="0" w:line="187"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1,037</w:t>
      </w:r>
    </w:p>
    <w:p>
      <w:pPr>
        <w:spacing w:after="0" w:line="13"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529</w:t>
      </w:r>
    </w:p>
    <w:p>
      <w:pPr>
        <w:spacing w:after="0" w:line="13"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377</w:t>
      </w:r>
    </w:p>
    <w:p>
      <w:pPr>
        <w:spacing w:after="0" w:line="13"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251</w:t>
      </w:r>
    </w:p>
    <w:p>
      <w:pPr>
        <w:spacing w:after="0" w:line="13"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37</w:t>
      </w:r>
    </w:p>
    <w:p>
      <w:pPr>
        <w:spacing w:after="0" w:line="13"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8</w:t>
      </w:r>
    </w:p>
    <w:p>
      <w:pPr>
        <w:spacing w:after="0" w:line="350"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(1,170)</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(300)</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(211)</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(199)</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(132)</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(124)</w:t>
      </w:r>
    </w:p>
    <w:p>
      <w:pPr>
        <w:spacing w:after="0" w:line="13"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(13)</w:t>
      </w:r>
    </w:p>
    <w:p>
      <w:pPr>
        <w:spacing w:after="0" w:line="217" w:lineRule="exact"/>
        <w:rPr>
          <w:sz w:val="20"/>
          <w:szCs w:val="20"/>
          <w:color w:val="auto"/>
        </w:rPr>
      </w:pPr>
    </w:p>
    <w:p>
      <w:pPr>
        <w:ind w:left="1200" w:hanging="1197"/>
        <w:spacing w:after="0"/>
        <w:tabs>
          <w:tab w:leader="none" w:pos="1200"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90</w:t>
      </w:r>
    </w:p>
    <w:p>
      <w:pPr>
        <w:spacing w:after="0" w:line="200" w:lineRule="exact"/>
        <w:rPr>
          <w:sz w:val="20"/>
          <w:szCs w:val="20"/>
          <w:color w:val="auto"/>
        </w:rPr>
      </w:pPr>
    </w:p>
    <w:p>
      <w:pPr>
        <w:sectPr>
          <w:pgSz w:w="11900" w:h="16838" w:orient="portrait"/>
          <w:cols w:equalWidth="0" w:num="2">
            <w:col w:w="5920" w:space="460"/>
            <w:col w:w="4900"/>
          </w:cols>
          <w:pgMar w:left="300" w:top="797" w:right="319" w:bottom="1440" w:gutter="0" w:footer="0" w:header="0"/>
        </w:sectPr>
      </w:pPr>
    </w:p>
    <w:p>
      <w:pPr>
        <w:spacing w:after="0" w:line="238" w:lineRule="exact"/>
        <w:rPr>
          <w:sz w:val="20"/>
          <w:szCs w:val="20"/>
          <w:color w:val="auto"/>
        </w:rPr>
      </w:pPr>
    </w:p>
    <w:p>
      <w:pPr>
        <w:ind w:left="11160"/>
        <w:spacing w:after="0"/>
        <w:rPr>
          <w:sz w:val="20"/>
          <w:szCs w:val="20"/>
          <w:color w:val="auto"/>
        </w:rPr>
      </w:pPr>
      <w:r>
        <w:rPr>
          <w:rFonts w:ascii="Arial" w:cs="Arial" w:eastAsia="Arial" w:hAnsi="Arial"/>
          <w:sz w:val="10"/>
          <w:szCs w:val="10"/>
          <w:color w:val="auto"/>
        </w:rPr>
        <w:t>17</w:t>
      </w:r>
    </w:p>
    <w:p>
      <w:pPr>
        <w:sectPr>
          <w:pgSz w:w="11900" w:h="16838" w:orient="portrait"/>
          <w:cols w:equalWidth="0" w:num="1">
            <w:col w:w="11280"/>
          </w:cols>
          <w:pgMar w:left="300" w:top="797"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Appendix Table A-7: Adjusted EBITDA and Cash Available for Distribution Guidance, Thermal Full Year, and Pro Forma Outlook</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4"/>
                <w:szCs w:val="14"/>
                <w:color w:val="auto"/>
              </w:rPr>
            </w:pPr>
          </w:p>
        </w:tc>
        <w:tc>
          <w:tcPr>
            <w:tcW w:w="1120" w:type="dxa"/>
            <w:vAlign w:val="bottom"/>
          </w:tcPr>
          <w:p>
            <w:pPr>
              <w:jc w:val="right"/>
              <w:ind w:right="138"/>
              <w:spacing w:after="0"/>
              <w:rPr>
                <w:sz w:val="20"/>
                <w:szCs w:val="20"/>
                <w:color w:val="auto"/>
              </w:rPr>
            </w:pPr>
            <w:r>
              <w:rPr>
                <w:rFonts w:ascii="Arial" w:cs="Arial" w:eastAsia="Arial" w:hAnsi="Arial"/>
                <w:sz w:val="14"/>
                <w:szCs w:val="14"/>
                <w:b w:val="1"/>
                <w:bCs w:val="1"/>
                <w:color w:val="auto"/>
                <w:w w:val="95"/>
              </w:rPr>
              <w:t>2021 Full Year</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2022 Full Year</w:t>
            </w:r>
          </w:p>
        </w:tc>
        <w:tc>
          <w:tcPr>
            <w:tcW w:w="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2022 Thermal Full</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Pro Forma CAFD</w:t>
            </w:r>
          </w:p>
        </w:tc>
        <w:tc>
          <w:tcPr>
            <w:tcW w:w="0" w:type="dxa"/>
            <w:vAlign w:val="bottom"/>
          </w:tcPr>
          <w:p>
            <w:pPr>
              <w:spacing w:after="0"/>
              <w:rPr>
                <w:sz w:val="1"/>
                <w:szCs w:val="1"/>
                <w:color w:val="auto"/>
              </w:rPr>
            </w:pPr>
          </w:p>
        </w:tc>
      </w:tr>
      <w:tr>
        <w:trPr>
          <w:trHeight w:val="174"/>
        </w:trPr>
        <w:tc>
          <w:tcPr>
            <w:tcW w:w="5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8"/>
              <w:spacing w:after="0"/>
              <w:rPr>
                <w:sz w:val="20"/>
                <w:szCs w:val="20"/>
                <w:color w:val="auto"/>
              </w:rPr>
            </w:pPr>
            <w:r>
              <w:rPr>
                <w:rFonts w:ascii="Arial" w:cs="Arial" w:eastAsia="Arial" w:hAnsi="Arial"/>
                <w:sz w:val="14"/>
                <w:szCs w:val="14"/>
                <w:b w:val="1"/>
                <w:bCs w:val="1"/>
                <w:color w:val="auto"/>
              </w:rPr>
              <w:t>Guidance</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Guidance</w:t>
            </w:r>
          </w:p>
        </w:tc>
        <w:tc>
          <w:tcPr>
            <w:tcW w:w="8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5"/>
                <w:szCs w:val="15"/>
                <w:color w:val="auto"/>
              </w:rPr>
            </w:pPr>
          </w:p>
        </w:tc>
        <w:tc>
          <w:tcPr>
            <w:tcW w:w="1120" w:type="dxa"/>
            <w:vAlign w:val="bottom"/>
          </w:tcPr>
          <w:p>
            <w:pPr>
              <w:jc w:val="right"/>
              <w:ind w:right="298"/>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164"/>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w:t>
            </w:r>
          </w:p>
        </w:tc>
        <w:tc>
          <w:tcPr>
            <w:tcW w:w="0" w:type="dxa"/>
            <w:vAlign w:val="bottom"/>
          </w:tcPr>
          <w:p>
            <w:pPr>
              <w:spacing w:after="0"/>
              <w:rPr>
                <w:sz w:val="1"/>
                <w:szCs w:val="1"/>
                <w:color w:val="auto"/>
              </w:rPr>
            </w:pPr>
          </w:p>
        </w:tc>
      </w:tr>
      <w:tr>
        <w:trPr>
          <w:trHeight w:val="164"/>
        </w:trPr>
        <w:tc>
          <w:tcPr>
            <w:tcW w:w="518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 Expense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600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530</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 to reflect CWEN share of Adjusted EBITDA in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4"/>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1,185</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1,270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1,055</w:t>
            </w:r>
          </w:p>
        </w:tc>
        <w:tc>
          <w:tcPr>
            <w:tcW w:w="0" w:type="dxa"/>
            <w:vAlign w:val="bottom"/>
          </w:tcPr>
          <w:p>
            <w:pPr>
              <w:spacing w:after="0"/>
              <w:rPr>
                <w:sz w:val="1"/>
                <w:szCs w:val="1"/>
                <w:color w:val="auto"/>
              </w:rPr>
            </w:pPr>
          </w:p>
        </w:tc>
      </w:tr>
      <w:tr>
        <w:trPr>
          <w:trHeight w:val="164"/>
        </w:trPr>
        <w:tc>
          <w:tcPr>
            <w:tcW w:w="518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(347)</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94"/>
        </w:trPr>
        <w:tc>
          <w:tcPr>
            <w:tcW w:w="5300" w:type="dxa"/>
            <w:vAlign w:val="bottom"/>
            <w:gridSpan w:val="2"/>
          </w:tcPr>
          <w:p>
            <w:pPr>
              <w:ind w:left="120"/>
              <w:spacing w:after="0" w:line="194" w:lineRule="exact"/>
              <w:rPr>
                <w:sz w:val="20"/>
                <w:szCs w:val="20"/>
                <w:color w:val="auto"/>
              </w:rPr>
            </w:pPr>
            <w:r>
              <w:rPr>
                <w:rFonts w:ascii="Arial" w:cs="Arial" w:eastAsia="Arial" w:hAnsi="Arial"/>
                <w:sz w:val="14"/>
                <w:szCs w:val="14"/>
                <w:color w:val="auto"/>
              </w:rPr>
              <w:t>Adjustment to reflect sale-type lease</w:t>
            </w:r>
            <w:r>
              <w:rPr>
                <w:rFonts w:ascii="Arial" w:cs="Arial" w:eastAsia="Arial" w:hAnsi="Arial"/>
                <w:sz w:val="17"/>
                <w:szCs w:val="17"/>
                <w:color w:val="auto"/>
                <w:vertAlign w:val="superscript"/>
              </w:rPr>
              <w:t>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Pro-rata Adjusted EBITDA from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94"/>
        </w:trPr>
        <w:tc>
          <w:tcPr>
            <w:tcW w:w="5300" w:type="dxa"/>
            <w:vAlign w:val="bottom"/>
            <w:gridSpan w:val="2"/>
          </w:tcPr>
          <w:p>
            <w:pPr>
              <w:ind w:left="140"/>
              <w:spacing w:after="0" w:line="194" w:lineRule="exact"/>
              <w:rPr>
                <w:sz w:val="20"/>
                <w:szCs w:val="20"/>
                <w:color w:val="auto"/>
              </w:rPr>
            </w:pPr>
            <w:r>
              <w:rPr>
                <w:rFonts w:ascii="Arial" w:cs="Arial" w:eastAsia="Arial" w:hAnsi="Arial"/>
                <w:sz w:val="14"/>
                <w:szCs w:val="14"/>
                <w:color w:val="auto"/>
              </w:rPr>
              <w:t>Cash distributions from unconsolidated affiliates</w:t>
            </w:r>
            <w:r>
              <w:rPr>
                <w:rFonts w:ascii="Arial" w:cs="Arial" w:eastAsia="Arial" w:hAnsi="Arial"/>
                <w:sz w:val="17"/>
                <w:szCs w:val="17"/>
                <w:color w:val="auto"/>
                <w:vertAlign w:val="superscript"/>
              </w:rPr>
              <w:t>10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Payment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5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797</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914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733</w:t>
            </w:r>
          </w:p>
        </w:tc>
        <w:tc>
          <w:tcPr>
            <w:tcW w:w="0" w:type="dxa"/>
            <w:vAlign w:val="bottom"/>
          </w:tcPr>
          <w:p>
            <w:pPr>
              <w:spacing w:after="0"/>
              <w:rPr>
                <w:sz w:val="1"/>
                <w:szCs w:val="1"/>
                <w:color w:val="auto"/>
              </w:rPr>
            </w:pPr>
          </w:p>
        </w:tc>
      </w:tr>
      <w:tr>
        <w:trPr>
          <w:trHeight w:val="184"/>
        </w:trPr>
        <w:tc>
          <w:tcPr>
            <w:tcW w:w="5180" w:type="dxa"/>
            <w:vAlign w:val="bottom"/>
            <w:shd w:val="clear" w:color="auto" w:fill="CCEEFF"/>
          </w:tcPr>
          <w:p>
            <w:pPr>
              <w:ind w:left="140"/>
              <w:spacing w:after="0" w:line="185" w:lineRule="exact"/>
              <w:rPr>
                <w:sz w:val="20"/>
                <w:szCs w:val="20"/>
                <w:color w:val="auto"/>
              </w:rPr>
            </w:pPr>
            <w:r>
              <w:rPr>
                <w:rFonts w:ascii="Arial" w:cs="Arial" w:eastAsia="Arial" w:hAnsi="Arial"/>
                <w:sz w:val="14"/>
                <w:szCs w:val="14"/>
                <w:color w:val="auto"/>
              </w:rPr>
              <w:t>Development Expense</w:t>
            </w:r>
            <w:r>
              <w:rPr>
                <w:rFonts w:ascii="Arial" w:cs="Arial" w:eastAsia="Arial" w:hAnsi="Arial"/>
                <w:sz w:val="17"/>
                <w:szCs w:val="17"/>
                <w:color w:val="auto"/>
                <w:vertAlign w:val="superscript"/>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5300" w:type="dxa"/>
            <w:vAlign w:val="bottom"/>
            <w:gridSpan w:val="2"/>
          </w:tcPr>
          <w:p>
            <w:pPr>
              <w:ind w:left="140"/>
              <w:spacing w:after="0" w:line="194" w:lineRule="exact"/>
              <w:rPr>
                <w:sz w:val="20"/>
                <w:szCs w:val="20"/>
                <w:color w:val="auto"/>
              </w:rPr>
            </w:pPr>
            <w:r>
              <w:rPr>
                <w:rFonts w:ascii="Arial" w:cs="Arial" w:eastAsia="Arial" w:hAnsi="Arial"/>
                <w:sz w:val="14"/>
                <w:szCs w:val="14"/>
                <w:color w:val="auto"/>
              </w:rPr>
              <w:t>Net distributions to non-controlling interest</w:t>
            </w:r>
            <w:r>
              <w:rPr>
                <w:rFonts w:ascii="Arial" w:cs="Arial" w:eastAsia="Arial" w:hAnsi="Arial"/>
                <w:sz w:val="17"/>
                <w:szCs w:val="17"/>
                <w:color w:val="auto"/>
                <w:vertAlign w:val="superscript"/>
              </w:rPr>
              <w:t>12</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Maintenance capital expenditures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Principal amortization of indebtedness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(416)</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64"/>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129794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80" w:hanging="78"/>
        <w:spacing w:after="0"/>
        <w:tabs>
          <w:tab w:leader="none" w:pos="80"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Adjustment to reflect cash generated from sales-type lease projects</w:t>
      </w:r>
    </w:p>
    <w:p>
      <w:pPr>
        <w:ind w:left="120" w:hanging="118"/>
        <w:spacing w:after="0" w:line="225" w:lineRule="auto"/>
        <w:tabs>
          <w:tab w:leader="none" w:pos="120" w:val="left"/>
        </w:tabs>
        <w:numPr>
          <w:ilvl w:val="0"/>
          <w:numId w:val="13"/>
        </w:numPr>
        <w:rPr>
          <w:rFonts w:ascii="Arial" w:cs="Arial" w:eastAsia="Arial" w:hAnsi="Arial"/>
          <w:sz w:val="15"/>
          <w:szCs w:val="15"/>
          <w:color w:val="auto"/>
          <w:vertAlign w:val="superscript"/>
        </w:rPr>
      </w:pPr>
      <w:r>
        <w:rPr>
          <w:rFonts w:ascii="Arial" w:cs="Arial" w:eastAsia="Arial" w:hAnsi="Arial"/>
          <w:sz w:val="10"/>
          <w:szCs w:val="10"/>
          <w:color w:val="auto"/>
        </w:rPr>
        <w:t>Distribution from unconsolidated affiliates can be classified as Return of Investment on Unconsolidated Affiliates when actuals are reported. This is below cash from operating activities</w:t>
      </w:r>
    </w:p>
    <w:p>
      <w:pPr>
        <w:spacing w:after="0" w:line="14" w:lineRule="exact"/>
        <w:rPr>
          <w:rFonts w:ascii="Arial" w:cs="Arial" w:eastAsia="Arial" w:hAnsi="Arial"/>
          <w:sz w:val="15"/>
          <w:szCs w:val="15"/>
          <w:color w:val="auto"/>
          <w:vertAlign w:val="superscript"/>
        </w:rPr>
      </w:pPr>
    </w:p>
    <w:p>
      <w:pPr>
        <w:ind w:left="120" w:hanging="118"/>
        <w:spacing w:after="0" w:line="192" w:lineRule="auto"/>
        <w:tabs>
          <w:tab w:leader="none" w:pos="120" w:val="left"/>
        </w:tabs>
        <w:numPr>
          <w:ilvl w:val="0"/>
          <w:numId w:val="13"/>
        </w:numPr>
        <w:rPr>
          <w:rFonts w:ascii="Arial" w:cs="Arial" w:eastAsia="Arial" w:hAnsi="Arial"/>
          <w:sz w:val="14"/>
          <w:szCs w:val="14"/>
          <w:color w:val="auto"/>
          <w:vertAlign w:val="superscript"/>
        </w:rPr>
      </w:pPr>
      <w:r>
        <w:rPr>
          <w:rFonts w:ascii="Arial" w:cs="Arial" w:eastAsia="Arial" w:hAnsi="Arial"/>
          <w:sz w:val="9"/>
          <w:szCs w:val="9"/>
          <w:color w:val="auto"/>
        </w:rPr>
        <w:t>Primarily relates to Thermal Development Expenses</w:t>
      </w:r>
    </w:p>
    <w:p>
      <w:pPr>
        <w:spacing w:after="0" w:line="14" w:lineRule="exact"/>
        <w:rPr>
          <w:rFonts w:ascii="Arial" w:cs="Arial" w:eastAsia="Arial" w:hAnsi="Arial"/>
          <w:sz w:val="14"/>
          <w:szCs w:val="14"/>
          <w:color w:val="auto"/>
          <w:vertAlign w:val="superscript"/>
        </w:rPr>
      </w:pPr>
    </w:p>
    <w:p>
      <w:pPr>
        <w:ind w:left="120" w:hanging="118"/>
        <w:spacing w:after="0" w:line="192" w:lineRule="auto"/>
        <w:tabs>
          <w:tab w:leader="none" w:pos="120" w:val="left"/>
        </w:tabs>
        <w:numPr>
          <w:ilvl w:val="0"/>
          <w:numId w:val="13"/>
        </w:numPr>
        <w:rPr>
          <w:rFonts w:ascii="Arial" w:cs="Arial" w:eastAsia="Arial" w:hAnsi="Arial"/>
          <w:sz w:val="14"/>
          <w:szCs w:val="14"/>
          <w:color w:val="auto"/>
          <w:vertAlign w:val="superscript"/>
        </w:rPr>
      </w:pPr>
      <w:r>
        <w:rPr>
          <w:rFonts w:ascii="Arial" w:cs="Arial" w:eastAsia="Arial" w:hAnsi="Arial"/>
          <w:sz w:val="9"/>
          <w:szCs w:val="9"/>
          <w:color w:val="auto"/>
        </w:rPr>
        <w:t>Includes tax equity proceeds and distributions to tax equity partners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80"/>
          </w:cols>
          <w:pgMar w:left="300" w:top="613"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Appendix Table A-8: Growth Investments 5 Year Average CAFD</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 millions)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Co-Investment in 1.6GW</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Co-Investment in 1.6GW</w:t>
            </w:r>
          </w:p>
        </w:tc>
        <w:tc>
          <w:tcPr>
            <w:tcW w:w="120" w:type="dxa"/>
            <w:vAlign w:val="bottom"/>
          </w:tcPr>
          <w:p>
            <w:pPr>
              <w:spacing w:after="0"/>
              <w:rPr>
                <w:sz w:val="14"/>
                <w:szCs w:val="14"/>
                <w:color w:val="auto"/>
              </w:rPr>
            </w:pPr>
          </w:p>
        </w:tc>
        <w:tc>
          <w:tcPr>
            <w:tcW w:w="13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Utah Solar Portfolio</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1240" w:type="dxa"/>
            <w:vAlign w:val="bottom"/>
            <w:vMerge w:val="restart"/>
          </w:tcPr>
          <w:p>
            <w:pPr>
              <w:jc w:val="center"/>
              <w:ind w:right="214"/>
              <w:spacing w:after="0" w:line="133" w:lineRule="exact"/>
              <w:rPr>
                <w:sz w:val="20"/>
                <w:szCs w:val="20"/>
                <w:color w:val="auto"/>
              </w:rPr>
            </w:pPr>
            <w:r>
              <w:rPr>
                <w:rFonts w:ascii="Arial" w:cs="Arial" w:eastAsia="Arial" w:hAnsi="Arial"/>
                <w:sz w:val="14"/>
                <w:szCs w:val="14"/>
                <w:b w:val="1"/>
                <w:bCs w:val="1"/>
                <w:color w:val="auto"/>
                <w:w w:val="90"/>
              </w:rPr>
              <w:t>Portfolio</w:t>
            </w:r>
          </w:p>
        </w:tc>
        <w:tc>
          <w:tcPr>
            <w:tcW w:w="100" w:type="dxa"/>
            <w:vAlign w:val="bottom"/>
          </w:tcPr>
          <w:p>
            <w:pPr>
              <w:spacing w:after="0"/>
              <w:rPr>
                <w:sz w:val="5"/>
                <w:szCs w:val="5"/>
                <w:color w:val="auto"/>
              </w:rPr>
            </w:pPr>
          </w:p>
        </w:tc>
        <w:tc>
          <w:tcPr>
            <w:tcW w:w="146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Portfolio</w:t>
            </w:r>
          </w:p>
        </w:tc>
        <w:tc>
          <w:tcPr>
            <w:tcW w:w="1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5 Year Ave. - 2022-2026</w:t>
            </w: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- 2022</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5 Year Ave. - 2023-2027</w:t>
            </w: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0" w:type="dxa"/>
            <w:vAlign w:val="bottom"/>
          </w:tcPr>
          <w:p>
            <w:pPr>
              <w:jc w:val="right"/>
              <w:ind w:right="155"/>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76</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-113030</wp:posOffset>
            </wp:positionV>
            <wp:extent cx="5880735" cy="116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11684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4140" w:space="580"/>
            <w:col w:w="6560"/>
          </w:cols>
          <w:pgMar w:left="300" w:top="613" w:right="319" w:bottom="1440" w:gutter="0" w:footer="0" w:header="0"/>
        </w:sectPr>
      </w:pPr>
    </w:p>
    <w:tbl>
      <w:tblPr>
        <w:tblLayout w:type="fixed"/>
        <w:tblInd w:w="0" w:type="dxa"/>
        <w:tblCellMar>
          <w:top w:w="0" w:type="dxa"/>
          <w:left w:w="0" w:type="dxa"/>
          <w:bottom w:w="0" w:type="dxa"/>
          <w:right w:w="0" w:type="dxa"/>
        </w:tblCellMar>
      </w:tblPr>
      <w:tr>
        <w:trPr>
          <w:trHeight w:val="165"/>
        </w:trPr>
        <w:tc>
          <w:tcPr>
            <w:tcW w:w="46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7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6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left="499"/>
              <w:spacing w:after="0"/>
              <w:rPr>
                <w:sz w:val="20"/>
                <w:szCs w:val="20"/>
                <w:color w:val="auto"/>
              </w:rPr>
            </w:pPr>
            <w:r>
              <w:rPr>
                <w:rFonts w:ascii="Arial" w:cs="Arial" w:eastAsia="Arial" w:hAnsi="Arial"/>
                <w:sz w:val="12"/>
                <w:szCs w:val="12"/>
                <w:color w:val="auto"/>
              </w:rPr>
              <w:t>—</w:t>
            </w:r>
          </w:p>
        </w:tc>
      </w:tr>
      <w:tr>
        <w:trPr>
          <w:trHeight w:val="174"/>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Depreciation, Amortization, and ARO Expense</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499"/>
              <w:spacing w:after="0"/>
              <w:rPr>
                <w:sz w:val="20"/>
                <w:szCs w:val="20"/>
                <w:color w:val="auto"/>
              </w:rPr>
            </w:pPr>
            <w:r>
              <w:rPr>
                <w:rFonts w:ascii="Arial" w:cs="Arial" w:eastAsia="Arial" w:hAnsi="Arial"/>
                <w:sz w:val="12"/>
                <w:szCs w:val="12"/>
                <w:color w:val="auto"/>
              </w:rPr>
              <w:t>32</w:t>
            </w:r>
          </w:p>
        </w:tc>
      </w:tr>
      <w:tr>
        <w:trPr>
          <w:trHeight w:val="133"/>
        </w:trPr>
        <w:tc>
          <w:tcPr>
            <w:tcW w:w="472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Adjustment to reflect CWEN share of Adjusted EBITDA in unconsolidated</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4720" w:type="dxa"/>
            <w:vAlign w:val="bottom"/>
            <w:gridSpan w:val="2"/>
          </w:tcPr>
          <w:p>
            <w:pPr>
              <w:ind w:left="100"/>
              <w:spacing w:after="0"/>
              <w:rPr>
                <w:sz w:val="20"/>
                <w:szCs w:val="20"/>
                <w:color w:val="auto"/>
              </w:rPr>
            </w:pPr>
            <w:r>
              <w:rPr>
                <w:rFonts w:ascii="Arial" w:cs="Arial" w:eastAsia="Arial" w:hAnsi="Arial"/>
                <w:sz w:val="14"/>
                <w:szCs w:val="14"/>
                <w:color w:val="auto"/>
              </w:rPr>
              <w:t>affiliates</w:t>
            </w:r>
          </w:p>
        </w:tc>
        <w:tc>
          <w:tcPr>
            <w:tcW w:w="7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5"/>
                <w:szCs w:val="15"/>
                <w:color w:val="auto"/>
              </w:rPr>
            </w:pPr>
          </w:p>
        </w:tc>
        <w:tc>
          <w:tcPr>
            <w:tcW w:w="780" w:type="dxa"/>
            <w:vAlign w:val="bottom"/>
          </w:tcPr>
          <w:p>
            <w:pPr>
              <w:jc w:val="center"/>
              <w:ind w:left="479"/>
              <w:spacing w:after="0"/>
              <w:rPr>
                <w:sz w:val="20"/>
                <w:szCs w:val="20"/>
                <w:color w:val="auto"/>
              </w:rPr>
            </w:pPr>
            <w:r>
              <w:rPr>
                <w:rFonts w:ascii="Arial" w:cs="Arial" w:eastAsia="Arial" w:hAnsi="Arial"/>
                <w:sz w:val="12"/>
                <w:szCs w:val="12"/>
                <w:color w:val="auto"/>
                <w:w w:val="93"/>
              </w:rPr>
              <w:t>(16)</w:t>
            </w:r>
          </w:p>
        </w:tc>
      </w:tr>
      <w:tr>
        <w:trPr>
          <w:trHeight w:val="164"/>
        </w:trPr>
        <w:tc>
          <w:tcPr>
            <w:tcW w:w="4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31</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center"/>
              <w:ind w:left="499"/>
              <w:spacing w:after="0"/>
              <w:rPr>
                <w:sz w:val="20"/>
                <w:szCs w:val="20"/>
                <w:color w:val="auto"/>
              </w:rPr>
            </w:pPr>
            <w:r>
              <w:rPr>
                <w:rFonts w:ascii="Arial" w:cs="Arial" w:eastAsia="Arial" w:hAnsi="Arial"/>
                <w:sz w:val="12"/>
                <w:szCs w:val="12"/>
                <w:b w:val="1"/>
                <w:bCs w:val="1"/>
                <w:color w:val="auto"/>
              </w:rPr>
              <w:t>30</w:t>
            </w:r>
          </w:p>
        </w:tc>
      </w:tr>
      <w:tr>
        <w:trPr>
          <w:trHeight w:val="164"/>
        </w:trPr>
        <w:tc>
          <w:tcPr>
            <w:tcW w:w="460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w:t>
            </w:r>
          </w:p>
        </w:tc>
        <w:tc>
          <w:tcPr>
            <w:tcW w:w="660" w:type="dxa"/>
            <w:vAlign w:val="bottom"/>
          </w:tcPr>
          <w:p>
            <w:pPr>
              <w:spacing w:after="0"/>
              <w:rPr>
                <w:sz w:val="14"/>
                <w:szCs w:val="14"/>
                <w:color w:val="auto"/>
              </w:rPr>
            </w:pPr>
          </w:p>
        </w:tc>
        <w:tc>
          <w:tcPr>
            <w:tcW w:w="780" w:type="dxa"/>
            <w:vAlign w:val="bottom"/>
          </w:tcPr>
          <w:p>
            <w:pPr>
              <w:jc w:val="center"/>
              <w:ind w:left="499"/>
              <w:spacing w:after="0"/>
              <w:rPr>
                <w:sz w:val="20"/>
                <w:szCs w:val="20"/>
                <w:color w:val="auto"/>
              </w:rPr>
            </w:pPr>
            <w:r>
              <w:rPr>
                <w:rFonts w:ascii="Arial" w:cs="Arial" w:eastAsia="Arial" w:hAnsi="Arial"/>
                <w:sz w:val="12"/>
                <w:szCs w:val="12"/>
                <w:color w:val="auto"/>
              </w:rPr>
              <w:t>—</w:t>
            </w:r>
          </w:p>
        </w:tc>
      </w:tr>
      <w:tr>
        <w:trPr>
          <w:trHeight w:val="174"/>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Pro-rata Adjusted EBITDA from unconsolidated affiliates</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499"/>
              <w:spacing w:after="0"/>
              <w:rPr>
                <w:sz w:val="20"/>
                <w:szCs w:val="20"/>
                <w:color w:val="auto"/>
              </w:rPr>
            </w:pPr>
            <w:r>
              <w:rPr>
                <w:rFonts w:ascii="Arial" w:cs="Arial" w:eastAsia="Arial" w:hAnsi="Arial"/>
                <w:sz w:val="12"/>
                <w:szCs w:val="12"/>
                <w:color w:val="auto"/>
              </w:rPr>
              <w:t>30</w:t>
            </w:r>
          </w:p>
        </w:tc>
      </w:tr>
      <w:tr>
        <w:trPr>
          <w:trHeight w:val="174"/>
        </w:trPr>
        <w:tc>
          <w:tcPr>
            <w:tcW w:w="4720" w:type="dxa"/>
            <w:vAlign w:val="bottom"/>
            <w:gridSpan w:val="2"/>
          </w:tcPr>
          <w:p>
            <w:pPr>
              <w:ind w:left="140"/>
              <w:spacing w:after="0"/>
              <w:rPr>
                <w:sz w:val="20"/>
                <w:szCs w:val="20"/>
                <w:color w:val="auto"/>
              </w:rPr>
            </w:pPr>
            <w:r>
              <w:rPr>
                <w:rFonts w:ascii="Arial" w:cs="Arial" w:eastAsia="Arial" w:hAnsi="Arial"/>
                <w:sz w:val="14"/>
                <w:szCs w:val="14"/>
                <w:color w:val="auto"/>
              </w:rPr>
              <w:t>Cash distributions from unconsolidated affiliates</w:t>
            </w:r>
          </w:p>
        </w:tc>
        <w:tc>
          <w:tcPr>
            <w:tcW w:w="7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5"/>
                <w:szCs w:val="15"/>
                <w:color w:val="auto"/>
              </w:rPr>
            </w:pPr>
          </w:p>
        </w:tc>
        <w:tc>
          <w:tcPr>
            <w:tcW w:w="780" w:type="dxa"/>
            <w:vAlign w:val="bottom"/>
          </w:tcPr>
          <w:p>
            <w:pPr>
              <w:jc w:val="center"/>
              <w:ind w:left="479"/>
              <w:spacing w:after="0"/>
              <w:rPr>
                <w:sz w:val="20"/>
                <w:szCs w:val="20"/>
                <w:color w:val="auto"/>
              </w:rPr>
            </w:pPr>
            <w:r>
              <w:rPr>
                <w:rFonts w:ascii="Arial" w:cs="Arial" w:eastAsia="Arial" w:hAnsi="Arial"/>
                <w:sz w:val="12"/>
                <w:szCs w:val="12"/>
                <w:color w:val="auto"/>
                <w:w w:val="93"/>
              </w:rPr>
              <w:t>(30)</w:t>
            </w:r>
          </w:p>
        </w:tc>
      </w:tr>
      <w:tr>
        <w:trPr>
          <w:trHeight w:val="164"/>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28</w:t>
            </w:r>
          </w:p>
        </w:tc>
        <w:tc>
          <w:tcPr>
            <w:tcW w:w="7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84</w:t>
            </w:r>
          </w:p>
        </w:tc>
        <w:tc>
          <w:tcPr>
            <w:tcW w:w="6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left="499"/>
              <w:spacing w:after="0"/>
              <w:rPr>
                <w:sz w:val="20"/>
                <w:szCs w:val="20"/>
                <w:color w:val="auto"/>
              </w:rPr>
            </w:pPr>
            <w:r>
              <w:rPr>
                <w:rFonts w:ascii="Arial" w:cs="Arial" w:eastAsia="Arial" w:hAnsi="Arial"/>
                <w:sz w:val="12"/>
                <w:szCs w:val="12"/>
                <w:b w:val="1"/>
                <w:bCs w:val="1"/>
                <w:color w:val="auto"/>
              </w:rPr>
              <w:t>30</w:t>
            </w:r>
          </w:p>
        </w:tc>
      </w:tr>
      <w:tr>
        <w:trPr>
          <w:trHeight w:val="174"/>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distributions from non-controlling interest</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499"/>
              <w:spacing w:after="0"/>
              <w:rPr>
                <w:sz w:val="20"/>
                <w:szCs w:val="20"/>
                <w:color w:val="auto"/>
              </w:rPr>
            </w:pPr>
            <w:r>
              <w:rPr>
                <w:rFonts w:ascii="Arial" w:cs="Arial" w:eastAsia="Arial" w:hAnsi="Arial"/>
                <w:sz w:val="12"/>
                <w:szCs w:val="12"/>
                <w:color w:val="auto"/>
              </w:rPr>
              <w:t>—</w:t>
            </w:r>
          </w:p>
        </w:tc>
      </w:tr>
      <w:tr>
        <w:trPr>
          <w:trHeight w:val="174"/>
        </w:trPr>
        <w:tc>
          <w:tcPr>
            <w:tcW w:w="4720" w:type="dxa"/>
            <w:vAlign w:val="bottom"/>
            <w:gridSpan w:val="2"/>
          </w:tcPr>
          <w:p>
            <w:pPr>
              <w:ind w:left="100"/>
              <w:spacing w:after="0"/>
              <w:rPr>
                <w:sz w:val="20"/>
                <w:szCs w:val="20"/>
                <w:color w:val="auto"/>
              </w:rPr>
            </w:pPr>
            <w:r>
              <w:rPr>
                <w:rFonts w:ascii="Arial" w:cs="Arial" w:eastAsia="Arial" w:hAnsi="Arial"/>
                <w:sz w:val="14"/>
                <w:szCs w:val="14"/>
                <w:color w:val="auto"/>
              </w:rPr>
              <w:t>Maintenance capital expenditures</w:t>
            </w:r>
          </w:p>
        </w:tc>
        <w:tc>
          <w:tcPr>
            <w:tcW w:w="7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w:t>
            </w:r>
          </w:p>
        </w:tc>
        <w:tc>
          <w:tcPr>
            <w:tcW w:w="660" w:type="dxa"/>
            <w:vAlign w:val="bottom"/>
          </w:tcPr>
          <w:p>
            <w:pPr>
              <w:spacing w:after="0"/>
              <w:rPr>
                <w:sz w:val="15"/>
                <w:szCs w:val="15"/>
                <w:color w:val="auto"/>
              </w:rPr>
            </w:pPr>
          </w:p>
        </w:tc>
        <w:tc>
          <w:tcPr>
            <w:tcW w:w="780" w:type="dxa"/>
            <w:vAlign w:val="bottom"/>
          </w:tcPr>
          <w:p>
            <w:pPr>
              <w:jc w:val="center"/>
              <w:ind w:left="499"/>
              <w:spacing w:after="0"/>
              <w:rPr>
                <w:sz w:val="20"/>
                <w:szCs w:val="20"/>
                <w:color w:val="auto"/>
              </w:rPr>
            </w:pPr>
            <w:r>
              <w:rPr>
                <w:rFonts w:ascii="Arial" w:cs="Arial" w:eastAsia="Arial" w:hAnsi="Arial"/>
                <w:sz w:val="12"/>
                <w:szCs w:val="12"/>
                <w:color w:val="auto"/>
              </w:rPr>
              <w:t>—</w:t>
            </w:r>
          </w:p>
        </w:tc>
      </w:tr>
      <w:tr>
        <w:trPr>
          <w:trHeight w:val="174"/>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Principal amortization of indebtedness</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499"/>
              <w:spacing w:after="0"/>
              <w:rPr>
                <w:sz w:val="20"/>
                <w:szCs w:val="20"/>
                <w:color w:val="auto"/>
              </w:rPr>
            </w:pPr>
            <w:r>
              <w:rPr>
                <w:rFonts w:ascii="Arial" w:cs="Arial" w:eastAsia="Arial" w:hAnsi="Arial"/>
                <w:sz w:val="12"/>
                <w:szCs w:val="12"/>
                <w:color w:val="auto"/>
              </w:rPr>
              <w:t>—</w:t>
            </w:r>
          </w:p>
        </w:tc>
      </w:tr>
      <w:tr>
        <w:trPr>
          <w:trHeight w:val="164"/>
        </w:trPr>
        <w:tc>
          <w:tcPr>
            <w:tcW w:w="4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Cash Available for Distribution</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w:t>
            </w:r>
          </w:p>
        </w:tc>
        <w:tc>
          <w:tcPr>
            <w:tcW w:w="7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w:t>
            </w:r>
          </w:p>
        </w:tc>
        <w:tc>
          <w:tcPr>
            <w:tcW w:w="6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center"/>
              <w:ind w:left="499"/>
              <w:spacing w:after="0"/>
              <w:rPr>
                <w:sz w:val="20"/>
                <w:szCs w:val="20"/>
                <w:color w:val="auto"/>
              </w:rPr>
            </w:pPr>
            <w:r>
              <w:rPr>
                <w:rFonts w:ascii="Arial" w:cs="Arial" w:eastAsia="Arial" w:hAnsi="Arial"/>
                <w:sz w:val="12"/>
                <w:szCs w:val="12"/>
                <w:b w:val="1"/>
                <w:bCs w:val="1"/>
                <w:color w:val="auto"/>
              </w:rPr>
              <w:t>30</w:t>
            </w:r>
          </w:p>
        </w:tc>
      </w:tr>
    </w:tbl>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80"/>
          </w:cols>
          <w:pgMar w:left="300" w:top="613"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Non-GAAP Financial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 and Adjusted EBITDA</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ind w:left="240" w:hanging="238"/>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does not reflect cash expenditures, or future requirements for capital expenditures, or contractual commitments;</w:t>
      </w:r>
    </w:p>
    <w:p>
      <w:pPr>
        <w:spacing w:after="0" w:line="2" w:lineRule="exact"/>
        <w:rPr>
          <w:rFonts w:ascii="Arial" w:cs="Arial" w:eastAsia="Arial" w:hAnsi="Arial"/>
          <w:sz w:val="14"/>
          <w:szCs w:val="14"/>
          <w:color w:val="auto"/>
        </w:rPr>
      </w:pPr>
    </w:p>
    <w:p>
      <w:pPr>
        <w:ind w:left="240" w:hanging="238"/>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does not reflect changes in, or cash requirements for, working capital needs;</w:t>
      </w:r>
    </w:p>
    <w:p>
      <w:pPr>
        <w:spacing w:after="0" w:line="2" w:lineRule="exact"/>
        <w:rPr>
          <w:rFonts w:ascii="Arial" w:cs="Arial" w:eastAsia="Arial" w:hAnsi="Arial"/>
          <w:sz w:val="14"/>
          <w:szCs w:val="14"/>
          <w:color w:val="auto"/>
        </w:rPr>
      </w:pPr>
    </w:p>
    <w:p>
      <w:pPr>
        <w:ind w:left="240" w:hanging="238"/>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does not reflect the significant interest expense, or the cash requirements necessary to service interest or principal payments, on debt or cash income tax payments;</w:t>
      </w:r>
    </w:p>
    <w:p>
      <w:pPr>
        <w:spacing w:after="0" w:line="2" w:lineRule="exact"/>
        <w:rPr>
          <w:rFonts w:ascii="Arial" w:cs="Arial" w:eastAsia="Arial" w:hAnsi="Arial"/>
          <w:sz w:val="14"/>
          <w:szCs w:val="14"/>
          <w:color w:val="auto"/>
        </w:rPr>
      </w:pPr>
    </w:p>
    <w:p>
      <w:pPr>
        <w:ind w:left="240" w:hanging="238"/>
        <w:spacing w:after="0" w:line="243" w:lineRule="auto"/>
        <w:tabs>
          <w:tab w:leader="none" w:pos="23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 w:lineRule="exact"/>
        <w:rPr>
          <w:rFonts w:ascii="Arial" w:cs="Arial" w:eastAsia="Arial" w:hAnsi="Arial"/>
          <w:sz w:val="14"/>
          <w:szCs w:val="14"/>
          <w:color w:val="auto"/>
        </w:rPr>
      </w:pPr>
    </w:p>
    <w:p>
      <w:pPr>
        <w:ind w:left="240" w:hanging="238"/>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companies in this industry may calculate EBITDA differently than Clearway Energy does, limiting its usefulness as a comparative measure.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333" w:lineRule="exact"/>
        <w:rPr>
          <w:sz w:val="20"/>
          <w:szCs w:val="20"/>
          <w:color w:val="auto"/>
        </w:rPr>
      </w:pPr>
    </w:p>
    <w:p>
      <w:pPr>
        <w:ind w:left="11160"/>
        <w:spacing w:after="0"/>
        <w:rPr>
          <w:sz w:val="20"/>
          <w:szCs w:val="20"/>
          <w:color w:val="auto"/>
        </w:rPr>
      </w:pPr>
      <w:r>
        <w:rPr>
          <w:rFonts w:ascii="Arial" w:cs="Arial" w:eastAsia="Arial" w:hAnsi="Arial"/>
          <w:sz w:val="10"/>
          <w:szCs w:val="10"/>
          <w:color w:val="auto"/>
        </w:rPr>
        <w:t>20</w:t>
      </w:r>
    </w:p>
    <w:p>
      <w:pPr>
        <w:sectPr>
          <w:pgSz w:w="11900" w:h="16838" w:orient="portrait"/>
          <w:cols w:equalWidth="0" w:num="1">
            <w:col w:w="11280"/>
          </w:cols>
          <w:pgMar w:left="300" w:top="1022"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Cash Available for Distribution</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 non-GAAP measure, Cash Available for Distribution is defined as of September 30, 2021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sectPr>
      <w:pgSz w:w="11900" w:h="16838" w:orient="portrait"/>
      <w:cols w:equalWidth="0" w:num="1">
        <w:col w:w="11280"/>
      </w:cols>
      <w:pgMar w:left="300" w:top="66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6"/>
      <w:numFmt w:val="bullet"/>
      <w:start w:val="1"/>
    </w:lvl>
  </w:abstractNum>
  <w:abstractNum w:abstractNumId="8">
    <w:nsid w:val="1190CDE7"/>
    <w:multiLevelType w:val="hybridMultilevel"/>
    <w:lvl w:ilvl="0">
      <w:lvlJc w:val="left"/>
      <w:lvlText w:val="7"/>
      <w:numFmt w:val="bullet"/>
      <w:start w:val="1"/>
    </w:lvl>
  </w:abstractNum>
  <w:abstractNum w:abstractNumId="9">
    <w:nsid w:val="66EF438D"/>
    <w:multiLevelType w:val="hybridMultilevel"/>
    <w:lvl w:ilvl="0">
      <w:lvlJc w:val="left"/>
      <w:lvlText w:val="8"/>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9"/>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2021-11-04T05:29:12Z</dcterms:created>
  <dcterms:modified xsi:type="dcterms:W3CDTF">2021-11-04T05:29:12Z</dcterms:modified>
</cp:coreProperties>
</file>