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07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0796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2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8"/>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CHLEBOWSKI JOHN</w:t>
              </w:r>
            </w:hyperlink>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NRG Yield,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NYLD</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40" w:type="dxa"/>
            <w:vAlign w:val="bottom"/>
            <w:gridSpan w:val="5"/>
            <w:vMerge w:val="restart"/>
          </w:tcPr>
          <w:p>
            <w:pPr>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vMerge w:val="restart"/>
          </w:tcPr>
          <w:p>
            <w:pPr>
              <w:ind w:left="60"/>
              <w:spacing w:after="0"/>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60" w:type="dxa"/>
            <w:vAlign w:val="bottom"/>
            <w:tcBorders>
              <w:top w:val="single" w:sz="8" w:color="0000EE"/>
            </w:tcBorders>
          </w:tcPr>
          <w:p>
            <w:pPr>
              <w:spacing w:after="0"/>
              <w:rPr>
                <w:sz w:val="8"/>
                <w:szCs w:val="8"/>
                <w:color w:val="auto"/>
              </w:rPr>
            </w:pPr>
          </w:p>
        </w:tc>
        <w:tc>
          <w:tcPr>
            <w:tcW w:w="540" w:type="dxa"/>
            <w:vAlign w:val="bottom"/>
            <w:tcBorders>
              <w:top w:val="single" w:sz="8" w:color="0000EE"/>
            </w:tcBorders>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540" w:type="dxa"/>
            <w:vAlign w:val="bottom"/>
            <w:tcBorders>
              <w:top w:val="single" w:sz="8" w:color="EEEEEE"/>
            </w:tcBorders>
          </w:tcPr>
          <w:p>
            <w:pPr>
              <w:spacing w:after="0" w:line="20" w:lineRule="exact"/>
              <w:rPr>
                <w:sz w:val="1"/>
                <w:szCs w:val="1"/>
                <w:color w:val="auto"/>
              </w:rPr>
            </w:pPr>
          </w:p>
        </w:tc>
        <w:tc>
          <w:tcPr>
            <w:tcW w:w="50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540" w:type="dxa"/>
            <w:vAlign w:val="bottom"/>
          </w:tcPr>
          <w:p>
            <w:pPr>
              <w:spacing w:after="0"/>
              <w:rPr>
                <w:sz w:val="4"/>
                <w:szCs w:val="4"/>
                <w:color w:val="auto"/>
              </w:rPr>
            </w:pPr>
          </w:p>
        </w:tc>
        <w:tc>
          <w:tcPr>
            <w:tcW w:w="5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8"/>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560" w:type="dxa"/>
            <w:vAlign w:val="bottom"/>
          </w:tcPr>
          <w:p>
            <w:pPr>
              <w:spacing w:after="0"/>
              <w:rPr>
                <w:sz w:val="20"/>
                <w:szCs w:val="20"/>
                <w:color w:val="auto"/>
              </w:rPr>
            </w:pPr>
            <w:r>
              <w:rPr>
                <w:rFonts w:ascii="Arial" w:cs="Arial" w:eastAsia="Arial" w:hAnsi="Arial"/>
                <w:sz w:val="14"/>
                <w:szCs w:val="14"/>
                <w:color w:val="auto"/>
              </w:rPr>
              <w:t>(Middle)</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8"/>
            <w:vMerge w:val="continue"/>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3"/>
            <w:vMerge w:val="restart"/>
          </w:tcPr>
          <w:p>
            <w:pPr>
              <w:spacing w:after="0"/>
              <w:rPr>
                <w:sz w:val="20"/>
                <w:szCs w:val="20"/>
                <w:color w:val="auto"/>
              </w:rPr>
            </w:pPr>
            <w:r>
              <w:rPr>
                <w:rFonts w:ascii="Arial" w:cs="Arial" w:eastAsia="Arial" w:hAnsi="Arial"/>
                <w:sz w:val="18"/>
                <w:szCs w:val="18"/>
                <w:color w:val="0000FF"/>
              </w:rPr>
              <w:t>NRG YIELD, INC.</w:t>
            </w:r>
          </w:p>
        </w:tc>
        <w:tc>
          <w:tcPr>
            <w:tcW w:w="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60" w:type="dxa"/>
            <w:vAlign w:val="bottom"/>
            <w:gridSpan w:val="5"/>
          </w:tcPr>
          <w:p>
            <w:pPr>
              <w:ind w:left="160"/>
              <w:spacing w:after="0"/>
              <w:rPr>
                <w:sz w:val="20"/>
                <w:szCs w:val="20"/>
                <w:color w:val="auto"/>
              </w:rPr>
            </w:pPr>
            <w:r>
              <w:rPr>
                <w:rFonts w:ascii="Arial" w:cs="Arial" w:eastAsia="Arial" w:hAnsi="Arial"/>
                <w:sz w:val="18"/>
                <w:szCs w:val="18"/>
                <w:color w:val="0000FF"/>
              </w:rPr>
              <w:t>12/01/2017</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00" w:type="dxa"/>
            <w:vAlign w:val="bottom"/>
            <w:gridSpan w:val="3"/>
            <w:vMerge w:val="continue"/>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804 CARNEGIE CENTER</w:t>
            </w: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continue"/>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3360" w:type="dxa"/>
            <w:vAlign w:val="bottom"/>
            <w:gridSpan w:val="8"/>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9"/>
            <w:vMerge w:val="continue"/>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3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50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gridSpan w:val="3"/>
            <w:vMerge w:val="restart"/>
          </w:tcPr>
          <w:p>
            <w:pPr>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5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gridSpan w:val="3"/>
            <w:vMerge w:val="continue"/>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PRINCETON</w:t>
            </w:r>
          </w:p>
        </w:tc>
        <w:tc>
          <w:tcPr>
            <w:tcW w:w="260" w:type="dxa"/>
            <w:vAlign w:val="bottom"/>
          </w:tcPr>
          <w:p>
            <w:pPr>
              <w:ind w:left="40"/>
              <w:spacing w:after="0"/>
              <w:rPr>
                <w:sz w:val="20"/>
                <w:szCs w:val="20"/>
                <w:color w:val="auto"/>
              </w:rPr>
            </w:pPr>
            <w:r>
              <w:rPr>
                <w:rFonts w:ascii="Arial" w:cs="Arial" w:eastAsia="Arial" w:hAnsi="Arial"/>
                <w:sz w:val="18"/>
                <w:szCs w:val="18"/>
                <w:color w:val="0000FF"/>
                <w:w w:val="90"/>
              </w:rPr>
              <w:t>NJ</w:t>
            </w:r>
          </w:p>
        </w:tc>
        <w:tc>
          <w:tcPr>
            <w:tcW w:w="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0000FF"/>
              </w:rPr>
              <w:t>08540</w:t>
            </w: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560" w:type="dxa"/>
            <w:vAlign w:val="bottom"/>
          </w:tcPr>
          <w:p>
            <w:pPr>
              <w:spacing w:after="0"/>
              <w:rPr>
                <w:sz w:val="20"/>
                <w:szCs w:val="20"/>
                <w:color w:val="auto"/>
              </w:rPr>
            </w:pPr>
            <w:r>
              <w:rPr>
                <w:rFonts w:ascii="Arial" w:cs="Arial" w:eastAsia="Arial" w:hAnsi="Arial"/>
                <w:sz w:val="14"/>
                <w:szCs w:val="14"/>
                <w:color w:val="auto"/>
              </w:rPr>
              <w:t>(Zip)</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1700" w:type="dxa"/>
            <w:vAlign w:val="bottom"/>
            <w:tcBorders>
              <w:bottom w:val="single" w:sz="8" w:color="2C2C2C"/>
            </w:tcBorders>
            <w:gridSpan w:val="3"/>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400" w:type="dxa"/>
            <w:vAlign w:val="bottom"/>
            <w:tcBorders>
              <w:bottom w:val="single" w:sz="8" w:color="2C2C2C"/>
            </w:tcBorders>
            <w:gridSpan w:val="3"/>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232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22"/>
          </w:tcPr>
          <w:p>
            <w:pPr>
              <w:jc w:val="center"/>
              <w:ind w:right="37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40" w:type="dxa"/>
            <w:vAlign w:val="bottom"/>
            <w:tcBorders>
              <w:bottom w:val="single" w:sz="8" w:color="2C2C2C"/>
            </w:tcBorders>
            <w:gridSpan w:val="4"/>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5"/>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60" w:type="dxa"/>
            <w:vAlign w:val="bottom"/>
          </w:tcPr>
          <w:p>
            <w:pPr>
              <w:spacing w:after="0"/>
              <w:rPr>
                <w:sz w:val="15"/>
                <w:szCs w:val="15"/>
                <w:color w:val="auto"/>
              </w:rPr>
            </w:pPr>
          </w:p>
        </w:tc>
        <w:tc>
          <w:tcPr>
            <w:tcW w:w="1300" w:type="dxa"/>
            <w:vAlign w:val="bottom"/>
            <w:gridSpan w:val="5"/>
          </w:tcPr>
          <w:p>
            <w:pPr>
              <w:ind w:left="2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70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00" w:type="dxa"/>
            <w:vAlign w:val="bottom"/>
            <w:gridSpan w:val="5"/>
          </w:tcPr>
          <w:p>
            <w:pPr>
              <w:ind w:left="2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4"/>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54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40" w:type="dxa"/>
            <w:vAlign w:val="bottom"/>
            <w:tcBorders>
              <w:bottom w:val="single" w:sz="8" w:color="2C2C2C"/>
            </w:tcBorders>
            <w:gridSpan w:val="4"/>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7"/>
          </w:tcPr>
          <w:p>
            <w:pPr>
              <w:ind w:left="60"/>
              <w:spacing w:after="0"/>
              <w:rPr>
                <w:sz w:val="20"/>
                <w:szCs w:val="20"/>
                <w:color w:val="auto"/>
              </w:rPr>
            </w:pPr>
            <w:r>
              <w:rPr>
                <w:rFonts w:ascii="Arial" w:cs="Arial" w:eastAsia="Arial" w:hAnsi="Arial"/>
                <w:sz w:val="18"/>
                <w:szCs w:val="18"/>
                <w:color w:val="0000FF"/>
                <w:w w:val="90"/>
              </w:rPr>
              <w:t>Class A Common Stock, par value $.01 per</w:t>
            </w:r>
          </w:p>
        </w:tc>
        <w:tc>
          <w:tcPr>
            <w:tcW w:w="1300" w:type="dxa"/>
            <w:vAlign w:val="bottom"/>
            <w:gridSpan w:val="5"/>
            <w:vMerge w:val="restart"/>
          </w:tcPr>
          <w:p>
            <w:pPr>
              <w:jc w:val="right"/>
              <w:ind w:right="95"/>
              <w:spacing w:after="0"/>
              <w:rPr>
                <w:sz w:val="20"/>
                <w:szCs w:val="20"/>
                <w:color w:val="auto"/>
              </w:rPr>
            </w:pPr>
            <w:r>
              <w:rPr>
                <w:rFonts w:ascii="Arial" w:cs="Arial" w:eastAsia="Arial" w:hAnsi="Arial"/>
                <w:sz w:val="18"/>
                <w:szCs w:val="18"/>
                <w:color w:val="0000FF"/>
              </w:rPr>
              <w:t>12/01/2017</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vMerge w:val="restart"/>
          </w:tcPr>
          <w:p>
            <w:pPr>
              <w:ind w:left="180"/>
              <w:spacing w:after="0"/>
              <w:rPr>
                <w:sz w:val="20"/>
                <w:szCs w:val="20"/>
                <w:color w:val="auto"/>
              </w:rPr>
            </w:pPr>
            <w:r>
              <w:rPr>
                <w:rFonts w:ascii="Arial" w:cs="Arial" w:eastAsia="Arial" w:hAnsi="Arial"/>
                <w:sz w:val="14"/>
                <w:szCs w:val="14"/>
                <w:color w:val="0000FF"/>
              </w:rPr>
              <w:t>A</w:t>
            </w:r>
          </w:p>
        </w:tc>
        <w:tc>
          <w:tcPr>
            <w:tcW w:w="160" w:type="dxa"/>
            <w:vAlign w:val="bottom"/>
          </w:tcPr>
          <w:p>
            <w:pPr>
              <w:spacing w:after="0"/>
              <w:rPr>
                <w:sz w:val="22"/>
                <w:szCs w:val="22"/>
                <w:color w:val="auto"/>
              </w:rPr>
            </w:pPr>
          </w:p>
        </w:tc>
        <w:tc>
          <w:tcPr>
            <w:tcW w:w="560" w:type="dxa"/>
            <w:vAlign w:val="bottom"/>
            <w:vMerge w:val="restart"/>
          </w:tcPr>
          <w:p>
            <w:pPr>
              <w:ind w:left="260"/>
              <w:spacing w:after="0"/>
              <w:rPr>
                <w:sz w:val="20"/>
                <w:szCs w:val="20"/>
                <w:color w:val="auto"/>
              </w:rPr>
            </w:pPr>
            <w:r>
              <w:rPr>
                <w:rFonts w:ascii="Arial" w:cs="Arial" w:eastAsia="Arial" w:hAnsi="Arial"/>
                <w:sz w:val="18"/>
                <w:szCs w:val="18"/>
                <w:color w:val="0000FF"/>
                <w:w w:val="93"/>
              </w:rPr>
              <w:t>187</w:t>
            </w:r>
          </w:p>
        </w:tc>
        <w:tc>
          <w:tcPr>
            <w:tcW w:w="760" w:type="dxa"/>
            <w:vAlign w:val="bottom"/>
            <w:vMerge w:val="restart"/>
          </w:tcPr>
          <w:p>
            <w:pPr>
              <w:ind w:left="440"/>
              <w:spacing w:after="0"/>
              <w:rPr>
                <w:sz w:val="20"/>
                <w:szCs w:val="20"/>
                <w:color w:val="auto"/>
              </w:rPr>
            </w:pPr>
            <w:r>
              <w:rPr>
                <w:rFonts w:ascii="Arial" w:cs="Arial" w:eastAsia="Arial" w:hAnsi="Arial"/>
                <w:sz w:val="18"/>
                <w:szCs w:val="18"/>
                <w:color w:val="0000FF"/>
              </w:rPr>
              <w:t>A</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gridSpan w:val="2"/>
            <w:vMerge w:val="restart"/>
          </w:tcPr>
          <w:p>
            <w:pPr>
              <w:spacing w:after="0"/>
              <w:rPr>
                <w:sz w:val="20"/>
                <w:szCs w:val="20"/>
                <w:color w:val="auto"/>
              </w:rPr>
            </w:pPr>
            <w:r>
              <w:rPr>
                <w:rFonts w:ascii="Arial" w:cs="Arial" w:eastAsia="Arial" w:hAnsi="Arial"/>
                <w:sz w:val="11"/>
                <w:szCs w:val="11"/>
                <w:color w:val="008000"/>
                <w:w w:val="88"/>
              </w:rPr>
              <w:t>(1)</w:t>
            </w:r>
          </w:p>
        </w:tc>
        <w:tc>
          <w:tcPr>
            <w:tcW w:w="240" w:type="dxa"/>
            <w:vAlign w:val="bottom"/>
          </w:tcPr>
          <w:p>
            <w:pPr>
              <w:spacing w:after="0"/>
              <w:rPr>
                <w:sz w:val="22"/>
                <w:szCs w:val="22"/>
                <w:color w:val="auto"/>
              </w:rPr>
            </w:pPr>
          </w:p>
        </w:tc>
        <w:tc>
          <w:tcPr>
            <w:tcW w:w="1260" w:type="dxa"/>
            <w:vAlign w:val="bottom"/>
            <w:gridSpan w:val="2"/>
            <w:vMerge w:val="restart"/>
          </w:tcPr>
          <w:p>
            <w:pPr>
              <w:ind w:left="300"/>
              <w:spacing w:after="0"/>
              <w:rPr>
                <w:sz w:val="20"/>
                <w:szCs w:val="20"/>
                <w:color w:val="auto"/>
              </w:rPr>
            </w:pPr>
            <w:r>
              <w:rPr>
                <w:rFonts w:ascii="Arial" w:cs="Arial" w:eastAsia="Arial" w:hAnsi="Arial"/>
                <w:sz w:val="18"/>
                <w:szCs w:val="18"/>
                <w:color w:val="0000FF"/>
              </w:rPr>
              <w:t>22,482</w:t>
            </w:r>
            <w:r>
              <w:rPr>
                <w:rFonts w:ascii="Arial" w:cs="Arial" w:eastAsia="Arial" w:hAnsi="Arial"/>
                <w:sz w:val="22"/>
                <w:szCs w:val="22"/>
                <w:color w:val="008000"/>
                <w:vertAlign w:val="superscript"/>
              </w:rPr>
              <w:t>(2)</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gridSpan w:val="5"/>
            <w:vMerge w:val="continue"/>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540" w:type="dxa"/>
            <w:vAlign w:val="bottom"/>
          </w:tcPr>
          <w:p>
            <w:pPr>
              <w:spacing w:after="0"/>
              <w:rPr>
                <w:sz w:val="4"/>
                <w:szCs w:val="4"/>
                <w:color w:val="auto"/>
              </w:rPr>
            </w:pPr>
          </w:p>
        </w:tc>
        <w:tc>
          <w:tcPr>
            <w:tcW w:w="5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40" w:type="dxa"/>
            <w:vAlign w:val="bottom"/>
            <w:tcBorders>
              <w:bottom w:val="single" w:sz="8" w:color="2C2C2C"/>
            </w:tcBorders>
            <w:gridSpan w:val="4"/>
          </w:tcPr>
          <w:p>
            <w:pPr>
              <w:spacing w:after="0"/>
              <w:rPr>
                <w:sz w:val="5"/>
                <w:szCs w:val="5"/>
                <w:color w:val="auto"/>
              </w:rPr>
            </w:pPr>
          </w:p>
        </w:tc>
        <w:tc>
          <w:tcPr>
            <w:tcW w:w="1060" w:type="dxa"/>
            <w:vAlign w:val="bottom"/>
            <w:tcBorders>
              <w:bottom w:val="single" w:sz="8" w:color="2C2C2C"/>
            </w:tcBorders>
            <w:gridSpan w:val="2"/>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7"/>
          </w:tcPr>
          <w:p>
            <w:pPr>
              <w:ind w:left="60"/>
              <w:spacing w:after="0"/>
              <w:rPr>
                <w:sz w:val="20"/>
                <w:szCs w:val="20"/>
                <w:color w:val="auto"/>
              </w:rPr>
            </w:pPr>
            <w:r>
              <w:rPr>
                <w:rFonts w:ascii="Arial" w:cs="Arial" w:eastAsia="Arial" w:hAnsi="Arial"/>
                <w:sz w:val="18"/>
                <w:szCs w:val="18"/>
                <w:color w:val="0000FF"/>
                <w:w w:val="90"/>
              </w:rPr>
              <w:t>Class C Common Stock, par value $.01 per</w:t>
            </w:r>
          </w:p>
        </w:tc>
        <w:tc>
          <w:tcPr>
            <w:tcW w:w="1300" w:type="dxa"/>
            <w:vAlign w:val="bottom"/>
            <w:gridSpan w:val="5"/>
            <w:vMerge w:val="restart"/>
          </w:tcPr>
          <w:p>
            <w:pPr>
              <w:jc w:val="right"/>
              <w:ind w:right="95"/>
              <w:spacing w:after="0"/>
              <w:rPr>
                <w:sz w:val="20"/>
                <w:szCs w:val="20"/>
                <w:color w:val="auto"/>
              </w:rPr>
            </w:pPr>
            <w:r>
              <w:rPr>
                <w:rFonts w:ascii="Arial" w:cs="Arial" w:eastAsia="Arial" w:hAnsi="Arial"/>
                <w:sz w:val="18"/>
                <w:szCs w:val="18"/>
                <w:color w:val="0000FF"/>
              </w:rPr>
              <w:t>12/01/2017</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vMerge w:val="restart"/>
          </w:tcPr>
          <w:p>
            <w:pPr>
              <w:ind w:left="180"/>
              <w:spacing w:after="0"/>
              <w:rPr>
                <w:sz w:val="20"/>
                <w:szCs w:val="20"/>
                <w:color w:val="auto"/>
              </w:rPr>
            </w:pPr>
            <w:r>
              <w:rPr>
                <w:rFonts w:ascii="Arial" w:cs="Arial" w:eastAsia="Arial" w:hAnsi="Arial"/>
                <w:sz w:val="14"/>
                <w:szCs w:val="14"/>
                <w:color w:val="0000FF"/>
              </w:rPr>
              <w:t>A</w:t>
            </w:r>
          </w:p>
        </w:tc>
        <w:tc>
          <w:tcPr>
            <w:tcW w:w="160" w:type="dxa"/>
            <w:vAlign w:val="bottom"/>
          </w:tcPr>
          <w:p>
            <w:pPr>
              <w:spacing w:after="0"/>
              <w:rPr>
                <w:sz w:val="22"/>
                <w:szCs w:val="22"/>
                <w:color w:val="auto"/>
              </w:rPr>
            </w:pPr>
          </w:p>
        </w:tc>
        <w:tc>
          <w:tcPr>
            <w:tcW w:w="560" w:type="dxa"/>
            <w:vAlign w:val="bottom"/>
            <w:vMerge w:val="restart"/>
          </w:tcPr>
          <w:p>
            <w:pPr>
              <w:ind w:left="260"/>
              <w:spacing w:after="0"/>
              <w:rPr>
                <w:sz w:val="20"/>
                <w:szCs w:val="20"/>
                <w:color w:val="auto"/>
              </w:rPr>
            </w:pPr>
            <w:r>
              <w:rPr>
                <w:rFonts w:ascii="Arial" w:cs="Arial" w:eastAsia="Arial" w:hAnsi="Arial"/>
                <w:sz w:val="18"/>
                <w:szCs w:val="18"/>
                <w:color w:val="0000FF"/>
                <w:w w:val="93"/>
              </w:rPr>
              <w:t>515</w:t>
            </w:r>
          </w:p>
        </w:tc>
        <w:tc>
          <w:tcPr>
            <w:tcW w:w="760" w:type="dxa"/>
            <w:vAlign w:val="bottom"/>
            <w:vMerge w:val="restart"/>
          </w:tcPr>
          <w:p>
            <w:pPr>
              <w:ind w:left="440"/>
              <w:spacing w:after="0"/>
              <w:rPr>
                <w:sz w:val="20"/>
                <w:szCs w:val="20"/>
                <w:color w:val="auto"/>
              </w:rPr>
            </w:pPr>
            <w:r>
              <w:rPr>
                <w:rFonts w:ascii="Arial" w:cs="Arial" w:eastAsia="Arial" w:hAnsi="Arial"/>
                <w:sz w:val="18"/>
                <w:szCs w:val="18"/>
                <w:color w:val="0000FF"/>
              </w:rPr>
              <w:t>A</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gridSpan w:val="2"/>
            <w:vMerge w:val="restart"/>
          </w:tcPr>
          <w:p>
            <w:pPr>
              <w:spacing w:after="0"/>
              <w:rPr>
                <w:sz w:val="20"/>
                <w:szCs w:val="20"/>
                <w:color w:val="auto"/>
              </w:rPr>
            </w:pPr>
            <w:r>
              <w:rPr>
                <w:rFonts w:ascii="Arial" w:cs="Arial" w:eastAsia="Arial" w:hAnsi="Arial"/>
                <w:sz w:val="11"/>
                <w:szCs w:val="11"/>
                <w:color w:val="008000"/>
                <w:w w:val="88"/>
              </w:rPr>
              <w:t>(1)</w:t>
            </w:r>
          </w:p>
        </w:tc>
        <w:tc>
          <w:tcPr>
            <w:tcW w:w="240" w:type="dxa"/>
            <w:vAlign w:val="bottom"/>
          </w:tcPr>
          <w:p>
            <w:pPr>
              <w:spacing w:after="0"/>
              <w:rPr>
                <w:sz w:val="22"/>
                <w:szCs w:val="22"/>
                <w:color w:val="auto"/>
              </w:rPr>
            </w:pPr>
          </w:p>
        </w:tc>
        <w:tc>
          <w:tcPr>
            <w:tcW w:w="1260" w:type="dxa"/>
            <w:vAlign w:val="bottom"/>
            <w:gridSpan w:val="2"/>
            <w:vMerge w:val="restart"/>
          </w:tcPr>
          <w:p>
            <w:pPr>
              <w:ind w:left="300"/>
              <w:spacing w:after="0"/>
              <w:rPr>
                <w:sz w:val="20"/>
                <w:szCs w:val="20"/>
                <w:color w:val="auto"/>
              </w:rPr>
            </w:pPr>
            <w:r>
              <w:rPr>
                <w:rFonts w:ascii="Arial" w:cs="Arial" w:eastAsia="Arial" w:hAnsi="Arial"/>
                <w:sz w:val="18"/>
                <w:szCs w:val="18"/>
                <w:color w:val="0000FF"/>
              </w:rPr>
              <w:t>50,191</w:t>
            </w:r>
            <w:r>
              <w:rPr>
                <w:rFonts w:ascii="Arial" w:cs="Arial" w:eastAsia="Arial" w:hAnsi="Arial"/>
                <w:sz w:val="22"/>
                <w:szCs w:val="22"/>
                <w:color w:val="008000"/>
                <w:vertAlign w:val="superscript"/>
              </w:rPr>
              <w:t>(3)</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gridSpan w:val="5"/>
            <w:vMerge w:val="continue"/>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540" w:type="dxa"/>
            <w:vAlign w:val="bottom"/>
          </w:tcPr>
          <w:p>
            <w:pPr>
              <w:spacing w:after="0"/>
              <w:rPr>
                <w:sz w:val="4"/>
                <w:szCs w:val="4"/>
                <w:color w:val="auto"/>
              </w:rPr>
            </w:pPr>
          </w:p>
        </w:tc>
        <w:tc>
          <w:tcPr>
            <w:tcW w:w="5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1700" w:type="dxa"/>
            <w:vAlign w:val="bottom"/>
            <w:tcBorders>
              <w:bottom w:val="single" w:sz="8" w:color="2C2C2C"/>
            </w:tcBorders>
            <w:gridSpan w:val="3"/>
          </w:tcPr>
          <w:p>
            <w:pPr>
              <w:spacing w:after="0"/>
              <w:rPr>
                <w:sz w:val="8"/>
                <w:szCs w:val="8"/>
                <w:color w:val="auto"/>
              </w:rPr>
            </w:pPr>
          </w:p>
        </w:tc>
        <w:tc>
          <w:tcPr>
            <w:tcW w:w="220" w:type="dxa"/>
            <w:vAlign w:val="bottom"/>
            <w:tcBorders>
              <w:bottom w:val="single" w:sz="8" w:color="2C2C2C"/>
            </w:tcBorders>
            <w:gridSpan w:val="3"/>
          </w:tcPr>
          <w:p>
            <w:pPr>
              <w:spacing w:after="0"/>
              <w:rPr>
                <w:sz w:val="8"/>
                <w:szCs w:val="8"/>
                <w:color w:val="auto"/>
              </w:rPr>
            </w:pPr>
          </w:p>
        </w:tc>
        <w:tc>
          <w:tcPr>
            <w:tcW w:w="1400" w:type="dxa"/>
            <w:vAlign w:val="bottom"/>
            <w:tcBorders>
              <w:bottom w:val="single" w:sz="8" w:color="2C2C2C"/>
            </w:tcBorders>
            <w:gridSpan w:val="3"/>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2500" w:type="dxa"/>
            <w:vAlign w:val="bottom"/>
            <w:tcBorders>
              <w:bottom w:val="single" w:sz="8" w:color="2C2C2C"/>
            </w:tcBorders>
            <w:gridSpan w:val="7"/>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6760" w:type="dxa"/>
            <w:vAlign w:val="bottom"/>
            <w:tcBorders>
              <w:top w:val="single" w:sz="8" w:color="2C2C2C"/>
            </w:tcBorders>
            <w:gridSpan w:val="21"/>
          </w:tcPr>
          <w:p>
            <w:pPr>
              <w:jc w:val="center"/>
              <w:ind w:left="2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980" w:type="dxa"/>
            <w:vAlign w:val="bottom"/>
            <w:gridSpan w:val="17"/>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5"/>
                <w:szCs w:val="15"/>
                <w:color w:val="auto"/>
              </w:rPr>
            </w:pP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540" w:type="dxa"/>
            <w:vAlign w:val="bottom"/>
          </w:tcPr>
          <w:p>
            <w:pPr>
              <w:spacing w:after="0"/>
              <w:rPr>
                <w:sz w:val="4"/>
                <w:szCs w:val="4"/>
                <w:color w:val="auto"/>
              </w:rPr>
            </w:pPr>
          </w:p>
        </w:tc>
        <w:tc>
          <w:tcPr>
            <w:tcW w:w="5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dividend equivalent rights accrued on the reporting person's Deferred Stock Units, which become exercisable proportionately with the Deferred Stock Units to which they relate and may only be settled in the Class A or Class C Common Stock of NRG Yield, Inc. as determined by the Deferred Stock Unit to which they relate.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2,281 dividend equivalent rights that may only be settled in Class A Common Stock.</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4,823 dividend equivalent rights that may only be settled in Class C Common Stock.</w:t>
      </w:r>
    </w:p>
    <w:p>
      <w:pPr>
        <w:spacing w:after="0" w:line="4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7"/>
              </w:rPr>
              <w:t>/s/ Brian Curci, by Power of</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12/05/2017</w:t>
            </w:r>
          </w:p>
        </w:tc>
        <w:tc>
          <w:tcPr>
            <w:tcW w:w="0" w:type="dxa"/>
            <w:vAlign w:val="bottom"/>
          </w:tcPr>
          <w:p>
            <w:pPr>
              <w:spacing w:after="0"/>
              <w:rPr>
                <w:sz w:val="1"/>
                <w:szCs w:val="1"/>
                <w:color w:val="auto"/>
              </w:rPr>
            </w:pPr>
          </w:p>
        </w:tc>
      </w:tr>
      <w:tr>
        <w:trPr>
          <w:trHeight w:val="88"/>
        </w:trPr>
        <w:tc>
          <w:tcPr>
            <w:tcW w:w="64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34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top w:val="single" w:sz="8" w:color="auto"/>
              <w:bottom w:val="single" w:sz="8" w:color="auto"/>
            </w:tcBorders>
            <w:vMerge w:val="continue"/>
          </w:tcPr>
          <w:p>
            <w:pPr>
              <w:spacing w:after="0"/>
              <w:rPr>
                <w:sz w:val="7"/>
                <w:szCs w:val="7"/>
                <w:color w:val="auto"/>
              </w:rPr>
            </w:pPr>
          </w:p>
        </w:tc>
        <w:tc>
          <w:tcPr>
            <w:tcW w:w="134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58789"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2019-12-23T22:23:52Z</dcterms:created>
  <dcterms:modified xsi:type="dcterms:W3CDTF">2019-12-23T22:23:52Z</dcterms:modified>
</cp:coreProperties>
</file>