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6034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603440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Ford Brian R.</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160" w:type="dxa"/>
            <w:vAlign w:val="bottom"/>
          </w:tcPr>
          <w:p>
            <w:pPr>
              <w:ind w:left="120"/>
              <w:spacing w:after="0"/>
              <w:rPr>
                <w:sz w:val="20"/>
                <w:szCs w:val="20"/>
                <w:color w:val="auto"/>
              </w:rPr>
            </w:pPr>
            <w:r>
              <w:rPr>
                <w:rFonts w:ascii="Arial" w:cs="Arial" w:eastAsia="Arial" w:hAnsi="Arial"/>
                <w:sz w:val="14"/>
                <w:szCs w:val="14"/>
                <w:color w:val="auto"/>
              </w:rPr>
              <w:t>(First)</w:t>
            </w:r>
          </w:p>
        </w:tc>
        <w:tc>
          <w:tcPr>
            <w:tcW w:w="136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0000FF"/>
                <w:w w:val="99"/>
              </w:rPr>
              <w:t>CLEARWAY ENERGY, INC.</w:t>
            </w:r>
          </w:p>
        </w:tc>
        <w:tc>
          <w:tcPr>
            <w:tcW w:w="13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300 CARNEGIE CENTER, SUITE 300</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PRINCETON</w:t>
            </w:r>
          </w:p>
        </w:tc>
        <w:tc>
          <w:tcPr>
            <w:tcW w:w="1160" w:type="dxa"/>
            <w:vAlign w:val="bottom"/>
          </w:tcPr>
          <w:p>
            <w:pPr>
              <w:ind w:left="120"/>
              <w:spacing w:after="0"/>
              <w:rPr>
                <w:sz w:val="20"/>
                <w:szCs w:val="20"/>
                <w:color w:val="auto"/>
              </w:rPr>
            </w:pPr>
            <w:r>
              <w:rPr>
                <w:rFonts w:ascii="Arial" w:cs="Arial" w:eastAsia="Arial" w:hAnsi="Arial"/>
                <w:sz w:val="18"/>
                <w:szCs w:val="18"/>
                <w:color w:val="0000FF"/>
              </w:rPr>
              <w:t>NJ</w:t>
            </w:r>
          </w:p>
        </w:tc>
        <w:tc>
          <w:tcPr>
            <w:tcW w:w="1360" w:type="dxa"/>
            <w:vAlign w:val="bottom"/>
          </w:tcPr>
          <w:p>
            <w:pPr>
              <w:ind w:left="18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120"/>
              <w:spacing w:after="0"/>
              <w:rPr>
                <w:sz w:val="20"/>
                <w:szCs w:val="20"/>
                <w:color w:val="auto"/>
              </w:rPr>
            </w:pPr>
            <w:r>
              <w:rPr>
                <w:rFonts w:ascii="Arial" w:cs="Arial" w:eastAsia="Arial" w:hAnsi="Arial"/>
                <w:sz w:val="14"/>
                <w:szCs w:val="14"/>
                <w:color w:val="auto"/>
              </w:rPr>
              <w:t>(State)</w:t>
            </w:r>
          </w:p>
        </w:tc>
        <w:tc>
          <w:tcPr>
            <w:tcW w:w="1360" w:type="dxa"/>
            <w:vAlign w:val="bottom"/>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5"/>
              </w:rPr>
              <w:t>Class C Common Stock, par value $.01</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06/01/2023</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220"/>
              <w:spacing w:after="0"/>
              <w:rPr>
                <w:sz w:val="20"/>
                <w:szCs w:val="20"/>
                <w:color w:val="auto"/>
              </w:rPr>
            </w:pPr>
            <w:r>
              <w:rPr>
                <w:rFonts w:ascii="Arial" w:cs="Arial" w:eastAsia="Arial" w:hAnsi="Arial"/>
                <w:sz w:val="14"/>
                <w:szCs w:val="14"/>
                <w:color w:val="0000FF"/>
              </w:rPr>
              <w:t>A</w:t>
            </w:r>
          </w:p>
        </w:tc>
        <w:tc>
          <w:tcPr>
            <w:tcW w:w="740" w:type="dxa"/>
            <w:vAlign w:val="bottom"/>
            <w:vMerge w:val="restart"/>
          </w:tcPr>
          <w:p>
            <w:pPr>
              <w:jc w:val="center"/>
              <w:ind w:left="110"/>
              <w:spacing w:after="0"/>
              <w:rPr>
                <w:sz w:val="20"/>
                <w:szCs w:val="20"/>
                <w:color w:val="auto"/>
              </w:rPr>
            </w:pPr>
            <w:r>
              <w:rPr>
                <w:rFonts w:ascii="Arial" w:cs="Arial" w:eastAsia="Arial" w:hAnsi="Arial"/>
                <w:sz w:val="18"/>
                <w:szCs w:val="18"/>
                <w:color w:val="0000FF"/>
                <w:w w:val="82"/>
              </w:rPr>
              <w:t>5,162</w:t>
            </w:r>
            <w:r>
              <w:rPr>
                <w:rFonts w:ascii="Arial" w:cs="Arial" w:eastAsia="Arial" w:hAnsi="Arial"/>
                <w:sz w:val="22"/>
                <w:szCs w:val="22"/>
                <w:color w:val="008000"/>
                <w:w w:val="82"/>
                <w:vertAlign w:val="superscript"/>
              </w:rPr>
              <w:t>(1)</w:t>
            </w:r>
          </w:p>
        </w:tc>
        <w:tc>
          <w:tcPr>
            <w:tcW w:w="660" w:type="dxa"/>
            <w:vAlign w:val="bottom"/>
            <w:vMerge w:val="restart"/>
          </w:tcPr>
          <w:p>
            <w:pPr>
              <w:ind w:left="300"/>
              <w:spacing w:after="0"/>
              <w:rPr>
                <w:sz w:val="20"/>
                <w:szCs w:val="20"/>
                <w:color w:val="auto"/>
              </w:rPr>
            </w:pPr>
            <w:r>
              <w:rPr>
                <w:rFonts w:ascii="Arial" w:cs="Arial" w:eastAsia="Arial" w:hAnsi="Arial"/>
                <w:sz w:val="18"/>
                <w:szCs w:val="18"/>
                <w:color w:val="0000FF"/>
              </w:rPr>
              <w:t>A</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65,981</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w w:val="86"/>
              </w:rPr>
              <w:t>per 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5"/>
              </w:rPr>
              <w:t>Class A Common Stock, par value $.01</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06/01/2023</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220"/>
              <w:spacing w:after="0"/>
              <w:rPr>
                <w:sz w:val="20"/>
                <w:szCs w:val="20"/>
                <w:color w:val="auto"/>
              </w:rPr>
            </w:pPr>
            <w:r>
              <w:rPr>
                <w:rFonts w:ascii="Arial" w:cs="Arial" w:eastAsia="Arial" w:hAnsi="Arial"/>
                <w:sz w:val="14"/>
                <w:szCs w:val="14"/>
                <w:color w:val="0000FF"/>
              </w:rPr>
              <w:t>A</w:t>
            </w:r>
          </w:p>
        </w:tc>
        <w:tc>
          <w:tcPr>
            <w:tcW w:w="740" w:type="dxa"/>
            <w:vAlign w:val="bottom"/>
            <w:vMerge w:val="restart"/>
          </w:tcPr>
          <w:p>
            <w:pPr>
              <w:jc w:val="center"/>
              <w:ind w:left="110"/>
              <w:spacing w:after="0"/>
              <w:rPr>
                <w:sz w:val="20"/>
                <w:szCs w:val="20"/>
                <w:color w:val="auto"/>
              </w:rPr>
            </w:pPr>
            <w:r>
              <w:rPr>
                <w:rFonts w:ascii="Arial" w:cs="Arial" w:eastAsia="Arial" w:hAnsi="Arial"/>
                <w:sz w:val="18"/>
                <w:szCs w:val="18"/>
                <w:color w:val="0000FF"/>
                <w:w w:val="79"/>
              </w:rPr>
              <w:t>99</w:t>
            </w:r>
          </w:p>
        </w:tc>
        <w:tc>
          <w:tcPr>
            <w:tcW w:w="660" w:type="dxa"/>
            <w:vAlign w:val="bottom"/>
            <w:vMerge w:val="restart"/>
          </w:tcPr>
          <w:p>
            <w:pPr>
              <w:ind w:left="300"/>
              <w:spacing w:after="0"/>
              <w:rPr>
                <w:sz w:val="20"/>
                <w:szCs w:val="20"/>
                <w:color w:val="auto"/>
              </w:rPr>
            </w:pPr>
            <w:r>
              <w:rPr>
                <w:rFonts w:ascii="Arial" w:cs="Arial" w:eastAsia="Arial" w:hAnsi="Arial"/>
                <w:sz w:val="18"/>
                <w:szCs w:val="18"/>
                <w:color w:val="0000FF"/>
              </w:rPr>
              <w:t>A</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2"/>
              </w:rPr>
              <w:t>8,376</w:t>
            </w:r>
            <w:r>
              <w:rPr>
                <w:rFonts w:ascii="Arial" w:cs="Arial" w:eastAsia="Arial" w:hAnsi="Arial"/>
                <w:sz w:val="22"/>
                <w:szCs w:val="22"/>
                <w:color w:val="008000"/>
                <w:w w:val="82"/>
                <w:vertAlign w:val="superscript"/>
              </w:rPr>
              <w:t>(4)</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w w:val="86"/>
              </w:rPr>
              <w:t>per 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5"/>
              </w:rPr>
              <w:t>Class C Common Stock, par value $.01</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06/01/2023</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220"/>
              <w:spacing w:after="0"/>
              <w:rPr>
                <w:sz w:val="20"/>
                <w:szCs w:val="20"/>
                <w:color w:val="auto"/>
              </w:rPr>
            </w:pPr>
            <w:r>
              <w:rPr>
                <w:rFonts w:ascii="Arial" w:cs="Arial" w:eastAsia="Arial" w:hAnsi="Arial"/>
                <w:sz w:val="14"/>
                <w:szCs w:val="14"/>
                <w:color w:val="0000FF"/>
              </w:rPr>
              <w:t>A</w:t>
            </w:r>
          </w:p>
        </w:tc>
        <w:tc>
          <w:tcPr>
            <w:tcW w:w="740" w:type="dxa"/>
            <w:vAlign w:val="bottom"/>
            <w:vMerge w:val="restart"/>
          </w:tcPr>
          <w:p>
            <w:pPr>
              <w:jc w:val="center"/>
              <w:ind w:left="110"/>
              <w:spacing w:after="0"/>
              <w:rPr>
                <w:sz w:val="20"/>
                <w:szCs w:val="20"/>
                <w:color w:val="auto"/>
              </w:rPr>
            </w:pPr>
            <w:r>
              <w:rPr>
                <w:rFonts w:ascii="Arial" w:cs="Arial" w:eastAsia="Arial" w:hAnsi="Arial"/>
                <w:sz w:val="18"/>
                <w:szCs w:val="18"/>
                <w:color w:val="0000FF"/>
                <w:w w:val="93"/>
              </w:rPr>
              <w:t>853</w:t>
            </w:r>
          </w:p>
        </w:tc>
        <w:tc>
          <w:tcPr>
            <w:tcW w:w="660" w:type="dxa"/>
            <w:vAlign w:val="bottom"/>
            <w:vMerge w:val="restart"/>
          </w:tcPr>
          <w:p>
            <w:pPr>
              <w:ind w:left="300"/>
              <w:spacing w:after="0"/>
              <w:rPr>
                <w:sz w:val="20"/>
                <w:szCs w:val="20"/>
                <w:color w:val="auto"/>
              </w:rPr>
            </w:pPr>
            <w:r>
              <w:rPr>
                <w:rFonts w:ascii="Arial" w:cs="Arial" w:eastAsia="Arial" w:hAnsi="Arial"/>
                <w:sz w:val="18"/>
                <w:szCs w:val="18"/>
                <w:color w:val="0000FF"/>
              </w:rPr>
              <w:t>A</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22"/>
                <w:szCs w:val="22"/>
                <w:color w:val="auto"/>
              </w:rPr>
            </w:pPr>
          </w:p>
        </w:tc>
        <w:tc>
          <w:tcPr>
            <w:tcW w:w="118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4"/>
              </w:rPr>
              <w:t>66,834</w:t>
            </w:r>
            <w:r>
              <w:rPr>
                <w:rFonts w:ascii="Arial" w:cs="Arial" w:eastAsia="Arial" w:hAnsi="Arial"/>
                <w:sz w:val="22"/>
                <w:szCs w:val="22"/>
                <w:color w:val="008000"/>
                <w:w w:val="84"/>
                <w:vertAlign w:val="superscript"/>
              </w:rPr>
              <w:t>(5)</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w w:val="86"/>
              </w:rPr>
              <w:t>per 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40" w:type="dxa"/>
            <w:vAlign w:val="bottom"/>
            <w:gridSpan w:val="10"/>
          </w:tcPr>
          <w:p>
            <w:pPr>
              <w:jc w:val="center"/>
              <w:ind w:right="9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5,162 Deferred Stock Units issued to the Reporting Person by Clearway Energy, Inc. under Clearway Energy, Inc.'s Amended and Restated 2013 Equity Incentive Plan.</w:t>
      </w:r>
    </w:p>
    <w:p>
      <w:pPr>
        <w:spacing w:after="0" w:line="64" w:lineRule="exact"/>
        <w:rPr>
          <w:rFonts w:ascii="Arial" w:cs="Arial" w:eastAsia="Arial" w:hAnsi="Arial"/>
          <w:sz w:val="12"/>
          <w:szCs w:val="12"/>
          <w:color w:val="008000"/>
        </w:rPr>
      </w:pPr>
    </w:p>
    <w:p>
      <w:pPr>
        <w:ind w:left="40" w:right="2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Deferred Stock Unit is equivalent in value to one share of Clearway Energy, Inc.'s Class C Common Stock, par value $.01 per share. The Reporting Person will receive from Clearway Energy, Inc.one such share of Class C Common Stock for each Deferred Stock Unit he owns upon termination of his service on Clearway Energy, Inc.'s Board of Directors.</w:t>
      </w: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2,829 dividend equivalent rights that may only be settled in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13,682 dividend equivalent rights that may only be settled in Class C Common Stock.</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Kevin P. Malcarney,</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06/05/2023</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440" w:type="dxa"/>
            <w:vAlign w:val="bottom"/>
            <w:vMerge w:val="restart"/>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2023-06-05T15:53:56Z</dcterms:created>
  <dcterms:modified xsi:type="dcterms:W3CDTF">2023-06-05T15:53:56Z</dcterms:modified>
</cp:coreProperties>
</file>