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3300" w:type="dxa"/>
            <w:vAlign w:val="bottom"/>
            <w:gridSpan w:val="4"/>
            <w:vMerge w:val="restart"/>
          </w:tcPr>
          <w:p>
            <w:pPr>
              <w:ind w:left="160"/>
              <w:spacing w:after="0"/>
              <w:rPr>
                <w:sz w:val="20"/>
                <w:szCs w:val="20"/>
                <w:color w:val="auto"/>
              </w:rPr>
            </w:pPr>
            <w:r>
              <w:rPr>
                <w:rFonts w:ascii="Arial" w:cs="Arial" w:eastAsia="Arial" w:hAnsi="Arial"/>
                <w:sz w:val="17"/>
                <w:szCs w:val="17"/>
                <w:color w:val="0000FF"/>
                <w:w w:val="99"/>
              </w:rPr>
              <w:t>EVP, GEN COUNSEL AND CORP SECR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663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69,351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2,715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09/06/2023</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2023-09-06T15:40:35Z</dcterms:created>
  <dcterms:modified xsi:type="dcterms:W3CDTF">2023-09-06T15:40:35Z</dcterms:modified>
</cp:coreProperties>
</file>