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Rubenstein Sarah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VP Accounting &amp; Controller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06/01/2021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240"/>
              <w:spacing w:after="0"/>
              <w:rPr>
                <w:sz w:val="20"/>
                <w:szCs w:val="20"/>
                <w:color w:val="auto"/>
              </w:rPr>
            </w:pPr>
            <w:r>
              <w:rPr>
                <w:rFonts w:ascii="Arial" w:cs="Arial" w:eastAsia="Arial" w:hAnsi="Arial"/>
                <w:sz w:val="17"/>
                <w:szCs w:val="17"/>
                <w:color w:val="0000FF"/>
                <w:w w:val="94"/>
              </w:rPr>
              <w:t>218</w:t>
            </w:r>
            <w:r>
              <w:rPr>
                <w:rFonts w:ascii="Arial" w:cs="Arial" w:eastAsia="Arial" w:hAnsi="Arial"/>
                <w:sz w:val="22"/>
                <w:szCs w:val="22"/>
                <w:color w:val="008000"/>
                <w:w w:val="94"/>
                <w:vertAlign w:val="superscript"/>
              </w:rPr>
              <w:t>(1)</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(2)</w:t>
            </w:r>
          </w:p>
        </w:tc>
        <w:tc>
          <w:tcPr>
            <w:tcW w:w="1380" w:type="dxa"/>
            <w:vAlign w:val="bottom"/>
            <w:gridSpan w:val="3"/>
            <w:vMerge w:val="restart"/>
          </w:tcPr>
          <w:p>
            <w:pPr>
              <w:ind w:left="520"/>
              <w:spacing w:after="0"/>
              <w:rPr>
                <w:sz w:val="20"/>
                <w:szCs w:val="20"/>
                <w:color w:val="auto"/>
              </w:rPr>
            </w:pPr>
            <w:r>
              <w:rPr>
                <w:rFonts w:ascii="Arial" w:cs="Arial" w:eastAsia="Arial" w:hAnsi="Arial"/>
                <w:sz w:val="17"/>
                <w:szCs w:val="17"/>
                <w:color w:val="0000FF"/>
              </w:rPr>
              <w:t>24,172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Restricted Stock Units ("RSUs") which become exercisable proportionately with the RSUs to which they relate and may only be settled in Class C Common Stock of Clearway Energy, Inc. as determined by the RSU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648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06/03/2021</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927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2021-06-03T16:21:39Z</dcterms:created>
  <dcterms:modified xsi:type="dcterms:W3CDTF">2021-06-03T16:21:39Z</dcterms:modified>
</cp:coreProperties>
</file>