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Plotkin Chad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CLEARWAY ENERGY,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Clearway Energy,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NYLD</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09/04/2018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43"/>
        <w:spacing w:after="0"/>
        <w:rPr>
          <w:sz w:val="20"/>
          <w:szCs w:val="20"/>
          <w:color w:val="auto"/>
        </w:rPr>
      </w:pPr>
      <w:r>
        <w:rPr>
          <w:rFonts w:ascii="Arial" w:cs="Arial" w:eastAsia="Arial" w:hAnsi="Arial"/>
          <w:sz w:val="18"/>
          <w:szCs w:val="18"/>
          <w:color w:val="0000FF"/>
        </w:rPr>
        <w:t>SVP and CFO</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900" w:type="dxa"/>
            <w:vAlign w:val="bottom"/>
            <w:gridSpan w:val="8"/>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16"/>
                <w:szCs w:val="16"/>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PRINCETON</w:t>
            </w: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w w:val="90"/>
              </w:rPr>
              <w:t>NJ</w:t>
            </w:r>
          </w:p>
        </w:tc>
        <w:tc>
          <w:tcPr>
            <w:tcW w:w="104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3"/>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3"/>
            <w:vMerge w:val="restart"/>
          </w:tcPr>
          <w:p>
            <w:pPr>
              <w:jc w:val="right"/>
              <w:ind w:right="98"/>
              <w:spacing w:after="0"/>
              <w:rPr>
                <w:sz w:val="20"/>
                <w:szCs w:val="20"/>
                <w:color w:val="auto"/>
              </w:rPr>
            </w:pPr>
            <w:r>
              <w:rPr>
                <w:rFonts w:ascii="Arial" w:cs="Arial" w:eastAsia="Arial" w:hAnsi="Arial"/>
                <w:sz w:val="18"/>
                <w:szCs w:val="18"/>
                <w:color w:val="0000FF"/>
              </w:rPr>
              <w:t>09/04/2018</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635</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1500" w:type="dxa"/>
            <w:vAlign w:val="bottom"/>
            <w:gridSpan w:val="3"/>
            <w:vMerge w:val="restart"/>
          </w:tcPr>
          <w:p>
            <w:pPr>
              <w:ind w:left="540"/>
              <w:spacing w:after="0"/>
              <w:rPr>
                <w:sz w:val="20"/>
                <w:szCs w:val="20"/>
                <w:color w:val="auto"/>
              </w:rPr>
            </w:pPr>
            <w:r>
              <w:rPr>
                <w:rFonts w:ascii="Arial" w:cs="Arial" w:eastAsia="Arial" w:hAnsi="Arial"/>
                <w:sz w:val="18"/>
                <w:szCs w:val="18"/>
                <w:color w:val="0000FF"/>
              </w:rPr>
              <w:t>26,043</w:t>
            </w:r>
            <w:r>
              <w:rPr>
                <w:rFonts w:ascii="Arial" w:cs="Arial" w:eastAsia="Arial" w:hAnsi="Arial"/>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1800" w:type="dxa"/>
            <w:vAlign w:val="bottom"/>
            <w:tcBorders>
              <w:bottom w:val="single" w:sz="8" w:color="2C2C2C"/>
            </w:tcBorders>
            <w:gridSpan w:val="5"/>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7"/>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3"/>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2"/>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3,354 dividend equivalent rights that may only be settled in Class C Common Stock.</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09/06/2018</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480"/>
        <w:spacing w:after="0"/>
        <w:rPr>
          <w:sz w:val="20"/>
          <w:szCs w:val="20"/>
          <w:color w:val="auto"/>
        </w:rPr>
      </w:pPr>
      <w:r>
        <w:rPr>
          <w:rFonts w:ascii="Courier New" w:cs="Courier New" w:eastAsia="Courier New" w:hAnsi="Courier New"/>
          <w:sz w:val="18"/>
          <w:szCs w:val="18"/>
          <w:color w:val="auto"/>
        </w:rPr>
        <w:t>August 16, 2018</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1779" w:firstLine="632"/>
        <w:spacing w:after="0" w:line="238"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Christopher S. Sotos, Kevin P. Malcarney and Michael A. Brown signing singly, the undersigned's true and lawful attorney-in-fact to: (i) execute for and on behalf of the undersigned, in the undersigned's capacity as an officer and/or director and/or owner of greater than 10% of the outstanding Common Stock of NRG Yield, Inc., a Delaware corporation (the "Company"), Forms 3, 4, and 5 in accordance with Section 16(a) of the Securities Exchange Act of 1934 and the rules thereunder; (ii)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0" w:lineRule="exact"/>
        <w:rPr>
          <w:sz w:val="20"/>
          <w:szCs w:val="20"/>
          <w:color w:val="auto"/>
        </w:rPr>
      </w:pPr>
    </w:p>
    <w:p>
      <w:pPr>
        <w:jc w:val="both"/>
        <w:ind w:right="1779" w:firstLine="632"/>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spacing w:after="0" w:line="209" w:lineRule="exact"/>
        <w:rPr>
          <w:sz w:val="20"/>
          <w:szCs w:val="20"/>
          <w:color w:val="auto"/>
        </w:rPr>
      </w:pPr>
    </w:p>
    <w:p>
      <w:pPr>
        <w:jc w:val="both"/>
        <w:ind w:right="177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have caused this Power of Attorney to be executed as of date first written above.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Chad Plotkin</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Chad Plotkin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564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2019-12-23T22:27:29Z</dcterms:created>
  <dcterms:modified xsi:type="dcterms:W3CDTF">2019-12-23T22:27:29Z</dcterms:modified>
</cp:coreProperties>
</file>