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December 1, 2020</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Clearway Energy,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60" w:right="339" w:bottom="1440" w:gutter="0" w:footer="0" w:header="0"/>
        </w:sectPr>
      </w:pPr>
    </w:p>
    <w:p>
      <w:pPr>
        <w:spacing w:after="0" w:line="205"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0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001-36002</w:t>
      </w:r>
    </w:p>
    <w:p>
      <w:pPr>
        <w:spacing w:after="0" w:line="27" w:lineRule="exact"/>
        <w:rPr>
          <w:sz w:val="24"/>
          <w:szCs w:val="24"/>
          <w:color w:val="auto"/>
        </w:rPr>
      </w:pPr>
    </w:p>
    <w:p>
      <w:pPr>
        <w:jc w:val="center"/>
        <w:ind w:right="8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46-1777204</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3920" w:space="720"/>
            <w:col w:w="2840" w:space="720"/>
            <w:col w:w="3040"/>
          </w:cols>
          <w:pgMar w:left="320" w:top="760" w:right="339" w:bottom="1440" w:gutter="0" w:footer="0" w:header="0"/>
          <w:type w:val="continuous"/>
        </w:sectPr>
      </w:pPr>
    </w:p>
    <w:p>
      <w:pPr>
        <w:ind w:left="130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300 Carnegie Center, Suite 300, Princeton, New Jersey 08540</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or former address, if changed since last report)</w:t>
      </w:r>
    </w:p>
    <w:p>
      <w:pPr>
        <w:sectPr>
          <w:pgSz w:w="11900" w:h="16838" w:orient="portrait"/>
          <w:cols w:equalWidth="0" w:num="1">
            <w:col w:w="11240"/>
          </w:cols>
          <w:pgMar w:left="320" w:top="760" w:right="339" w:bottom="1440" w:gutter="0" w:footer="0" w:header="0"/>
          <w:type w:val="continuous"/>
        </w:sectPr>
      </w:pPr>
    </w:p>
    <w:p>
      <w:pPr>
        <w:spacing w:after="0" w:line="22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20" w:hanging="331"/>
        <w:spacing w:after="0"/>
        <w:tabs>
          <w:tab w:leader="none" w:pos="4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20" w:hanging="331"/>
        <w:spacing w:after="0"/>
        <w:tabs>
          <w:tab w:leader="none" w:pos="4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00" w:hanging="325"/>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00" w:firstLine="75"/>
        <w:spacing w:after="0" w:line="498" w:lineRule="auto"/>
        <w:tabs>
          <w:tab w:leader="none" w:pos="39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22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34"/>
        </w:trPr>
        <w:tc>
          <w:tcPr>
            <w:tcW w:w="432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87"/>
              </w:rPr>
              <w:t>Title of each class</w:t>
            </w: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42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7"/>
              </w:rPr>
              <w:t>registered</w:t>
            </w:r>
          </w:p>
        </w:tc>
      </w:tr>
      <w:tr>
        <w:trPr>
          <w:trHeight w:val="195"/>
        </w:trPr>
        <w:tc>
          <w:tcPr>
            <w:tcW w:w="4320" w:type="dxa"/>
            <w:vAlign w:val="bottom"/>
          </w:tcPr>
          <w:p>
            <w:pPr>
              <w:jc w:val="center"/>
              <w:ind w:left="90"/>
              <w:spacing w:after="0" w:line="195" w:lineRule="exact"/>
              <w:rPr>
                <w:sz w:val="20"/>
                <w:szCs w:val="20"/>
                <w:color w:val="auto"/>
              </w:rPr>
            </w:pPr>
            <w:r>
              <w:rPr>
                <w:rFonts w:ascii="Arial" w:cs="Arial" w:eastAsia="Arial" w:hAnsi="Arial"/>
                <w:sz w:val="18"/>
                <w:szCs w:val="18"/>
                <w:color w:val="auto"/>
                <w:w w:val="90"/>
              </w:rPr>
              <w:t>Class A Common Stock, par value $0.01</w:t>
            </w:r>
          </w:p>
        </w:tc>
        <w:tc>
          <w:tcPr>
            <w:tcW w:w="2700" w:type="dxa"/>
            <w:vAlign w:val="bottom"/>
          </w:tcPr>
          <w:p>
            <w:pPr>
              <w:jc w:val="center"/>
              <w:spacing w:after="0" w:line="195" w:lineRule="exact"/>
              <w:rPr>
                <w:sz w:val="20"/>
                <w:szCs w:val="20"/>
                <w:color w:val="auto"/>
              </w:rPr>
            </w:pPr>
            <w:r>
              <w:rPr>
                <w:rFonts w:ascii="Arial" w:cs="Arial" w:eastAsia="Arial" w:hAnsi="Arial"/>
                <w:sz w:val="18"/>
                <w:szCs w:val="18"/>
                <w:color w:val="auto"/>
                <w:w w:val="97"/>
              </w:rPr>
              <w:t>CWEN.A</w:t>
            </w:r>
          </w:p>
        </w:tc>
        <w:tc>
          <w:tcPr>
            <w:tcW w:w="4220" w:type="dxa"/>
            <w:vAlign w:val="bottom"/>
          </w:tcPr>
          <w:p>
            <w:pPr>
              <w:jc w:val="center"/>
              <w:ind w:right="170"/>
              <w:spacing w:after="0" w:line="195" w:lineRule="exact"/>
              <w:rPr>
                <w:sz w:val="20"/>
                <w:szCs w:val="20"/>
                <w:color w:val="auto"/>
              </w:rPr>
            </w:pPr>
            <w:r>
              <w:rPr>
                <w:rFonts w:ascii="Arial" w:cs="Arial" w:eastAsia="Arial" w:hAnsi="Arial"/>
                <w:sz w:val="18"/>
                <w:szCs w:val="18"/>
                <w:color w:val="auto"/>
                <w:w w:val="91"/>
              </w:rPr>
              <w:t>New York Stock Exchange</w:t>
            </w:r>
          </w:p>
        </w:tc>
      </w:tr>
      <w:tr>
        <w:trPr>
          <w:trHeight w:val="230"/>
        </w:trPr>
        <w:tc>
          <w:tcPr>
            <w:tcW w:w="4320" w:type="dxa"/>
            <w:vAlign w:val="bottom"/>
          </w:tcPr>
          <w:p>
            <w:pPr>
              <w:jc w:val="center"/>
              <w:ind w:left="110"/>
              <w:spacing w:after="0"/>
              <w:rPr>
                <w:sz w:val="20"/>
                <w:szCs w:val="20"/>
                <w:color w:val="auto"/>
              </w:rPr>
            </w:pPr>
            <w:r>
              <w:rPr>
                <w:rFonts w:ascii="Arial" w:cs="Arial" w:eastAsia="Arial" w:hAnsi="Arial"/>
                <w:sz w:val="18"/>
                <w:szCs w:val="18"/>
                <w:color w:val="auto"/>
                <w:w w:val="89"/>
              </w:rPr>
              <w:t>Class C Common Stock, par value $0.01</w:t>
            </w:r>
          </w:p>
        </w:tc>
        <w:tc>
          <w:tcPr>
            <w:tcW w:w="2700" w:type="dxa"/>
            <w:vAlign w:val="bottom"/>
          </w:tcPr>
          <w:p>
            <w:pPr>
              <w:jc w:val="center"/>
              <w:spacing w:after="0"/>
              <w:rPr>
                <w:sz w:val="20"/>
                <w:szCs w:val="20"/>
                <w:color w:val="auto"/>
              </w:rPr>
            </w:pPr>
            <w:r>
              <w:rPr>
                <w:rFonts w:ascii="Arial" w:cs="Arial" w:eastAsia="Arial" w:hAnsi="Arial"/>
                <w:sz w:val="18"/>
                <w:szCs w:val="18"/>
                <w:color w:val="auto"/>
                <w:w w:val="98"/>
              </w:rPr>
              <w:t>CWEN</w:t>
            </w:r>
          </w:p>
        </w:tc>
        <w:tc>
          <w:tcPr>
            <w:tcW w:w="4220" w:type="dxa"/>
            <w:vAlign w:val="bottom"/>
          </w:tcPr>
          <w:p>
            <w:pPr>
              <w:jc w:val="center"/>
              <w:ind w:right="170"/>
              <w:spacing w:after="0"/>
              <w:rPr>
                <w:sz w:val="20"/>
                <w:szCs w:val="20"/>
                <w:color w:val="auto"/>
              </w:rPr>
            </w:pPr>
            <w:r>
              <w:rPr>
                <w:rFonts w:ascii="Arial" w:cs="Arial" w:eastAsia="Arial" w:hAnsi="Arial"/>
                <w:sz w:val="18"/>
                <w:szCs w:val="18"/>
                <w:color w:val="auto"/>
                <w:w w:val="91"/>
              </w:rPr>
              <w:t>New York Stock Exchange</w:t>
            </w: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280"/>
        <w:spacing w:after="0" w:line="207" w:lineRule="exact"/>
        <w:tabs>
          <w:tab w:leader="none" w:pos="104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Fourteenth Supplemental Indenture</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December 1, 2020, Clearway Energy Operating LLC (“Clearway Operating LLC”), a subsidiary of Clearway Energy LLC (“Clearway LLC”), the guarantors currently party to the 2026 Notes Indenture (defined below), Ocotillo Windpower Holdings LLC (the “Guaranteeing Subsidiary”) and Delaware Trust Company (as successor in interest to Law Debenture Trust Company of New York), as trustee (the “Trustee”), entered into the fourteenth supplemental indenture (the “Fourteenth Supplemental Indenture”), supplementing the indenture, dated as of August 18, 2016 (as amended or supplemented to the date hereof, the “2026 Notes Indenture”), by and among Clearway Operating LLC, the guarantors party thereto and the Trustee, pursuant to which Clearway Operating LLC issued $350,000,000 in aggregate principal amount of its 5.000% Senior Notes due 2026 (the “2026 Notes”). Pursuant to the Fourteenth Supplemental Indenture, the Guaranteeing Subsidiary became a guarantor of Clearway Operating LLC’s obligations under the 2026 Notes. Each of Clearway Operating LLC, Clearway LLC and the Guaranteeing Subsidiary are subsidiaries of Clearway Energy, Inc.</w:t>
      </w:r>
    </w:p>
    <w:p>
      <w:pPr>
        <w:spacing w:after="0" w:line="16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foregoing description of the Fourteenth Supplemental Indenture does not purport to be complete and is qualified in its entirety by reference to the Fourteenth Supplemental Indenture, which is attached as Exhibit 4.1 to this Current Report on Form 8-K and is incorporated by reference herein.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Tenth Supplemental Indenture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December 1, 2020, Clearway Operating LLC, the guarantors currently party to the 2025 Notes Indenture (defined below), the Guaranteeing Subsidiary and the Trustee also entered into the tenth supplemental indenture (the “Tenth Supplemental Indenture”), supplementing the indenture, dated as of October 1, 2018 (as amended or supplemented to the date hereof, the “2025 Notes Indenture”), by and among Clearway Operating LLC, the guarantors party thereto and the Trustee, pursuant to which Clearway Operating LLC issued $600,000,000 in aggregate principal amount of its 5.750% Senior Notes due 2025 (the “2025 Notes”). Pursuant to the Tenth Supplemental Indenture, the Guaranteeing Subsidiary became a guarantor of Clearway Operating LLC’s obligations under the 2025 Notes.</w:t>
      </w:r>
    </w:p>
    <w:p>
      <w:pPr>
        <w:spacing w:after="0" w:line="19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foregoing description of the Tenth Supplemental Indenture does not purport to be complete and is qualified in its entirety by reference to the Tenth Supplemental Indenture, which is attached as Exhibit 4.2 to this Current Report on Form 8-K and is incorporated by reference herein.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Sixth Supplemental Indenture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December 1, 2020, Clearway Operating LLC, the guarantors currently party to the 2028 Notes Indenture (defined below), the Guaranteeing Subsidiary and the Trustee also entered into the sixth supplemental indenture (the “Sixth Supplemental Indenture”), supplementing the indenture, dated as of December 11, 2019 (as amended or supplemented to the date hereof, the “2028 Notes Indenture”), by and among Clearway Operating LLC, the guarantors party thereto and the Trustee, pursuant to which Clearway Operating LLC issued $850,000,000 in aggregate principal amount of its 4.750% Senior Notes due 2028 (the “2028 Notes”). Pursuant to the Sixth Supplemental Indenture, the Guaranteeing Subsidiary became a guarantor of Clearway Operating LLC’s obligations under the 2028 Notes.</w:t>
      </w:r>
    </w:p>
    <w:p>
      <w:pPr>
        <w:spacing w:after="0" w:line="19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foregoing description of the Sixth Supplemental Indenture does not purport to be complete and is qualified in its entirety by reference to the Sixth Supplemental Indenture, which is attached as Exhibit 4.3 to this Current Report on Form 8-K and is incorporated by reference herein.</w:t>
      </w:r>
    </w:p>
    <w:p>
      <w:pPr>
        <w:spacing w:after="0" w:line="14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1"/>
              </w:rPr>
              <w:t>Exhibit No.</w:t>
            </w:r>
          </w:p>
        </w:tc>
        <w:tc>
          <w:tcPr>
            <w:tcW w:w="240" w:type="dxa"/>
            <w:vAlign w:val="bottom"/>
          </w:tcPr>
          <w:p>
            <w:pPr>
              <w:spacing w:after="0"/>
              <w:rPr>
                <w:sz w:val="20"/>
                <w:szCs w:val="20"/>
                <w:color w:val="auto"/>
              </w:rPr>
            </w:pPr>
          </w:p>
        </w:tc>
        <w:tc>
          <w:tcPr>
            <w:tcW w:w="2200" w:type="dxa"/>
            <w:vAlign w:val="bottom"/>
            <w:tcBorders>
              <w:bottom w:val="single" w:sz="8" w:color="auto"/>
            </w:tcBorders>
          </w:tcPr>
          <w:p>
            <w:pPr>
              <w:spacing w:after="0"/>
              <w:rPr>
                <w:sz w:val="20"/>
                <w:szCs w:val="20"/>
                <w:color w:val="auto"/>
              </w:rPr>
            </w:pPr>
          </w:p>
        </w:tc>
        <w:tc>
          <w:tcPr>
            <w:tcW w:w="7560" w:type="dxa"/>
            <w:vAlign w:val="bottom"/>
            <w:tcBorders>
              <w:bottom w:val="single" w:sz="8" w:color="auto"/>
            </w:tcBorders>
            <w:gridSpan w:val="4"/>
          </w:tcPr>
          <w:p>
            <w:pPr>
              <w:ind w:left="2280"/>
              <w:spacing w:after="0"/>
              <w:rPr>
                <w:sz w:val="20"/>
                <w:szCs w:val="20"/>
                <w:color w:val="auto"/>
              </w:rPr>
            </w:pPr>
            <w:r>
              <w:rPr>
                <w:rFonts w:ascii="Arial" w:cs="Arial" w:eastAsia="Arial" w:hAnsi="Arial"/>
                <w:sz w:val="18"/>
                <w:szCs w:val="18"/>
                <w:b w:val="1"/>
                <w:bCs w:val="1"/>
                <w:color w:val="auto"/>
              </w:rPr>
              <w:t>Document</w:t>
            </w:r>
          </w:p>
        </w:tc>
      </w:tr>
      <w:tr>
        <w:trPr>
          <w:trHeight w:val="439"/>
        </w:trPr>
        <w:tc>
          <w:tcPr>
            <w:tcW w:w="1240" w:type="dxa"/>
            <w:vAlign w:val="bottom"/>
          </w:tcPr>
          <w:p>
            <w:pPr>
              <w:jc w:val="right"/>
              <w:ind w:right="41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4.1</w:t>
              </w:r>
            </w:hyperlink>
          </w:p>
        </w:tc>
        <w:tc>
          <w:tcPr>
            <w:tcW w:w="240" w:type="dxa"/>
            <w:vAlign w:val="bottom"/>
          </w:tcPr>
          <w:p>
            <w:pPr>
              <w:spacing w:after="0"/>
              <w:rPr>
                <w:sz w:val="24"/>
                <w:szCs w:val="24"/>
                <w:color w:val="auto"/>
              </w:rPr>
            </w:pPr>
          </w:p>
        </w:tc>
        <w:tc>
          <w:tcPr>
            <w:tcW w:w="9760" w:type="dxa"/>
            <w:vAlign w:val="bottom"/>
            <w:gridSpan w:val="5"/>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Fourteenth Supplemental Indenture, dated as of December 1, 2020, among Clearway Energy Operating LLC, the guarantors named</w:t>
              </w:r>
            </w:hyperlink>
          </w:p>
        </w:tc>
      </w:tr>
      <w:tr>
        <w:trPr>
          <w:trHeight w:val="237"/>
        </w:trPr>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40" w:type="dxa"/>
            <w:vAlign w:val="bottom"/>
            <w:tcBorders>
              <w:top w:val="single" w:sz="8" w:color="0000EE"/>
            </w:tcBorders>
            <w:gridSpan w:val="2"/>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therein and Delaware Trust Company (as successor in interest to Law Debenture Trust Company of New York).</w:t>
              </w:r>
            </w:hyperlink>
          </w:p>
        </w:tc>
        <w:tc>
          <w:tcPr>
            <w:tcW w:w="320" w:type="dxa"/>
            <w:vAlign w:val="bottom"/>
            <w:gridSpan w:val="3"/>
          </w:tcPr>
          <w:p>
            <w:pPr>
              <w:spacing w:after="0"/>
              <w:rPr>
                <w:sz w:val="20"/>
                <w:szCs w:val="20"/>
                <w:color w:val="auto"/>
              </w:rPr>
            </w:pPr>
          </w:p>
        </w:tc>
      </w:tr>
      <w:tr>
        <w:trPr>
          <w:trHeight w:val="229"/>
        </w:trPr>
        <w:tc>
          <w:tcPr>
            <w:tcW w:w="1240" w:type="dxa"/>
            <w:vAlign w:val="bottom"/>
          </w:tcPr>
          <w:p>
            <w:pPr>
              <w:jc w:val="right"/>
              <w:ind w:right="41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4.2</w:t>
              </w:r>
            </w:hyperlink>
          </w:p>
        </w:tc>
        <w:tc>
          <w:tcPr>
            <w:tcW w:w="240" w:type="dxa"/>
            <w:vAlign w:val="bottom"/>
          </w:tcPr>
          <w:p>
            <w:pPr>
              <w:spacing w:after="0"/>
              <w:rPr>
                <w:sz w:val="19"/>
                <w:szCs w:val="19"/>
                <w:color w:val="auto"/>
              </w:rPr>
            </w:pPr>
          </w:p>
        </w:tc>
        <w:tc>
          <w:tcPr>
            <w:tcW w:w="9760" w:type="dxa"/>
            <w:vAlign w:val="bottom"/>
            <w:gridSpan w:val="5"/>
          </w:tcPr>
          <w:p>
            <w:pPr>
              <w:spacing w:after="0"/>
              <w:rPr>
                <w:rFonts w:ascii="Arial" w:cs="Arial" w:eastAsia="Arial" w:hAnsi="Arial"/>
                <w:sz w:val="18"/>
                <w:szCs w:val="18"/>
                <w:color w:val="0000EE"/>
                <w:w w:val="91"/>
              </w:rPr>
            </w:pPr>
            <w:hyperlink w:anchor="page9">
              <w:r>
                <w:rPr>
                  <w:rFonts w:ascii="Arial" w:cs="Arial" w:eastAsia="Arial" w:hAnsi="Arial"/>
                  <w:sz w:val="18"/>
                  <w:szCs w:val="18"/>
                  <w:color w:val="0000EE"/>
                  <w:w w:val="91"/>
                </w:rPr>
                <w:t>Tenth Supplemental Indenture, dated as of December 1, 2020, among Clearway Energy Operating LLC, the guarantors named therein</w:t>
              </w:r>
            </w:hyperlink>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and Delaware Trust Company.</w:t>
              </w:r>
            </w:hyperlink>
          </w:p>
        </w:tc>
        <w:tc>
          <w:tcPr>
            <w:tcW w:w="7420" w:type="dxa"/>
            <w:vAlign w:val="bottom"/>
            <w:tcBorders>
              <w:top w:val="single" w:sz="8" w:color="0000EE"/>
            </w:tcBorders>
            <w:gridSpan w:val="3"/>
          </w:tcPr>
          <w:p>
            <w:pPr>
              <w:spacing w:after="0"/>
              <w:rPr>
                <w:sz w:val="17"/>
                <w:szCs w:val="17"/>
                <w:color w:val="auto"/>
              </w:rPr>
            </w:pPr>
          </w:p>
        </w:tc>
        <w:tc>
          <w:tcPr>
            <w:tcW w:w="140" w:type="dxa"/>
            <w:vAlign w:val="bottom"/>
          </w:tcPr>
          <w:p>
            <w:pPr>
              <w:spacing w:after="0"/>
              <w:rPr>
                <w:sz w:val="17"/>
                <w:szCs w:val="17"/>
                <w:color w:val="auto"/>
              </w:rPr>
            </w:pPr>
          </w:p>
        </w:tc>
      </w:tr>
      <w:tr>
        <w:trPr>
          <w:trHeight w:val="250"/>
        </w:trPr>
        <w:tc>
          <w:tcPr>
            <w:tcW w:w="1240" w:type="dxa"/>
            <w:vAlign w:val="bottom"/>
          </w:tcPr>
          <w:p>
            <w:pPr>
              <w:jc w:val="right"/>
              <w:ind w:right="41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4.3</w:t>
              </w:r>
            </w:hyperlink>
          </w:p>
        </w:tc>
        <w:tc>
          <w:tcPr>
            <w:tcW w:w="240" w:type="dxa"/>
            <w:vAlign w:val="bottom"/>
          </w:tcPr>
          <w:p>
            <w:pPr>
              <w:spacing w:after="0"/>
              <w:rPr>
                <w:sz w:val="21"/>
                <w:szCs w:val="21"/>
                <w:color w:val="auto"/>
              </w:rPr>
            </w:pPr>
          </w:p>
        </w:tc>
        <w:tc>
          <w:tcPr>
            <w:tcW w:w="960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14">
              <w:r>
                <w:rPr>
                  <w:rFonts w:ascii="Arial" w:cs="Arial" w:eastAsia="Arial" w:hAnsi="Arial"/>
                  <w:sz w:val="18"/>
                  <w:szCs w:val="18"/>
                  <w:color w:val="0000EE"/>
                  <w:w w:val="90"/>
                </w:rPr>
                <w:t>Sixth Supplemental Indenture, dated as of December 1, 2020, among Clearway Energy Operating LLC, the guarantors named therein</w:t>
              </w:r>
            </w:hyperlink>
          </w:p>
        </w:tc>
        <w:tc>
          <w:tcPr>
            <w:tcW w:w="160" w:type="dxa"/>
            <w:vAlign w:val="bottom"/>
            <w:gridSpan w:val="2"/>
          </w:tcPr>
          <w:p>
            <w:pPr>
              <w:spacing w:after="0"/>
              <w:rPr>
                <w:sz w:val="21"/>
                <w:szCs w:val="2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14">
              <w:r>
                <w:rPr>
                  <w:rFonts w:ascii="Arial" w:cs="Arial" w:eastAsia="Arial" w:hAnsi="Arial"/>
                  <w:sz w:val="18"/>
                  <w:szCs w:val="18"/>
                  <w:color w:val="0000EE"/>
                  <w:w w:val="89"/>
                </w:rPr>
                <w:t>and Delaware Trust Company.</w:t>
              </w:r>
            </w:hyperlink>
          </w:p>
        </w:tc>
        <w:tc>
          <w:tcPr>
            <w:tcW w:w="7560" w:type="dxa"/>
            <w:vAlign w:val="bottom"/>
            <w:gridSpan w:val="4"/>
          </w:tcPr>
          <w:p>
            <w:pPr>
              <w:spacing w:after="0"/>
              <w:rPr>
                <w:sz w:val="17"/>
                <w:szCs w:val="17"/>
                <w:color w:val="auto"/>
              </w:rPr>
            </w:pPr>
          </w:p>
        </w:tc>
      </w:tr>
    </w:tbl>
    <w:p>
      <w:pPr>
        <w:spacing w:after="0" w:line="67" w:lineRule="exact"/>
        <w:rPr>
          <w:sz w:val="20"/>
          <w:szCs w:val="20"/>
          <w:color w:val="auto"/>
        </w:rPr>
      </w:pPr>
    </w:p>
    <w:p>
      <w:pPr>
        <w:ind w:left="5580" w:right="3240" w:hanging="5086"/>
        <w:spacing w:after="0" w:line="841" w:lineRule="auto"/>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4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9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Clearway Energy, Inc.</w:t>
      </w:r>
    </w:p>
    <w:p>
      <w:pPr>
        <w:spacing w:after="0" w:line="2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740"/>
        <w:spacing w:after="0"/>
        <w:tabs>
          <w:tab w:leader="none" w:pos="6180" w:val="left"/>
        </w:tabs>
        <w:rPr>
          <w:sz w:val="20"/>
          <w:szCs w:val="20"/>
          <w:color w:val="auto"/>
        </w:rPr>
      </w:pPr>
      <w:r>
        <w:rPr>
          <w:rFonts w:ascii="Arial" w:cs="Arial" w:eastAsia="Arial" w:hAnsi="Arial"/>
          <w:sz w:val="18"/>
          <w:szCs w:val="18"/>
          <w:color w:val="auto"/>
        </w:rPr>
        <w:t>By:</w:t>
        <w:tab/>
        <w:t>/s/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Kevin P. Malcarney</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General Counsel and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December 4, 2020</w:t>
      </w:r>
    </w:p>
    <w:p>
      <w:pPr>
        <w:spacing w:after="0" w:line="200" w:lineRule="exact"/>
        <w:rPr>
          <w:sz w:val="20"/>
          <w:szCs w:val="20"/>
          <w:color w:val="auto"/>
        </w:rPr>
      </w:pPr>
    </w:p>
    <w:p>
      <w:pPr>
        <w:spacing w:after="0" w:line="241"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80"/>
          </w:cols>
          <w:pgMar w:left="320" w:top="904" w:right="79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4.1</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FOURTEENTH SUPPLEMENTAL INDENTURE</w:t>
      </w:r>
    </w:p>
    <w:p>
      <w:pPr>
        <w:spacing w:after="0" w:line="225"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FOURTEENTH SUPPLEMENTAL INDENTURE (this “</w:t>
      </w:r>
      <w:r>
        <w:rPr>
          <w:rFonts w:ascii="Arial" w:cs="Arial" w:eastAsia="Arial" w:hAnsi="Arial"/>
          <w:sz w:val="17"/>
          <w:szCs w:val="17"/>
          <w:i w:val="1"/>
          <w:iCs w:val="1"/>
          <w:color w:val="auto"/>
        </w:rPr>
        <w:t>Supplemental Indenture</w:t>
      </w:r>
      <w:r>
        <w:rPr>
          <w:rFonts w:ascii="Arial" w:cs="Arial" w:eastAsia="Arial" w:hAnsi="Arial"/>
          <w:sz w:val="17"/>
          <w:szCs w:val="17"/>
          <w:color w:val="auto"/>
        </w:rPr>
        <w:t>”), dated as of December 1, 2020, among Ocotillo Windpower Holdings LLC (the “</w:t>
      </w:r>
      <w:r>
        <w:rPr>
          <w:rFonts w:ascii="Arial" w:cs="Arial" w:eastAsia="Arial" w:hAnsi="Arial"/>
          <w:sz w:val="17"/>
          <w:szCs w:val="17"/>
          <w:i w:val="1"/>
          <w:iCs w:val="1"/>
          <w:color w:val="auto"/>
        </w:rPr>
        <w:t>Guaranteeing Subsidiary</w:t>
      </w:r>
      <w:r>
        <w:rPr>
          <w:rFonts w:ascii="Arial" w:cs="Arial" w:eastAsia="Arial" w:hAnsi="Arial"/>
          <w:sz w:val="17"/>
          <w:szCs w:val="17"/>
          <w:color w:val="auto"/>
        </w:rPr>
        <w:t>”), a subsidiary of Clearway Energy Operating LLC (or its permitted successor), a Delaware limited liability company (the “</w:t>
      </w:r>
      <w:r>
        <w:rPr>
          <w:rFonts w:ascii="Arial" w:cs="Arial" w:eastAsia="Arial" w:hAnsi="Arial"/>
          <w:sz w:val="17"/>
          <w:szCs w:val="17"/>
          <w:i w:val="1"/>
          <w:iCs w:val="1"/>
          <w:color w:val="auto"/>
        </w:rPr>
        <w:t>Company</w:t>
      </w:r>
      <w:r>
        <w:rPr>
          <w:rFonts w:ascii="Arial" w:cs="Arial" w:eastAsia="Arial" w:hAnsi="Arial"/>
          <w:sz w:val="17"/>
          <w:szCs w:val="17"/>
          <w:color w:val="auto"/>
        </w:rPr>
        <w:t>”), the Company, the other Guarantors (as defined in the Indenture referred to herein) and Delaware Trust Company (as successor in interest to Law Debenture Trust Company of New York), as trustee under the Indenture referred to below (the “</w:t>
      </w:r>
      <w:r>
        <w:rPr>
          <w:rFonts w:ascii="Arial" w:cs="Arial" w:eastAsia="Arial" w:hAnsi="Arial"/>
          <w:sz w:val="17"/>
          <w:szCs w:val="17"/>
          <w:i w:val="1"/>
          <w:iCs w:val="1"/>
          <w:color w:val="auto"/>
        </w:rPr>
        <w:t>Trustee</w:t>
      </w:r>
      <w:r>
        <w:rPr>
          <w:rFonts w:ascii="Arial" w:cs="Arial" w:eastAsia="Arial" w:hAnsi="Arial"/>
          <w:sz w:val="17"/>
          <w:szCs w:val="17"/>
          <w:color w:val="auto"/>
        </w:rPr>
        <w: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August 18, 2016 providing for the issuance of 5.000% Senior Notes due 2026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fully and unconditionally guarantee all of the Company’s Obligations under the Notes and the Indenture on the terms and conditions set forth herein (the “</w:t>
      </w:r>
      <w:r>
        <w:rPr>
          <w:rFonts w:ascii="Arial" w:cs="Arial" w:eastAsia="Arial" w:hAnsi="Arial"/>
          <w:sz w:val="18"/>
          <w:szCs w:val="18"/>
          <w:i w:val="1"/>
          <w:iCs w:val="1"/>
          <w:color w:val="auto"/>
        </w:rPr>
        <w:t>Subsidiary Guarantee</w:t>
      </w:r>
      <w:r>
        <w:rPr>
          <w:rFonts w:ascii="Arial" w:cs="Arial" w:eastAsia="Arial" w:hAnsi="Arial"/>
          <w:sz w:val="18"/>
          <w:szCs w:val="18"/>
          <w:color w:val="auto"/>
        </w:rPr>
        <w:t>”); and</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pursuant to Sections 4.10 and 9.01 of the Indenture, the Trustee, the Company and the other Guarantors are authorized to execute and deliver this Supplemental Indenture.</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84" w:lineRule="exact"/>
        <w:rPr>
          <w:sz w:val="20"/>
          <w:szCs w:val="20"/>
          <w:color w:val="auto"/>
        </w:rPr>
      </w:pPr>
    </w:p>
    <w:p>
      <w:pPr>
        <w:ind w:left="1340" w:hanging="684"/>
        <w:spacing w:after="0"/>
        <w:tabs>
          <w:tab w:leader="none" w:pos="1340" w:val="left"/>
        </w:tabs>
        <w:numPr>
          <w:ilvl w:val="0"/>
          <w:numId w:val="4"/>
        </w:numPr>
        <w:rPr>
          <w:rFonts w:ascii="Arial" w:cs="Arial" w:eastAsia="Arial" w:hAnsi="Arial"/>
          <w:sz w:val="17"/>
          <w:szCs w:val="17"/>
          <w:color w:val="010000"/>
        </w:rPr>
      </w:pPr>
      <w:r>
        <w:rPr>
          <w:rFonts w:ascii="Arial" w:cs="Arial" w:eastAsia="Arial" w:hAnsi="Arial"/>
          <w:sz w:val="17"/>
          <w:szCs w:val="17"/>
          <w:color w:val="auto"/>
        </w:rPr>
        <w:t>CAPITALIZED TERMS. Capitalized terms used herein without definition shall have the meanings assigned to them in the Indenture.</w:t>
      </w:r>
    </w:p>
    <w:p>
      <w:pPr>
        <w:spacing w:after="0" w:line="236" w:lineRule="exact"/>
        <w:rPr>
          <w:rFonts w:ascii="Arial" w:cs="Arial" w:eastAsia="Arial" w:hAnsi="Arial"/>
          <w:sz w:val="17"/>
          <w:szCs w:val="17"/>
          <w:color w:val="010000"/>
        </w:rPr>
      </w:pPr>
    </w:p>
    <w:p>
      <w:pPr>
        <w:jc w:val="both"/>
        <w:ind w:firstLine="656"/>
        <w:spacing w:after="0" w:line="259" w:lineRule="auto"/>
        <w:tabs>
          <w:tab w:leader="none" w:pos="1431" w:val="left"/>
        </w:tabs>
        <w:numPr>
          <w:ilvl w:val="0"/>
          <w:numId w:val="4"/>
        </w:numPr>
        <w:rPr>
          <w:rFonts w:ascii="Arial" w:cs="Arial" w:eastAsia="Arial" w:hAnsi="Arial"/>
          <w:sz w:val="18"/>
          <w:szCs w:val="18"/>
          <w:color w:val="010000"/>
        </w:rPr>
      </w:pPr>
      <w:r>
        <w:rPr>
          <w:rFonts w:ascii="Arial" w:cs="Arial" w:eastAsia="Arial" w:hAnsi="Arial"/>
          <w:sz w:val="18"/>
          <w:szCs w:val="18"/>
          <w:color w:val="auto"/>
        </w:rPr>
        <w:t>AGREEMENT TO GUARANTEE. The Guaranteeing Subsidiary hereby becomes a party to the Indenture as a Guarantor and as such will have all the rights and be subject to all the Obligations and agreements of Guarantors under the Indenture. The Guaranteeing Subsidiary hereby agrees to provide a full and unconditional Guarantee on the terms and subject to the conditions set forth in the Subsidiary Guarantee and in the Indenture including but not limited to Article 10 thereof.</w:t>
      </w:r>
    </w:p>
    <w:p>
      <w:pPr>
        <w:spacing w:after="0" w:line="186" w:lineRule="exact"/>
        <w:rPr>
          <w:rFonts w:ascii="Arial" w:cs="Arial" w:eastAsia="Arial" w:hAnsi="Arial"/>
          <w:sz w:val="18"/>
          <w:szCs w:val="18"/>
          <w:color w:val="010000"/>
        </w:rPr>
      </w:pPr>
    </w:p>
    <w:p>
      <w:pPr>
        <w:jc w:val="both"/>
        <w:ind w:firstLine="656"/>
        <w:spacing w:after="0" w:line="257" w:lineRule="auto"/>
        <w:tabs>
          <w:tab w:leader="none" w:pos="1336" w:val="left"/>
        </w:tabs>
        <w:numPr>
          <w:ilvl w:val="0"/>
          <w:numId w:val="4"/>
        </w:numPr>
        <w:rPr>
          <w:rFonts w:ascii="Arial" w:cs="Arial" w:eastAsia="Arial" w:hAnsi="Arial"/>
          <w:sz w:val="18"/>
          <w:szCs w:val="18"/>
          <w:color w:val="010000"/>
        </w:rPr>
      </w:pPr>
      <w:r>
        <w:rPr>
          <w:rFonts w:ascii="Arial" w:cs="Arial" w:eastAsia="Arial" w:hAnsi="Arial"/>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 w:name="page5"/>
    <w:bookmarkEnd w:id="4"/>
    <w:p>
      <w:pPr>
        <w:jc w:val="both"/>
        <w:ind w:firstLine="656"/>
        <w:spacing w:after="0" w:line="263" w:lineRule="auto"/>
        <w:tabs>
          <w:tab w:leader="none" w:pos="1377" w:val="left"/>
        </w:tabs>
        <w:numPr>
          <w:ilvl w:val="0"/>
          <w:numId w:val="5"/>
        </w:numPr>
        <w:rPr>
          <w:rFonts w:ascii="Arial" w:cs="Arial" w:eastAsia="Arial" w:hAnsi="Arial"/>
          <w:sz w:val="18"/>
          <w:szCs w:val="18"/>
          <w:color w:val="010000"/>
        </w:rPr>
      </w:pPr>
      <w:r>
        <w:rPr>
          <w:rFonts w:ascii="Arial" w:cs="Arial" w:eastAsia="Arial" w:hAnsi="Arial"/>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83" w:lineRule="exact"/>
        <w:rPr>
          <w:rFonts w:ascii="Arial" w:cs="Arial" w:eastAsia="Arial" w:hAnsi="Arial"/>
          <w:sz w:val="18"/>
          <w:szCs w:val="18"/>
          <w:color w:val="010000"/>
        </w:rPr>
      </w:pPr>
    </w:p>
    <w:p>
      <w:pPr>
        <w:ind w:firstLine="656"/>
        <w:spacing w:after="0" w:line="277" w:lineRule="auto"/>
        <w:tabs>
          <w:tab w:leader="none" w:pos="1417" w:val="left"/>
        </w:tabs>
        <w:numPr>
          <w:ilvl w:val="0"/>
          <w:numId w:val="5"/>
        </w:numPr>
        <w:rPr>
          <w:rFonts w:ascii="Arial" w:cs="Arial" w:eastAsia="Arial" w:hAnsi="Arial"/>
          <w:sz w:val="18"/>
          <w:szCs w:val="18"/>
          <w:color w:val="010000"/>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010000"/>
        </w:rPr>
      </w:pPr>
    </w:p>
    <w:p>
      <w:pPr>
        <w:ind w:left="1340" w:hanging="684"/>
        <w:spacing w:after="0"/>
        <w:tabs>
          <w:tab w:leader="none" w:pos="1340" w:val="left"/>
        </w:tabs>
        <w:numPr>
          <w:ilvl w:val="0"/>
          <w:numId w:val="5"/>
        </w:numPr>
        <w:rPr>
          <w:rFonts w:ascii="Arial" w:cs="Arial" w:eastAsia="Arial" w:hAnsi="Arial"/>
          <w:sz w:val="18"/>
          <w:szCs w:val="18"/>
          <w:color w:val="010000"/>
        </w:rPr>
      </w:pPr>
      <w:r>
        <w:rPr>
          <w:rFonts w:ascii="Arial" w:cs="Arial" w:eastAsia="Arial" w:hAnsi="Arial"/>
          <w:sz w:val="18"/>
          <w:szCs w:val="18"/>
          <w:color w:val="auto"/>
        </w:rPr>
        <w:t>EFFECT OF HEADINGS. The Section headings herein are for convenience only and shall not affect the construction hereof.</w:t>
      </w:r>
    </w:p>
    <w:p>
      <w:pPr>
        <w:spacing w:after="0" w:line="225" w:lineRule="exact"/>
        <w:rPr>
          <w:rFonts w:ascii="Arial" w:cs="Arial" w:eastAsia="Arial" w:hAnsi="Arial"/>
          <w:sz w:val="18"/>
          <w:szCs w:val="18"/>
          <w:color w:val="010000"/>
        </w:rPr>
      </w:pPr>
    </w:p>
    <w:p>
      <w:pPr>
        <w:jc w:val="both"/>
        <w:ind w:firstLine="656"/>
        <w:spacing w:after="0" w:line="263" w:lineRule="auto"/>
        <w:tabs>
          <w:tab w:leader="none" w:pos="1431" w:val="left"/>
        </w:tabs>
        <w:numPr>
          <w:ilvl w:val="0"/>
          <w:numId w:val="5"/>
        </w:numPr>
        <w:rPr>
          <w:rFonts w:ascii="Arial" w:cs="Arial" w:eastAsia="Arial" w:hAnsi="Arial"/>
          <w:sz w:val="18"/>
          <w:szCs w:val="18"/>
          <w:color w:val="010000"/>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83" w:lineRule="exact"/>
        <w:rPr>
          <w:rFonts w:ascii="Arial" w:cs="Arial" w:eastAsia="Arial" w:hAnsi="Arial"/>
          <w:sz w:val="18"/>
          <w:szCs w:val="18"/>
          <w:color w:val="010000"/>
        </w:rPr>
      </w:pPr>
    </w:p>
    <w:p>
      <w:pPr>
        <w:jc w:val="both"/>
        <w:ind w:firstLine="656"/>
        <w:spacing w:after="0" w:line="259" w:lineRule="auto"/>
        <w:tabs>
          <w:tab w:leader="none" w:pos="1377" w:val="left"/>
        </w:tabs>
        <w:numPr>
          <w:ilvl w:val="0"/>
          <w:numId w:val="5"/>
        </w:numPr>
        <w:rPr>
          <w:rFonts w:ascii="Arial" w:cs="Arial" w:eastAsia="Arial" w:hAnsi="Arial"/>
          <w:sz w:val="18"/>
          <w:szCs w:val="18"/>
          <w:color w:val="010000"/>
        </w:rPr>
      </w:pPr>
      <w:r>
        <w:rPr>
          <w:rFonts w:ascii="Arial" w:cs="Arial" w:eastAsia="Arial" w:hAnsi="Arial"/>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186" w:lineRule="exact"/>
        <w:rPr>
          <w:rFonts w:ascii="Arial" w:cs="Arial" w:eastAsia="Arial" w:hAnsi="Arial"/>
          <w:sz w:val="18"/>
          <w:szCs w:val="18"/>
          <w:color w:val="010000"/>
        </w:rPr>
      </w:pPr>
    </w:p>
    <w:p>
      <w:pPr>
        <w:jc w:val="both"/>
        <w:ind w:firstLine="656"/>
        <w:spacing w:after="0" w:line="268" w:lineRule="auto"/>
        <w:tabs>
          <w:tab w:leader="none" w:pos="1350" w:val="left"/>
        </w:tabs>
        <w:numPr>
          <w:ilvl w:val="0"/>
          <w:numId w:val="5"/>
        </w:numPr>
        <w:rPr>
          <w:rFonts w:ascii="Arial" w:cs="Arial" w:eastAsia="Arial" w:hAnsi="Arial"/>
          <w:sz w:val="17"/>
          <w:szCs w:val="17"/>
          <w:color w:val="010000"/>
        </w:rPr>
      </w:pPr>
      <w:r>
        <w:rPr>
          <w:rFonts w:ascii="Arial" w:cs="Arial" w:eastAsia="Arial" w:hAnsi="Arial"/>
          <w:sz w:val="17"/>
          <w:szCs w:val="17"/>
          <w:color w:val="auto"/>
        </w:rPr>
        <w:t>ELECTRONIC SIGNATURES. Each of the transaction parties agrees on behalf of itself, and any Person acting or claiming by, under or through such transaction party, that any written instrument delivered in connection with this Supplemental Indenture, the Indenture or any related document, including without limitation any amendments or supplements to such documents, may be executed by electronic methods (whether by .pdf scan or utilization of an electronic signature platform or application). Any electronic signature document delivered via email from a person authorized on an incumbency certificate provided by the Company, any Guaranteeing Subsidiary or any other Guarantor to the Trustee shall be considered signed or executed by such person on behalf of the Company, such Guaranteeing Subsidiary, or such other Guarantor, as applicable. Each of the Company, the Guaranteeing Subsidiary, and the other Guarantors agree to assume all risks arising out of the use of electronic methods for all purposes including the authorization, execution, delivery, or submission of documents, instruments, notices, directions, instructions, reports, opinions and certificates to the Trustee, including without limitation the risk of the Trustee acting on unauthorized instructions, and the risk of interception and misuse by third parties. Any electronic signature shall have the same legal validity and enforceability as a manually executed signature to the fullest extent permitted by applicable law, including the Federal Electronic Signatures in Global and National Commerce Act, the New York State Electronic Signatures and Records Act, or any similar federal or state law, rule or regulation, as the same may be in effect from time to time, and the parties hereby waive any objection to the contrary. Any document accepted, executed or agreed to in conformity with such laws will be binding on all parties hereto to the same extent as if it were physically executed and each party hereby consents to the use of any third party electronic signature capture service providers as may be reasonably chosen by a signatory hereto.</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ind w:firstLine="1296"/>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OCOTILLO WINDPOWER HOLDINGS LLC</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Chad Plotkin</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CLEARWAY ENERGY LLC</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DGPV HOLDING LLC</w:t>
      </w:r>
    </w:p>
    <w:p>
      <w:pPr>
        <w:spacing w:after="0" w:line="200" w:lineRule="exact"/>
        <w:rPr>
          <w:sz w:val="20"/>
          <w:szCs w:val="20"/>
          <w:color w:val="auto"/>
        </w:rPr>
      </w:pPr>
    </w:p>
    <w:p>
      <w:pPr>
        <w:spacing w:after="0" w:line="2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Chad Plotkin</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Senior Vice President, Chief Financial Officer &amp; Treasurer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Fourteenth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ind w:left="4500"/>
        <w:spacing w:after="0"/>
        <w:rPr>
          <w:sz w:val="20"/>
          <w:szCs w:val="20"/>
          <w:color w:val="auto"/>
        </w:rPr>
      </w:pPr>
      <w:r>
        <w:rPr>
          <w:rFonts w:ascii="Arial" w:cs="Arial" w:eastAsia="Arial" w:hAnsi="Arial"/>
          <w:sz w:val="18"/>
          <w:szCs w:val="18"/>
          <w:color w:val="auto"/>
        </w:rPr>
        <w:t>ALTA WIND 1-5 HOLDING COMPANY, LLC</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ALTA WIND COMPANY,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CBAD HOLDINGS II,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CENTRAL CA FUEL CELL 1,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CLEARWAY SOLAR STAR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CWEN PINNACLE REPOWERING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DG-CS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DG SREC HOLDCO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ECP UPTOWN CAMPUS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ENERGY CENTER CAGUAS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ENERGY CENTER FAJARDO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ENERGY CENTER HONOLULU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FUEL CELL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MESQUITE STAR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NIMH SOLAR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PORTFOLIO SOLAR 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RPV HOLDING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FLAGSTAFF ONE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IGUANA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LAS VEGAS MB 1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TABERNACLE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SOUTH TRENT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ASSET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II-B,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THERMAL CANADA INFRASTRUCTURE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THERMAL HAWAII DEVELOPMENT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THERMAL INFRASTRUCTURE DEVELOPMENT HOLDINGS LLC</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UB FUEL CELL,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UTAH SOLAR MASTER HOLDCO LLC</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Chad Plotkin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Fourteenth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288925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740"/>
          </w:cols>
          <w:pgMar w:left="1440" w:top="908" w:right="71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DELAWARE TRUST COMPANY</w:t>
      </w:r>
    </w:p>
    <w:p>
      <w:pPr>
        <w:spacing w:after="0" w:line="200" w:lineRule="exact"/>
        <w:rPr>
          <w:sz w:val="20"/>
          <w:szCs w:val="20"/>
          <w:color w:val="auto"/>
        </w:rPr>
      </w:pPr>
    </w:p>
    <w:p>
      <w:pPr>
        <w:spacing w:after="0" w:line="241" w:lineRule="exact"/>
        <w:rPr>
          <w:sz w:val="20"/>
          <w:szCs w:val="20"/>
          <w:color w:val="auto"/>
        </w:rPr>
      </w:pPr>
    </w:p>
    <w:p>
      <w:pPr>
        <w:jc w:val="both"/>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Benjamin Hancock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jc w:val="right"/>
        <w:ind w:right="7959"/>
        <w:spacing w:after="0"/>
        <w:rPr>
          <w:sz w:val="20"/>
          <w:szCs w:val="20"/>
          <w:color w:val="auto"/>
        </w:rPr>
      </w:pPr>
      <w:r>
        <w:rPr>
          <w:rFonts w:ascii="Arial" w:cs="Arial" w:eastAsia="Arial" w:hAnsi="Arial"/>
          <w:sz w:val="18"/>
          <w:szCs w:val="18"/>
          <w:color w:val="auto"/>
        </w:rPr>
        <w:t>Authorized Signatory:</w:t>
      </w:r>
    </w:p>
    <w:p>
      <w:pPr>
        <w:spacing w:after="0" w:line="224" w:lineRule="exact"/>
        <w:rPr>
          <w:sz w:val="20"/>
          <w:szCs w:val="20"/>
          <w:color w:val="auto"/>
        </w:rPr>
      </w:pPr>
    </w:p>
    <w:p>
      <w:pPr>
        <w:jc w:val="right"/>
        <w:ind w:right="24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Fourteenth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4.2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TENTH SUPPLEMENTAL INDENTURE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TENTH SUPPLEMENTAL INDENTURE (this “</w:t>
      </w:r>
      <w:r>
        <w:rPr>
          <w:rFonts w:ascii="Arial" w:cs="Arial" w:eastAsia="Arial" w:hAnsi="Arial"/>
          <w:sz w:val="18"/>
          <w:szCs w:val="18"/>
          <w:i w:val="1"/>
          <w:iCs w:val="1"/>
          <w:color w:val="auto"/>
        </w:rPr>
        <w:t>Supplemental Indenture</w:t>
      </w:r>
      <w:r>
        <w:rPr>
          <w:rFonts w:ascii="Arial" w:cs="Arial" w:eastAsia="Arial" w:hAnsi="Arial"/>
          <w:sz w:val="18"/>
          <w:szCs w:val="18"/>
          <w:color w:val="auto"/>
        </w:rPr>
        <w:t>”), dated as of December 1, 2020, among Ocotillo Windpower Holdings LLC (the “</w:t>
      </w:r>
      <w:r>
        <w:rPr>
          <w:rFonts w:ascii="Arial" w:cs="Arial" w:eastAsia="Arial" w:hAnsi="Arial"/>
          <w:sz w:val="18"/>
          <w:szCs w:val="18"/>
          <w:i w:val="1"/>
          <w:iCs w:val="1"/>
          <w:color w:val="auto"/>
        </w:rPr>
        <w:t>Guaranteeing Subsidiary</w:t>
      </w:r>
      <w:r>
        <w:rPr>
          <w:rFonts w:ascii="Arial" w:cs="Arial" w:eastAsia="Arial" w:hAnsi="Arial"/>
          <w:sz w:val="18"/>
          <w:szCs w:val="18"/>
          <w:color w:val="auto"/>
        </w:rPr>
        <w:t>”), a subsidiary of Clearway Energy Operating LLC (or its permitted successor), a Delaware limited liability company (the “</w:t>
      </w:r>
      <w:r>
        <w:rPr>
          <w:rFonts w:ascii="Arial" w:cs="Arial" w:eastAsia="Arial" w:hAnsi="Arial"/>
          <w:sz w:val="18"/>
          <w:szCs w:val="18"/>
          <w:i w:val="1"/>
          <w:iCs w:val="1"/>
          <w:color w:val="auto"/>
        </w:rPr>
        <w:t>Company</w:t>
      </w:r>
      <w:r>
        <w:rPr>
          <w:rFonts w:ascii="Arial" w:cs="Arial" w:eastAsia="Arial" w:hAnsi="Arial"/>
          <w:sz w:val="18"/>
          <w:szCs w:val="18"/>
          <w:color w:val="auto"/>
        </w:rPr>
        <w:t>”), the Company, the other Guarantors (as defined in the Indenture referred to herein) and Delaware Trust Company, as trustee under the Indenture referred to below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October 1, 2018 providing for the issuance of 5.750% Senior Notes due 2025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fully and unconditionally guarantee all of the Company’s Obligations under the Notes and the Indenture on the terms and conditions set forth herein (the “</w:t>
      </w:r>
      <w:r>
        <w:rPr>
          <w:rFonts w:ascii="Arial" w:cs="Arial" w:eastAsia="Arial" w:hAnsi="Arial"/>
          <w:sz w:val="18"/>
          <w:szCs w:val="18"/>
          <w:i w:val="1"/>
          <w:iCs w:val="1"/>
          <w:color w:val="auto"/>
        </w:rPr>
        <w:t>Subsidiary Guarantee</w:t>
      </w:r>
      <w:r>
        <w:rPr>
          <w:rFonts w:ascii="Arial" w:cs="Arial" w:eastAsia="Arial" w:hAnsi="Arial"/>
          <w:sz w:val="18"/>
          <w:szCs w:val="18"/>
          <w:color w:val="auto"/>
        </w:rPr>
        <w:t>”); and</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pursuant to Sections 4.10 and 9.01 of the Indenture, the Trustee, the Company and the other Guarantors are authorized to execute and deliver this Supplemental Indenture.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84" w:lineRule="exact"/>
        <w:rPr>
          <w:sz w:val="20"/>
          <w:szCs w:val="20"/>
          <w:color w:val="auto"/>
        </w:rPr>
      </w:pPr>
    </w:p>
    <w:p>
      <w:pPr>
        <w:ind w:left="1340" w:hanging="684"/>
        <w:spacing w:after="0"/>
        <w:tabs>
          <w:tab w:leader="none" w:pos="1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CAPITALIZED TERMS. Capitalized terms used herein without definition shall have the meanings assigned to them in the Indenture.</w:t>
      </w:r>
    </w:p>
    <w:p>
      <w:pPr>
        <w:spacing w:after="0" w:line="236" w:lineRule="exact"/>
        <w:rPr>
          <w:rFonts w:ascii="Arial" w:cs="Arial" w:eastAsia="Arial" w:hAnsi="Arial"/>
          <w:sz w:val="17"/>
          <w:szCs w:val="17"/>
          <w:color w:val="auto"/>
        </w:rPr>
      </w:pPr>
    </w:p>
    <w:p>
      <w:pPr>
        <w:jc w:val="both"/>
        <w:ind w:firstLine="656"/>
        <w:spacing w:after="0" w:line="259" w:lineRule="auto"/>
        <w:tabs>
          <w:tab w:leader="none" w:pos="1431" w:val="left"/>
        </w:tabs>
        <w:numPr>
          <w:ilvl w:val="0"/>
          <w:numId w:val="6"/>
        </w:numPr>
        <w:rPr>
          <w:rFonts w:ascii="Arial" w:cs="Arial" w:eastAsia="Arial" w:hAnsi="Arial"/>
          <w:sz w:val="18"/>
          <w:szCs w:val="18"/>
          <w:color w:val="auto"/>
        </w:rPr>
      </w:pPr>
      <w:r>
        <w:rPr>
          <w:rFonts w:ascii="Arial" w:cs="Arial" w:eastAsia="Arial" w:hAnsi="Arial"/>
          <w:sz w:val="18"/>
          <w:szCs w:val="18"/>
          <w:color w:val="auto"/>
        </w:rPr>
        <w:t>AGREEMENT TO GUARANTEE. The Guaranteeing Subsidiary hereby becomes a party to the Indenture as a Guarantor and as such will have all the rights and be subject to all the Obligations and agreements of a Guarantor under the Indenture. The Guaranteeing Subsidiary hereby agrees to provide a full and unconditional Guarantee on the terms and subject to the conditions set forth in the Subsidiary Guarantee and in the Indenture including but not limited to Article 10 thereof.</w:t>
      </w:r>
    </w:p>
    <w:p>
      <w:pPr>
        <w:spacing w:after="0" w:line="186" w:lineRule="exact"/>
        <w:rPr>
          <w:rFonts w:ascii="Arial" w:cs="Arial" w:eastAsia="Arial" w:hAnsi="Arial"/>
          <w:sz w:val="18"/>
          <w:szCs w:val="18"/>
          <w:color w:val="auto"/>
        </w:rPr>
      </w:pPr>
    </w:p>
    <w:p>
      <w:pPr>
        <w:jc w:val="both"/>
        <w:ind w:firstLine="656"/>
        <w:spacing w:after="0" w:line="257" w:lineRule="auto"/>
        <w:tabs>
          <w:tab w:leader="none" w:pos="1336"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87" w:lineRule="exact"/>
        <w:rPr>
          <w:rFonts w:ascii="Arial" w:cs="Arial" w:eastAsia="Arial" w:hAnsi="Arial"/>
          <w:sz w:val="18"/>
          <w:szCs w:val="18"/>
          <w:color w:val="auto"/>
        </w:rPr>
      </w:pPr>
    </w:p>
    <w:p>
      <w:pPr>
        <w:jc w:val="both"/>
        <w:ind w:firstLine="656"/>
        <w:spacing w:after="0" w:line="263" w:lineRule="auto"/>
        <w:tabs>
          <w:tab w:leader="none" w:pos="1377"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ind w:left="-656" w:firstLine="656"/>
        <w:spacing w:after="0" w:line="277" w:lineRule="auto"/>
        <w:tabs>
          <w:tab w:leader="none" w:pos="761" w:val="left"/>
        </w:tabs>
        <w:numPr>
          <w:ilvl w:val="0"/>
          <w:numId w:val="7"/>
        </w:numPr>
        <w:rPr>
          <w:rFonts w:ascii="Arial" w:cs="Arial" w:eastAsia="Arial" w:hAnsi="Arial"/>
          <w:sz w:val="18"/>
          <w:szCs w:val="18"/>
          <w:color w:val="auto"/>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auto"/>
        </w:rPr>
      </w:pPr>
    </w:p>
    <w:p>
      <w:pPr>
        <w:ind w:left="684" w:hanging="684"/>
        <w:spacing w:after="0"/>
        <w:tabs>
          <w:tab w:leader="none" w:pos="684" w:val="left"/>
        </w:tabs>
        <w:numPr>
          <w:ilvl w:val="0"/>
          <w:numId w:val="7"/>
        </w:numPr>
        <w:rPr>
          <w:rFonts w:ascii="Arial" w:cs="Arial" w:eastAsia="Arial" w:hAnsi="Arial"/>
          <w:sz w:val="18"/>
          <w:szCs w:val="18"/>
          <w:color w:val="auto"/>
        </w:rPr>
      </w:pPr>
      <w:r>
        <w:rPr>
          <w:rFonts w:ascii="Arial" w:cs="Arial" w:eastAsia="Arial" w:hAnsi="Arial"/>
          <w:sz w:val="18"/>
          <w:szCs w:val="18"/>
          <w:color w:val="auto"/>
        </w:rPr>
        <w:t>EFFECT OF HEADINGS. The Section headings herein are for convenience only and shall not affect the construction hereof.</w:t>
      </w:r>
    </w:p>
    <w:p>
      <w:pPr>
        <w:spacing w:after="0" w:line="225" w:lineRule="exact"/>
        <w:rPr>
          <w:rFonts w:ascii="Arial" w:cs="Arial" w:eastAsia="Arial" w:hAnsi="Arial"/>
          <w:sz w:val="18"/>
          <w:szCs w:val="18"/>
          <w:color w:val="auto"/>
        </w:rPr>
      </w:pPr>
    </w:p>
    <w:p>
      <w:pPr>
        <w:jc w:val="both"/>
        <w:ind w:left="-656" w:firstLine="656"/>
        <w:spacing w:after="0" w:line="263" w:lineRule="auto"/>
        <w:tabs>
          <w:tab w:leader="none" w:pos="77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83" w:lineRule="exact"/>
        <w:rPr>
          <w:rFonts w:ascii="Arial" w:cs="Arial" w:eastAsia="Arial" w:hAnsi="Arial"/>
          <w:sz w:val="18"/>
          <w:szCs w:val="18"/>
          <w:color w:val="auto"/>
        </w:rPr>
      </w:pPr>
    </w:p>
    <w:p>
      <w:pPr>
        <w:jc w:val="both"/>
        <w:ind w:left="-656" w:firstLine="656"/>
        <w:spacing w:after="0" w:line="259" w:lineRule="auto"/>
        <w:tabs>
          <w:tab w:leader="none" w:pos="721" w:val="left"/>
        </w:tabs>
        <w:numPr>
          <w:ilvl w:val="0"/>
          <w:numId w:val="7"/>
        </w:numPr>
        <w:rPr>
          <w:rFonts w:ascii="Arial" w:cs="Arial" w:eastAsia="Arial" w:hAnsi="Arial"/>
          <w:sz w:val="18"/>
          <w:szCs w:val="18"/>
          <w:color w:val="auto"/>
        </w:rPr>
      </w:pPr>
      <w:r>
        <w:rPr>
          <w:rFonts w:ascii="Arial" w:cs="Arial" w:eastAsia="Arial" w:hAnsi="Arial"/>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186" w:lineRule="exact"/>
        <w:rPr>
          <w:rFonts w:ascii="Arial" w:cs="Arial" w:eastAsia="Arial" w:hAnsi="Arial"/>
          <w:sz w:val="18"/>
          <w:szCs w:val="18"/>
          <w:color w:val="auto"/>
        </w:rPr>
      </w:pPr>
    </w:p>
    <w:p>
      <w:pPr>
        <w:jc w:val="both"/>
        <w:ind w:left="-656" w:firstLine="656"/>
        <w:spacing w:after="0" w:line="268" w:lineRule="auto"/>
        <w:tabs>
          <w:tab w:leader="none" w:pos="694" w:val="left"/>
        </w:tabs>
        <w:numPr>
          <w:ilvl w:val="0"/>
          <w:numId w:val="7"/>
        </w:numPr>
        <w:rPr>
          <w:rFonts w:ascii="Arial" w:cs="Arial" w:eastAsia="Arial" w:hAnsi="Arial"/>
          <w:sz w:val="17"/>
          <w:szCs w:val="17"/>
          <w:color w:val="auto"/>
        </w:rPr>
      </w:pPr>
      <w:r>
        <w:rPr>
          <w:rFonts w:ascii="Arial" w:cs="Arial" w:eastAsia="Arial" w:hAnsi="Arial"/>
          <w:sz w:val="17"/>
          <w:szCs w:val="17"/>
          <w:color w:val="auto"/>
        </w:rPr>
        <w:t>ELECTRONIC SIGNATURES. Each of the transaction parties agrees on behalf of itself, and any Person acting or claiming by, under or through such transaction party, that any written instrument delivered in connection with this Supplemental Indenture, the Indenture or any related document, including without limitation any amendments or supplements to such documents, may be executed by electronic methods (whether by .pdf scan or utilization of an electronic signature platform or application). Any electronic signature document delivered via email from a person authorized on an incumbency certificate provided by the Company, any Guaranteeing Subsidiary or any other Guarantor to the Trustee shall be considered signed or executed by such person on behalf of the Company, such Guaranteeing Subsidiary, or such other Guarantor, as applicable. Each of the Company, the Guaranteeing Subsidiary, and the other Guarantors agree to assume all risks arising out of the use of electronic methods for all purposes including the authorization, execution, delivery, or submission of documents, instruments, notices, directions, instructions, reports, opinions and certificates to the Trustee, including without limitation the risk of the Trustee acting on unauthorized instructions, and the risk of interception and misuse by third parties. Any electronic signature shall have the same legal validity and enforceability as a manually executed signature to the fullest extent permitted by applicable law, including the Federal Electronic Signatures in Global and National Commerce Act, the New York State Electronic Signatures and Records Act, or any similar federal or state law, rule or regulation, as the same may be in effect from time to time, and the parties hereby waive any objection to the contrary. Any document accepted, executed or agreed to in conformity with such laws will be binding on all parties hereto to the same extent as if it were physically executed and each party hereby consents to the use of any third party electronic signature capture service providers as may be reasonably chosen by a signatory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261620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0" w:name="page11"/>
    <w:bookmarkEnd w:id="10"/>
    <w:p>
      <w:pPr>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17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OCOTILLO WINDPOWER HOLDINGS LLC</w:t>
      </w:r>
    </w:p>
    <w:p>
      <w:pPr>
        <w:spacing w:after="0" w:line="200" w:lineRule="exact"/>
        <w:rPr>
          <w:sz w:val="20"/>
          <w:szCs w:val="20"/>
          <w:color w:val="auto"/>
        </w:rPr>
      </w:pPr>
    </w:p>
    <w:p>
      <w:pPr>
        <w:spacing w:after="0" w:line="241" w:lineRule="exact"/>
        <w:rPr>
          <w:sz w:val="20"/>
          <w:szCs w:val="20"/>
          <w:color w:val="auto"/>
        </w:rPr>
      </w:pPr>
    </w:p>
    <w:p>
      <w:pPr>
        <w:ind w:left="5600"/>
        <w:spacing w:after="0"/>
        <w:tabs>
          <w:tab w:leader="none" w:pos="6060" w:val="left"/>
        </w:tabs>
        <w:rPr>
          <w:sz w:val="20"/>
          <w:szCs w:val="20"/>
          <w:color w:val="auto"/>
        </w:rPr>
      </w:pPr>
      <w:r>
        <w:rPr>
          <w:rFonts w:ascii="Arial" w:cs="Arial" w:eastAsia="Arial" w:hAnsi="Arial"/>
          <w:sz w:val="18"/>
          <w:szCs w:val="18"/>
          <w:color w:val="auto"/>
        </w:rPr>
        <w:t>By:</w:t>
        <w:tab/>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Name:Chad Plotkin</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Title: Vice President &amp; Treasurer</w:t>
      </w:r>
    </w:p>
    <w:p>
      <w:pPr>
        <w:spacing w:after="0" w:line="200" w:lineRule="exact"/>
        <w:rPr>
          <w:sz w:val="20"/>
          <w:szCs w:val="20"/>
          <w:color w:val="auto"/>
        </w:rPr>
      </w:pPr>
    </w:p>
    <w:p>
      <w:pPr>
        <w:spacing w:after="0" w:line="22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CLEARWAY ENERGY LLC</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DGPV HOLDING LLC</w:t>
      </w:r>
    </w:p>
    <w:p>
      <w:pPr>
        <w:spacing w:after="0" w:line="200" w:lineRule="exact"/>
        <w:rPr>
          <w:sz w:val="20"/>
          <w:szCs w:val="20"/>
          <w:color w:val="auto"/>
        </w:rPr>
      </w:pPr>
    </w:p>
    <w:p>
      <w:pPr>
        <w:spacing w:after="0" w:line="227" w:lineRule="exact"/>
        <w:rPr>
          <w:sz w:val="20"/>
          <w:szCs w:val="20"/>
          <w:color w:val="auto"/>
        </w:rPr>
      </w:pPr>
    </w:p>
    <w:p>
      <w:pPr>
        <w:ind w:left="5600"/>
        <w:spacing w:after="0"/>
        <w:tabs>
          <w:tab w:leader="none" w:pos="6060" w:val="left"/>
        </w:tabs>
        <w:rPr>
          <w:sz w:val="20"/>
          <w:szCs w:val="20"/>
          <w:color w:val="auto"/>
        </w:rPr>
      </w:pPr>
      <w:r>
        <w:rPr>
          <w:rFonts w:ascii="Arial" w:cs="Arial" w:eastAsia="Arial" w:hAnsi="Arial"/>
          <w:sz w:val="18"/>
          <w:szCs w:val="18"/>
          <w:color w:val="auto"/>
        </w:rPr>
        <w:t>By:</w:t>
        <w:tab/>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Name:Chad Plotkin</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Title: Senior Vice President, Chief Financial Officer &amp; Treasurer</w:t>
      </w:r>
    </w:p>
    <w:p>
      <w:pPr>
        <w:spacing w:after="0" w:line="211"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Tenth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80"/>
          </w:cols>
          <w:pgMar w:left="320" w:top="1124" w:right="899" w:bottom="1440" w:gutter="0" w:footer="0" w:header="0"/>
        </w:sectPr>
      </w:pPr>
    </w:p>
    <w:bookmarkStart w:id="11" w:name="page12"/>
    <w:bookmarkEnd w:id="11"/>
    <w:p>
      <w:pPr>
        <w:ind w:left="4480"/>
        <w:spacing w:after="0"/>
        <w:rPr>
          <w:sz w:val="20"/>
          <w:szCs w:val="20"/>
          <w:color w:val="auto"/>
        </w:rPr>
      </w:pPr>
      <w:r>
        <w:rPr>
          <w:rFonts w:ascii="Arial" w:cs="Arial" w:eastAsia="Arial" w:hAnsi="Arial"/>
          <w:sz w:val="18"/>
          <w:szCs w:val="18"/>
          <w:color w:val="auto"/>
        </w:rPr>
        <w:t>ALTA WIND 1-5 HOLDING COMPANY, LLC</w:t>
      </w:r>
    </w:p>
    <w:p>
      <w:pPr>
        <w:spacing w:after="0" w:line="2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ALTA WIND COMPANY, LLC</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CBAD HOLDINGS II, LLC</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CENTRAL CA FUEL CELL 1, LLC</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CLEARWAY SOLAR STAR LLC</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CWEN PINNACLE REPOWERING HOLDINGS LLC</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DG-CS HOLDINGS LLC</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DG SREC HOLDCO LLC</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ECP UPTOWN CAMPUS HOLDINGS LLC</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ENERGY CENTER CAGUAS HOLDINGS LLC</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ENERGY CENTER FAJARDO HOLDINGS LLC</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ENERGY CENTER HONOLULU HOLDINGS LLC</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FUEL CELL HOLDINGS LLC</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MESQUITE STAR HOLDINGS LLC</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NIMH SOLAR HOLDINGS LLC</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PORTFOLIO SOLAR I, LLC</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RPV HOLDING LLC</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SOLAR FLAGSTAFF ONE LLC</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SOLAR IGUANA LLC</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SOLAR LAS VEGAS MB 1 LLC</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SOLAR TABERNACLE LLC</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SOUTH TRENT HOLDINGS LLC</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SPP ASSET HOLDINGS, LLC</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SPP FUND II HOLDINGS, LLC</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SPP FUND II, LLC</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SPP FUND II-B, LLC</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SPP FUND III, LLC</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THERMAL CANADA INFRASTRUCTURE HOLDINGS LLC</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THERMAL HAWAII DEVELOPMENT HOLDINGS LLC</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7"/>
          <w:szCs w:val="17"/>
          <w:color w:val="auto"/>
        </w:rPr>
        <w:t>THERMAL INFRASTRUCTURE DEVELOPMENT HOLDINGS LLC</w:t>
      </w:r>
    </w:p>
    <w:p>
      <w:pPr>
        <w:spacing w:after="0" w:line="2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UB FUEL CELL, LLC</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UTAH SOLAR MASTER HOLDCO LLC</w:t>
      </w:r>
    </w:p>
    <w:p>
      <w:pPr>
        <w:spacing w:after="0" w:line="200" w:lineRule="exact"/>
        <w:rPr>
          <w:sz w:val="20"/>
          <w:szCs w:val="20"/>
          <w:color w:val="auto"/>
        </w:rPr>
      </w:pPr>
    </w:p>
    <w:p>
      <w:pPr>
        <w:spacing w:after="0" w:line="227" w:lineRule="exact"/>
        <w:rPr>
          <w:sz w:val="20"/>
          <w:szCs w:val="20"/>
          <w:color w:val="auto"/>
        </w:rPr>
      </w:pPr>
    </w:p>
    <w:p>
      <w:pPr>
        <w:ind w:left="4480"/>
        <w:spacing w:after="0"/>
        <w:tabs>
          <w:tab w:leader="none" w:pos="4940" w:val="left"/>
        </w:tabs>
        <w:rPr>
          <w:sz w:val="20"/>
          <w:szCs w:val="20"/>
          <w:color w:val="auto"/>
        </w:rPr>
      </w:pPr>
      <w:r>
        <w:rPr>
          <w:rFonts w:ascii="Arial" w:cs="Arial" w:eastAsia="Arial" w:hAnsi="Arial"/>
          <w:sz w:val="18"/>
          <w:szCs w:val="18"/>
          <w:color w:val="auto"/>
        </w:rPr>
        <w:t>By:</w:t>
        <w:tab/>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Name:Chad Plotkin</w:t>
      </w:r>
    </w:p>
    <w:p>
      <w:pPr>
        <w:spacing w:after="0" w:line="2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Tenth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288925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700"/>
          </w:cols>
          <w:pgMar w:left="1440" w:top="908" w:right="75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DELAWARE TRUST COMPANY</w:t>
      </w:r>
    </w:p>
    <w:p>
      <w:pPr>
        <w:spacing w:after="0" w:line="200" w:lineRule="exact"/>
        <w:rPr>
          <w:sz w:val="20"/>
          <w:szCs w:val="20"/>
          <w:color w:val="auto"/>
        </w:rPr>
      </w:pPr>
    </w:p>
    <w:p>
      <w:pPr>
        <w:spacing w:after="0" w:line="241" w:lineRule="exact"/>
        <w:rPr>
          <w:sz w:val="20"/>
          <w:szCs w:val="20"/>
          <w:color w:val="auto"/>
        </w:rPr>
      </w:pPr>
    </w:p>
    <w:p>
      <w:pPr>
        <w:jc w:val="right"/>
        <w:ind w:right="8199"/>
        <w:spacing w:after="0"/>
        <w:rPr>
          <w:sz w:val="20"/>
          <w:szCs w:val="20"/>
          <w:color w:val="auto"/>
        </w:rPr>
      </w:pPr>
      <w:r>
        <w:rPr>
          <w:rFonts w:ascii="Arial" w:cs="Arial" w:eastAsia="Arial" w:hAnsi="Arial"/>
          <w:sz w:val="17"/>
          <w:szCs w:val="17"/>
          <w:color w:val="auto"/>
        </w:rPr>
        <w:t>By: /s/ Benjamin Hancock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22225</wp:posOffset>
            </wp:positionV>
            <wp:extent cx="33515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5" w:lineRule="exact"/>
        <w:rPr>
          <w:sz w:val="20"/>
          <w:szCs w:val="20"/>
          <w:color w:val="auto"/>
        </w:rPr>
      </w:pPr>
    </w:p>
    <w:p>
      <w:pPr>
        <w:jc w:val="right"/>
        <w:ind w:right="8199"/>
        <w:spacing w:after="0"/>
        <w:rPr>
          <w:sz w:val="20"/>
          <w:szCs w:val="20"/>
          <w:color w:val="auto"/>
        </w:rPr>
      </w:pPr>
      <w:r>
        <w:rPr>
          <w:rFonts w:ascii="Arial" w:cs="Arial" w:eastAsia="Arial" w:hAnsi="Arial"/>
          <w:sz w:val="18"/>
          <w:szCs w:val="18"/>
          <w:color w:val="auto"/>
        </w:rPr>
        <w:t>Authorized Signatory:</w:t>
      </w:r>
    </w:p>
    <w:p>
      <w:pPr>
        <w:spacing w:after="0" w:line="224" w:lineRule="exact"/>
        <w:rPr>
          <w:sz w:val="20"/>
          <w:szCs w:val="20"/>
          <w:color w:val="auto"/>
        </w:rPr>
      </w:pPr>
    </w:p>
    <w:p>
      <w:pPr>
        <w:jc w:val="right"/>
        <w:ind w:right="26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Tenth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4.3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SIXTH SUPPLEMENTAL INDENTURE</w:t>
      </w:r>
    </w:p>
    <w:p>
      <w:pPr>
        <w:spacing w:after="0" w:line="225"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SIXTH SUPPLEMENTAL INDENTURE (this “</w:t>
      </w:r>
      <w:r>
        <w:rPr>
          <w:rFonts w:ascii="Arial" w:cs="Arial" w:eastAsia="Arial" w:hAnsi="Arial"/>
          <w:sz w:val="17"/>
          <w:szCs w:val="17"/>
          <w:i w:val="1"/>
          <w:iCs w:val="1"/>
          <w:color w:val="auto"/>
        </w:rPr>
        <w:t>Supplemental Indenture</w:t>
      </w:r>
      <w:r>
        <w:rPr>
          <w:rFonts w:ascii="Arial" w:cs="Arial" w:eastAsia="Arial" w:hAnsi="Arial"/>
          <w:sz w:val="17"/>
          <w:szCs w:val="17"/>
          <w:color w:val="auto"/>
        </w:rPr>
        <w:t>”), dated as of December 1, 2020, among Ocotillo Windpower Holdings LLC (the “</w:t>
      </w:r>
      <w:r>
        <w:rPr>
          <w:rFonts w:ascii="Arial" w:cs="Arial" w:eastAsia="Arial" w:hAnsi="Arial"/>
          <w:sz w:val="17"/>
          <w:szCs w:val="17"/>
          <w:i w:val="1"/>
          <w:iCs w:val="1"/>
          <w:color w:val="auto"/>
        </w:rPr>
        <w:t>Guaranteeing Subsidiary</w:t>
      </w:r>
      <w:r>
        <w:rPr>
          <w:rFonts w:ascii="Arial" w:cs="Arial" w:eastAsia="Arial" w:hAnsi="Arial"/>
          <w:sz w:val="17"/>
          <w:szCs w:val="17"/>
          <w:color w:val="auto"/>
        </w:rPr>
        <w:t>”), a subsidiary of Clearway Energy Operating LLC (or its permitted successor), a Delaware limited liability company (the “</w:t>
      </w:r>
      <w:r>
        <w:rPr>
          <w:rFonts w:ascii="Arial" w:cs="Arial" w:eastAsia="Arial" w:hAnsi="Arial"/>
          <w:sz w:val="17"/>
          <w:szCs w:val="17"/>
          <w:i w:val="1"/>
          <w:iCs w:val="1"/>
          <w:color w:val="auto"/>
        </w:rPr>
        <w:t>Company</w:t>
      </w:r>
      <w:r>
        <w:rPr>
          <w:rFonts w:ascii="Arial" w:cs="Arial" w:eastAsia="Arial" w:hAnsi="Arial"/>
          <w:sz w:val="17"/>
          <w:szCs w:val="17"/>
          <w:color w:val="auto"/>
        </w:rPr>
        <w:t>”), the Company, the other Guarantors (as defined in the Indenture referred to herein) and Delaware Trust Company (as successor in interest to Law Debenture Trust Company of New York), as trustee under the Indenture referred to below (the “</w:t>
      </w:r>
      <w:r>
        <w:rPr>
          <w:rFonts w:ascii="Arial" w:cs="Arial" w:eastAsia="Arial" w:hAnsi="Arial"/>
          <w:sz w:val="17"/>
          <w:szCs w:val="17"/>
          <w:i w:val="1"/>
          <w:iCs w:val="1"/>
          <w:color w:val="auto"/>
        </w:rPr>
        <w:t>Trustee</w:t>
      </w:r>
      <w:r>
        <w:rPr>
          <w:rFonts w:ascii="Arial" w:cs="Arial" w:eastAsia="Arial" w:hAnsi="Arial"/>
          <w:sz w:val="17"/>
          <w:szCs w:val="17"/>
          <w:color w:val="auto"/>
        </w:rPr>
        <w: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December 11, 2019 providing for the issuance of 4.750% Senior Notes due 2028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fully and unconditionally guarantee all of the Company’s Obligations under the Notes and the Indenture on the terms and conditions set forth herein (the “</w:t>
      </w:r>
      <w:r>
        <w:rPr>
          <w:rFonts w:ascii="Arial" w:cs="Arial" w:eastAsia="Arial" w:hAnsi="Arial"/>
          <w:sz w:val="18"/>
          <w:szCs w:val="18"/>
          <w:i w:val="1"/>
          <w:iCs w:val="1"/>
          <w:color w:val="auto"/>
        </w:rPr>
        <w:t>Subsidiary Guarantee</w:t>
      </w:r>
      <w:r>
        <w:rPr>
          <w:rFonts w:ascii="Arial" w:cs="Arial" w:eastAsia="Arial" w:hAnsi="Arial"/>
          <w:sz w:val="18"/>
          <w:szCs w:val="18"/>
          <w:color w:val="auto"/>
        </w:rPr>
        <w:t>”); and</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pursuant to Sections 4.10 and 9.01 of the Indenture, the Trustee, the Company and the other Guarantors are authorized to execute and deliver this Supplemental Indenture.</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84" w:lineRule="exact"/>
        <w:rPr>
          <w:sz w:val="20"/>
          <w:szCs w:val="20"/>
          <w:color w:val="auto"/>
        </w:rPr>
      </w:pPr>
    </w:p>
    <w:p>
      <w:pPr>
        <w:ind w:left="1340" w:hanging="684"/>
        <w:spacing w:after="0"/>
        <w:tabs>
          <w:tab w:leader="none" w:pos="1340" w:val="left"/>
        </w:tabs>
        <w:numPr>
          <w:ilvl w:val="0"/>
          <w:numId w:val="8"/>
        </w:numPr>
        <w:rPr>
          <w:rFonts w:ascii="Arial" w:cs="Arial" w:eastAsia="Arial" w:hAnsi="Arial"/>
          <w:sz w:val="17"/>
          <w:szCs w:val="17"/>
          <w:color w:val="010000"/>
        </w:rPr>
      </w:pPr>
      <w:r>
        <w:rPr>
          <w:rFonts w:ascii="Arial" w:cs="Arial" w:eastAsia="Arial" w:hAnsi="Arial"/>
          <w:sz w:val="17"/>
          <w:szCs w:val="17"/>
          <w:color w:val="auto"/>
        </w:rPr>
        <w:t>CAPITALIZED TERMS. Capitalized terms used herein without definition shall have the meanings assigned to them in the Indenture.</w:t>
      </w:r>
    </w:p>
    <w:p>
      <w:pPr>
        <w:spacing w:after="0" w:line="236" w:lineRule="exact"/>
        <w:rPr>
          <w:rFonts w:ascii="Arial" w:cs="Arial" w:eastAsia="Arial" w:hAnsi="Arial"/>
          <w:sz w:val="17"/>
          <w:szCs w:val="17"/>
          <w:color w:val="010000"/>
        </w:rPr>
      </w:pPr>
    </w:p>
    <w:p>
      <w:pPr>
        <w:jc w:val="both"/>
        <w:ind w:firstLine="656"/>
        <w:spacing w:after="0" w:line="259" w:lineRule="auto"/>
        <w:tabs>
          <w:tab w:leader="none" w:pos="1431" w:val="left"/>
        </w:tabs>
        <w:numPr>
          <w:ilvl w:val="0"/>
          <w:numId w:val="8"/>
        </w:numPr>
        <w:rPr>
          <w:rFonts w:ascii="Arial" w:cs="Arial" w:eastAsia="Arial" w:hAnsi="Arial"/>
          <w:sz w:val="18"/>
          <w:szCs w:val="18"/>
          <w:color w:val="010000"/>
        </w:rPr>
      </w:pPr>
      <w:r>
        <w:rPr>
          <w:rFonts w:ascii="Arial" w:cs="Arial" w:eastAsia="Arial" w:hAnsi="Arial"/>
          <w:sz w:val="18"/>
          <w:szCs w:val="18"/>
          <w:color w:val="auto"/>
        </w:rPr>
        <w:t>AGREEMENT TO GUARANTEE. The Guaranteeing Subsidiary hereby becomes a party to the Indenture as a Guarantor and as such will have all the rights and be subject to all the Obligations and agreements of Guarantors under the Indenture. The Guaranteeing Subsidiary hereby agrees to provide a full and unconditional Guarantee on the terms and subject to the conditions set forth in the Subsidiary Guarantee and in the Indenture including but not limited to Article 10 thereof.</w:t>
      </w:r>
    </w:p>
    <w:p>
      <w:pPr>
        <w:spacing w:after="0" w:line="186" w:lineRule="exact"/>
        <w:rPr>
          <w:rFonts w:ascii="Arial" w:cs="Arial" w:eastAsia="Arial" w:hAnsi="Arial"/>
          <w:sz w:val="18"/>
          <w:szCs w:val="18"/>
          <w:color w:val="010000"/>
        </w:rPr>
      </w:pPr>
    </w:p>
    <w:p>
      <w:pPr>
        <w:jc w:val="both"/>
        <w:ind w:firstLine="656"/>
        <w:spacing w:after="0" w:line="257" w:lineRule="auto"/>
        <w:tabs>
          <w:tab w:leader="none" w:pos="1336" w:val="left"/>
        </w:tabs>
        <w:numPr>
          <w:ilvl w:val="0"/>
          <w:numId w:val="8"/>
        </w:numPr>
        <w:rPr>
          <w:rFonts w:ascii="Arial" w:cs="Arial" w:eastAsia="Arial" w:hAnsi="Arial"/>
          <w:sz w:val="18"/>
          <w:szCs w:val="18"/>
          <w:color w:val="010000"/>
        </w:rPr>
      </w:pPr>
      <w:r>
        <w:rPr>
          <w:rFonts w:ascii="Arial" w:cs="Arial" w:eastAsia="Arial" w:hAnsi="Arial"/>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jc w:val="both"/>
        <w:ind w:firstLine="656"/>
        <w:spacing w:after="0" w:line="263" w:lineRule="auto"/>
        <w:tabs>
          <w:tab w:leader="none" w:pos="1377" w:val="left"/>
        </w:tabs>
        <w:numPr>
          <w:ilvl w:val="0"/>
          <w:numId w:val="9"/>
        </w:numPr>
        <w:rPr>
          <w:rFonts w:ascii="Arial" w:cs="Arial" w:eastAsia="Arial" w:hAnsi="Arial"/>
          <w:sz w:val="18"/>
          <w:szCs w:val="18"/>
          <w:color w:val="010000"/>
        </w:rPr>
      </w:pPr>
      <w:r>
        <w:rPr>
          <w:rFonts w:ascii="Arial" w:cs="Arial" w:eastAsia="Arial" w:hAnsi="Arial"/>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83" w:lineRule="exact"/>
        <w:rPr>
          <w:rFonts w:ascii="Arial" w:cs="Arial" w:eastAsia="Arial" w:hAnsi="Arial"/>
          <w:sz w:val="18"/>
          <w:szCs w:val="18"/>
          <w:color w:val="010000"/>
        </w:rPr>
      </w:pPr>
    </w:p>
    <w:p>
      <w:pPr>
        <w:ind w:firstLine="656"/>
        <w:spacing w:after="0" w:line="277" w:lineRule="auto"/>
        <w:tabs>
          <w:tab w:leader="none" w:pos="1417" w:val="left"/>
        </w:tabs>
        <w:numPr>
          <w:ilvl w:val="0"/>
          <w:numId w:val="9"/>
        </w:numPr>
        <w:rPr>
          <w:rFonts w:ascii="Arial" w:cs="Arial" w:eastAsia="Arial" w:hAnsi="Arial"/>
          <w:sz w:val="18"/>
          <w:szCs w:val="18"/>
          <w:color w:val="010000"/>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010000"/>
        </w:rPr>
      </w:pPr>
    </w:p>
    <w:p>
      <w:pPr>
        <w:ind w:left="1340" w:hanging="684"/>
        <w:spacing w:after="0"/>
        <w:tabs>
          <w:tab w:leader="none" w:pos="1340" w:val="left"/>
        </w:tabs>
        <w:numPr>
          <w:ilvl w:val="0"/>
          <w:numId w:val="9"/>
        </w:numPr>
        <w:rPr>
          <w:rFonts w:ascii="Arial" w:cs="Arial" w:eastAsia="Arial" w:hAnsi="Arial"/>
          <w:sz w:val="18"/>
          <w:szCs w:val="18"/>
          <w:color w:val="010000"/>
        </w:rPr>
      </w:pPr>
      <w:r>
        <w:rPr>
          <w:rFonts w:ascii="Arial" w:cs="Arial" w:eastAsia="Arial" w:hAnsi="Arial"/>
          <w:sz w:val="18"/>
          <w:szCs w:val="18"/>
          <w:color w:val="auto"/>
        </w:rPr>
        <w:t>EFFECT OF HEADINGS. The Section headings herein are for convenience only and shall not affect the construction hereof.</w:t>
      </w:r>
    </w:p>
    <w:p>
      <w:pPr>
        <w:spacing w:after="0" w:line="225" w:lineRule="exact"/>
        <w:rPr>
          <w:rFonts w:ascii="Arial" w:cs="Arial" w:eastAsia="Arial" w:hAnsi="Arial"/>
          <w:sz w:val="18"/>
          <w:szCs w:val="18"/>
          <w:color w:val="010000"/>
        </w:rPr>
      </w:pPr>
    </w:p>
    <w:p>
      <w:pPr>
        <w:jc w:val="both"/>
        <w:ind w:firstLine="656"/>
        <w:spacing w:after="0" w:line="263" w:lineRule="auto"/>
        <w:tabs>
          <w:tab w:leader="none" w:pos="1431" w:val="left"/>
        </w:tabs>
        <w:numPr>
          <w:ilvl w:val="0"/>
          <w:numId w:val="9"/>
        </w:numPr>
        <w:rPr>
          <w:rFonts w:ascii="Arial" w:cs="Arial" w:eastAsia="Arial" w:hAnsi="Arial"/>
          <w:sz w:val="18"/>
          <w:szCs w:val="18"/>
          <w:color w:val="010000"/>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83" w:lineRule="exact"/>
        <w:rPr>
          <w:rFonts w:ascii="Arial" w:cs="Arial" w:eastAsia="Arial" w:hAnsi="Arial"/>
          <w:sz w:val="18"/>
          <w:szCs w:val="18"/>
          <w:color w:val="010000"/>
        </w:rPr>
      </w:pPr>
    </w:p>
    <w:p>
      <w:pPr>
        <w:jc w:val="both"/>
        <w:ind w:firstLine="656"/>
        <w:spacing w:after="0" w:line="259" w:lineRule="auto"/>
        <w:tabs>
          <w:tab w:leader="none" w:pos="1377" w:val="left"/>
        </w:tabs>
        <w:numPr>
          <w:ilvl w:val="0"/>
          <w:numId w:val="9"/>
        </w:numPr>
        <w:rPr>
          <w:rFonts w:ascii="Arial" w:cs="Arial" w:eastAsia="Arial" w:hAnsi="Arial"/>
          <w:sz w:val="18"/>
          <w:szCs w:val="18"/>
          <w:color w:val="010000"/>
        </w:rPr>
      </w:pPr>
      <w:r>
        <w:rPr>
          <w:rFonts w:ascii="Arial" w:cs="Arial" w:eastAsia="Arial" w:hAnsi="Arial"/>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186" w:lineRule="exact"/>
        <w:rPr>
          <w:rFonts w:ascii="Arial" w:cs="Arial" w:eastAsia="Arial" w:hAnsi="Arial"/>
          <w:sz w:val="18"/>
          <w:szCs w:val="18"/>
          <w:color w:val="010000"/>
        </w:rPr>
      </w:pPr>
    </w:p>
    <w:p>
      <w:pPr>
        <w:jc w:val="both"/>
        <w:ind w:firstLine="656"/>
        <w:spacing w:after="0" w:line="268" w:lineRule="auto"/>
        <w:tabs>
          <w:tab w:leader="none" w:pos="1350" w:val="left"/>
        </w:tabs>
        <w:numPr>
          <w:ilvl w:val="0"/>
          <w:numId w:val="9"/>
        </w:numPr>
        <w:rPr>
          <w:rFonts w:ascii="Arial" w:cs="Arial" w:eastAsia="Arial" w:hAnsi="Arial"/>
          <w:sz w:val="17"/>
          <w:szCs w:val="17"/>
          <w:color w:val="010000"/>
        </w:rPr>
      </w:pPr>
      <w:r>
        <w:rPr>
          <w:rFonts w:ascii="Arial" w:cs="Arial" w:eastAsia="Arial" w:hAnsi="Arial"/>
          <w:sz w:val="17"/>
          <w:szCs w:val="17"/>
          <w:color w:val="auto"/>
        </w:rPr>
        <w:t>ELECTRONIC SIGNATURES. Each of the transaction parties agrees on behalf of itself, and any Person acting or claiming by, under or through such transaction party, that any written instrument delivered in connection with this Supplemental Indenture, the Indenture or any related document, including without limitation any amendments or supplements to such documents, may be executed by electronic methods (whether by .pdf scan or utilization of an electronic signature platform or application). Any electronic signature document delivered via email from a person authorized on an incumbency certificate provided by the Company, any Guaranteeing Subsidiary or any other Guarantor to the Trustee shall be considered signed or executed by such person on behalf of the Company, such Guaranteeing Subsidiary, or such other Guarantor, as applicable. Each of the Company, the Guaranteeing Subsidiary, and the other Guarantors agree to assume all risks arising out of the use of electronic methods for all purposes including the authorization, execution, delivery, or submission of documents, instruments, notices, directions, instructions, reports, opinions and certificates to the Trustee, including without limitation the risk of the Trustee acting on unauthorized instructions, and the risk of interception and misuse by third parties. Any electronic signature shall have the same legal validity and enforceability as a manually executed signature to the fullest extent permitted by applicable law, including the Federal Electronic Signatures in Global and National Commerce Act, the New York State Electronic Signatures and Records Act, or any similar federal or state law, rule or regulation, as the same may be in effect from time to time, and the parties hereby waive any objection to the contrary. Any document accepted, executed or agreed to in conformity with such laws will be binding on all parties hereto to the same extent as if it were physically executed and each party hereby consents to the use of any third party electronic signature capture service providers as may be reasonably chosen by a signatory hereto.</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ind w:firstLine="1296"/>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OCOTILLO WINDPOWER HOLDINGS LLC</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Chad Plotkin</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CLEARWAY ENERGY LLC</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DGPV HOLDING LLC</w:t>
      </w:r>
    </w:p>
    <w:p>
      <w:pPr>
        <w:spacing w:after="0" w:line="200" w:lineRule="exact"/>
        <w:rPr>
          <w:sz w:val="20"/>
          <w:szCs w:val="20"/>
          <w:color w:val="auto"/>
        </w:rPr>
      </w:pPr>
    </w:p>
    <w:p>
      <w:pPr>
        <w:spacing w:after="0" w:line="2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Chad Plotkin</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Senior Vice President, Chief Financial Officer &amp; Treasurer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Sixth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ind w:left="4500"/>
        <w:spacing w:after="0"/>
        <w:rPr>
          <w:sz w:val="20"/>
          <w:szCs w:val="20"/>
          <w:color w:val="auto"/>
        </w:rPr>
      </w:pPr>
      <w:r>
        <w:rPr>
          <w:rFonts w:ascii="Arial" w:cs="Arial" w:eastAsia="Arial" w:hAnsi="Arial"/>
          <w:sz w:val="18"/>
          <w:szCs w:val="18"/>
          <w:color w:val="auto"/>
        </w:rPr>
        <w:t>ALTA WIND 1-5 HOLDING COMPANY, LLC</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ALTA WIND COMPANY,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CBAD HOLDINGS II,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CENTRAL CA FUEL CELL 1,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CLEARWAY SOLAR STAR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CWEN PINNACLE REPOWERING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DG-CS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DG SREC HOLDCO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ECP UPTOWN CAMPUS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ENERGY CENTER CAGUAS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ENERGY CENTER FAJARDO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ENERGY CENTER HONOLULU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FUEL CELL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MESQUITE STAR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NIMH SOLAR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PORTFOLIO SOLAR 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RPV HOLDING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FLAGSTAFF ONE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IGUANA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LAS VEGAS MB 1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TABERNACLE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SOUTH TRENT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ASSET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II-B,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THERMAL CANADA INFRASTRUCTURE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THERMAL HAWAII DEVELOPMENT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THERMAL INFRASTRUCTURE DEVELOPMENT HOLDINGS LLC</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UB FUEL CELL,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UTAH SOLAR MASTER HOLDCO LLC</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Chad Plotkin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Sixth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288925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740"/>
          </w:cols>
          <w:pgMar w:left="1440" w:top="908" w:right="71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DELAWARE TRUST COMPANY</w:t>
      </w:r>
    </w:p>
    <w:p>
      <w:pPr>
        <w:spacing w:after="0" w:line="200" w:lineRule="exact"/>
        <w:rPr>
          <w:sz w:val="20"/>
          <w:szCs w:val="20"/>
          <w:color w:val="auto"/>
        </w:rPr>
      </w:pPr>
    </w:p>
    <w:p>
      <w:pPr>
        <w:spacing w:after="0" w:line="241" w:lineRule="exact"/>
        <w:rPr>
          <w:sz w:val="20"/>
          <w:szCs w:val="20"/>
          <w:color w:val="auto"/>
        </w:rPr>
      </w:pPr>
    </w:p>
    <w:p>
      <w:pPr>
        <w:jc w:val="both"/>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Benjamin Hancock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jc w:val="right"/>
        <w:ind w:right="7959"/>
        <w:spacing w:after="0"/>
        <w:rPr>
          <w:sz w:val="20"/>
          <w:szCs w:val="20"/>
          <w:color w:val="auto"/>
        </w:rPr>
      </w:pPr>
      <w:r>
        <w:rPr>
          <w:rFonts w:ascii="Arial" w:cs="Arial" w:eastAsia="Arial" w:hAnsi="Arial"/>
          <w:sz w:val="18"/>
          <w:szCs w:val="18"/>
          <w:color w:val="auto"/>
        </w:rPr>
        <w:t>Authorized Signatory:</w:t>
      </w:r>
    </w:p>
    <w:p>
      <w:pPr>
        <w:spacing w:after="0" w:line="224" w:lineRule="exact"/>
        <w:rPr>
          <w:sz w:val="20"/>
          <w:szCs w:val="20"/>
          <w:color w:val="auto"/>
        </w:rPr>
      </w:pPr>
    </w:p>
    <w:p>
      <w:pPr>
        <w:jc w:val="right"/>
        <w:ind w:right="27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Sixth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9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
      <w:numFmt w:val="bullet"/>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1"/>
      <w:numFmt w:val="decimal"/>
      <w:start w:val="104"/>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4"/>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5"/>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2020-12-04T15:06:51Z</dcterms:created>
  <dcterms:modified xsi:type="dcterms:W3CDTF">2020-12-04T15:06:51Z</dcterms:modified>
</cp:coreProperties>
</file>