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04/15/2025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04/15/2025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95</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77,310</w:t>
            </w:r>
            <w:r>
              <w:rPr>
                <w:rFonts w:ascii="Times New Roman" w:cs="Times New Roman" w:eastAsia="Times New Roman" w:hAnsi="Times New Roman"/>
                <w:sz w:val="22"/>
                <w:szCs w:val="22"/>
                <w:color w:val="008000"/>
                <w:vertAlign w:val="superscript"/>
              </w:rPr>
              <w:t>(4)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 The Reporting Person has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has been adjusted to correct an error that had previously caused the Reporting Person's holding to be overreported by 821 shares.</w:t>
      </w:r>
    </w:p>
    <w:p>
      <w:pPr>
        <w:sectPr>
          <w:pgSz w:w="11900" w:h="16838" w:orient="portrait"/>
          <w:cols w:equalWidth="0" w:num="1">
            <w:col w:w="10900"/>
          </w:cols>
          <w:pgMar w:left="480" w:top="139" w:right="51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39"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9" w:right="51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2025-04-17T15:36:09Z</dcterms:created>
  <dcterms:modified xsi:type="dcterms:W3CDTF">2025-04-17T15:36:09Z</dcterms:modified>
</cp:coreProperties>
</file>