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33195-1_4seq1.xml.htm"/>
      <w:bookmarkStart w:id="1" w:name="kstm253319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BlackRock Portfolio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12/12/2025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12/12/2025</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165,592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(the "GIP Entities") may be deemed to share beneficial ownership of the securities owned by Clearway Energy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Adebayo Ogunlesi, Michael McGhee, Rajaram Rao, Deepak Agrawal, Julie Ashworth, Jonathan Bram, William Brilliant, Matthew Harris, Tom Horton, Sugam Mehta and Salim Samaha, as the voting members of the Investment Committee of Global Investors, may be deemed to share beneficial ownership of the Issuer securities beneficially owned by Global Investors. Such individuals expressly disclaim any such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BlackRock Portfolio Management LLC and the GIP Entities disclaim beneficial ownership of the securities reported herein, except to the extent of their respective pecuniary interest therein, if any, and, pursuant to Rule 16a-1(a)(4) under the Securities Exchange Act of 1934, as amended, BlackRock Portfolio Management LLC and the GIP Entities state that the inclusion of these securities in this report shall not be deemed an admission of beneficial ownership of the securities reported herein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accordance with SEC Release No. 34-39538 (January 12, 1998), BlackRock Portfolio Management LLC is reporting Issuer securities beneficially owned, or deemed to be beneficially owned, by certain business units (collectively, the "Reporting Business Units") of BlackRock, Inc. and its subsidiaries and affiliates. This filing does not include Issuer securities, if any, beneficially owned by other business units whose beneficial ownership of securities is disaggregated from that of the Reporting Business Units in accordance with such release.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BlackRock Portfolio Management LLC By: /s/ Julie Ashworth,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12/16/2025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113"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938</Words>
  <Characters>5200</Characters>
  <CharactersWithSpaces>6074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