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484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2773045</wp:posOffset>
            </wp:positionH>
            <wp:positionV relativeFrom="page">
              <wp:posOffset>294640</wp:posOffset>
            </wp:positionV>
            <wp:extent cx="2040890" cy="2832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2040890" cy="283210"/>
                    </a:xfrm>
                    <a:prstGeom prst="rect">
                      <a:avLst/>
                    </a:prstGeom>
                    <a:noFill/>
                  </pic:spPr>
                </pic:pic>
              </a:graphicData>
            </a:graphic>
          </wp:anchor>
        </w:drawing>
        <w:t>300 North LaSalle Street</w:t>
      </w:r>
    </w:p>
    <w:p>
      <w:pPr>
        <w:spacing w:after="0" w:line="23" w:lineRule="exact"/>
        <w:rPr>
          <w:sz w:val="24"/>
          <w:szCs w:val="24"/>
          <w:color w:val="auto"/>
        </w:rPr>
      </w:pPr>
    </w:p>
    <w:p>
      <w:pPr>
        <w:ind w:left="4860"/>
        <w:spacing w:after="0"/>
        <w:rPr>
          <w:sz w:val="20"/>
          <w:szCs w:val="20"/>
          <w:color w:val="auto"/>
        </w:rPr>
      </w:pPr>
      <w:r>
        <w:rPr>
          <w:rFonts w:ascii="Arial" w:cs="Arial" w:eastAsia="Arial" w:hAnsi="Arial"/>
          <w:sz w:val="18"/>
          <w:szCs w:val="18"/>
          <w:color w:val="auto"/>
        </w:rPr>
        <w:t>Chicago, Illinois 60654</w:t>
      </w:r>
    </w:p>
    <w:p>
      <w:pPr>
        <w:spacing w:after="0" w:line="211" w:lineRule="exact"/>
        <w:rPr>
          <w:sz w:val="24"/>
          <w:szCs w:val="24"/>
          <w:color w:val="auto"/>
        </w:rPr>
      </w:pPr>
    </w:p>
    <w:tbl>
      <w:tblPr>
        <w:tblLayout w:type="fixed"/>
        <w:tblInd w:w="800" w:type="dxa"/>
        <w:tblCellMar>
          <w:top w:w="0" w:type="dxa"/>
          <w:left w:w="0" w:type="dxa"/>
          <w:bottom w:w="0" w:type="dxa"/>
          <w:right w:w="0" w:type="dxa"/>
        </w:tblCellMar>
      </w:tblPr>
      <w:tr>
        <w:trPr>
          <w:trHeight w:val="230"/>
        </w:trPr>
        <w:tc>
          <w:tcPr>
            <w:tcW w:w="3160" w:type="dxa"/>
            <w:vAlign w:val="bottom"/>
          </w:tcPr>
          <w:p>
            <w:pPr>
              <w:jc w:val="center"/>
              <w:ind w:right="1010"/>
              <w:spacing w:after="0"/>
              <w:rPr>
                <w:sz w:val="20"/>
                <w:szCs w:val="20"/>
                <w:color w:val="auto"/>
              </w:rPr>
            </w:pPr>
            <w:r>
              <w:rPr>
                <w:rFonts w:ascii="Arial" w:cs="Arial" w:eastAsia="Arial" w:hAnsi="Arial"/>
                <w:sz w:val="18"/>
                <w:szCs w:val="18"/>
                <w:color w:val="auto"/>
                <w:w w:val="89"/>
              </w:rPr>
              <w:t>Gerald T. Nowak, P.C.</w:t>
            </w:r>
          </w:p>
        </w:tc>
        <w:tc>
          <w:tcPr>
            <w:tcW w:w="3760" w:type="dxa"/>
            <w:vAlign w:val="bottom"/>
            <w:vMerge w:val="restart"/>
          </w:tcPr>
          <w:p>
            <w:pPr>
              <w:jc w:val="center"/>
              <w:ind w:right="150"/>
              <w:spacing w:after="0"/>
              <w:rPr>
                <w:sz w:val="20"/>
                <w:szCs w:val="20"/>
                <w:color w:val="auto"/>
              </w:rPr>
            </w:pPr>
            <w:r>
              <w:rPr>
                <w:rFonts w:ascii="Arial" w:cs="Arial" w:eastAsia="Arial" w:hAnsi="Arial"/>
                <w:sz w:val="18"/>
                <w:szCs w:val="18"/>
                <w:color w:val="auto"/>
                <w:w w:val="90"/>
              </w:rPr>
              <w:t>(312) 862-2000</w:t>
            </w:r>
          </w:p>
        </w:tc>
        <w:tc>
          <w:tcPr>
            <w:tcW w:w="2440" w:type="dxa"/>
            <w:vAlign w:val="bottom"/>
            <w:vMerge w:val="restart"/>
          </w:tcPr>
          <w:p>
            <w:pPr>
              <w:jc w:val="center"/>
              <w:ind w:left="1230"/>
              <w:spacing w:after="0"/>
              <w:rPr>
                <w:sz w:val="20"/>
                <w:szCs w:val="20"/>
                <w:color w:val="auto"/>
              </w:rPr>
            </w:pPr>
            <w:r>
              <w:rPr>
                <w:rFonts w:ascii="Arial" w:cs="Arial" w:eastAsia="Arial" w:hAnsi="Arial"/>
                <w:sz w:val="18"/>
                <w:szCs w:val="18"/>
                <w:color w:val="auto"/>
                <w:w w:val="93"/>
              </w:rPr>
              <w:t>Facsimile:</w:t>
            </w:r>
          </w:p>
        </w:tc>
        <w:tc>
          <w:tcPr>
            <w:tcW w:w="0" w:type="dxa"/>
            <w:vAlign w:val="bottom"/>
          </w:tcPr>
          <w:p>
            <w:pPr>
              <w:spacing w:after="0"/>
              <w:rPr>
                <w:sz w:val="1"/>
                <w:szCs w:val="1"/>
                <w:color w:val="auto"/>
              </w:rPr>
            </w:pPr>
          </w:p>
        </w:tc>
      </w:tr>
      <w:tr>
        <w:trPr>
          <w:trHeight w:val="202"/>
        </w:trPr>
        <w:tc>
          <w:tcPr>
            <w:tcW w:w="3160" w:type="dxa"/>
            <w:vAlign w:val="bottom"/>
          </w:tcPr>
          <w:p>
            <w:pPr>
              <w:spacing w:after="0"/>
              <w:rPr>
                <w:sz w:val="17"/>
                <w:szCs w:val="17"/>
                <w:color w:val="auto"/>
              </w:rPr>
            </w:pPr>
          </w:p>
        </w:tc>
        <w:tc>
          <w:tcPr>
            <w:tcW w:w="3760" w:type="dxa"/>
            <w:vAlign w:val="bottom"/>
            <w:vMerge w:val="continue"/>
          </w:tcPr>
          <w:p>
            <w:pPr>
              <w:spacing w:after="0"/>
              <w:rPr>
                <w:sz w:val="17"/>
                <w:szCs w:val="17"/>
                <w:color w:val="auto"/>
              </w:rPr>
            </w:pPr>
          </w:p>
        </w:tc>
        <w:tc>
          <w:tcPr>
            <w:tcW w:w="244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3160" w:type="dxa"/>
            <w:vAlign w:val="bottom"/>
          </w:tcPr>
          <w:p>
            <w:pPr>
              <w:jc w:val="center"/>
              <w:ind w:right="990"/>
              <w:spacing w:after="0"/>
              <w:rPr>
                <w:sz w:val="20"/>
                <w:szCs w:val="20"/>
                <w:color w:val="auto"/>
              </w:rPr>
            </w:pPr>
            <w:r>
              <w:rPr>
                <w:rFonts w:ascii="Arial" w:cs="Arial" w:eastAsia="Arial" w:hAnsi="Arial"/>
                <w:sz w:val="18"/>
                <w:szCs w:val="18"/>
                <w:color w:val="auto"/>
                <w:w w:val="95"/>
              </w:rPr>
              <w:t>To Call Writer Directly:</w:t>
            </w:r>
          </w:p>
        </w:tc>
        <w:tc>
          <w:tcPr>
            <w:tcW w:w="3760" w:type="dxa"/>
            <w:vAlign w:val="bottom"/>
          </w:tcPr>
          <w:p>
            <w:pPr>
              <w:spacing w:after="0"/>
              <w:rPr>
                <w:sz w:val="18"/>
                <w:szCs w:val="18"/>
                <w:color w:val="auto"/>
              </w:rPr>
            </w:pPr>
          </w:p>
        </w:tc>
        <w:tc>
          <w:tcPr>
            <w:tcW w:w="2440" w:type="dxa"/>
            <w:vAlign w:val="bottom"/>
          </w:tcPr>
          <w:p>
            <w:pPr>
              <w:jc w:val="right"/>
              <w:spacing w:after="0"/>
              <w:rPr>
                <w:sz w:val="20"/>
                <w:szCs w:val="20"/>
                <w:color w:val="auto"/>
              </w:rPr>
            </w:pPr>
            <w:r>
              <w:rPr>
                <w:rFonts w:ascii="Arial" w:cs="Arial" w:eastAsia="Arial" w:hAnsi="Arial"/>
                <w:sz w:val="18"/>
                <w:szCs w:val="18"/>
                <w:color w:val="auto"/>
              </w:rPr>
              <w:t>(312) 862-2200</w:t>
            </w:r>
          </w:p>
        </w:tc>
        <w:tc>
          <w:tcPr>
            <w:tcW w:w="0" w:type="dxa"/>
            <w:vAlign w:val="bottom"/>
          </w:tcPr>
          <w:p>
            <w:pPr>
              <w:spacing w:after="0"/>
              <w:rPr>
                <w:sz w:val="1"/>
                <w:szCs w:val="1"/>
                <w:color w:val="auto"/>
              </w:rPr>
            </w:pPr>
          </w:p>
        </w:tc>
      </w:tr>
      <w:tr>
        <w:trPr>
          <w:trHeight w:val="216"/>
        </w:trPr>
        <w:tc>
          <w:tcPr>
            <w:tcW w:w="3160" w:type="dxa"/>
            <w:vAlign w:val="bottom"/>
          </w:tcPr>
          <w:p>
            <w:pPr>
              <w:jc w:val="center"/>
              <w:ind w:right="990"/>
              <w:spacing w:after="0"/>
              <w:rPr>
                <w:sz w:val="20"/>
                <w:szCs w:val="20"/>
                <w:color w:val="auto"/>
              </w:rPr>
            </w:pPr>
            <w:r>
              <w:rPr>
                <w:rFonts w:ascii="Arial" w:cs="Arial" w:eastAsia="Arial" w:hAnsi="Arial"/>
                <w:sz w:val="18"/>
                <w:szCs w:val="18"/>
                <w:color w:val="auto"/>
                <w:w w:val="90"/>
              </w:rPr>
              <w:t>(312) 862-2075</w:t>
            </w:r>
          </w:p>
        </w:tc>
        <w:tc>
          <w:tcPr>
            <w:tcW w:w="3760" w:type="dxa"/>
            <w:vAlign w:val="bottom"/>
          </w:tcPr>
          <w:p>
            <w:pPr>
              <w:jc w:val="center"/>
              <w:ind w:right="130"/>
              <w:spacing w:after="0"/>
              <w:rPr>
                <w:sz w:val="20"/>
                <w:szCs w:val="20"/>
                <w:color w:val="auto"/>
              </w:rPr>
            </w:pPr>
            <w:r>
              <w:rPr>
                <w:rFonts w:ascii="Arial" w:cs="Arial" w:eastAsia="Arial" w:hAnsi="Arial"/>
                <w:sz w:val="18"/>
                <w:szCs w:val="18"/>
                <w:color w:val="auto"/>
                <w:w w:val="95"/>
              </w:rPr>
              <w:t>www.kirkland.com</w:t>
            </w:r>
          </w:p>
        </w:tc>
        <w:tc>
          <w:tcPr>
            <w:tcW w:w="2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3160" w:type="dxa"/>
            <w:vAlign w:val="bottom"/>
          </w:tcPr>
          <w:p>
            <w:pPr>
              <w:jc w:val="center"/>
              <w:ind w:right="990"/>
              <w:spacing w:after="0"/>
              <w:rPr>
                <w:sz w:val="20"/>
                <w:szCs w:val="20"/>
                <w:color w:val="auto"/>
              </w:rPr>
            </w:pPr>
            <w:r>
              <w:rPr>
                <w:rFonts w:ascii="Arial" w:cs="Arial" w:eastAsia="Arial" w:hAnsi="Arial"/>
                <w:sz w:val="18"/>
                <w:szCs w:val="18"/>
                <w:color w:val="auto"/>
                <w:w w:val="91"/>
              </w:rPr>
              <w:t>gerald.nowak@kirkland.com</w:t>
            </w:r>
          </w:p>
        </w:tc>
        <w:tc>
          <w:tcPr>
            <w:tcW w:w="3760" w:type="dxa"/>
            <w:vAlign w:val="bottom"/>
          </w:tcPr>
          <w:p>
            <w:pPr>
              <w:spacing w:after="0"/>
              <w:rPr>
                <w:sz w:val="20"/>
                <w:szCs w:val="20"/>
                <w:color w:val="auto"/>
              </w:rPr>
            </w:pPr>
          </w:p>
        </w:tc>
        <w:tc>
          <w:tcPr>
            <w:tcW w:w="24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3160" w:type="dxa"/>
            <w:vAlign w:val="bottom"/>
          </w:tcPr>
          <w:p>
            <w:pPr>
              <w:spacing w:after="0"/>
              <w:rPr>
                <w:sz w:val="24"/>
                <w:szCs w:val="24"/>
                <w:color w:val="auto"/>
              </w:rPr>
            </w:pPr>
          </w:p>
        </w:tc>
        <w:tc>
          <w:tcPr>
            <w:tcW w:w="3760" w:type="dxa"/>
            <w:vAlign w:val="bottom"/>
          </w:tcPr>
          <w:p>
            <w:pPr>
              <w:jc w:val="center"/>
              <w:ind w:right="150"/>
              <w:spacing w:after="0"/>
              <w:rPr>
                <w:sz w:val="20"/>
                <w:szCs w:val="20"/>
                <w:color w:val="auto"/>
              </w:rPr>
            </w:pPr>
            <w:r>
              <w:rPr>
                <w:rFonts w:ascii="Arial" w:cs="Arial" w:eastAsia="Arial" w:hAnsi="Arial"/>
                <w:sz w:val="18"/>
                <w:szCs w:val="18"/>
                <w:color w:val="auto"/>
                <w:w w:val="90"/>
              </w:rPr>
              <w:t>July 8, 2013</w:t>
            </w:r>
          </w:p>
        </w:tc>
        <w:tc>
          <w:tcPr>
            <w:tcW w:w="24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198"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Via EDGAR Submission and Overnight Delivery</w:t>
      </w:r>
    </w:p>
    <w:p>
      <w:pPr>
        <w:spacing w:after="0" w:line="229" w:lineRule="exact"/>
        <w:rPr>
          <w:sz w:val="24"/>
          <w:szCs w:val="24"/>
          <w:color w:val="auto"/>
        </w:rPr>
      </w:pPr>
    </w:p>
    <w:p>
      <w:pPr>
        <w:spacing w:after="0"/>
        <w:rPr>
          <w:sz w:val="20"/>
          <w:szCs w:val="20"/>
          <w:color w:val="auto"/>
        </w:rPr>
      </w:pPr>
      <w:r>
        <w:rPr>
          <w:rFonts w:ascii="Arial" w:cs="Arial" w:eastAsia="Arial" w:hAnsi="Arial"/>
          <w:sz w:val="18"/>
          <w:szCs w:val="18"/>
          <w:color w:val="auto"/>
        </w:rPr>
        <w:t>Securities and Exchange Commission</w:t>
      </w:r>
    </w:p>
    <w:p>
      <w:pPr>
        <w:spacing w:after="0" w:line="23" w:lineRule="exact"/>
        <w:rPr>
          <w:sz w:val="24"/>
          <w:szCs w:val="24"/>
          <w:color w:val="auto"/>
        </w:rPr>
      </w:pPr>
    </w:p>
    <w:p>
      <w:pPr>
        <w:spacing w:after="0"/>
        <w:rPr>
          <w:sz w:val="20"/>
          <w:szCs w:val="20"/>
          <w:color w:val="auto"/>
        </w:rPr>
      </w:pPr>
      <w:r>
        <w:rPr>
          <w:rFonts w:ascii="Arial" w:cs="Arial" w:eastAsia="Arial" w:hAnsi="Arial"/>
          <w:sz w:val="18"/>
          <w:szCs w:val="18"/>
          <w:color w:val="auto"/>
        </w:rPr>
        <w:t>100 F Street, N.E.</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Washington, D.C. 20549</w:t>
      </w:r>
    </w:p>
    <w:p>
      <w:pPr>
        <w:spacing w:after="0" w:line="9" w:lineRule="exact"/>
        <w:rPr>
          <w:sz w:val="24"/>
          <w:szCs w:val="24"/>
          <w:color w:val="auto"/>
        </w:rPr>
      </w:pPr>
    </w:p>
    <w:p>
      <w:pPr>
        <w:spacing w:after="0"/>
        <w:tabs>
          <w:tab w:leader="none" w:pos="1320" w:val="left"/>
        </w:tabs>
        <w:rPr>
          <w:sz w:val="20"/>
          <w:szCs w:val="20"/>
          <w:color w:val="auto"/>
        </w:rPr>
      </w:pPr>
      <w:r>
        <w:rPr>
          <w:rFonts w:ascii="Arial" w:cs="Arial" w:eastAsia="Arial" w:hAnsi="Arial"/>
          <w:sz w:val="18"/>
          <w:szCs w:val="18"/>
          <w:color w:val="auto"/>
        </w:rPr>
        <w:t>Attention:</w:t>
      </w:r>
      <w:r>
        <w:rPr>
          <w:sz w:val="20"/>
          <w:szCs w:val="20"/>
          <w:color w:val="auto"/>
        </w:rPr>
        <w:tab/>
      </w:r>
      <w:r>
        <w:rPr>
          <w:rFonts w:ascii="Arial" w:cs="Arial" w:eastAsia="Arial" w:hAnsi="Arial"/>
          <w:sz w:val="18"/>
          <w:szCs w:val="18"/>
          <w:color w:val="auto"/>
        </w:rPr>
        <w:t>Mara L. Ransom</w:t>
      </w:r>
    </w:p>
    <w:p>
      <w:pPr>
        <w:spacing w:after="0" w:line="9" w:lineRule="exact"/>
        <w:rPr>
          <w:sz w:val="24"/>
          <w:szCs w:val="24"/>
          <w:color w:val="auto"/>
        </w:rPr>
      </w:pPr>
    </w:p>
    <w:p>
      <w:pPr>
        <w:ind w:left="1340"/>
        <w:spacing w:after="0"/>
        <w:rPr>
          <w:sz w:val="20"/>
          <w:szCs w:val="20"/>
          <w:color w:val="auto"/>
        </w:rPr>
      </w:pPr>
      <w:r>
        <w:rPr>
          <w:rFonts w:ascii="Arial" w:cs="Arial" w:eastAsia="Arial" w:hAnsi="Arial"/>
          <w:sz w:val="18"/>
          <w:szCs w:val="18"/>
          <w:color w:val="auto"/>
        </w:rPr>
        <w:t>Scott Anderegg</w:t>
      </w:r>
    </w:p>
    <w:p>
      <w:pPr>
        <w:spacing w:after="0" w:line="9" w:lineRule="exact"/>
        <w:rPr>
          <w:sz w:val="24"/>
          <w:szCs w:val="24"/>
          <w:color w:val="auto"/>
        </w:rPr>
      </w:pPr>
    </w:p>
    <w:p>
      <w:pPr>
        <w:ind w:left="1340"/>
        <w:spacing w:after="0"/>
        <w:rPr>
          <w:sz w:val="20"/>
          <w:szCs w:val="20"/>
          <w:color w:val="auto"/>
        </w:rPr>
      </w:pPr>
      <w:r>
        <w:rPr>
          <w:rFonts w:ascii="Arial" w:cs="Arial" w:eastAsia="Arial" w:hAnsi="Arial"/>
          <w:sz w:val="18"/>
          <w:szCs w:val="18"/>
          <w:color w:val="auto"/>
        </w:rPr>
        <w:t>Jarrett Torno</w:t>
      </w:r>
    </w:p>
    <w:p>
      <w:pPr>
        <w:spacing w:after="0" w:line="9" w:lineRule="exact"/>
        <w:rPr>
          <w:sz w:val="24"/>
          <w:szCs w:val="24"/>
          <w:color w:val="auto"/>
        </w:rPr>
      </w:pPr>
    </w:p>
    <w:p>
      <w:pPr>
        <w:ind w:left="1340"/>
        <w:spacing w:after="0"/>
        <w:rPr>
          <w:sz w:val="20"/>
          <w:szCs w:val="20"/>
          <w:color w:val="auto"/>
        </w:rPr>
      </w:pPr>
      <w:r>
        <w:rPr>
          <w:rFonts w:ascii="Arial" w:cs="Arial" w:eastAsia="Arial" w:hAnsi="Arial"/>
          <w:sz w:val="18"/>
          <w:szCs w:val="18"/>
          <w:color w:val="auto"/>
        </w:rPr>
        <w:t>James Allegretto</w:t>
      </w:r>
    </w:p>
    <w:p>
      <w:pPr>
        <w:spacing w:after="0" w:line="211" w:lineRule="exact"/>
        <w:rPr>
          <w:sz w:val="24"/>
          <w:szCs w:val="24"/>
          <w:color w:val="auto"/>
        </w:rPr>
      </w:pPr>
    </w:p>
    <w:tbl>
      <w:tblPr>
        <w:tblLayout w:type="fixed"/>
        <w:tblInd w:w="0" w:type="dxa"/>
        <w:tblCellMar>
          <w:top w:w="0" w:type="dxa"/>
          <w:left w:w="0" w:type="dxa"/>
          <w:bottom w:w="0" w:type="dxa"/>
          <w:right w:w="0" w:type="dxa"/>
        </w:tblCellMar>
      </w:tblPr>
      <w:tr>
        <w:trPr>
          <w:trHeight w:val="216"/>
        </w:trPr>
        <w:tc>
          <w:tcPr>
            <w:tcW w:w="1820" w:type="dxa"/>
            <w:vAlign w:val="bottom"/>
          </w:tcPr>
          <w:p>
            <w:pPr>
              <w:ind w:left="1340"/>
              <w:spacing w:after="0"/>
              <w:rPr>
                <w:sz w:val="20"/>
                <w:szCs w:val="20"/>
                <w:color w:val="auto"/>
              </w:rPr>
            </w:pPr>
            <w:r>
              <w:rPr>
                <w:rFonts w:ascii="Arial" w:cs="Arial" w:eastAsia="Arial" w:hAnsi="Arial"/>
                <w:sz w:val="18"/>
                <w:szCs w:val="18"/>
                <w:color w:val="auto"/>
              </w:rPr>
              <w:t>Re:</w:t>
            </w:r>
          </w:p>
        </w:tc>
        <w:tc>
          <w:tcPr>
            <w:tcW w:w="4320" w:type="dxa"/>
            <w:vAlign w:val="bottom"/>
            <w:gridSpan w:val="3"/>
          </w:tcPr>
          <w:p>
            <w:pPr>
              <w:ind w:left="160"/>
              <w:spacing w:after="0"/>
              <w:rPr>
                <w:sz w:val="20"/>
                <w:szCs w:val="20"/>
                <w:color w:val="auto"/>
              </w:rPr>
            </w:pPr>
            <w:r>
              <w:rPr>
                <w:rFonts w:ascii="Arial" w:cs="Arial" w:eastAsia="Arial" w:hAnsi="Arial"/>
                <w:sz w:val="18"/>
                <w:szCs w:val="18"/>
                <w:color w:val="auto"/>
              </w:rPr>
              <w:t>NRG Yield, Inc.</w:t>
            </w:r>
          </w:p>
        </w:tc>
      </w:tr>
      <w:tr>
        <w:trPr>
          <w:trHeight w:val="216"/>
        </w:trPr>
        <w:tc>
          <w:tcPr>
            <w:tcW w:w="1820" w:type="dxa"/>
            <w:vAlign w:val="bottom"/>
          </w:tcPr>
          <w:p>
            <w:pPr>
              <w:spacing w:after="0"/>
              <w:rPr>
                <w:sz w:val="18"/>
                <w:szCs w:val="18"/>
                <w:color w:val="auto"/>
              </w:rPr>
            </w:pPr>
          </w:p>
        </w:tc>
        <w:tc>
          <w:tcPr>
            <w:tcW w:w="4320" w:type="dxa"/>
            <w:vAlign w:val="bottom"/>
            <w:gridSpan w:val="3"/>
          </w:tcPr>
          <w:p>
            <w:pPr>
              <w:ind w:left="160"/>
              <w:spacing w:after="0"/>
              <w:rPr>
                <w:sz w:val="20"/>
                <w:szCs w:val="20"/>
                <w:color w:val="auto"/>
              </w:rPr>
            </w:pPr>
            <w:r>
              <w:rPr>
                <w:rFonts w:ascii="Arial" w:cs="Arial" w:eastAsia="Arial" w:hAnsi="Arial"/>
                <w:sz w:val="18"/>
                <w:szCs w:val="18"/>
                <w:color w:val="auto"/>
                <w:w w:val="90"/>
              </w:rPr>
              <w:t>Amendment No. 1 to Registration Statement on Form S-1</w:t>
            </w:r>
          </w:p>
        </w:tc>
      </w:tr>
      <w:tr>
        <w:trPr>
          <w:trHeight w:val="190"/>
        </w:trPr>
        <w:tc>
          <w:tcPr>
            <w:tcW w:w="1820" w:type="dxa"/>
            <w:vAlign w:val="bottom"/>
          </w:tcPr>
          <w:p>
            <w:pPr>
              <w:spacing w:after="0"/>
              <w:rPr>
                <w:sz w:val="16"/>
                <w:szCs w:val="16"/>
                <w:color w:val="auto"/>
              </w:rPr>
            </w:pPr>
          </w:p>
        </w:tc>
        <w:tc>
          <w:tcPr>
            <w:tcW w:w="4320" w:type="dxa"/>
            <w:vAlign w:val="bottom"/>
            <w:gridSpan w:val="3"/>
          </w:tcPr>
          <w:p>
            <w:pPr>
              <w:ind w:left="160"/>
              <w:spacing w:after="0" w:line="190" w:lineRule="exact"/>
              <w:rPr>
                <w:sz w:val="20"/>
                <w:szCs w:val="20"/>
                <w:color w:val="auto"/>
              </w:rPr>
            </w:pPr>
            <w:r>
              <w:rPr>
                <w:rFonts w:ascii="Arial" w:cs="Arial" w:eastAsia="Arial" w:hAnsi="Arial"/>
                <w:sz w:val="18"/>
                <w:szCs w:val="18"/>
                <w:color w:val="auto"/>
              </w:rPr>
              <w:t>(File No. 333-189148), filed on June 21, 2013</w:t>
            </w:r>
          </w:p>
        </w:tc>
      </w:tr>
      <w:tr>
        <w:trPr>
          <w:trHeight w:val="453"/>
        </w:trPr>
        <w:tc>
          <w:tcPr>
            <w:tcW w:w="1820" w:type="dxa"/>
            <w:vAlign w:val="bottom"/>
          </w:tcPr>
          <w:p>
            <w:pPr>
              <w:spacing w:after="0"/>
              <w:rPr>
                <w:sz w:val="20"/>
                <w:szCs w:val="20"/>
                <w:color w:val="auto"/>
              </w:rPr>
            </w:pPr>
            <w:r>
              <w:rPr>
                <w:rFonts w:ascii="Arial" w:cs="Arial" w:eastAsia="Arial" w:hAnsi="Arial"/>
                <w:sz w:val="18"/>
                <w:szCs w:val="18"/>
                <w:color w:val="auto"/>
                <w:w w:val="96"/>
              </w:rPr>
              <w:t>Ladies and Gentlemen:</w:t>
            </w:r>
          </w:p>
        </w:tc>
        <w:tc>
          <w:tcPr>
            <w:tcW w:w="160" w:type="dxa"/>
            <w:vAlign w:val="bottom"/>
          </w:tcPr>
          <w:p>
            <w:pPr>
              <w:spacing w:after="0"/>
              <w:rPr>
                <w:sz w:val="24"/>
                <w:szCs w:val="24"/>
                <w:color w:val="auto"/>
              </w:rPr>
            </w:pPr>
          </w:p>
        </w:tc>
        <w:tc>
          <w:tcPr>
            <w:tcW w:w="3320" w:type="dxa"/>
            <w:vAlign w:val="bottom"/>
            <w:tcBorders>
              <w:top w:val="single" w:sz="8" w:color="auto"/>
            </w:tcBorders>
          </w:tcPr>
          <w:p>
            <w:pPr>
              <w:spacing w:after="0"/>
              <w:rPr>
                <w:sz w:val="24"/>
                <w:szCs w:val="24"/>
                <w:color w:val="auto"/>
              </w:rPr>
            </w:pPr>
          </w:p>
        </w:tc>
        <w:tc>
          <w:tcPr>
            <w:tcW w:w="840" w:type="dxa"/>
            <w:vAlign w:val="bottom"/>
          </w:tcPr>
          <w:p>
            <w:pPr>
              <w:spacing w:after="0"/>
              <w:rPr>
                <w:sz w:val="24"/>
                <w:szCs w:val="24"/>
                <w:color w:val="auto"/>
              </w:rPr>
            </w:pPr>
          </w:p>
        </w:tc>
      </w:tr>
    </w:tbl>
    <w:p>
      <w:pPr>
        <w:spacing w:after="0" w:line="202" w:lineRule="exact"/>
        <w:rPr>
          <w:sz w:val="24"/>
          <w:szCs w:val="24"/>
          <w:color w:val="auto"/>
        </w:rPr>
      </w:pPr>
    </w:p>
    <w:p>
      <w:pPr>
        <w:ind w:firstLine="648"/>
        <w:spacing w:after="0" w:line="264" w:lineRule="auto"/>
        <w:rPr>
          <w:sz w:val="20"/>
          <w:szCs w:val="20"/>
          <w:color w:val="auto"/>
        </w:rPr>
      </w:pPr>
      <w:r>
        <w:rPr>
          <w:rFonts w:ascii="Arial" w:cs="Arial" w:eastAsia="Arial" w:hAnsi="Arial"/>
          <w:sz w:val="18"/>
          <w:szCs w:val="18"/>
          <w:color w:val="auto"/>
        </w:rPr>
        <w:t>Pursuant to the requirements of the Securities Act of 1933, as amended, and Regulation S-T thereunder NRG Yield, Inc., a Delaware corporation (the “</w:t>
      </w:r>
      <w:r>
        <w:rPr>
          <w:rFonts w:ascii="Arial" w:cs="Arial" w:eastAsia="Arial" w:hAnsi="Arial"/>
          <w:sz w:val="18"/>
          <w:szCs w:val="18"/>
          <w:u w:val="single" w:color="auto"/>
          <w:color w:val="auto"/>
        </w:rPr>
        <w:t>Company</w:t>
      </w:r>
      <w:r>
        <w:rPr>
          <w:rFonts w:ascii="Arial" w:cs="Arial" w:eastAsia="Arial" w:hAnsi="Arial"/>
          <w:sz w:val="18"/>
          <w:szCs w:val="18"/>
          <w:color w:val="auto"/>
        </w:rPr>
        <w:t>”), has today filed with the Securities and Exchange Commission (the “</w:t>
      </w:r>
      <w:r>
        <w:rPr>
          <w:rFonts w:ascii="Arial" w:cs="Arial" w:eastAsia="Arial" w:hAnsi="Arial"/>
          <w:sz w:val="18"/>
          <w:szCs w:val="18"/>
          <w:u w:val="single" w:color="auto"/>
          <w:color w:val="auto"/>
        </w:rPr>
        <w:t>SEC</w:t>
      </w:r>
      <w:r>
        <w:rPr>
          <w:rFonts w:ascii="Arial" w:cs="Arial" w:eastAsia="Arial" w:hAnsi="Arial"/>
          <w:sz w:val="18"/>
          <w:szCs w:val="18"/>
          <w:color w:val="auto"/>
        </w:rPr>
        <w:t>”) an Amendment to its Registration Statement on Form S-1, which amends Amendment No. 1 to the Registration Statement filed on June 21, 2013.</w:t>
      </w:r>
    </w:p>
    <w:p>
      <w:pPr>
        <w:spacing w:after="0" w:line="181" w:lineRule="exact"/>
        <w:rPr>
          <w:sz w:val="24"/>
          <w:szCs w:val="24"/>
          <w:color w:val="auto"/>
        </w:rPr>
      </w:pPr>
    </w:p>
    <w:p>
      <w:pPr>
        <w:ind w:right="60" w:firstLine="648"/>
        <w:spacing w:after="0" w:line="293" w:lineRule="auto"/>
        <w:rPr>
          <w:sz w:val="20"/>
          <w:szCs w:val="20"/>
          <w:color w:val="auto"/>
        </w:rPr>
      </w:pPr>
      <w:r>
        <w:rPr>
          <w:rFonts w:ascii="Arial" w:cs="Arial" w:eastAsia="Arial" w:hAnsi="Arial"/>
          <w:sz w:val="16"/>
          <w:szCs w:val="16"/>
          <w:color w:val="auto"/>
        </w:rPr>
        <w:t>On behalf of the Company, we are writing to respond to the comments raised in the letter to the Company, dated July 1, 2013 of the staff of the SEC (the “</w:t>
      </w:r>
      <w:r>
        <w:rPr>
          <w:rFonts w:ascii="Arial" w:cs="Arial" w:eastAsia="Arial" w:hAnsi="Arial"/>
          <w:sz w:val="16"/>
          <w:szCs w:val="16"/>
          <w:u w:val="single" w:color="auto"/>
          <w:color w:val="auto"/>
        </w:rPr>
        <w:t>Staff</w:t>
      </w:r>
      <w:r>
        <w:rPr>
          <w:rFonts w:ascii="Arial" w:cs="Arial" w:eastAsia="Arial" w:hAnsi="Arial"/>
          <w:sz w:val="16"/>
          <w:szCs w:val="16"/>
          <w:color w:val="auto"/>
        </w:rPr>
        <w:t>”). The Company’s responses below correspond to the captions and numbers of those comments (which are reproduced below in italics). For your convenience, paper copies of the Registration Statement will be delivered to each member of the Staff referenced above, and those copies will be marked to show changes from Amendment No. 1 to the Registration Statement submitted to the SEC on June 21, 2013. Where applicable, we have also referenced in the Company’s responses set forth below the appropriate page number of the revised prospectus contained in the Registration Statement (the “</w:t>
      </w:r>
      <w:r>
        <w:rPr>
          <w:rFonts w:ascii="Arial" w:cs="Arial" w:eastAsia="Arial" w:hAnsi="Arial"/>
          <w:sz w:val="16"/>
          <w:szCs w:val="16"/>
          <w:u w:val="single" w:color="auto"/>
          <w:color w:val="auto"/>
        </w:rPr>
        <w:t>Prospectus</w:t>
      </w:r>
      <w:r>
        <w:rPr>
          <w:rFonts w:ascii="Arial" w:cs="Arial" w:eastAsia="Arial" w:hAnsi="Arial"/>
          <w:sz w:val="16"/>
          <w:szCs w:val="16"/>
          <w:color w:val="auto"/>
        </w:rPr>
        <w:t>”) that addresses the Staff’s comment. Capitalized terms used in this letter but not otherwise defined have the meanings assigned to them in the Prospectus.</w:t>
      </w:r>
    </w:p>
    <w:p>
      <w:pPr>
        <w:spacing w:after="0" w:line="165" w:lineRule="exact"/>
        <w:rPr>
          <w:sz w:val="24"/>
          <w:szCs w:val="24"/>
          <w:color w:val="auto"/>
        </w:rPr>
      </w:pPr>
    </w:p>
    <w:p>
      <w:pPr>
        <w:ind w:left="120"/>
        <w:spacing w:after="0"/>
        <w:tabs>
          <w:tab w:leader="none" w:pos="1340" w:val="left"/>
          <w:tab w:leader="none" w:pos="2300" w:val="left"/>
          <w:tab w:leader="none" w:pos="3620" w:val="left"/>
          <w:tab w:leader="none" w:pos="4660" w:val="left"/>
          <w:tab w:leader="none" w:pos="5820" w:val="left"/>
          <w:tab w:leader="none" w:pos="7100" w:val="left"/>
          <w:tab w:leader="none" w:pos="8720" w:val="left"/>
          <w:tab w:leader="none" w:pos="9880" w:val="left"/>
        </w:tabs>
        <w:rPr>
          <w:sz w:val="20"/>
          <w:szCs w:val="20"/>
          <w:color w:val="auto"/>
        </w:rPr>
      </w:pPr>
      <w:r>
        <w:rPr>
          <w:rFonts w:ascii="Arial" w:cs="Arial" w:eastAsia="Arial" w:hAnsi="Arial"/>
          <w:sz w:val="18"/>
          <w:szCs w:val="18"/>
          <w:color w:val="auto"/>
        </w:rPr>
        <w:t>Hong Kong</w:t>
      </w:r>
      <w:r>
        <w:rPr>
          <w:sz w:val="20"/>
          <w:szCs w:val="20"/>
          <w:color w:val="auto"/>
        </w:rPr>
        <w:tab/>
      </w:r>
      <w:r>
        <w:rPr>
          <w:rFonts w:ascii="Arial" w:cs="Arial" w:eastAsia="Arial" w:hAnsi="Arial"/>
          <w:sz w:val="18"/>
          <w:szCs w:val="18"/>
          <w:color w:val="auto"/>
        </w:rPr>
        <w:t>London</w:t>
      </w:r>
      <w:r>
        <w:rPr>
          <w:sz w:val="20"/>
          <w:szCs w:val="20"/>
          <w:color w:val="auto"/>
        </w:rPr>
        <w:tab/>
      </w:r>
      <w:r>
        <w:rPr>
          <w:rFonts w:ascii="Arial" w:cs="Arial" w:eastAsia="Arial" w:hAnsi="Arial"/>
          <w:sz w:val="18"/>
          <w:szCs w:val="18"/>
          <w:color w:val="auto"/>
        </w:rPr>
        <w:t>Los Angeles</w:t>
      </w:r>
      <w:r>
        <w:rPr>
          <w:sz w:val="20"/>
          <w:szCs w:val="20"/>
          <w:color w:val="auto"/>
        </w:rPr>
        <w:tab/>
      </w:r>
      <w:r>
        <w:rPr>
          <w:rFonts w:ascii="Arial" w:cs="Arial" w:eastAsia="Arial" w:hAnsi="Arial"/>
          <w:sz w:val="18"/>
          <w:szCs w:val="18"/>
          <w:color w:val="auto"/>
        </w:rPr>
        <w:t>Munich</w:t>
      </w:r>
      <w:r>
        <w:rPr>
          <w:sz w:val="20"/>
          <w:szCs w:val="20"/>
          <w:color w:val="auto"/>
        </w:rPr>
        <w:tab/>
      </w:r>
      <w:r>
        <w:rPr>
          <w:rFonts w:ascii="Arial" w:cs="Arial" w:eastAsia="Arial" w:hAnsi="Arial"/>
          <w:sz w:val="18"/>
          <w:szCs w:val="18"/>
          <w:color w:val="auto"/>
        </w:rPr>
        <w:t>New York</w:t>
      </w:r>
      <w:r>
        <w:rPr>
          <w:sz w:val="20"/>
          <w:szCs w:val="20"/>
          <w:color w:val="auto"/>
        </w:rPr>
        <w:tab/>
      </w:r>
      <w:r>
        <w:rPr>
          <w:rFonts w:ascii="Arial" w:cs="Arial" w:eastAsia="Arial" w:hAnsi="Arial"/>
          <w:sz w:val="18"/>
          <w:szCs w:val="18"/>
          <w:color w:val="auto"/>
        </w:rPr>
        <w:t>Palo Alto</w:t>
      </w:r>
      <w:r>
        <w:rPr>
          <w:sz w:val="20"/>
          <w:szCs w:val="20"/>
          <w:color w:val="auto"/>
        </w:rPr>
        <w:tab/>
      </w:r>
      <w:r>
        <w:rPr>
          <w:rFonts w:ascii="Arial" w:cs="Arial" w:eastAsia="Arial" w:hAnsi="Arial"/>
          <w:sz w:val="18"/>
          <w:szCs w:val="18"/>
          <w:color w:val="auto"/>
        </w:rPr>
        <w:t>San Francisco</w:t>
      </w:r>
      <w:r>
        <w:rPr>
          <w:sz w:val="20"/>
          <w:szCs w:val="20"/>
          <w:color w:val="auto"/>
        </w:rPr>
        <w:tab/>
      </w:r>
      <w:r>
        <w:rPr>
          <w:rFonts w:ascii="Arial" w:cs="Arial" w:eastAsia="Arial" w:hAnsi="Arial"/>
          <w:sz w:val="18"/>
          <w:szCs w:val="18"/>
          <w:color w:val="auto"/>
        </w:rPr>
        <w:t>Shanghai</w:t>
      </w:r>
      <w:r>
        <w:rPr>
          <w:sz w:val="20"/>
          <w:szCs w:val="20"/>
          <w:color w:val="auto"/>
        </w:rPr>
        <w:tab/>
      </w:r>
      <w:r>
        <w:rPr>
          <w:rFonts w:ascii="Arial" w:cs="Arial" w:eastAsia="Arial" w:hAnsi="Arial"/>
          <w:sz w:val="16"/>
          <w:szCs w:val="16"/>
          <w:color w:val="auto"/>
        </w:rPr>
        <w:t>Washington, D.C.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218440</wp:posOffset>
            </wp:positionV>
            <wp:extent cx="7267575" cy="298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21" w:lineRule="exact"/>
        <w:rPr>
          <w:sz w:val="24"/>
          <w:szCs w:val="24"/>
          <w:color w:val="auto"/>
        </w:rPr>
      </w:pPr>
    </w:p>
    <w:p>
      <w:pPr>
        <w:spacing w:after="0"/>
        <w:rPr>
          <w:sz w:val="20"/>
          <w:szCs w:val="20"/>
          <w:color w:val="auto"/>
        </w:rPr>
      </w:pPr>
      <w:r>
        <w:rPr>
          <w:rFonts w:ascii="Arial" w:cs="Arial" w:eastAsia="Arial" w:hAnsi="Arial"/>
          <w:sz w:val="18"/>
          <w:szCs w:val="18"/>
          <w:u w:val="single" w:color="auto"/>
          <w:color w:val="auto"/>
        </w:rPr>
        <w:t>Summary Historical and Pro Forma Financial Data, page 25</w:t>
      </w:r>
    </w:p>
    <w:p>
      <w:pPr>
        <w:spacing w:after="0" w:line="225" w:lineRule="exact"/>
        <w:rPr>
          <w:sz w:val="24"/>
          <w:szCs w:val="24"/>
          <w:color w:val="auto"/>
        </w:rPr>
      </w:pPr>
    </w:p>
    <w:p>
      <w:pPr>
        <w:jc w:val="both"/>
        <w:ind w:left="660" w:right="200" w:hanging="4"/>
        <w:spacing w:after="0" w:line="264" w:lineRule="auto"/>
        <w:tabs>
          <w:tab w:leader="none" w:pos="1308" w:val="left"/>
        </w:tabs>
        <w:numPr>
          <w:ilvl w:val="0"/>
          <w:numId w:val="1"/>
        </w:numPr>
        <w:rPr>
          <w:rFonts w:ascii="Arial" w:cs="Arial" w:eastAsia="Arial" w:hAnsi="Arial"/>
          <w:sz w:val="18"/>
          <w:szCs w:val="18"/>
          <w:i w:val="1"/>
          <w:iCs w:val="1"/>
          <w:color w:val="auto"/>
        </w:rPr>
      </w:pPr>
      <w:r>
        <w:rPr>
          <w:rFonts w:ascii="Arial" w:cs="Arial" w:eastAsia="Arial" w:hAnsi="Arial"/>
          <w:sz w:val="18"/>
          <w:szCs w:val="18"/>
          <w:i w:val="1"/>
          <w:iCs w:val="1"/>
          <w:color w:val="auto"/>
        </w:rPr>
        <w:t>We note on page 26 you have included pro forma interest expense of $15 million for the 3 months ended March 31, 2013, and that income statement currently does not foot. Further, it does not agree to interest expense within your reconciliation to Adjusted EBITDA on page 28. Please revise or advise.</w:t>
      </w:r>
    </w:p>
    <w:p>
      <w:pPr>
        <w:spacing w:after="0" w:line="177" w:lineRule="exact"/>
        <w:rPr>
          <w:sz w:val="24"/>
          <w:szCs w:val="24"/>
          <w:color w:val="auto"/>
        </w:rPr>
      </w:pPr>
    </w:p>
    <w:p>
      <w:pPr>
        <w:jc w:val="both"/>
        <w:ind w:left="660" w:right="180" w:firstLine="648"/>
        <w:spacing w:after="0" w:line="261" w:lineRule="auto"/>
        <w:rPr>
          <w:sz w:val="20"/>
          <w:szCs w:val="20"/>
          <w:color w:val="auto"/>
        </w:rPr>
      </w:pPr>
      <w:r>
        <w:rPr>
          <w:rFonts w:ascii="Arial" w:cs="Arial" w:eastAsia="Arial" w:hAnsi="Arial"/>
          <w:sz w:val="18"/>
          <w:szCs w:val="18"/>
          <w:b w:val="1"/>
          <w:bCs w:val="1"/>
          <w:u w:val="single" w:color="auto"/>
          <w:color w:val="auto"/>
        </w:rPr>
        <w:t>Response</w:t>
      </w:r>
      <w:r>
        <w:rPr>
          <w:rFonts w:ascii="Arial" w:cs="Arial" w:eastAsia="Arial" w:hAnsi="Arial"/>
          <w:sz w:val="18"/>
          <w:szCs w:val="18"/>
          <w:b w:val="1"/>
          <w:bCs w:val="1"/>
          <w:color w:val="auto"/>
        </w:rPr>
        <w:t xml:space="preserve">: </w:t>
      </w:r>
      <w:r>
        <w:rPr>
          <w:rFonts w:ascii="Arial" w:cs="Arial" w:eastAsia="Arial" w:hAnsi="Arial"/>
          <w:sz w:val="18"/>
          <w:szCs w:val="18"/>
          <w:color w:val="auto"/>
        </w:rPr>
        <w:t>In response to the Staff’s comment, the Company has revised the disclosure on page 26 of the Prospectus to reflect pro forma</w:t>
      </w:r>
      <w:r>
        <w:rPr>
          <w:rFonts w:ascii="Arial" w:cs="Arial" w:eastAsia="Arial" w:hAnsi="Arial"/>
          <w:sz w:val="18"/>
          <w:szCs w:val="18"/>
          <w:b w:val="1"/>
          <w:bCs w:val="1"/>
          <w:color w:val="auto"/>
        </w:rPr>
        <w:t xml:space="preserve"> </w:t>
      </w:r>
      <w:r>
        <w:rPr>
          <w:rFonts w:ascii="Arial" w:cs="Arial" w:eastAsia="Arial" w:hAnsi="Arial"/>
          <w:sz w:val="18"/>
          <w:szCs w:val="18"/>
          <w:color w:val="auto"/>
        </w:rPr>
        <w:t>interest expense of $5 million for the three months ended March 31, 2013, as there is no pro forma impact to interest expense from the transaction. As a result, the net income should foot correctly. Further, this revised disclosure conforms to interest expense within our reconciliation to Adjusted EBITDA.</w:t>
      </w:r>
    </w:p>
    <w:p>
      <w:pPr>
        <w:spacing w:after="0" w:line="184" w:lineRule="exact"/>
        <w:rPr>
          <w:sz w:val="24"/>
          <w:szCs w:val="24"/>
          <w:color w:val="auto"/>
        </w:rPr>
      </w:pPr>
    </w:p>
    <w:p>
      <w:pPr>
        <w:ind w:left="660" w:right="20" w:hanging="4"/>
        <w:spacing w:after="0" w:line="279" w:lineRule="auto"/>
        <w:tabs>
          <w:tab w:leader="none" w:pos="1308" w:val="left"/>
        </w:tabs>
        <w:numPr>
          <w:ilvl w:val="0"/>
          <w:numId w:val="2"/>
        </w:numPr>
        <w:rPr>
          <w:rFonts w:ascii="Arial" w:cs="Arial" w:eastAsia="Arial" w:hAnsi="Arial"/>
          <w:sz w:val="17"/>
          <w:szCs w:val="17"/>
          <w:i w:val="1"/>
          <w:iCs w:val="1"/>
          <w:color w:val="auto"/>
        </w:rPr>
      </w:pPr>
      <w:r>
        <w:rPr>
          <w:rFonts w:ascii="Arial" w:cs="Arial" w:eastAsia="Arial" w:hAnsi="Arial"/>
          <w:sz w:val="17"/>
          <w:szCs w:val="17"/>
          <w:i w:val="1"/>
          <w:iCs w:val="1"/>
          <w:color w:val="auto"/>
        </w:rPr>
        <w:t>We note your use of Net income as the most directly comparable GAAP financial measure in your reconciliation to Adjusted EBITDA on page 28, which is consistent with Question 103.02 of our Compliance and Disclosure Interpretations on Non-GAAP financial measures on our website. However, it appears that you have utilized Net income attributable to Yield Inc. in the Pro Forma columns within the Net Income line item of your reconciliation to Adjusted EBITDA whereas Non-Pro Forma columns utilize Net Income. Please explain or revise.</w:t>
      </w:r>
    </w:p>
    <w:p>
      <w:pPr>
        <w:spacing w:after="0" w:line="167" w:lineRule="exact"/>
        <w:rPr>
          <w:sz w:val="24"/>
          <w:szCs w:val="24"/>
          <w:color w:val="auto"/>
        </w:rPr>
      </w:pPr>
    </w:p>
    <w:p>
      <w:pPr>
        <w:ind w:left="660" w:right="620" w:firstLine="648"/>
        <w:spacing w:after="0" w:line="282" w:lineRule="auto"/>
        <w:rPr>
          <w:sz w:val="20"/>
          <w:szCs w:val="20"/>
          <w:color w:val="auto"/>
        </w:rPr>
      </w:pPr>
      <w:r>
        <w:rPr>
          <w:rFonts w:ascii="Arial" w:cs="Arial" w:eastAsia="Arial" w:hAnsi="Arial"/>
          <w:sz w:val="18"/>
          <w:szCs w:val="18"/>
          <w:b w:val="1"/>
          <w:bCs w:val="1"/>
          <w:u w:val="single" w:color="auto"/>
          <w:color w:val="auto"/>
        </w:rPr>
        <w:t>Response</w:t>
      </w:r>
      <w:r>
        <w:rPr>
          <w:rFonts w:ascii="Arial" w:cs="Arial" w:eastAsia="Arial" w:hAnsi="Arial"/>
          <w:sz w:val="18"/>
          <w:szCs w:val="18"/>
          <w:b w:val="1"/>
          <w:bCs w:val="1"/>
          <w:color w:val="auto"/>
        </w:rPr>
        <w:t xml:space="preserve">: </w:t>
      </w:r>
      <w:r>
        <w:rPr>
          <w:rFonts w:ascii="Arial" w:cs="Arial" w:eastAsia="Arial" w:hAnsi="Arial"/>
          <w:sz w:val="18"/>
          <w:szCs w:val="18"/>
          <w:color w:val="auto"/>
        </w:rPr>
        <w:t>In response to the Staff’s comments, the Company has revised the disclosure on page 28 of the Prospectus to begin the</w:t>
      </w:r>
      <w:r>
        <w:rPr>
          <w:rFonts w:ascii="Arial" w:cs="Arial" w:eastAsia="Arial" w:hAnsi="Arial"/>
          <w:sz w:val="18"/>
          <w:szCs w:val="18"/>
          <w:b w:val="1"/>
          <w:bCs w:val="1"/>
          <w:color w:val="auto"/>
        </w:rPr>
        <w:t xml:space="preserve"> </w:t>
      </w:r>
      <w:r>
        <w:rPr>
          <w:rFonts w:ascii="Arial" w:cs="Arial" w:eastAsia="Arial" w:hAnsi="Arial"/>
          <w:sz w:val="18"/>
          <w:szCs w:val="18"/>
          <w:color w:val="auto"/>
        </w:rPr>
        <w:t>reconciliation to Adjusted EBITDA from Net Income for the pro forma periods.</w:t>
      </w:r>
    </w:p>
    <w:p>
      <w:pPr>
        <w:spacing w:after="0" w:line="166" w:lineRule="exact"/>
        <w:rPr>
          <w:sz w:val="24"/>
          <w:szCs w:val="24"/>
          <w:color w:val="auto"/>
        </w:rPr>
      </w:pPr>
    </w:p>
    <w:p>
      <w:pPr>
        <w:ind w:right="40" w:firstLine="648"/>
        <w:spacing w:after="0" w:line="277" w:lineRule="auto"/>
        <w:rPr>
          <w:sz w:val="20"/>
          <w:szCs w:val="20"/>
          <w:color w:val="auto"/>
        </w:rPr>
      </w:pPr>
      <w:r>
        <w:rPr>
          <w:rFonts w:ascii="Arial" w:cs="Arial" w:eastAsia="Arial" w:hAnsi="Arial"/>
          <w:sz w:val="18"/>
          <w:szCs w:val="18"/>
          <w:color w:val="auto"/>
        </w:rPr>
        <w:t>We hope that the foregoing has been responsive to the Staff’s comments. Should you have any questions relating to any of the foregoing, please feel free to contact the undersigned at (312) 862-2075 or, in my absence Paul Zier at (312) 862-2180.</w:t>
      </w:r>
    </w:p>
    <w:p>
      <w:pPr>
        <w:spacing w:after="0" w:line="387" w:lineRule="exact"/>
        <w:rPr>
          <w:sz w:val="24"/>
          <w:szCs w:val="24"/>
          <w:color w:val="auto"/>
        </w:rPr>
      </w:pPr>
    </w:p>
    <w:p>
      <w:pPr>
        <w:ind w:left="5720"/>
        <w:spacing w:after="0"/>
        <w:rPr>
          <w:sz w:val="20"/>
          <w:szCs w:val="20"/>
          <w:color w:val="auto"/>
        </w:rPr>
      </w:pPr>
      <w:r>
        <w:rPr>
          <w:rFonts w:ascii="Arial" w:cs="Arial" w:eastAsia="Arial" w:hAnsi="Arial"/>
          <w:sz w:val="18"/>
          <w:szCs w:val="18"/>
          <w:color w:val="auto"/>
        </w:rPr>
        <w:t>Sincerely,</w:t>
      </w:r>
    </w:p>
    <w:p>
      <w:pPr>
        <w:spacing w:after="0" w:line="225" w:lineRule="exact"/>
        <w:rPr>
          <w:sz w:val="24"/>
          <w:szCs w:val="24"/>
          <w:color w:val="auto"/>
        </w:rPr>
      </w:pPr>
    </w:p>
    <w:p>
      <w:pPr>
        <w:ind w:left="5720"/>
        <w:spacing w:after="0"/>
        <w:rPr>
          <w:sz w:val="20"/>
          <w:szCs w:val="20"/>
          <w:color w:val="auto"/>
        </w:rPr>
      </w:pPr>
      <w:r>
        <w:rPr>
          <w:rFonts w:ascii="Arial" w:cs="Arial" w:eastAsia="Arial" w:hAnsi="Arial"/>
          <w:sz w:val="18"/>
          <w:szCs w:val="18"/>
          <w:color w:val="auto"/>
        </w:rPr>
        <w:t>/s/ Gerald T. Nowak, P.C.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3632835</wp:posOffset>
            </wp:positionH>
            <wp:positionV relativeFrom="paragraph">
              <wp:posOffset>14605</wp:posOffset>
            </wp:positionV>
            <wp:extent cx="361886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618865" cy="8890"/>
                    </a:xfrm>
                    <a:prstGeom prst="rect">
                      <a:avLst/>
                    </a:prstGeom>
                    <a:noFill/>
                  </pic:spPr>
                </pic:pic>
              </a:graphicData>
            </a:graphic>
          </wp:anchor>
        </w:drawing>
      </w:r>
    </w:p>
    <w:p>
      <w:pPr>
        <w:spacing w:after="0" w:line="219" w:lineRule="exact"/>
        <w:rPr>
          <w:sz w:val="24"/>
          <w:szCs w:val="24"/>
          <w:color w:val="auto"/>
        </w:rPr>
      </w:pPr>
    </w:p>
    <w:p>
      <w:pPr>
        <w:ind w:left="5720"/>
        <w:spacing w:after="0"/>
        <w:rPr>
          <w:sz w:val="20"/>
          <w:szCs w:val="20"/>
          <w:color w:val="auto"/>
        </w:rPr>
      </w:pPr>
      <w:r>
        <w:rPr>
          <w:rFonts w:ascii="Arial" w:cs="Arial" w:eastAsia="Arial" w:hAnsi="Arial"/>
          <w:sz w:val="18"/>
          <w:szCs w:val="18"/>
          <w:color w:val="auto"/>
        </w:rPr>
        <w:t>Gerald T. Nowak, P.C.</w:t>
      </w:r>
    </w:p>
    <w:p>
      <w:pPr>
        <w:sectPr>
          <w:pgSz w:w="11900" w:h="16838" w:orient="portrait"/>
          <w:cols w:equalWidth="0" w:num="1">
            <w:col w:w="11420"/>
          </w:cols>
          <w:pgMar w:left="240" w:top="1111" w:right="239" w:bottom="0" w:gutter="0" w:footer="0" w:header="0"/>
        </w:sectPr>
      </w:pPr>
    </w:p>
    <w:bookmarkStart w:id="1" w:name="page2"/>
    <w:bookmarkEnd w:id="1"/>
    <w:p>
      <w:pPr>
        <w:ind w:left="800" w:right="8279" w:hanging="792"/>
        <w:spacing w:after="0" w:line="291" w:lineRule="auto"/>
        <w:tabs>
          <w:tab w:leader="none" w:pos="800" w:val="left"/>
        </w:tabs>
        <w:numPr>
          <w:ilvl w:val="0"/>
          <w:numId w:val="3"/>
        </w:numPr>
        <w:rPr>
          <w:rFonts w:ascii="Arial" w:cs="Arial" w:eastAsia="Arial" w:hAnsi="Arial"/>
          <w:sz w:val="16"/>
          <w:szCs w:val="16"/>
          <w:color w:val="auto"/>
        </w:rPr>
      </w:pPr>
      <w:r>
        <w:rPr>
          <w:rFonts w:ascii="Arial" w:cs="Arial" w:eastAsia="Arial" w:hAnsi="Arial"/>
          <w:sz w:val="16"/>
          <w:szCs w:val="16"/>
          <w:color w:val="auto"/>
        </w:rPr>
        <w:t>David W. Crane Brian Curci</w:t>
      </w:r>
    </w:p>
    <w:p>
      <w:pPr>
        <w:ind w:left="1080"/>
        <w:spacing w:after="0"/>
        <w:rPr>
          <w:rFonts w:ascii="Arial" w:cs="Arial" w:eastAsia="Arial" w:hAnsi="Arial"/>
          <w:sz w:val="16"/>
          <w:szCs w:val="16"/>
          <w:color w:val="auto"/>
        </w:rPr>
      </w:pPr>
      <w:r>
        <w:rPr>
          <w:rFonts w:ascii="Arial" w:cs="Arial" w:eastAsia="Arial" w:hAnsi="Arial"/>
          <w:sz w:val="18"/>
          <w:szCs w:val="18"/>
          <w:i w:val="1"/>
          <w:iCs w:val="1"/>
          <w:color w:val="auto"/>
        </w:rPr>
        <w:t>NRG Yield, Inc.</w:t>
      </w:r>
    </w:p>
    <w:p>
      <w:pPr>
        <w:spacing w:after="0" w:line="211" w:lineRule="exact"/>
        <w:rPr>
          <w:sz w:val="20"/>
          <w:szCs w:val="20"/>
          <w:color w:val="auto"/>
        </w:rPr>
      </w:pPr>
    </w:p>
    <w:p>
      <w:pPr>
        <w:jc w:val="right"/>
        <w:ind w:right="445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sectPr>
      <w:pgSz w:w="11900" w:h="16838" w:orient="portrait"/>
      <w:cols w:equalWidth="0" w:num="1">
        <w:col w:w="10219"/>
      </w:cols>
      <w:pgMar w:left="240" w:top="557"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2"/>
    </w:lvl>
  </w:abstractNum>
  <w:abstractNum w:abstractNumId="2">
    <w:nsid w:val="19495CFF"/>
    <w:multiLevelType w:val="hybridMultilevel"/>
    <w:lvl w:ilvl="0">
      <w:lvlJc w:val="left"/>
      <w:lvlText w:val="%1:"/>
      <w:numFmt w:val="lowerLetter"/>
      <w:start w:val="29"/>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2019-12-08T05:57:42Z</dcterms:created>
  <dcterms:modified xsi:type="dcterms:W3CDTF">2019-12-08T05:57:42Z</dcterms:modified>
</cp:coreProperties>
</file>