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963295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920115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580" w:hanging="37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6" w:lineRule="exact"/>
        <w:rPr>
          <w:sz w:val="24"/>
          <w:szCs w:val="24"/>
          <w:color w:val="auto"/>
        </w:rPr>
      </w:pPr>
    </w:p>
    <w:p>
      <w:pPr>
        <w:ind w:left="540" w:hanging="350"/>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001-36002</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Clearway Energy,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6"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29"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4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64" w:lineRule="exact"/>
        <w:rPr>
          <w:sz w:val="24"/>
          <w:szCs w:val="24"/>
          <w:color w:val="auto"/>
        </w:rPr>
      </w:pPr>
    </w:p>
    <w:p>
      <w:pPr>
        <w:sectPr>
          <w:pgSz w:w="11900" w:h="16838" w:orient="portrait"/>
          <w:cols w:equalWidth="0" w:num="2">
            <w:col w:w="7760" w:space="720"/>
            <w:col w:w="2760"/>
          </w:cols>
          <w:pgMar w:left="320" w:top="1440" w:right="339" w:bottom="1440" w:gutter="0" w:footer="0" w:header="0"/>
          <w:type w:val="continuous"/>
        </w:sectPr>
      </w:pPr>
    </w:p>
    <w:p>
      <w:pPr>
        <w:ind w:left="2160" w:right="100" w:hanging="1477"/>
        <w:spacing w:after="0" w:line="302" w:lineRule="auto"/>
        <w:rPr>
          <w:sz w:val="20"/>
          <w:szCs w:val="20"/>
          <w:color w:val="auto"/>
        </w:rPr>
      </w:pPr>
      <w:r>
        <w:rPr>
          <w:rFonts w:ascii="Times New Roman" w:cs="Times New Roman" w:eastAsia="Times New Roman" w:hAnsi="Times New Roman"/>
          <w:sz w:val="18"/>
          <w:szCs w:val="18"/>
          <w:b w:val="1"/>
          <w:bCs w:val="1"/>
          <w:color w:val="auto"/>
        </w:rPr>
        <w:t>300 Carnegie Center, Suite 300</w:t>
      </w:r>
      <w:r>
        <w:rPr>
          <w:sz w:val="20"/>
          <w:szCs w:val="20"/>
          <w:color w:val="auto"/>
        </w:rPr>
        <w:t xml:space="preserve"> </w:t>
      </w:r>
      <w:r>
        <w:rPr>
          <w:rFonts w:ascii="Times New Roman" w:cs="Times New Roman" w:eastAsia="Times New Roman" w:hAnsi="Times New Roman"/>
          <w:sz w:val="18"/>
          <w:szCs w:val="18"/>
          <w:b w:val="1"/>
          <w:bCs w:val="1"/>
          <w:color w:val="auto"/>
        </w:rPr>
        <w:t xml:space="preserve">Princeton </w:t>
      </w: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New Jersey</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08540</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(Zip Code)</w:t>
      </w:r>
    </w:p>
    <w:p>
      <w:pPr>
        <w:spacing w:after="0" w:line="275" w:lineRule="exact"/>
        <w:rPr>
          <w:sz w:val="24"/>
          <w:szCs w:val="24"/>
          <w:color w:val="auto"/>
        </w:rPr>
      </w:pPr>
    </w:p>
    <w:p>
      <w:pPr>
        <w:sectPr>
          <w:pgSz w:w="11900" w:h="16838" w:orient="portrait"/>
          <w:cols w:equalWidth="0" w:num="3">
            <w:col w:w="5120" w:space="720"/>
            <w:col w:w="2180" w:space="720"/>
            <w:col w:w="2500"/>
          </w:cols>
          <w:pgMar w:left="320" w:top="1440" w:right="339" w:bottom="1440" w:gutter="0" w:footer="0" w:header="0"/>
          <w:type w:val="continuous"/>
        </w:sectPr>
      </w:pP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440" w:right="339" w:bottom="1440" w:gutter="0" w:footer="0" w:header="0"/>
          <w:type w:val="continuous"/>
        </w:sectPr>
      </w:pPr>
    </w:p>
    <w:p>
      <w:pPr>
        <w:spacing w:after="0" w:line="57"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7"/>
          <w:szCs w:val="17"/>
          <w:color w:val="auto"/>
        </w:rPr>
        <w:t>Class C Common Stock, par value $0.01</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CWEN</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98" w:lineRule="exact"/>
        <w:rPr>
          <w:sz w:val="24"/>
          <w:szCs w:val="24"/>
          <w:color w:val="auto"/>
        </w:rPr>
      </w:pPr>
    </w:p>
    <w:p>
      <w:pPr>
        <w:sectPr>
          <w:pgSz w:w="11900" w:h="16838" w:orient="portrait"/>
          <w:cols w:equalWidth="0" w:num="3">
            <w:col w:w="4180" w:space="720"/>
            <w:col w:w="1820" w:space="720"/>
            <w:col w:w="3800"/>
          </w:cols>
          <w:pgMar w:left="320" w:top="1440" w:right="339" w:bottom="1440" w:gutter="0" w:footer="0" w:header="0"/>
          <w:type w:val="continuous"/>
        </w:sectPr>
      </w:pPr>
    </w:p>
    <w:p>
      <w:pPr>
        <w:jc w:val="both"/>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 w:lineRule="exact"/>
        <w:rPr>
          <w:sz w:val="24"/>
          <w:szCs w:val="24"/>
          <w:color w:val="auto"/>
        </w:rPr>
      </w:pPr>
    </w:p>
    <w:p>
      <w:pPr>
        <w:jc w:val="center"/>
        <w:spacing w:after="0" w:line="184" w:lineRule="exact"/>
        <w:tabs>
          <w:tab w:leader="none" w:pos="2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22" w:lineRule="exact"/>
        <w:rPr>
          <w:sz w:val="24"/>
          <w:szCs w:val="24"/>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4"/>
          <w:szCs w:val="24"/>
          <w:color w:val="auto"/>
        </w:rPr>
      </w:pPr>
    </w:p>
    <w:p>
      <w:pPr>
        <w:jc w:val="center"/>
        <w:spacing w:after="0" w:line="184" w:lineRule="exact"/>
        <w:tabs>
          <w:tab w:leader="none" w:pos="22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22"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1200" w:type="dxa"/>
        <w:tblCellMar>
          <w:top w:w="0" w:type="dxa"/>
          <w:left w:w="0" w:type="dxa"/>
          <w:bottom w:w="0" w:type="dxa"/>
          <w:right w:w="0" w:type="dxa"/>
        </w:tblCellMar>
      </w:tblPr>
      <w:tr>
        <w:trPr>
          <w:trHeight w:val="257"/>
        </w:trPr>
        <w:tc>
          <w:tcPr>
            <w:tcW w:w="22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2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1"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77" w:lineRule="exact"/>
        <w:rPr>
          <w:sz w:val="24"/>
          <w:szCs w:val="24"/>
          <w:color w:val="auto"/>
        </w:rPr>
      </w:pPr>
    </w:p>
    <w:p>
      <w:pPr>
        <w:ind w:left="5080"/>
        <w:spacing w:after="0" w:line="184" w:lineRule="exact"/>
        <w:tabs>
          <w:tab w:leader="none" w:pos="57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22" w:lineRule="exact"/>
        <w:rPr>
          <w:sz w:val="24"/>
          <w:szCs w:val="24"/>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As of May 1, 2026, there were 42,738,750 shares of Class B common stock outstanding, par value $0.01 per share, 121,168,025 shares of Class C common stock outstanding, par value $0.01 per share, and 41,361,142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795020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w w:val="98"/>
              </w:rPr>
              <w:t>CAUTIONARY STATEMENT REGARDING FORWARD LOOKING INFORMATION</w:t>
            </w:r>
          </w:p>
        </w:tc>
        <w:tc>
          <w:tcPr>
            <w:tcW w:w="3660" w:type="dxa"/>
            <w:vAlign w:val="bottom"/>
            <w:gridSpan w:val="4"/>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68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GLOSSARY OF TERMS</w:t>
            </w:r>
          </w:p>
        </w:tc>
        <w:tc>
          <w:tcPr>
            <w:tcW w:w="3660" w:type="dxa"/>
            <w:vAlign w:val="bottom"/>
            <w:gridSpan w:val="4"/>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32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7220" w:type="dxa"/>
            <w:vAlign w:val="bottom"/>
            <w:gridSpan w:val="8"/>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 FINANCIAL STATEMENTS AND NOTES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 MANAGEMENT’S DISCUSSION AND ANALYSIS OF FINANCIAL CONDITION AND RESULTS OF OPERATIONS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09"/>
        </w:trPr>
        <w:tc>
          <w:tcPr>
            <w:tcW w:w="200" w:type="dxa"/>
            <w:vAlign w:val="bottom"/>
          </w:tcPr>
          <w:p>
            <w:pPr>
              <w:spacing w:after="0"/>
              <w:rPr>
                <w:sz w:val="18"/>
                <w:szCs w:val="18"/>
                <w:color w:val="auto"/>
              </w:rPr>
            </w:pPr>
          </w:p>
        </w:tc>
        <w:tc>
          <w:tcPr>
            <w:tcW w:w="70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ITEM 3 — QUANTITATIVE AND QUALITATIVE DISCLOSURES ABOUT MARKET RISK</w:t>
            </w:r>
          </w:p>
        </w:tc>
        <w:tc>
          <w:tcPr>
            <w:tcW w:w="276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09"/>
        </w:trPr>
        <w:tc>
          <w:tcPr>
            <w:tcW w:w="200" w:type="dxa"/>
            <w:vAlign w:val="bottom"/>
          </w:tcPr>
          <w:p>
            <w:pPr>
              <w:spacing w:after="0"/>
              <w:rPr>
                <w:sz w:val="18"/>
                <w:szCs w:val="18"/>
                <w:color w:val="auto"/>
              </w:rPr>
            </w:pPr>
          </w:p>
        </w:tc>
        <w:tc>
          <w:tcPr>
            <w:tcW w:w="34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4 — CONTROLS AND PROCEDURES</w:t>
            </w:r>
          </w:p>
        </w:tc>
        <w:tc>
          <w:tcPr>
            <w:tcW w:w="68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10"/>
        </w:trPr>
        <w:tc>
          <w:tcPr>
            <w:tcW w:w="2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52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9"/>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 LEGAL PROCEEDINGS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r>
      <w:tr>
        <w:trPr>
          <w:trHeight w:val="209"/>
        </w:trPr>
        <w:tc>
          <w:tcPr>
            <w:tcW w:w="200" w:type="dxa"/>
            <w:vAlign w:val="bottom"/>
          </w:tcPr>
          <w:p>
            <w:pPr>
              <w:spacing w:after="0"/>
              <w:rPr>
                <w:sz w:val="18"/>
                <w:szCs w:val="18"/>
                <w:color w:val="auto"/>
              </w:rPr>
            </w:pPr>
          </w:p>
        </w:tc>
        <w:tc>
          <w:tcPr>
            <w:tcW w:w="22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 RISK FACTORS</w:t>
            </w:r>
          </w:p>
        </w:tc>
        <w:tc>
          <w:tcPr>
            <w:tcW w:w="480" w:type="dxa"/>
            <w:vAlign w:val="bottom"/>
            <w:tcBorders>
              <w:top w:val="single" w:sz="8" w:color="0000FF"/>
            </w:tcBorders>
          </w:tcPr>
          <w:p>
            <w:pPr>
              <w:spacing w:after="0"/>
              <w:rPr>
                <w:sz w:val="18"/>
                <w:szCs w:val="18"/>
                <w:color w:val="auto"/>
              </w:rPr>
            </w:pPr>
          </w:p>
        </w:tc>
        <w:tc>
          <w:tcPr>
            <w:tcW w:w="7560" w:type="dxa"/>
            <w:vAlign w:val="bottom"/>
            <w:gridSpan w:val="11"/>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 UNREGISTERED SALES OF EQUITY SECURITIES AND USE OF PROCEEDS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r>
      <w:tr>
        <w:trPr>
          <w:trHeight w:val="209"/>
        </w:trPr>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3</w:t>
            </w:r>
          </w:p>
        </w:tc>
        <w:tc>
          <w:tcPr>
            <w:tcW w:w="3460" w:type="dxa"/>
            <w:vAlign w:val="bottom"/>
            <w:tcBorders>
              <w:top w:val="single" w:sz="8" w:color="0000FF"/>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w w:val="98"/>
              </w:rPr>
              <w:t>— DEFAULTS UPON SENIOR SECURITIES</w:t>
            </w:r>
          </w:p>
        </w:tc>
        <w:tc>
          <w:tcPr>
            <w:tcW w:w="2860" w:type="dxa"/>
            <w:vAlign w:val="bottom"/>
            <w:tcBorders>
              <w:top w:val="single" w:sz="8" w:color="0000FF"/>
            </w:tcBorders>
            <w:gridSpan w:val="2"/>
          </w:tcPr>
          <w:p>
            <w:pPr>
              <w:spacing w:after="0"/>
              <w:rPr>
                <w:sz w:val="18"/>
                <w:szCs w:val="18"/>
                <w:color w:val="auto"/>
              </w:rPr>
            </w:pPr>
          </w:p>
        </w:tc>
        <w:tc>
          <w:tcPr>
            <w:tcW w:w="336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10"/>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4</w:t>
            </w:r>
          </w:p>
        </w:tc>
        <w:tc>
          <w:tcPr>
            <w:tcW w:w="270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 MINE SAFETY DISCLOSURES</w:t>
            </w:r>
          </w:p>
        </w:tc>
        <w:tc>
          <w:tcPr>
            <w:tcW w:w="698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5</w:t>
            </w:r>
          </w:p>
        </w:tc>
        <w:tc>
          <w:tcPr>
            <w:tcW w:w="21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 OTHER INFORMATION</w:t>
            </w:r>
          </w:p>
        </w:tc>
        <w:tc>
          <w:tcPr>
            <w:tcW w:w="7540" w:type="dxa"/>
            <w:vAlign w:val="bottom"/>
            <w:gridSpan w:val="10"/>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6</w:t>
            </w:r>
          </w:p>
        </w:tc>
        <w:tc>
          <w:tcPr>
            <w:tcW w:w="108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 EXHIBITS</w:t>
            </w:r>
          </w:p>
        </w:tc>
        <w:tc>
          <w:tcPr>
            <w:tcW w:w="8600" w:type="dxa"/>
            <w:vAlign w:val="bottom"/>
            <w:gridSpan w:val="14"/>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211"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of the Company’s Annual Report on Form 10-K for the year ended December 31, 2025, as well as the following:</w:t>
      </w:r>
    </w:p>
    <w:p>
      <w:pPr>
        <w:spacing w:after="0" w:line="3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dividend;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CEG and its owners;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investment opportunities, as well as acquisitions from, and dispositions to, third parties;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CEG;</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6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858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GLOSSARY OF TERMS</w:t>
            </w:r>
          </w:p>
        </w:tc>
      </w:tr>
      <w:tr>
        <w:trPr>
          <w:trHeight w:val="324"/>
        </w:trPr>
        <w:tc>
          <w:tcPr>
            <w:tcW w:w="1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r>
      <w:tr>
        <w:trPr>
          <w:trHeight w:val="203"/>
        </w:trPr>
        <w:tc>
          <w:tcPr>
            <w:tcW w:w="2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2025 Form 10-K</w:t>
            </w:r>
          </w:p>
        </w:tc>
        <w:tc>
          <w:tcPr>
            <w:tcW w:w="858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The Company’s Annual Report on Form 10-K for the year ended December 31, 2025, as filed with the SEC on</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2028 Senior Notes</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$850 million aggregate principal amount of 4.75% unsecured senior notes due 2028, issued by Clearway Energy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2031 Senior Notes</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$925 million aggregate principal amount of 3.75% unsecured senior notes due 2031, issued by Clearway Energy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2032 Senior Notes</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$350 million aggregate principal amount of 3.75% unsecured senior notes due 2032, issued by Clearway Energy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r>
      <w:tr>
        <w:trPr>
          <w:trHeight w:val="22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2034 Senior Notes</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$600 million aggregate principal amount of 5.75% unsecured senior notes due 2034, issued by Clearway Energy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r>
      <w:tr>
        <w:trPr>
          <w:trHeight w:val="23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non-GAAP measure, represents earnings before interest (including loss on debt extinguishment), tax,</w:t>
            </w:r>
          </w:p>
        </w:tc>
      </w:tr>
      <w:tr>
        <w:trPr>
          <w:trHeight w:val="216"/>
        </w:trPr>
        <w:tc>
          <w:tcPr>
            <w:tcW w:w="2660" w:type="dxa"/>
            <w:vAlign w:val="bottom"/>
          </w:tcPr>
          <w:p>
            <w:pPr>
              <w:spacing w:after="0"/>
              <w:rPr>
                <w:sz w:val="18"/>
                <w:szCs w:val="18"/>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adjusted for mark-to-market gains or losses, asset write offs and impairments; and</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factors which the Company does not consider indicative of future operating performance</w:t>
            </w:r>
          </w:p>
        </w:tc>
      </w:tr>
      <w:tr>
        <w:trPr>
          <w:trHeight w:val="23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 authoritative GAAP</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 Program</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At-The-Market Equity Offering Program</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BESS</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Battery energy storage system</w:t>
            </w:r>
          </w:p>
        </w:tc>
      </w:tr>
      <w:tr>
        <w:trPr>
          <w:trHeight w:val="33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CAFD</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non-GAAP measure, Cash Available for Distribution is defined as of March 31, 2026 as Adjusted EBITDA plus</w:t>
            </w:r>
          </w:p>
        </w:tc>
      </w:tr>
      <w:tr>
        <w:trPr>
          <w:trHeight w:val="184"/>
        </w:trPr>
        <w:tc>
          <w:tcPr>
            <w:tcW w:w="2660" w:type="dxa"/>
            <w:vAlign w:val="bottom"/>
          </w:tcPr>
          <w:p>
            <w:pPr>
              <w:spacing w:after="0"/>
              <w:rPr>
                <w:sz w:val="16"/>
                <w:szCs w:val="16"/>
                <w:color w:val="auto"/>
              </w:rPr>
            </w:pP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cash distributions/return of investment from unconsolidated affiliates, cash receipts from notes receivable, cash</w:t>
            </w:r>
          </w:p>
        </w:tc>
      </w:tr>
      <w:tr>
        <w:trPr>
          <w:trHeight w:val="180"/>
        </w:trPr>
        <w:tc>
          <w:tcPr>
            <w:tcW w:w="2660" w:type="dxa"/>
            <w:vAlign w:val="bottom"/>
          </w:tcPr>
          <w:p>
            <w:pPr>
              <w:spacing w:after="0"/>
              <w:rPr>
                <w:sz w:val="15"/>
                <w:szCs w:val="15"/>
                <w:color w:val="auto"/>
              </w:rPr>
            </w:pP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distributions from noncontrolling interests, adjustments to reflect sales-type lease cash payments and payments for</w:t>
            </w:r>
          </w:p>
        </w:tc>
      </w:tr>
      <w:tr>
        <w:trPr>
          <w:trHeight w:val="176"/>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lease expenses, less cash distributions to noncontrolling interests, maintenance capital expenditures, pro-rata</w:t>
            </w:r>
          </w:p>
        </w:tc>
      </w:tr>
      <w:tr>
        <w:trPr>
          <w:trHeight w:val="184"/>
        </w:trPr>
        <w:tc>
          <w:tcPr>
            <w:tcW w:w="2660" w:type="dxa"/>
            <w:vAlign w:val="bottom"/>
          </w:tcPr>
          <w:p>
            <w:pPr>
              <w:spacing w:after="0"/>
              <w:rPr>
                <w:sz w:val="16"/>
                <w:szCs w:val="16"/>
                <w:color w:val="auto"/>
              </w:rPr>
            </w:pP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Adjusted EBITDA from unconsolidated affiliates, cash interest paid, income taxes paid, principal amortization of</w:t>
            </w: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indebtedness, changes in prepaid and accrued capacity payments and adjusted for development expenses</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Cardinal Portfolio</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610 MW portfolio of operational solar facilities located in eight states that the Company acquired on March 30,</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 previously referred to as the Deriva Solar Portfolio.</w:t>
            </w: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Catalina</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109 MW solar facility located in Kern County, California that the Company leases and operates</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CEG</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Energy Group LLC (formerly Zephyr Renewables LLC)</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CEG Master Services Agreement</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Amended and Restated Master Services Agreement and Payroll Sharing Agreement, effective as of January 1,</w:t>
            </w:r>
          </w:p>
        </w:tc>
      </w:tr>
      <w:tr>
        <w:trPr>
          <w:trHeight w:val="184"/>
        </w:trPr>
        <w:tc>
          <w:tcPr>
            <w:tcW w:w="2660" w:type="dxa"/>
            <w:vAlign w:val="bottom"/>
          </w:tcPr>
          <w:p>
            <w:pPr>
              <w:spacing w:after="0"/>
              <w:rPr>
                <w:sz w:val="16"/>
                <w:szCs w:val="16"/>
                <w:color w:val="auto"/>
              </w:rPr>
            </w:pP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2025, among the Company, Clearway Energy Finance Inc., Clearway Energy LLC, Clearway Energy Operating</w:t>
            </w:r>
          </w:p>
        </w:tc>
      </w:tr>
      <w:tr>
        <w:trPr>
          <w:trHeight w:val="230"/>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LLC and CEG</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Class A Conversion</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The conversion of each share of the Company’s Class A common stock into one share of the Company’s Class C</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which such conversion occurred on May 1, 2026.</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Clearway Energy LLC</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The holding company through which the facilities are owned by Clearway Energy Group LLC, the holder of Class</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 and Class D units, and the Company, the holder of the Class C units</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Clearway Energy Group LLC</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The holder of all shares of the Company’s Class B and Class D common stock and Clearway Energy LLC’s Class</w:t>
            </w:r>
          </w:p>
        </w:tc>
      </w:tr>
      <w:tr>
        <w:trPr>
          <w:trHeight w:val="184"/>
        </w:trPr>
        <w:tc>
          <w:tcPr>
            <w:tcW w:w="2660" w:type="dxa"/>
            <w:vAlign w:val="bottom"/>
          </w:tcPr>
          <w:p>
            <w:pPr>
              <w:spacing w:after="0"/>
              <w:rPr>
                <w:sz w:val="16"/>
                <w:szCs w:val="16"/>
                <w:color w:val="auto"/>
              </w:rPr>
            </w:pP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B and Class D units and, from time to time, possibly shares of the Company’s Class C common stock. Clearway</w:t>
            </w:r>
          </w:p>
        </w:tc>
      </w:tr>
      <w:tr>
        <w:trPr>
          <w:trHeight w:val="230"/>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Energy Group LLC is a leading developer of renewable energy, energy storage and power infrastructure in the U.S.</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Energy Operating LLC</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holder of facilities that are owned by Clearway Energy LLC</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Renew</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Renew LLC, a subsidiary of CEG, and its wholly-owned subsidiaries</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Energy, Inc., together with its consolidated subsidiaries</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California Valley Solar Ranch</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Distributed Solar</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w w:val="99"/>
              </w:rPr>
              <w:t>Solar power facilities, typically less than 20 MW in size (on an alternating current, or AC, basis), that primarily sell</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produced to customers for usage on site, or are interconnected to sell power into the local distribution grid</w:t>
            </w: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Drop Down Assets</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 under common control acquired by the Company from CEG</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DSPP</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 Stock Purchase Plan</w:t>
            </w:r>
          </w:p>
        </w:tc>
      </w:tr>
      <w:tr>
        <w:trPr>
          <w:trHeight w:val="864"/>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Times New Roman" w:cs="Times New Roman" w:eastAsia="Times New Roman" w:hAnsi="Times New Roman"/>
                <w:sz w:val="18"/>
                <w:szCs w:val="18"/>
                <w:color w:val="231F20"/>
              </w:rPr>
              <w:t>4</w:t>
            </w:r>
          </w:p>
        </w:tc>
      </w:tr>
      <w:tr>
        <w:trPr>
          <w:trHeight w:val="115"/>
        </w:trPr>
        <w:tc>
          <w:tcPr>
            <w:tcW w:w="2660" w:type="dxa"/>
            <w:vAlign w:val="bottom"/>
            <w:tcBorders>
              <w:bottom w:val="single" w:sz="8" w:color="9A9A9A"/>
            </w:tcBorders>
          </w:tcPr>
          <w:p>
            <w:pPr>
              <w:spacing w:after="0"/>
              <w:rPr>
                <w:sz w:val="10"/>
                <w:szCs w:val="10"/>
                <w:color w:val="auto"/>
              </w:rPr>
            </w:pPr>
          </w:p>
        </w:tc>
        <w:tc>
          <w:tcPr>
            <w:tcW w:w="8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ERCOT</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Times New Roman" w:cs="Times New Roman" w:eastAsia="Times New Roman" w:hAnsi="Times New Roman"/>
          <w:sz w:val="18"/>
          <w:szCs w:val="18"/>
          <w:color w:val="auto"/>
        </w:rPr>
        <w:t>Electric Reliability Council of Texas, the ISO and the regional reliability coordinator of the various electricity systems within Texas</w:t>
      </w:r>
    </w:p>
    <w:p>
      <w:pPr>
        <w:spacing w:after="0" w:line="10" w:lineRule="exact"/>
        <w:rPr>
          <w:sz w:val="20"/>
          <w:szCs w:val="20"/>
          <w:color w:val="auto"/>
        </w:rPr>
      </w:pPr>
    </w:p>
    <w:p>
      <w:pPr>
        <w:sectPr>
          <w:pgSz w:w="11900" w:h="16838" w:orient="portrait"/>
          <w:cols w:equalWidth="0" w:num="2">
            <w:col w:w="2160" w:space="720"/>
            <w:col w:w="8320"/>
          </w:cols>
          <w:pgMar w:left="340" w:top="1093"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Securities Exchange Act of 1934, as amended</w:t>
      </w:r>
    </w:p>
    <w:p>
      <w:pPr>
        <w:spacing w:after="0" w:line="38"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FASB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Financial Accounting Standards Board</w:t>
      </w:r>
    </w:p>
    <w:p>
      <w:pPr>
        <w:spacing w:after="0" w:line="23"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p>
      <w:pPr>
        <w:spacing w:after="0" w:line="23"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GenConn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GenConn Energy LLC</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GW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Gigawatt</w:t>
      </w:r>
    </w:p>
    <w:p>
      <w:pPr>
        <w:spacing w:after="0" w:line="23"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HLBV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Hypothetical Liquidation at Book Value</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Honeycomb Portfolio</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Times New Roman" w:cs="Times New Roman" w:eastAsia="Times New Roman" w:hAnsi="Times New Roman"/>
          <w:sz w:val="18"/>
          <w:szCs w:val="18"/>
          <w:color w:val="auto"/>
        </w:rPr>
        <w:t>Four BESS facilities under construction in Beaver County and Iron County, Utah representing 320 MW of capacity, which includes Enterprise, Escalante I, Granite Mountain East and Iron Springs that are co-located with</w:t>
      </w:r>
    </w:p>
    <w:p>
      <w:pPr>
        <w:spacing w:after="0" w:line="1"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ind w:left="2880"/>
        <w:spacing w:after="0" w:line="220" w:lineRule="auto"/>
        <w:rPr>
          <w:sz w:val="20"/>
          <w:szCs w:val="20"/>
          <w:color w:val="auto"/>
        </w:rPr>
      </w:pPr>
      <w:r>
        <w:rPr>
          <w:rFonts w:ascii="Times New Roman" w:cs="Times New Roman" w:eastAsia="Times New Roman" w:hAnsi="Times New Roman"/>
          <w:sz w:val="18"/>
          <w:szCs w:val="18"/>
          <w:color w:val="auto"/>
        </w:rPr>
        <w:t>the respective solar facilities</w:t>
      </w:r>
    </w:p>
    <w:p>
      <w:pPr>
        <w:sectPr>
          <w:pgSz w:w="11900" w:h="16838" w:orient="portrait"/>
          <w:cols w:equalWidth="0" w:num="1">
            <w:col w:w="11200"/>
          </w:cols>
          <w:pgMar w:left="340" w:top="1093" w:right="35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Honeycomb TargetCo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Honeycomb TargetCo LLC, the indirect owner of the Honeycomb Portfolio</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Internal Revenue Service</w:t>
      </w:r>
    </w:p>
    <w:p>
      <w:pPr>
        <w:spacing w:after="0" w:line="23"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ISO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Independent System Operator, also referred to as an RTO</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Investment Tax Credit</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MMBtu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Million British Thermal Units</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Megawatt</w:t>
      </w:r>
    </w:p>
    <w:p>
      <w:pPr>
        <w:spacing w:after="0" w:line="23"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MWh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Saleable megawatt hours, net of internal/parasitic load megawatt-hours</w:t>
      </w:r>
    </w:p>
    <w:p>
      <w:pPr>
        <w:spacing w:after="0" w:line="23"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Net Exposure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Counterparty credit exposure to Clearway Energy, Inc., net of collateral</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Net Operating Losses</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NYSE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OCI/OCL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Other comprehensive income/loss</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O&amp;M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Operations and Maintenance</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Palisade Plains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Palisade Plains Development Partnership LLC, the indirect owner of Goat Mountain</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PG&amp;E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Pacific Gas and Electric Company</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Pine Forest TE Class A</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Times New Roman" w:cs="Times New Roman" w:eastAsia="Times New Roman" w:hAnsi="Times New Roman"/>
          <w:sz w:val="18"/>
          <w:szCs w:val="18"/>
          <w:color w:val="auto"/>
        </w:rPr>
        <w:t>Pine Forest TE Class A Owner LLC, a consolidated subsidiary of Clearway Energy Finance Inc. and an indirect subsidiary of the Company</w:t>
      </w:r>
    </w:p>
    <w:p>
      <w:pPr>
        <w:spacing w:after="0" w:line="10"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Power Purchase Agreement</w:t>
      </w:r>
    </w:p>
    <w:p>
      <w:pPr>
        <w:spacing w:after="0" w:line="27"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Production Tax Credit</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RENOM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Clearway Renewable Operation &amp; Maintenance LLC, a wholly-owned subsidiary of CEG</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Regional Transmission Organization</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Southern California Edison</w:t>
      </w:r>
    </w:p>
    <w:p>
      <w:pPr>
        <w:spacing w:after="0" w:line="23"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SDG&amp;E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San Diego Gas &amp; Electric</w:t>
      </w:r>
    </w:p>
    <w:p>
      <w:pPr>
        <w:spacing w:after="0" w:line="23"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 Securities and Exchange Commission</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Collectively, the 2028 Senior Notes, the 2031 Senior Notes, the 2032 Senior Notes and the 2034 Senior Notes</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SOFR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Secured Overnight Financing Rate</w:t>
      </w:r>
    </w:p>
    <w:p>
      <w:pPr>
        <w:spacing w:after="0" w:line="23"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Solar Power Partners</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SREC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Solar Renewable Energy Credit</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34"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Utility Scale Solar</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Times New Roman" w:cs="Times New Roman" w:eastAsia="Times New Roman" w:hAnsi="Times New Roman"/>
          <w:sz w:val="18"/>
          <w:szCs w:val="18"/>
          <w:color w:val="auto"/>
        </w:rPr>
        <w:t>Solar power facilities, typically 20 MW or greater in size (on an alternating current, or AC, basis), that are interconnected into the transmission or distribution grid to sell power at a wholesale level</w:t>
      </w:r>
    </w:p>
    <w:p>
      <w:pPr>
        <w:spacing w:after="0" w:line="10"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Variable Interest Entity</w:t>
      </w:r>
    </w:p>
    <w:p>
      <w:pPr>
        <w:spacing w:after="0" w:line="211" w:lineRule="exact"/>
        <w:rPr>
          <w:sz w:val="20"/>
          <w:szCs w:val="20"/>
          <w:color w:val="auto"/>
        </w:rPr>
      </w:pPr>
    </w:p>
    <w:p>
      <w:pPr>
        <w:sectPr>
          <w:pgSz w:w="11900" w:h="16838" w:orient="portrait"/>
          <w:cols w:equalWidth="0" w:num="2">
            <w:col w:w="2160" w:space="720"/>
            <w:col w:w="8320"/>
          </w:cols>
          <w:pgMar w:left="340" w:top="109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93" w:right="359" w:bottom="1440" w:gutter="0" w:footer="0" w:header="0"/>
          <w:type w:val="continuous"/>
        </w:sectPr>
      </w:pPr>
    </w:p>
    <w:bookmarkStart w:id="5" w:name="page6"/>
    <w:bookmarkEnd w:id="5"/>
    <w:p>
      <w:pPr>
        <w:ind w:left="40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operations, exclusive of depreciation, amortization and accretion shown separately below</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 and redeemable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Clearway Energy, Inc.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Loss Per Share Attributable to Clearway Energy, Inc. Class A and Class C Common Stockholders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 - basic and diluted</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Class C common shares outstanding - basic and diluted</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Loss Per Weighted Average Class A and Class C Common Share - Basic and Diluted</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A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0.4312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Dividends Per Class C Common Share</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0.4602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0.4312</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49" w:right="51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(loss) on derivatives and changes in accumulated OCI/OCL, net of income tax benefit of $(1)</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and $(1)</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76"/>
        </w:trPr>
        <w:tc>
          <w:tcPr>
            <w:tcW w:w="83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 interests and redeemable noncontrolling</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Clearway Energy,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7" w:name="page8"/>
    <w:bookmarkEnd w:id="7"/>
    <w:p>
      <w:pPr>
        <w:ind w:left="448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5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700" w:type="dxa"/>
            <w:vAlign w:val="bottom"/>
            <w:vMerge w:val="restart"/>
          </w:tcPr>
          <w:p>
            <w:pPr>
              <w:ind w:left="35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213"/>
        </w:trPr>
        <w:tc>
          <w:tcPr>
            <w:tcW w:w="7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 affiliates</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7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0" w:type="dxa"/>
            <w:vAlign w:val="bottom"/>
          </w:tcPr>
          <w:p>
            <w:pPr>
              <w:spacing w:after="0"/>
              <w:rPr>
                <w:sz w:val="1"/>
                <w:szCs w:val="1"/>
                <w:color w:val="auto"/>
              </w:rPr>
            </w:pPr>
          </w:p>
        </w:tc>
      </w:tr>
      <w:tr>
        <w:trPr>
          <w:trHeight w:val="207"/>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11,596</w:t>
            </w:r>
          </w:p>
        </w:tc>
        <w:tc>
          <w:tcPr>
            <w:tcW w:w="0" w:type="dxa"/>
            <w:vAlign w:val="bottom"/>
          </w:tcPr>
          <w:p>
            <w:pPr>
              <w:spacing w:after="0"/>
              <w:rPr>
                <w:sz w:val="1"/>
                <w:szCs w:val="1"/>
                <w:color w:val="auto"/>
              </w:rPr>
            </w:pP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 for power purchase agreements,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0" w:type="dxa"/>
            <w:vAlign w:val="bottom"/>
          </w:tcPr>
          <w:p>
            <w:pPr>
              <w:spacing w:after="0"/>
              <w:rPr>
                <w:sz w:val="1"/>
                <w:szCs w:val="1"/>
                <w:color w:val="auto"/>
              </w:rPr>
            </w:pPr>
          </w:p>
        </w:tc>
      </w:tr>
      <w:tr>
        <w:trPr>
          <w:trHeight w:val="213"/>
        </w:trPr>
        <w:tc>
          <w:tcPr>
            <w:tcW w:w="7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3"/>
        </w:trPr>
        <w:tc>
          <w:tcPr>
            <w:tcW w:w="7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assets,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0" w:type="dxa"/>
            <w:vAlign w:val="bottom"/>
          </w:tcPr>
          <w:p>
            <w:pPr>
              <w:spacing w:after="0"/>
              <w:rPr>
                <w:sz w:val="1"/>
                <w:szCs w:val="1"/>
                <w:color w:val="auto"/>
              </w:rPr>
            </w:pPr>
          </w:p>
        </w:tc>
      </w:tr>
      <w:tr>
        <w:trPr>
          <w:trHeight w:val="212"/>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00" w:type="dxa"/>
            <w:vAlign w:val="bottom"/>
            <w:shd w:val="clear" w:color="auto" w:fill="CCEEFF"/>
          </w:tcPr>
          <w:p>
            <w:pPr>
              <w:ind w:left="21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1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 trade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 affiliates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 expense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0" w:type="dxa"/>
            <w:vAlign w:val="bottom"/>
          </w:tcPr>
          <w:p>
            <w:pPr>
              <w:spacing w:after="0"/>
              <w:rPr>
                <w:sz w:val="1"/>
                <w:szCs w:val="1"/>
                <w:color w:val="auto"/>
              </w:rPr>
            </w:pPr>
          </w:p>
        </w:tc>
      </w:tr>
      <w:tr>
        <w:trPr>
          <w:trHeight w:val="194"/>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7,898</w:t>
            </w:r>
          </w:p>
        </w:tc>
        <w:tc>
          <w:tcPr>
            <w:tcW w:w="0" w:type="dxa"/>
            <w:vAlign w:val="bottom"/>
          </w:tcPr>
          <w:p>
            <w:pPr>
              <w:spacing w:after="0"/>
              <w:rPr>
                <w:sz w:val="1"/>
                <w:szCs w:val="1"/>
                <w:color w:val="auto"/>
              </w:rPr>
            </w:pPr>
          </w:p>
        </w:tc>
      </w:tr>
      <w:tr>
        <w:trPr>
          <w:trHeight w:val="21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1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0" w:type="dxa"/>
            <w:vAlign w:val="bottom"/>
          </w:tcPr>
          <w:p>
            <w:pPr>
              <w:spacing w:after="0"/>
              <w:rPr>
                <w:sz w:val="1"/>
                <w:szCs w:val="1"/>
                <w:color w:val="auto"/>
              </w:rPr>
            </w:pPr>
          </w:p>
        </w:tc>
      </w:tr>
      <w:tr>
        <w:trPr>
          <w:trHeight w:val="207"/>
        </w:trPr>
        <w:tc>
          <w:tcPr>
            <w:tcW w:w="7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9,723</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10,741</w:t>
            </w:r>
          </w:p>
        </w:tc>
        <w:tc>
          <w:tcPr>
            <w:tcW w:w="0" w:type="dxa"/>
            <w:vAlign w:val="bottom"/>
          </w:tcPr>
          <w:p>
            <w:pPr>
              <w:spacing w:after="0"/>
              <w:rPr>
                <w:sz w:val="1"/>
                <w:szCs w:val="1"/>
                <w:color w:val="auto"/>
              </w:rPr>
            </w:pPr>
          </w:p>
        </w:tc>
      </w:tr>
      <w:tr>
        <w:trPr>
          <w:trHeight w:val="207"/>
        </w:trPr>
        <w:tc>
          <w:tcPr>
            <w:tcW w:w="7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Redeemable noncontrolling interest in subsidiaries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Class A, Class B, Class C and Class D common stock, $0.01 par value; 3,000,000,000 shares authorized (Class A</w:t>
            </w: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500,000,000, Class B 500,000,000, Class C 1,000,000,000, Class D 1,000,000,000); 205,218,918 shares issued and</w:t>
            </w: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outstanding (Class A 34,613,853, Class B 42,738,750, Class C 86,290,173, Class D 41,576,142) at March 31, 2026</w:t>
            </w: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and 203,773,674 shares issued and outstanding (Class A 34,613,853, Class B 42,738,750, Class C 84,844,929,</w:t>
            </w:r>
          </w:p>
        </w:tc>
        <w:tc>
          <w:tcPr>
            <w:tcW w:w="26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D 41,576,142) at December 31, 2025</w:t>
            </w: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0" w:type="dxa"/>
            <w:vAlign w:val="bottom"/>
          </w:tcPr>
          <w:p>
            <w:pPr>
              <w:spacing w:after="0"/>
              <w:rPr>
                <w:sz w:val="1"/>
                <w:szCs w:val="1"/>
                <w:color w:val="auto"/>
              </w:rPr>
            </w:pPr>
          </w:p>
        </w:tc>
      </w:tr>
      <w:tr>
        <w:trPr>
          <w:trHeight w:val="21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 Retained earnings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0" w:type="dxa"/>
            <w:vAlign w:val="bottom"/>
          </w:tcPr>
          <w:p>
            <w:pPr>
              <w:spacing w:after="0"/>
              <w:rPr>
                <w:sz w:val="1"/>
                <w:szCs w:val="1"/>
                <w:color w:val="auto"/>
              </w:rPr>
            </w:pPr>
          </w:p>
        </w:tc>
      </w:tr>
      <w:tr>
        <w:trPr>
          <w:trHeight w:val="212"/>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140"/>
          </w:cols>
          <w:pgMar w:left="320" w:top="104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49" w:right="4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 in carrying amount of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deferred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derivative instruments and amortization of accumulated OCI/OCL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transferable tax credits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Changes in other working capital</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Drop Down Assets, net of cash acquired</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for equipment deposits and asset purchases from affiliate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to) Contributions from noncontrolling interests,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Class C common stock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dividends and distributions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Buyout of noncontrolling interest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for the revolving credit facility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long-term debt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1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Retained Earnings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0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1"/>
                <w:szCs w:val="11"/>
                <w:color w:val="auto"/>
              </w:rPr>
            </w:pPr>
          </w:p>
        </w:tc>
        <w:tc>
          <w:tcPr>
            <w:tcW w:w="10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89"/>
              </w:rPr>
              <w:t>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4"/>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left="704"/>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Unrealized gain on derivatives and changes in</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OCL, net of tax</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left="704"/>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Distributions to noncontrolling interests, net of</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center"/>
              <w:ind w:left="704"/>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contributions, cash</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left="704"/>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Cardinal Portfolio acquisition</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704"/>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Buyout of noncontrolling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left="704"/>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the issuance of Class C common stock</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704"/>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left="704"/>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dividends and distributions to CEG</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center"/>
              <w:ind w:left="704"/>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unit holders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gridSpan w:val="2"/>
          </w:tcPr>
          <w:p>
            <w:pPr>
              <w:jc w:val="center"/>
              <w:ind w:left="704"/>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83"/>
        </w:trPr>
        <w:tc>
          <w:tcPr>
            <w:tcW w:w="3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Unrealized loss on derivatives and changes in</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center"/>
              <w:ind w:left="724"/>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OCI, net of tax</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 interests, net of</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cash</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noncontrolling interests, non-cash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724"/>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0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dividends and distributions to CEG unit</w:t>
            </w:r>
          </w:p>
        </w:tc>
        <w:tc>
          <w:tcPr>
            <w:tcW w:w="120" w:type="dxa"/>
            <w:vAlign w:val="bottom"/>
          </w:tcPr>
          <w:p>
            <w:pPr>
              <w:spacing w:after="0"/>
              <w:rPr>
                <w:sz w:val="14"/>
                <w:szCs w:val="14"/>
                <w:color w:val="auto"/>
              </w:rPr>
            </w:pP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holders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 is one of the largest owners of clean energy generation assets in the U.S. The Company’s portfolio comprises approximately 13.6 GW of gross capacity in 27 states, including approximately 10.8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8"/>
          <w:szCs w:val="18"/>
          <w:color w:val="231F20"/>
        </w:rPr>
        <w:t>The majority</w:t>
      </w:r>
      <w:r>
        <w:rPr>
          <w:rFonts w:ascii="Times New Roman" w:cs="Times New Roman" w:eastAsia="Times New Roman" w:hAnsi="Times New Roman"/>
          <w:sz w:val="18"/>
          <w:szCs w:val="18"/>
          <w:color w:val="auto"/>
        </w:rPr>
        <w:t xml:space="preserve"> of the Company’s revenues are derived from long-term contractual arrangements for the output or capacity from these assets.</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consolidates the results of Clearway Energy LLC through its controlling interest, with CEG’s interest shown as noncontrolling interest in the consolidated financial statements. The holders of the Company’s outstanding shares of Class C common stock, including shares that were received in the Class A Conversion, are entitled to dividends as declared. CEG receives its distributions from Clearway Energy LLC through its ownership of Clearway Energy LLC Class B and Class D units. </w:t>
      </w:r>
      <w:r>
        <w:rPr>
          <w:rFonts w:ascii="Times New Roman" w:cs="Times New Roman" w:eastAsia="Times New Roman" w:hAnsi="Times New Roman"/>
          <w:sz w:val="18"/>
          <w:szCs w:val="18"/>
          <w:color w:val="000000"/>
        </w:rPr>
        <w:t>From time to time, CEG may also hold shares of the Company’s Class C common stock.</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the Company owned 58.91% of the economic interests of Clearway Energy LLC, with CEG owning 41.09% of the economic interests of Clearway Energy LLC.</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diagram below represents a summarized structure of the Company as of March 31, 2026 (prior to the Class A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5863590" cy="3352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3590" cy="335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Conversion</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On April 29, 2026, at the Company’s Annual Meeting of Stockholders, the Company’s stockholders approved a Second Amended and Restated Certificate of Incorporation, or the Amended Charter, pursuant to which each outstanding share of the Company’s Class A common stock was converted into one share of the Company’s Class C common stock, effective May 1, 2026, referred to as the Class A Conversion. Accordingly, the Company no longer has any Class A common stock outstanding. Immediately following the Class A Conversion, the Company’s outstanding Class C common stock represented 45.12% of the total voting power of the Company’s common stock, and the Company’s outstanding Class B common stock and Class D common stock, collectively, represented 54.88% of the total voting power of the Company’s common stock. See Note 9, </w:t>
      </w:r>
      <w:r>
        <w:rPr>
          <w:rFonts w:ascii="Times New Roman" w:cs="Times New Roman" w:eastAsia="Times New Roman" w:hAnsi="Times New Roman"/>
          <w:sz w:val="18"/>
          <w:szCs w:val="18"/>
          <w:i w:val="1"/>
          <w:iCs w:val="1"/>
          <w:color w:val="auto"/>
        </w:rPr>
        <w:t>Changes in Capital Structure</w:t>
      </w:r>
      <w:r>
        <w:rPr>
          <w:rFonts w:ascii="Times New Roman" w:cs="Times New Roman" w:eastAsia="Times New Roman" w:hAnsi="Times New Roman"/>
          <w:sz w:val="18"/>
          <w:szCs w:val="18"/>
          <w:color w:val="auto"/>
        </w:rPr>
        <w:t>, for further discussion of the Class A Conversion.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Certain prior period financial information included in these unaudited interim consolidated financial statements has been revised to correct immaterial errors. See Note 13, </w:t>
      </w:r>
      <w:r>
        <w:rPr>
          <w:rFonts w:ascii="Times New Roman" w:cs="Times New Roman" w:eastAsia="Times New Roman" w:hAnsi="Times New Roman"/>
          <w:sz w:val="18"/>
          <w:szCs w:val="18"/>
          <w:i w:val="1"/>
          <w:iCs w:val="1"/>
          <w:color w:val="auto"/>
        </w:rPr>
        <w:t>Revision of Previously Issued Unaudited Financial Information</w:t>
      </w:r>
      <w:r>
        <w:rPr>
          <w:rFonts w:ascii="Times New Roman" w:cs="Times New Roman" w:eastAsia="Times New Roman" w:hAnsi="Times New Roman"/>
          <w:sz w:val="18"/>
          <w:szCs w:val="18"/>
          <w:color w:val="auto"/>
        </w:rPr>
        <w:t>, for additional information.</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notes should be read in conjunction with the accounting policies and other disclosures as set forth in the notes to the consolidated financial statements included in the Company’s 2025 Form 10-K. Interim results are not necessarily indicative of results for a full year.</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material adjustments consisting of normal and recurring accruals necessary for a fair statement of the Company’s consolidated financial position as of March 31, 2026 and December 31, 2025, and results of operations, comprehensive loss and cash flows for the three months ended March 31, 2026 and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 Cash and cash equivalents held at subsidiary facilities was $233 million and $194 million as of March 31, 2026 and December 31, 2025, respectively.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7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gridSpan w:val="3"/>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920" w:type="dxa"/>
            <w:vAlign w:val="bottom"/>
          </w:tcPr>
          <w:p>
            <w:pPr>
              <w:spacing w:after="0"/>
              <w:rPr>
                <w:sz w:val="18"/>
                <w:szCs w:val="18"/>
                <w:color w:val="auto"/>
              </w:rPr>
            </w:pPr>
          </w:p>
        </w:tc>
      </w:tr>
      <w:tr>
        <w:trPr>
          <w:trHeight w:val="27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7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shown in the consolidated statements of cash flows</w:t>
            </w:r>
          </w:p>
        </w:tc>
        <w:tc>
          <w:tcPr>
            <w:tcW w:w="1480" w:type="dxa"/>
            <w:vAlign w:val="bottom"/>
            <w:tcBorders>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Restricted cash consists primarily of funds held to satisfy the requirements of certain debt agreements and funds held within the Company’s facilities that are restricted in their use. As of March 31, 2026, these restricted funds were comprised of $141 million designated to fund operating expenses, $97 million designated for current debt service payments and $85 million restricted for reserves including debt service, performance obligations and other reserves as well as capital expenditures. The remaining $32 million is held in distribution reserve accounts. In January 2026, the Company distributed $174 million to the tax equity investor in Rosie South TE Holdco LLC related to transferable ITCs for the Rosamond South I solar and BESS facility that were included in restricted cash as of December 31, 2025.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Depreciation and Accumulated Amortization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property, plant and equipment, net, and accumulated amortization included in intangible assets, net: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3"/>
          </w:tcPr>
          <w:p>
            <w:pPr>
              <w:jc w:val="right"/>
              <w:ind w:right="141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4,841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Accumulated Amortization</w:t>
            </w:r>
          </w:p>
        </w:tc>
        <w:tc>
          <w:tcPr>
            <w:tcW w:w="260" w:type="dxa"/>
            <w:vAlign w:val="bottom"/>
          </w:tcPr>
          <w:p>
            <w:pPr>
              <w:spacing w:after="0"/>
              <w:rPr>
                <w:sz w:val="20"/>
                <w:szCs w:val="20"/>
                <w:color w:val="auto"/>
              </w:rPr>
            </w:pPr>
          </w:p>
        </w:tc>
        <w:tc>
          <w:tcPr>
            <w:tcW w:w="16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1,432</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distributions to redeemable noncontrolling interests</w:t>
            </w:r>
          </w:p>
        </w:tc>
        <w:tc>
          <w:tcPr>
            <w:tcW w:w="4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contribution from redeemable noncontrolling interests</w:t>
            </w:r>
          </w:p>
        </w:tc>
        <w:tc>
          <w:tcPr>
            <w:tcW w:w="4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loss attributable to redeemable noncontrolling interests</w:t>
            </w:r>
          </w:p>
        </w:tc>
        <w:tc>
          <w:tcPr>
            <w:tcW w:w="4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6"/>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440" w:type="dxa"/>
            <w:vAlign w:val="bottom"/>
          </w:tcPr>
          <w:p>
            <w:pPr>
              <w:spacing w:after="0"/>
              <w:rPr>
                <w:sz w:val="16"/>
                <w:szCs w:val="16"/>
                <w:color w:val="auto"/>
              </w:rPr>
            </w:pPr>
          </w:p>
        </w:tc>
        <w:tc>
          <w:tcPr>
            <w:tcW w:w="11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7"/>
        </w:trPr>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333333"/>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261</w:t>
            </w:r>
          </w:p>
        </w:tc>
        <w:tc>
          <w:tcPr>
            <w:tcW w:w="0" w:type="dxa"/>
            <w:vAlign w:val="bottom"/>
          </w:tcPr>
          <w:p>
            <w:pPr>
              <w:spacing w:after="0"/>
              <w:rPr>
                <w:sz w:val="1"/>
                <w:szCs w:val="1"/>
                <w:color w:val="auto"/>
              </w:rPr>
            </w:pPr>
          </w:p>
        </w:tc>
      </w:tr>
      <w:tr>
        <w:trPr>
          <w:trHeight w:val="31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97</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16</w:t>
            </w: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(50)</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30</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61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354</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50</w:t>
            </w: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(30)</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revenue</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(208)</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44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33333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122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333333"/>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166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40" w:hanging="151"/>
        <w:spacing w:after="0"/>
        <w:tabs>
          <w:tab w:leader="none" w:pos="2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revenues relate to leases and are accounted for under ASC 842: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Capacity revenue</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8"/>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6"/>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440" w:type="dxa"/>
            <w:vAlign w:val="bottom"/>
          </w:tcPr>
          <w:p>
            <w:pPr>
              <w:spacing w:after="0"/>
              <w:rPr>
                <w:sz w:val="16"/>
                <w:szCs w:val="16"/>
                <w:color w:val="auto"/>
              </w:rPr>
            </w:pPr>
          </w:p>
        </w:tc>
        <w:tc>
          <w:tcPr>
            <w:tcW w:w="11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7"/>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33333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242</w:t>
            </w:r>
          </w:p>
        </w:tc>
        <w:tc>
          <w:tcPr>
            <w:tcW w:w="10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311"/>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revenue</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3"/>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17" w:lineRule="exact"/>
        <w:rPr>
          <w:sz w:val="20"/>
          <w:szCs w:val="20"/>
          <w:color w:val="auto"/>
        </w:rPr>
      </w:pPr>
    </w:p>
    <w:p>
      <w:pPr>
        <w:ind w:left="240" w:hanging="151"/>
        <w:spacing w:after="0"/>
        <w:tabs>
          <w:tab w:leader="none" w:pos="2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revenues relate to leases and are accounted for under ASC 842:</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Capacity revenue</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8"/>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contract assets included on the Company’s 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7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gridSpan w:val="3"/>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920" w:type="dxa"/>
            <w:vAlign w:val="bottom"/>
          </w:tcPr>
          <w:p>
            <w:pPr>
              <w:spacing w:after="0"/>
              <w:rPr>
                <w:sz w:val="18"/>
                <w:szCs w:val="18"/>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 Contracts with customers</w:t>
            </w:r>
          </w:p>
        </w:tc>
        <w:tc>
          <w:tcPr>
            <w:tcW w:w="148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 net - Leases</w:t>
            </w:r>
          </w:p>
        </w:tc>
        <w:tc>
          <w:tcPr>
            <w:tcW w:w="1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8"/>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80" w:type="dxa"/>
            <w:vAlign w:val="bottom"/>
            <w:tcBorders>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2026, the Company adopted ASU No. 2025-06,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Targeted Improvements to the Accounting for Internal-Use Software. </w:t>
      </w:r>
      <w:r>
        <w:rPr>
          <w:rFonts w:ascii="Times New Roman" w:cs="Times New Roman" w:eastAsia="Times New Roman" w:hAnsi="Times New Roman"/>
          <w:sz w:val="18"/>
          <w:szCs w:val="18"/>
          <w:color w:val="auto"/>
        </w:rPr>
        <w:t>The amendment clarifies when software costs should be capitalized and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disclosures for all capitalized internal-use software costs. The Company adopted ASU 2025-06 prospectively and the adoption had no material impact on the Company’s financial statements.</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Effective January 1, 2026, the Company adopted ASU No. 2025-07, </w:t>
      </w:r>
      <w:r>
        <w:rPr>
          <w:rFonts w:ascii="Times New Roman" w:cs="Times New Roman" w:eastAsia="Times New Roman" w:hAnsi="Times New Roman"/>
          <w:sz w:val="18"/>
          <w:szCs w:val="18"/>
          <w:i w:val="1"/>
          <w:iCs w:val="1"/>
          <w:color w:val="auto"/>
        </w:rPr>
        <w:t>Derivatives and Hedging (Topic 815) and 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(Topic 606): Derivatives Scope Refinements and Scope Clarification for Share-Based Noncash Consideration from a Customer in a Revenue Contract. </w:t>
      </w:r>
      <w:r>
        <w:rPr>
          <w:rFonts w:ascii="Times New Roman" w:cs="Times New Roman" w:eastAsia="Times New Roman" w:hAnsi="Times New Roman"/>
          <w:sz w:val="18"/>
          <w:szCs w:val="18"/>
          <w:color w:val="auto"/>
        </w:rPr>
        <w:t>The amendment expands the derivative scope exceptions and clarifies when an entity should apply the guidance in ASC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to contracts with share-based noncash consideration from a customer for the transfer of goods or services.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ASU 2025-07 prospectively, and the adoption had no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3 — Acquisitions</w:t>
      </w:r>
    </w:p>
    <w:p>
      <w:pPr>
        <w:spacing w:after="0" w:line="17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Cardinal Portfolio Acquisition </w:t>
      </w:r>
      <w:r>
        <w:rPr>
          <w:rFonts w:ascii="Times New Roman" w:cs="Times New Roman" w:eastAsia="Times New Roman" w:hAnsi="Times New Roman"/>
          <w:sz w:val="18"/>
          <w:szCs w:val="18"/>
          <w:color w:val="auto"/>
        </w:rPr>
        <w:t>— On March 30, 2026, the Company, through its indirect subsidiaries, Cardinal Purchaser LLC and Cardinal JV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Purchaser LLC, completed the acquisition of the Cardinal Portfolio, a 610 MW portfolio of operational solar facilities located in eight states, for total cash consideration of $324 million, subject to post-closing adjustments. Of the total consideration, $244 million related to facilities consolidated by the Company and $80 million related to facilities held through a joint venture with a third-party investor. The joint venture includes 12 facilities located in the western U.S., comprising 225 MW. The Company’s investment in the joint venture is accounted for under the equity method, as further described in Note 4,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The Cardinal Portfolio has a weighted average remaining contract duration of approximately 10 years. The Cardinal Portfolio is reflected in the Renewables &amp; Storage segment and the acquisition was funded with $100 million in borrowings under the new financing arrangement entered into in connection with the acquisition, as further described in Note 7,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as well as existing sources of liquidity. After factoring in cash acquired, transaction expenses and proceeds from the related financing activities,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estimates that its net capital investment in the Cardinal Portfolio will be approximately $240 million.</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Company accounted for the consolidated group of facilities acquired by Cardinal Purchaser LLC as a business combination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or ASC 805. The following table presents the preliminary fair value estimates of the assets acquired and liabilities assumed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Cardinal Purchaser LLC as of the acquisition date: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 xml:space="preserve">Cardinal Portfolio </w:t>
            </w:r>
            <w:r>
              <w:rPr>
                <w:rFonts w:ascii="Times New Roman" w:cs="Times New Roman" w:eastAsia="Times New Roman" w:hAnsi="Times New Roman"/>
                <w:sz w:val="21"/>
                <w:szCs w:val="21"/>
                <w:b w:val="1"/>
                <w:bCs w:val="1"/>
                <w:color w:val="auto"/>
                <w:vertAlign w:val="superscript"/>
              </w:rPr>
              <w:t>(a)</w:t>
            </w:r>
          </w:p>
        </w:tc>
      </w:tr>
      <w:tr>
        <w:trPr>
          <w:trHeight w:val="223"/>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0"/>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for power purchase agreements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70"/>
        </w:trPr>
        <w:tc>
          <w:tcPr>
            <w:tcW w:w="9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r>
      <w:tr>
        <w:trPr>
          <w:trHeight w:val="229"/>
        </w:trPr>
        <w:tc>
          <w:tcPr>
            <w:tcW w:w="90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(b)</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9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3"/>
        </w:trPr>
        <w:tc>
          <w:tcPr>
            <w:tcW w:w="900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Noncontrolling interest </w:t>
            </w:r>
            <w:r>
              <w:rPr>
                <w:rFonts w:ascii="Times New Roman" w:cs="Times New Roman" w:eastAsia="Times New Roman" w:hAnsi="Times New Roman"/>
                <w:sz w:val="23"/>
                <w:szCs w:val="23"/>
                <w:color w:val="auto"/>
                <w:vertAlign w:val="superscript"/>
              </w:rPr>
              <w:t>(c)</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0"/>
        </w:trPr>
        <w:tc>
          <w:tcPr>
            <w:tcW w:w="9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Excludes the equity method investment held by Cardinal JV Purchaser LLC.</w:t>
      </w:r>
    </w:p>
    <w:p>
      <w:pPr>
        <w:spacing w:after="0" w:line="57" w:lineRule="exact"/>
        <w:rPr>
          <w:rFonts w:ascii="Times New Roman" w:cs="Times New Roman" w:eastAsia="Times New Roman" w:hAnsi="Times New Roman"/>
          <w:sz w:val="20"/>
          <w:szCs w:val="20"/>
          <w:color w:val="auto"/>
          <w:vertAlign w:val="superscript"/>
        </w:rPr>
      </w:pPr>
    </w:p>
    <w:p>
      <w:pPr>
        <w:ind w:left="240" w:hanging="151"/>
        <w:spacing w:after="0" w:line="189" w:lineRule="auto"/>
        <w:tabs>
          <w:tab w:leader="none" w:pos="24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See Note 7, </w:t>
      </w:r>
      <w:r>
        <w:rPr>
          <w:rFonts w:ascii="Times New Roman" w:cs="Times New Roman" w:eastAsia="Times New Roman" w:hAnsi="Times New Roman"/>
          <w:sz w:val="13"/>
          <w:szCs w:val="13"/>
          <w:i w:val="1"/>
          <w:iCs w:val="1"/>
          <w:color w:val="auto"/>
        </w:rPr>
        <w:t>Long-term Debt</w:t>
      </w:r>
      <w:r>
        <w:rPr>
          <w:rFonts w:ascii="Times New Roman" w:cs="Times New Roman" w:eastAsia="Times New Roman" w:hAnsi="Times New Roman"/>
          <w:sz w:val="13"/>
          <w:szCs w:val="13"/>
          <w:color w:val="auto"/>
        </w:rPr>
        <w:t>, for additional information regarding the assumed facility-level debt.</w:t>
      </w:r>
    </w:p>
    <w:p>
      <w:pPr>
        <w:spacing w:after="0" w:line="57" w:lineRule="exact"/>
        <w:rPr>
          <w:rFonts w:ascii="Times New Roman" w:cs="Times New Roman" w:eastAsia="Times New Roman" w:hAnsi="Times New Roman"/>
          <w:sz w:val="19"/>
          <w:szCs w:val="19"/>
          <w:color w:val="auto"/>
          <w:vertAlign w:val="superscript"/>
        </w:rPr>
      </w:pPr>
    </w:p>
    <w:p>
      <w:pPr>
        <w:ind w:left="80" w:firstLine="9"/>
        <w:spacing w:after="0" w:line="226" w:lineRule="auto"/>
        <w:tabs>
          <w:tab w:leader="none" w:pos="233"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Represents a tax equity fund, Shoreham Energy Holdings, LLC, which the Company consolidates as primary beneficiary. The Class A membership interests in Shoreham Energy Holdings, LLC are held by a tax equity investor.</w:t>
      </w:r>
    </w:p>
    <w:p>
      <w:pPr>
        <w:spacing w:after="0" w:line="15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805, the assets acquired and liabilities assumed have been measured at fair value as of the acquisition date. The fair value of property, plant and equipment was determined primarily based on the income approach using discounted cash flows. This methodology was utilized as the forecasted cash flows incorporate specific attributes including age, useful life, equipment condition and technology. The fair value of intangible assets and liabilities for power purchase agreements was determined utilizing a variation of the income approach determined by discounting the replacement market price of the incremental cash flows associated with the contracts to present value. Intangible liabilities for power purchase agreements are included in other non-current liabilities. Primary assumptions utilized included estimates of generation, contractual prices, operating expenses and the weighted average cost of capital reflective of a market participant. These assumptions are considered to be a Level 3 measurement as defined in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as they utilize inputs that are not observable in the market. Long-term debt assumed as part of the acquisition was recorded at its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5" w:name="page16"/>
    <w:bookmarkEnd w:id="15"/>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completing the fair value measurement of the acquired assets, assumed liabilities and noncontrolling interests, and accordingly the amounts above are preliminary. The Company expects to finalize the fair value estimates within the measurement period, which will not exceed one year from the acquisition date.</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revenue and earnings of the acquired business from the acquisition date through March 31, 2026 were not material and have not been separately disclosed. In addition, supplemental unaudited pro forma revenue and earnings information assuming the acquisition occurred at the beginning of the prior calendar year has not been disclosed, as such information would not be meaningful given the timing of the acquisition.</w:t>
      </w:r>
    </w:p>
    <w:p>
      <w:pPr>
        <w:spacing w:after="0" w:line="118" w:lineRule="exact"/>
        <w:rPr>
          <w:sz w:val="20"/>
          <w:szCs w:val="20"/>
          <w:color w:val="auto"/>
        </w:rPr>
      </w:pPr>
    </w:p>
    <w:p>
      <w:pPr>
        <w:ind w:right="436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4 — Investments Accounted for by the Equity Method and Variable Interest Entities </w:t>
      </w:r>
      <w:r>
        <w:rPr>
          <w:rFonts w:ascii="Times New Roman" w:cs="Times New Roman" w:eastAsia="Times New Roman" w:hAnsi="Times New Roman"/>
          <w:sz w:val="18"/>
          <w:szCs w:val="18"/>
          <w:b w:val="1"/>
          <w:bCs w:val="1"/>
          <w:i w:val="1"/>
          <w:iCs w:val="1"/>
          <w:color w:val="auto"/>
        </w:rPr>
        <w:t>Entities that are not Consolidated</w:t>
      </w:r>
    </w:p>
    <w:p>
      <w:pPr>
        <w:spacing w:after="0" w:line="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 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included in the Company’s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 xml:space="preserve"> Form 10</w:t>
      </w:r>
      <w:r>
        <w:rPr>
          <w:rFonts w:ascii="Times New Roman" w:cs="Times New Roman" w:eastAsia="Times New Roman" w:hAnsi="Times New Roman"/>
          <w:sz w:val="18"/>
          <w:szCs w:val="18"/>
          <w:color w:val="000000"/>
        </w:rPr>
        <w:t>-K.</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Company’s equity investments in unconsolidated affiliates as of March 31, 2026:</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Economic Interest</w:t>
            </w:r>
          </w:p>
        </w:tc>
        <w:tc>
          <w:tcPr>
            <w:tcW w:w="180" w:type="dxa"/>
            <w:vAlign w:val="bottom"/>
          </w:tcPr>
          <w:p>
            <w:pPr>
              <w:spacing w:after="0"/>
              <w:rPr>
                <w:sz w:val="22"/>
                <w:szCs w:val="22"/>
                <w:color w:val="auto"/>
              </w:rPr>
            </w:pPr>
          </w:p>
        </w:tc>
        <w:tc>
          <w:tcPr>
            <w:tcW w:w="18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 xml:space="preserve">Investment Balance </w:t>
            </w:r>
            <w:r>
              <w:rPr>
                <w:rFonts w:ascii="Times New Roman" w:cs="Times New Roman" w:eastAsia="Times New Roman" w:hAnsi="Times New Roman"/>
                <w:sz w:val="23"/>
                <w:szCs w:val="23"/>
                <w:b w:val="1"/>
                <w:bCs w:val="1"/>
                <w:color w:val="auto"/>
                <w:vertAlign w:val="superscript"/>
              </w:rPr>
              <w:t>(a)</w:t>
            </w:r>
          </w:p>
        </w:tc>
      </w:tr>
      <w:tr>
        <w:trPr>
          <w:trHeight w:val="208"/>
        </w:trPr>
        <w:tc>
          <w:tcPr>
            <w:tcW w:w="2180" w:type="dxa"/>
            <w:vAlign w:val="bottom"/>
            <w:tcBorders>
              <w:top w:val="single" w:sz="8" w:color="auto"/>
            </w:tcBorders>
          </w:tcPr>
          <w:p>
            <w:pPr>
              <w:spacing w:after="0"/>
              <w:rPr>
                <w:sz w:val="18"/>
                <w:szCs w:val="18"/>
                <w:color w:val="auto"/>
              </w:rPr>
            </w:pPr>
          </w:p>
        </w:tc>
        <w:tc>
          <w:tcPr>
            <w:tcW w:w="5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Avenal</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6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Cardinal Portfolio JV </w:t>
            </w:r>
            <w:r>
              <w:rPr>
                <w:rFonts w:ascii="Times New Roman" w:cs="Times New Roman" w:eastAsia="Times New Roman" w:hAnsi="Times New Roman"/>
                <w:sz w:val="23"/>
                <w:szCs w:val="23"/>
                <w:color w:val="auto"/>
                <w:vertAlign w:val="superscript"/>
              </w:rPr>
              <w:t>(b)</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Desert Sunlight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Elkhorn Ridge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66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GenConn </w:t>
            </w:r>
            <w:r>
              <w:rPr>
                <w:rFonts w:ascii="Times New Roman" w:cs="Times New Roman" w:eastAsia="Times New Roman" w:hAnsi="Times New Roman"/>
                <w:sz w:val="23"/>
                <w:szCs w:val="23"/>
                <w:color w:val="auto"/>
                <w:vertAlign w:val="superscript"/>
              </w:rPr>
              <w:t>(c)</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7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San Juan Mesa</w:t>
            </w: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218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tcPr>
          <w:p>
            <w:pPr>
              <w:spacing w:after="0"/>
              <w:rPr>
                <w:sz w:val="13"/>
                <w:szCs w:val="13"/>
                <w:color w:val="auto"/>
              </w:rPr>
            </w:pPr>
          </w:p>
        </w:tc>
      </w:tr>
    </w:tbl>
    <w:p>
      <w:pPr>
        <w:spacing w:after="0" w:line="9" w:lineRule="exact"/>
        <w:rPr>
          <w:sz w:val="20"/>
          <w:szCs w:val="20"/>
          <w:color w:val="auto"/>
        </w:rPr>
      </w:pPr>
    </w:p>
    <w:p>
      <w:pPr>
        <w:ind w:left="260" w:hanging="171"/>
        <w:spacing w:after="0"/>
        <w:tabs>
          <w:tab w:leader="none" w:pos="26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Company’s maximum exposure to loss is limited to its investment balances.</w:t>
      </w:r>
    </w:p>
    <w:p>
      <w:pPr>
        <w:spacing w:after="0" w:line="84" w:lineRule="exact"/>
        <w:rPr>
          <w:rFonts w:ascii="Times New Roman" w:cs="Times New Roman" w:eastAsia="Times New Roman" w:hAnsi="Times New Roman"/>
          <w:sz w:val="23"/>
          <w:szCs w:val="23"/>
          <w:color w:val="auto"/>
          <w:vertAlign w:val="superscript"/>
        </w:rPr>
      </w:pPr>
    </w:p>
    <w:p>
      <w:pPr>
        <w:ind w:left="260" w:hanging="171"/>
        <w:spacing w:after="0" w:line="189" w:lineRule="auto"/>
        <w:tabs>
          <w:tab w:leader="none" w:pos="2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 xml:space="preserve">Acquired on March 30, 2026. See Note 3, </w:t>
      </w:r>
      <w:r>
        <w:rPr>
          <w:rFonts w:ascii="Times New Roman" w:cs="Times New Roman" w:eastAsia="Times New Roman" w:hAnsi="Times New Roman"/>
          <w:sz w:val="12"/>
          <w:szCs w:val="12"/>
          <w:i w:val="1"/>
          <w:iCs w:val="1"/>
          <w:color w:val="auto"/>
        </w:rPr>
        <w:t>Acquisitions</w:t>
      </w:r>
      <w:r>
        <w:rPr>
          <w:rFonts w:ascii="Times New Roman" w:cs="Times New Roman" w:eastAsia="Times New Roman" w:hAnsi="Times New Roman"/>
          <w:sz w:val="12"/>
          <w:szCs w:val="12"/>
          <w:color w:val="auto"/>
        </w:rPr>
        <w:t>, for further discussion.</w:t>
      </w:r>
    </w:p>
    <w:p>
      <w:pPr>
        <w:spacing w:after="0" w:line="57" w:lineRule="exact"/>
        <w:rPr>
          <w:rFonts w:ascii="Times New Roman" w:cs="Times New Roman" w:eastAsia="Times New Roman" w:hAnsi="Times New Roman"/>
          <w:sz w:val="19"/>
          <w:szCs w:val="19"/>
          <w:color w:val="auto"/>
          <w:vertAlign w:val="superscript"/>
        </w:rPr>
      </w:pPr>
    </w:p>
    <w:p>
      <w:pPr>
        <w:ind w:left="260" w:hanging="171"/>
        <w:spacing w:after="0" w:line="189" w:lineRule="auto"/>
        <w:tabs>
          <w:tab w:leader="none" w:pos="2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GenConn is a VIE.</w:t>
      </w:r>
    </w:p>
    <w:p>
      <w:pPr>
        <w:spacing w:after="0" w:line="154" w:lineRule="exact"/>
        <w:rPr>
          <w:sz w:val="20"/>
          <w:szCs w:val="20"/>
          <w:color w:val="auto"/>
        </w:rPr>
      </w:pPr>
    </w:p>
    <w:p>
      <w:pPr>
        <w:ind w:right="1800" w:firstLine="405"/>
        <w:spacing w:after="0" w:line="437" w:lineRule="auto"/>
        <w:rPr>
          <w:sz w:val="20"/>
          <w:szCs w:val="20"/>
          <w:color w:val="auto"/>
        </w:rPr>
      </w:pPr>
      <w:r>
        <w:rPr>
          <w:rFonts w:ascii="Times New Roman" w:cs="Times New Roman" w:eastAsia="Times New Roman" w:hAnsi="Times New Roman"/>
          <w:sz w:val="18"/>
          <w:szCs w:val="18"/>
          <w:color w:val="auto"/>
        </w:rPr>
        <w:t xml:space="preserve">The Company’s pro-rata share of non-recourse debt held by unconsolidated affiliates was $367 million as of March 31, 2026. </w:t>
      </w:r>
      <w:r>
        <w:rPr>
          <w:rFonts w:ascii="Times New Roman" w:cs="Times New Roman" w:eastAsia="Times New Roman" w:hAnsi="Times New Roman"/>
          <w:sz w:val="18"/>
          <w:szCs w:val="18"/>
          <w:b w:val="1"/>
          <w:bCs w:val="1"/>
          <w:i w:val="1"/>
          <w:iCs w:val="1"/>
          <w:color w:val="auto"/>
        </w:rPr>
        <w:t>Entities that are Consolidated</w:t>
      </w: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to the consolidated financial statements included in the Company’s 2025 Form 10-K, 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or ASC 810.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6" w:name="page17"/>
    <w:bookmarkEnd w:id="16"/>
    <w:p>
      <w:pPr>
        <w:ind w:left="420"/>
        <w:spacing w:after="0"/>
        <w:rPr>
          <w:sz w:val="20"/>
          <w:szCs w:val="20"/>
          <w:color w:val="auto"/>
        </w:rPr>
      </w:pPr>
      <w:r>
        <w:rPr>
          <w:rFonts w:ascii="Times New Roman" w:cs="Times New Roman" w:eastAsia="Times New Roman" w:hAnsi="Times New Roman"/>
          <w:sz w:val="18"/>
          <w:szCs w:val="18"/>
          <w:color w:val="auto"/>
        </w:rPr>
        <w:t>The following is a summary of significant activity during the three months ended March 31, 2026 related to the Company’s consolidated VIEs:</w:t>
      </w:r>
    </w:p>
    <w:p>
      <w:pPr>
        <w:spacing w:after="0" w:line="16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Palisade Plains Partnership </w:t>
      </w:r>
      <w:r>
        <w:rPr>
          <w:rFonts w:ascii="Times New Roman" w:cs="Times New Roman" w:eastAsia="Times New Roman" w:hAnsi="Times New Roman"/>
          <w:sz w:val="18"/>
          <w:szCs w:val="18"/>
          <w:color w:val="auto"/>
        </w:rPr>
        <w:t>— On February 19, 2026, Clearway Renew contributed its rights and interests in certain transformer supply agreements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Palisade Plains Development Partnership LLC, or Palisade Plains Partnership, an indirect subsidiary of the Company, in exchange for Class A membership interests. In connection with the transaction, Clearway Renew contributed $6 million for deposits related to the future delivery of equipment, which is included in other non-current assets on the Company’s consolidated balance sheet, and received a distribution of $5 million. The Class A membership interests held by Clearway Renew are reflected as redeemable noncontrolling interest on the Company’s consolidated balance sheet, as the arrangement provides Clearway Renew with the right to redeem their interests in the partnership for cash or other assets at a point in time. Palisade Plains Partnership is a VIE that indirectly owns the Goat Mountain wind facility and whose purpose is to carry out the development, construction and completion of the repowering of the facility. Palisade Plains Development Partnership Holdco LLC, an indirect subsidiary of the Company, consolidates Palisade Plains Partnership as primary beneficiary through its Class B membership interests, which entitles the Company to 99% of distributable cash.</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Summarized financial information for the Company’s consolidated VIEs consisted of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w:t>
            </w:r>
          </w:p>
        </w:tc>
      </w:tr>
      <w:tr>
        <w:trPr>
          <w:trHeight w:val="223"/>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r>
      <w:tr>
        <w:trPr>
          <w:trHeight w:val="22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of Financial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Accounting under ASC 820</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63" w:lineRule="exact"/>
        <w:rPr>
          <w:sz w:val="20"/>
          <w:szCs w:val="20"/>
          <w:color w:val="auto"/>
        </w:rPr>
      </w:pPr>
    </w:p>
    <w:p>
      <w:pPr>
        <w:ind w:left="1220" w:hanging="240"/>
        <w:spacing w:after="0" w:line="281" w:lineRule="auto"/>
        <w:tabs>
          <w:tab w:leader="none" w:pos="1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spacing w:after="0" w:line="1" w:lineRule="exact"/>
        <w:rPr>
          <w:rFonts w:ascii="Times New Roman" w:cs="Times New Roman" w:eastAsia="Times New Roman" w:hAnsi="Times New Roman"/>
          <w:sz w:val="18"/>
          <w:szCs w:val="18"/>
          <w:color w:val="auto"/>
        </w:rPr>
      </w:pPr>
    </w:p>
    <w:p>
      <w:pPr>
        <w:ind w:left="1220" w:hanging="240"/>
        <w:spacing w:after="0" w:line="281" w:lineRule="auto"/>
        <w:tabs>
          <w:tab w:leader="none" w:pos="1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1" w:lineRule="exact"/>
        <w:rPr>
          <w:rFonts w:ascii="Times New Roman" w:cs="Times New Roman" w:eastAsia="Times New Roman" w:hAnsi="Times New Roman"/>
          <w:sz w:val="18"/>
          <w:szCs w:val="18"/>
          <w:color w:val="auto"/>
        </w:rPr>
      </w:pPr>
    </w:p>
    <w:p>
      <w:pPr>
        <w:ind w:left="1220" w:right="20" w:hanging="240"/>
        <w:spacing w:after="0" w:line="282" w:lineRule="auto"/>
        <w:tabs>
          <w:tab w:leader="none" w:pos="1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carrying amount and estimated fair value of the Company’s recorded financial instrument not carried at fair market value or that does not approximate fair value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420" w:type="dxa"/>
            <w:vAlign w:val="bottom"/>
          </w:tcPr>
          <w:p>
            <w:pPr>
              <w:spacing w:after="0"/>
              <w:rPr>
                <w:sz w:val="16"/>
                <w:szCs w:val="16"/>
                <w:color w:val="auto"/>
              </w:rPr>
            </w:pPr>
          </w:p>
        </w:tc>
        <w:tc>
          <w:tcPr>
            <w:tcW w:w="210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3"/>
        </w:trPr>
        <w:tc>
          <w:tcPr>
            <w:tcW w:w="606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6"/>
        </w:trPr>
        <w:tc>
          <w:tcPr>
            <w:tcW w:w="6060" w:type="dxa"/>
            <w:vAlign w:val="bottom"/>
            <w:shd w:val="clear" w:color="auto" w:fill="CCEEFF"/>
          </w:tcPr>
          <w:p>
            <w:pPr>
              <w:ind w:left="40"/>
              <w:spacing w:after="0" w:line="235" w:lineRule="exact"/>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9,205</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8,872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8,676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798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92" w:lineRule="exact"/>
        <w:rPr>
          <w:sz w:val="20"/>
          <w:szCs w:val="20"/>
          <w:color w:val="auto"/>
        </w:rPr>
      </w:pPr>
    </w:p>
    <w:p>
      <w:pPr>
        <w:ind w:left="260" w:hanging="171"/>
        <w:spacing w:after="0"/>
        <w:tabs>
          <w:tab w:leader="none" w:pos="2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net debt issuance costs, which are recorded as a reduction to long-term debt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7" w:name="page18"/>
    <w:bookmarkEnd w:id="17"/>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36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3"/>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0"/>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2,620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6,252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2,032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r>
      <w:tr>
        <w:trPr>
          <w:trHeight w:val="157"/>
        </w:trPr>
        <w:tc>
          <w:tcPr>
            <w:tcW w:w="6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20" w:type="dxa"/>
            <w:vAlign w:val="bottom"/>
          </w:tcPr>
          <w:p>
            <w:pPr>
              <w:spacing w:after="0"/>
              <w:rPr>
                <w:sz w:val="16"/>
                <w:szCs w:val="16"/>
                <w:color w:val="auto"/>
              </w:rPr>
            </w:pPr>
          </w:p>
        </w:tc>
        <w:tc>
          <w:tcPr>
            <w:tcW w:w="248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1"/>
                <w:szCs w:val="21"/>
                <w:b w:val="1"/>
                <w:bCs w:val="1"/>
                <w:color w:val="auto"/>
                <w:vertAlign w:val="superscript"/>
              </w:rPr>
              <w:t>(a)</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1"/>
                <w:szCs w:val="21"/>
                <w:b w:val="1"/>
                <w:bCs w:val="1"/>
                <w:color w:val="auto"/>
                <w:vertAlign w:val="superscript"/>
              </w:rPr>
              <w:t>(a)</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7"/>
                <w:szCs w:val="17"/>
                <w:color w:val="auto"/>
              </w:rPr>
            </w:pPr>
          </w:p>
        </w:tc>
        <w:tc>
          <w:tcPr>
            <w:tcW w:w="11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21"/>
                <w:szCs w:val="21"/>
                <w:b w:val="1"/>
                <w:bCs w:val="1"/>
                <w:color w:val="auto"/>
                <w:vertAlign w:val="superscript"/>
              </w:rPr>
              <w:t>(b)</w:t>
            </w:r>
          </w:p>
        </w:tc>
        <w:tc>
          <w:tcPr>
            <w:tcW w:w="380" w:type="dxa"/>
            <w:vAlign w:val="bottom"/>
          </w:tcPr>
          <w:p>
            <w:pPr>
              <w:spacing w:after="0"/>
              <w:rPr>
                <w:sz w:val="17"/>
                <w:szCs w:val="17"/>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21"/>
                <w:szCs w:val="21"/>
                <w:b w:val="1"/>
                <w:bCs w:val="1"/>
                <w:color w:val="auto"/>
                <w:vertAlign w:val="superscript"/>
              </w:rPr>
              <w:t>(b)</w:t>
            </w:r>
          </w:p>
        </w:tc>
        <w:tc>
          <w:tcPr>
            <w:tcW w:w="400" w:type="dxa"/>
            <w:vAlign w:val="bottom"/>
          </w:tcPr>
          <w:p>
            <w:pPr>
              <w:spacing w:after="0"/>
              <w:rPr>
                <w:sz w:val="17"/>
                <w:szCs w:val="17"/>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Energy-related commodity contracts </w:t>
            </w:r>
            <w:r>
              <w:rPr>
                <w:rFonts w:ascii="Times New Roman" w:cs="Times New Roman" w:eastAsia="Times New Roman" w:hAnsi="Times New Roman"/>
                <w:sz w:val="23"/>
                <w:szCs w:val="23"/>
                <w:color w:val="auto"/>
                <w:vertAlign w:val="superscript"/>
              </w:rPr>
              <w:t>(c)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Other financial instruments </w:t>
            </w:r>
            <w:r>
              <w:rPr>
                <w:rFonts w:ascii="Times New Roman" w:cs="Times New Roman" w:eastAsia="Times New Roman" w:hAnsi="Times New Roman"/>
                <w:sz w:val="23"/>
                <w:szCs w:val="23"/>
                <w:b w:val="1"/>
                <w:bCs w:val="1"/>
                <w:color w:val="auto"/>
                <w:vertAlign w:val="superscript"/>
              </w:rPr>
              <w:t>(d)</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Energy-related commodity contracts </w:t>
            </w:r>
            <w:r>
              <w:rPr>
                <w:rFonts w:ascii="Times New Roman" w:cs="Times New Roman" w:eastAsia="Times New Roman" w:hAnsi="Times New Roman"/>
                <w:sz w:val="23"/>
                <w:szCs w:val="23"/>
                <w:color w:val="auto"/>
                <w:vertAlign w:val="superscript"/>
              </w:rPr>
              <w:t>(e)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0"/>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8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60" w:hanging="171"/>
        <w:spacing w:after="0"/>
        <w:tabs>
          <w:tab w:leader="none" w:pos="2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There were no derivative assets or liabilities classified as Level 1 as of March 31, 2026 and December 31, 2025.</w:t>
      </w:r>
    </w:p>
    <w:p>
      <w:pPr>
        <w:spacing w:after="0" w:line="78" w:lineRule="exact"/>
        <w:rPr>
          <w:rFonts w:ascii="Times New Roman" w:cs="Times New Roman" w:eastAsia="Times New Roman" w:hAnsi="Times New Roman"/>
          <w:sz w:val="23"/>
          <w:szCs w:val="23"/>
          <w:color w:val="auto"/>
          <w:vertAlign w:val="superscript"/>
        </w:rPr>
      </w:pPr>
    </w:p>
    <w:p>
      <w:pPr>
        <w:ind w:left="80" w:right="20" w:firstLine="9"/>
        <w:spacing w:after="0" w:line="216" w:lineRule="auto"/>
        <w:tabs>
          <w:tab w:leader="none" w:pos="257"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The Company’s interest rate swaps are measured at fair value using an income approach, which uses readily observable inputs, such as forward interest rates (e.g., SOFR) and contractual terms to estimate fair value.</w:t>
      </w:r>
    </w:p>
    <w:p>
      <w:pPr>
        <w:spacing w:after="0" w:line="1" w:lineRule="exact"/>
        <w:rPr>
          <w:rFonts w:ascii="Times New Roman" w:cs="Times New Roman" w:eastAsia="Times New Roman" w:hAnsi="Times New Roman"/>
          <w:sz w:val="21"/>
          <w:szCs w:val="21"/>
          <w:color w:val="auto"/>
          <w:vertAlign w:val="superscript"/>
        </w:rPr>
      </w:pPr>
    </w:p>
    <w:p>
      <w:pPr>
        <w:ind w:left="260" w:hanging="171"/>
        <w:spacing w:after="0" w:line="220" w:lineRule="auto"/>
        <w:tabs>
          <w:tab w:leader="none" w:pos="2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short-term backbone transportation service contracts classified as Level 2 and heat rate call option contracts classified as Level 3.</w:t>
      </w:r>
    </w:p>
    <w:p>
      <w:pPr>
        <w:spacing w:after="0" w:line="84" w:lineRule="exact"/>
        <w:rPr>
          <w:rFonts w:ascii="Times New Roman" w:cs="Times New Roman" w:eastAsia="Times New Roman" w:hAnsi="Times New Roman"/>
          <w:sz w:val="23"/>
          <w:szCs w:val="23"/>
          <w:color w:val="auto"/>
          <w:vertAlign w:val="superscript"/>
        </w:rPr>
      </w:pPr>
    </w:p>
    <w:p>
      <w:pPr>
        <w:ind w:left="260" w:hanging="171"/>
        <w:spacing w:after="0" w:line="189" w:lineRule="auto"/>
        <w:tabs>
          <w:tab w:leader="none" w:pos="2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Includes SREC contract.</w:t>
      </w:r>
    </w:p>
    <w:p>
      <w:pPr>
        <w:spacing w:after="0" w:line="84" w:lineRule="exact"/>
        <w:rPr>
          <w:rFonts w:ascii="Times New Roman" w:cs="Times New Roman" w:eastAsia="Times New Roman" w:hAnsi="Times New Roman"/>
          <w:sz w:val="19"/>
          <w:szCs w:val="19"/>
          <w:color w:val="auto"/>
          <w:vertAlign w:val="superscript"/>
        </w:rPr>
      </w:pPr>
    </w:p>
    <w:p>
      <w:pPr>
        <w:ind w:left="80" w:firstLine="9"/>
        <w:spacing w:after="0" w:line="196" w:lineRule="auto"/>
        <w:tabs>
          <w:tab w:leader="none" w:pos="264"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long-term power commodity contracts and heat rate call option contracts classified as Level 3. As of March 31, 2026 and December 31, 2025, $178 million and $330 million, respectively, related to long-term power commodity contracts, and $4 million and $3 million, respectively, related to heat rate call option contracts.</w:t>
      </w:r>
    </w:p>
    <w:p>
      <w:pPr>
        <w:spacing w:after="0" w:line="154" w:lineRule="exact"/>
        <w:rPr>
          <w:sz w:val="20"/>
          <w:szCs w:val="20"/>
          <w:color w:val="auto"/>
        </w:rPr>
      </w:pPr>
    </w:p>
    <w:p>
      <w:pPr>
        <w:ind w:left="80"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beginning and ending balances for instruments that are recognized at fair value in the consolidated financial statements using significant unobservable inputs: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4"/>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35"/>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2780" w:type="dxa"/>
            <w:vAlign w:val="bottom"/>
            <w:gridSpan w:val="4"/>
          </w:tcPr>
          <w:p>
            <w:pPr>
              <w:jc w:val="center"/>
              <w:ind w:right="53"/>
              <w:spacing w:after="0" w:line="135" w:lineRule="exact"/>
              <w:rPr>
                <w:sz w:val="20"/>
                <w:szCs w:val="20"/>
                <w:color w:val="auto"/>
              </w:rPr>
            </w:pPr>
            <w:r>
              <w:rPr>
                <w:rFonts w:ascii="Times New Roman" w:cs="Times New Roman" w:eastAsia="Times New Roman" w:hAnsi="Times New Roman"/>
                <w:sz w:val="14"/>
                <w:szCs w:val="14"/>
                <w:b w:val="1"/>
                <w:bCs w:val="1"/>
                <w:color w:val="auto"/>
              </w:rPr>
              <w:t>Fair Value Measurement Using Significant</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Transfers out of Level 3 </w:t>
            </w:r>
            <w:r>
              <w:rPr>
                <w:rFonts w:ascii="Times New Roman" w:cs="Times New Roman" w:eastAsia="Times New Roman" w:hAnsi="Times New Roman"/>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gains (losses) for the period included in earnings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Times New Roman" w:cs="Times New Roman" w:eastAsia="Times New Roman" w:hAnsi="Times New Roman"/>
                <w:sz w:val="18"/>
                <w:szCs w:val="18"/>
                <w:color w:val="auto"/>
              </w:rPr>
              <w:t>Change in unrealized gains included in earnings for derivatives and other financial instruments held as of</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3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798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27" w:lineRule="exact"/>
        <w:rPr>
          <w:sz w:val="20"/>
          <w:szCs w:val="20"/>
          <w:color w:val="auto"/>
        </w:rPr>
      </w:pPr>
    </w:p>
    <w:p>
      <w:pPr>
        <w:ind w:left="80" w:firstLine="9"/>
        <w:spacing w:after="0" w:line="223" w:lineRule="auto"/>
        <w:tabs>
          <w:tab w:leader="none" w:pos="245"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 xml:space="preserve">On March 27, 2026, the Company restructured the Mesquite Sky energy-related commodity contract, resulting in the derecognition of the related derivative liabilities and its classification as an in-substance financing. See Note 7, </w:t>
      </w:r>
      <w:r>
        <w:rPr>
          <w:rFonts w:ascii="Times New Roman" w:cs="Times New Roman" w:eastAsia="Times New Roman" w:hAnsi="Times New Roman"/>
          <w:sz w:val="13"/>
          <w:szCs w:val="13"/>
          <w:i w:val="1"/>
          <w:iCs w:val="1"/>
          <w:color w:val="auto"/>
        </w:rPr>
        <w:t>Long-term Debt</w:t>
      </w:r>
      <w:r>
        <w:rPr>
          <w:rFonts w:ascii="Times New Roman" w:cs="Times New Roman" w:eastAsia="Times New Roman" w:hAnsi="Times New Roman"/>
          <w:sz w:val="13"/>
          <w:szCs w:val="13"/>
          <w:color w:val="auto"/>
        </w:rPr>
        <w:t>, for further discussion.</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Financial Instruments Fair Value Measurements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March 31, 2026, contracts valued with prices provided by models and other valuation techniques make up 4% of derivative assets, 90% of derivative liabilities and 100% of other financial instruments.</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significant positions classified as Level 3 relate to physical and financial energy-related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quantifies the significant unobservable inputs used in developing the fair value of the Company’s Level 3 positions: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Input/Range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357"/>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Valuation</w:t>
            </w:r>
          </w:p>
        </w:tc>
        <w:tc>
          <w:tcPr>
            <w:tcW w:w="1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240" w:type="dxa"/>
            <w:vAlign w:val="bottom"/>
          </w:tcPr>
          <w:p>
            <w:pPr>
              <w:spacing w:after="0"/>
              <w:rPr>
                <w:sz w:val="14"/>
                <w:szCs w:val="14"/>
                <w:color w:val="auto"/>
              </w:rPr>
            </w:pPr>
          </w:p>
        </w:tc>
        <w:tc>
          <w:tcPr>
            <w:tcW w:w="1040" w:type="dxa"/>
            <w:vAlign w:val="bottom"/>
            <w:vMerge w:val="restart"/>
          </w:tcPr>
          <w:p>
            <w:pPr>
              <w:jc w:val="right"/>
              <w:ind w:right="397"/>
              <w:spacing w:after="0"/>
              <w:rPr>
                <w:sz w:val="20"/>
                <w:szCs w:val="20"/>
                <w:color w:val="auto"/>
              </w:rPr>
            </w:pPr>
            <w:r>
              <w:rPr>
                <w:rFonts w:ascii="Times New Roman" w:cs="Times New Roman" w:eastAsia="Times New Roman" w:hAnsi="Times New Roman"/>
                <w:sz w:val="18"/>
                <w:szCs w:val="18"/>
                <w:b w:val="1"/>
                <w:bCs w:val="1"/>
                <w:color w:val="auto"/>
              </w:rPr>
              <w:t>Low</w:t>
            </w:r>
          </w:p>
        </w:tc>
        <w:tc>
          <w:tcPr>
            <w:tcW w:w="140" w:type="dxa"/>
            <w:vAlign w:val="bottom"/>
          </w:tcPr>
          <w:p>
            <w:pPr>
              <w:spacing w:after="0"/>
              <w:rPr>
                <w:sz w:val="14"/>
                <w:szCs w:val="14"/>
                <w:color w:val="auto"/>
              </w:rPr>
            </w:pPr>
          </w:p>
        </w:tc>
        <w:tc>
          <w:tcPr>
            <w:tcW w:w="1160" w:type="dxa"/>
            <w:vAlign w:val="bottom"/>
            <w:vMerge w:val="restart"/>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High</w:t>
            </w:r>
          </w:p>
        </w:tc>
        <w:tc>
          <w:tcPr>
            <w:tcW w:w="200" w:type="dxa"/>
            <w:vAlign w:val="bottom"/>
          </w:tcPr>
          <w:p>
            <w:pPr>
              <w:spacing w:after="0"/>
              <w:rPr>
                <w:sz w:val="14"/>
                <w:szCs w:val="14"/>
                <w:color w:val="auto"/>
              </w:rPr>
            </w:pPr>
          </w:p>
        </w:tc>
        <w:tc>
          <w:tcPr>
            <w:tcW w:w="1100" w:type="dxa"/>
            <w:vAlign w:val="bottom"/>
          </w:tcPr>
          <w:p>
            <w:pPr>
              <w:jc w:val="right"/>
              <w:ind w:right="196"/>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Technique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08"/>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Long-term Power Commodity</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4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Discounted Cash</w:t>
            </w:r>
          </w:p>
        </w:tc>
        <w:tc>
          <w:tcPr>
            <w:tcW w:w="168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Forward Market Price ($</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93.56</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51.11</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2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per MWh)</w:t>
            </w: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jc w:val="right"/>
              <w:ind w:right="117"/>
              <w:spacing w:after="0"/>
              <w:rPr>
                <w:sz w:val="20"/>
                <w:szCs w:val="20"/>
                <w:color w:val="auto"/>
              </w:rPr>
            </w:pPr>
            <w:r>
              <w:rPr>
                <w:rFonts w:ascii="Times New Roman" w:cs="Times New Roman" w:eastAsia="Times New Roman" w:hAnsi="Times New Roman"/>
                <w:sz w:val="16"/>
                <w:szCs w:val="16"/>
                <w:color w:val="auto"/>
              </w:rPr>
              <w:t>7</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Option Model</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Forward Market Price ($</w:t>
            </w:r>
          </w:p>
        </w:tc>
        <w:tc>
          <w:tcPr>
            <w:tcW w:w="2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248.37</w:t>
            </w:r>
          </w:p>
        </w:tc>
        <w:tc>
          <w:tcPr>
            <w:tcW w:w="2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49.66</w:t>
            </w:r>
          </w:p>
        </w:tc>
        <w:tc>
          <w:tcPr>
            <w:tcW w:w="0" w:type="dxa"/>
            <w:vAlign w:val="bottom"/>
          </w:tcPr>
          <w:p>
            <w:pPr>
              <w:spacing w:after="0"/>
              <w:rPr>
                <w:sz w:val="1"/>
                <w:szCs w:val="1"/>
                <w:color w:val="auto"/>
              </w:rPr>
            </w:pPr>
          </w:p>
        </w:tc>
      </w:tr>
      <w:tr>
        <w:trPr>
          <w:trHeight w:val="210"/>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Heat Rate Call Option</w:t>
            </w: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 MWh)</w:t>
            </w: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2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Commodity Contracts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Forward Market Price ($</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Option Model</w:t>
            </w:r>
          </w:p>
        </w:tc>
        <w:tc>
          <w:tcPr>
            <w:tcW w:w="16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40" w:type="dxa"/>
            <w:vAlign w:val="bottom"/>
          </w:tcPr>
          <w:p>
            <w:pPr>
              <w:spacing w:after="0"/>
              <w:rPr>
                <w:sz w:val="8"/>
                <w:szCs w:val="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200" w:type="dxa"/>
            <w:vAlign w:val="bottom"/>
          </w:tcPr>
          <w:p>
            <w:pPr>
              <w:spacing w:after="0"/>
              <w:rPr>
                <w:sz w:val="8"/>
                <w:szCs w:val="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3"/>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 MMBtu)</w:t>
            </w: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Forecast annual</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Discounted Cash</w:t>
            </w:r>
          </w:p>
        </w:tc>
        <w:tc>
          <w:tcPr>
            <w:tcW w:w="16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generation levels of</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Financial Instruments</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rPr>
              <w:t>7</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continue"/>
            <w:shd w:val="clear" w:color="auto" w:fill="CCEEFF"/>
          </w:tcPr>
          <w:p>
            <w:pPr>
              <w:spacing w:after="0"/>
              <w:rPr>
                <w:sz w:val="14"/>
                <w:szCs w:val="14"/>
                <w:color w:val="auto"/>
              </w:rPr>
            </w:pPr>
          </w:p>
        </w:tc>
        <w:tc>
          <w:tcPr>
            <w:tcW w:w="16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certain DG solar</w:t>
            </w: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60,047 MWh</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120,094 MWh</w:t>
            </w: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108,791 MWh</w:t>
            </w:r>
          </w:p>
        </w:tc>
        <w:tc>
          <w:tcPr>
            <w:tcW w:w="0" w:type="dxa"/>
            <w:vAlign w:val="bottom"/>
          </w:tcPr>
          <w:p>
            <w:pPr>
              <w:spacing w:after="0"/>
              <w:rPr>
                <w:sz w:val="1"/>
                <w:szCs w:val="1"/>
                <w:color w:val="auto"/>
              </w:rPr>
            </w:pPr>
          </w:p>
        </w:tc>
      </w:tr>
      <w:tr>
        <w:trPr>
          <w:trHeight w:val="216"/>
        </w:trPr>
        <w:tc>
          <w:tcPr>
            <w:tcW w:w="2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facilities</w:t>
            </w: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impact on the fair value measurements to increases/(decreases) in significant unobservable inputs as of March 31, 2026:</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Type</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Significant Unobservable Input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9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Change In Input</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Impact on Fair Value</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vMerge w:val="continue"/>
          </w:tcPr>
          <w:p>
            <w:pPr>
              <w:spacing w:after="0"/>
              <w:rPr>
                <w:sz w:val="21"/>
                <w:szCs w:val="21"/>
                <w:color w:val="auto"/>
              </w:rPr>
            </w:pPr>
          </w:p>
        </w:tc>
        <w:tc>
          <w:tcPr>
            <w:tcW w:w="28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920" w:type="dxa"/>
            <w:vAlign w:val="bottom"/>
            <w:tcBorders>
              <w:bottom w:val="single" w:sz="8" w:color="auto"/>
            </w:tcBorders>
            <w:vMerge w:val="continue"/>
          </w:tcPr>
          <w:p>
            <w:pPr>
              <w:spacing w:after="0"/>
              <w:rPr>
                <w:sz w:val="21"/>
                <w:szCs w:val="21"/>
                <w:color w:val="auto"/>
              </w:rPr>
            </w:pPr>
          </w:p>
        </w:tc>
        <w:tc>
          <w:tcPr>
            <w:tcW w:w="2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Measurement</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Energy-Related Commodity Contracts</w:t>
            </w: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Forward Market Price Power</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9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3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Lower/(Higher)</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Energy-Related Commodity Contracts</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Forward Market Price Gas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Higher/(Lower)</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Instruments</w:t>
            </w: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Forecast Generation Levels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9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3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Higher/(Lower)</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2026, the non-performance reserve was a $7 million gain recorded primarily to total operating revenues in the consolidated statements of operations. It is possible that future market prices could vary from those used in recording assets and liabilities and such variations could be material.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as disclosed under Item 15 —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color w:val="auto"/>
        </w:rPr>
        <w:t xml:space="preserve"> consolidated financial statements included in the </w:t>
      </w:r>
      <w:r>
        <w:rPr>
          <w:rFonts w:ascii="Times New Roman" w:cs="Times New Roman" w:eastAsia="Times New Roman" w:hAnsi="Times New Roman"/>
          <w:sz w:val="18"/>
          <w:szCs w:val="18"/>
          <w:color w:val="231F20"/>
        </w:rPr>
        <w:t>Company’s</w:t>
      </w:r>
      <w:r>
        <w:rPr>
          <w:rFonts w:ascii="Times New Roman" w:cs="Times New Roman" w:eastAsia="Times New Roman" w:hAnsi="Times New Roman"/>
          <w:sz w:val="18"/>
          <w:szCs w:val="18"/>
          <w:color w:val="auto"/>
        </w:rPr>
        <w:t xml:space="preserve"> 2025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3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Derivative Instruments and Hedging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enters into interest rate swap agreements in order to hedge the variability of expected future cash interest payments that may arise in connection with its non-recourse debt or a potential refinancing of its Senior Notes. As of March 31, 2026, the Company had interest rate derivative instruments extending through 2036, a portion of which were designated as cash flow hedges. Under the interest rate swap agreements, the Company pays a fixed rate and the counterparties to the agreements pay a variable interest 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Commodity Contracts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energy-related derivative instruments extending through 2033. At March 31, 2026, these contracts were not designated as cash flow or fair value hedges.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buy/(sell) of the Company’s open derivative transactions broken out by commodity: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20" w:type="dxa"/>
            <w:vAlign w:val="bottom"/>
            <w:gridSpan w:val="3"/>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Total Volume</w:t>
            </w:r>
          </w:p>
        </w:tc>
      </w:tr>
      <w:tr>
        <w:trPr>
          <w:trHeight w:val="2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8"/>
        </w:trPr>
        <w:tc>
          <w:tcPr>
            <w:tcW w:w="20" w:type="dxa"/>
            <w:vAlign w:val="bottom"/>
          </w:tcPr>
          <w:p>
            <w:pPr>
              <w:spacing w:after="0"/>
              <w:rPr>
                <w:sz w:val="12"/>
                <w:szCs w:val="12"/>
                <w:color w:val="auto"/>
              </w:rPr>
            </w:pPr>
          </w:p>
        </w:tc>
        <w:tc>
          <w:tcPr>
            <w:tcW w:w="5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Commodity</w:t>
            </w: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280" w:type="dxa"/>
            <w:vAlign w:val="bottom"/>
          </w:tcPr>
          <w:p>
            <w:pPr>
              <w:spacing w:after="0"/>
              <w:rPr>
                <w:sz w:val="12"/>
                <w:szCs w:val="12"/>
                <w:color w:val="auto"/>
              </w:rPr>
            </w:pPr>
          </w:p>
        </w:tc>
        <w:tc>
          <w:tcPr>
            <w:tcW w:w="2000" w:type="dxa"/>
            <w:vAlign w:val="bottom"/>
            <w:gridSpan w:val="2"/>
          </w:tcPr>
          <w:p>
            <w:pPr>
              <w:jc w:val="center"/>
              <w:ind w:left="1159"/>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5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w:t>
            </w: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MWh</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Natural Gas</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MMBtu</w:t>
            </w:r>
          </w:p>
        </w:tc>
        <w:tc>
          <w:tcPr>
            <w:tcW w:w="280" w:type="dxa"/>
            <w:vAlign w:val="bottom"/>
          </w:tcPr>
          <w:p>
            <w:pPr>
              <w:spacing w:after="0"/>
              <w:rPr>
                <w:sz w:val="19"/>
                <w:szCs w:val="19"/>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4,094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consolidated balance sheets: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40" w:type="dxa"/>
            <w:vAlign w:val="bottom"/>
          </w:tcPr>
          <w:p>
            <w:pPr>
              <w:spacing w:after="0"/>
              <w:rPr>
                <w:sz w:val="16"/>
                <w:szCs w:val="16"/>
                <w:color w:val="auto"/>
              </w:rPr>
            </w:pPr>
          </w:p>
        </w:tc>
        <w:tc>
          <w:tcPr>
            <w:tcW w:w="296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196"/>
        </w:trPr>
        <w:tc>
          <w:tcPr>
            <w:tcW w:w="45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6"/>
        </w:trPr>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Energy-related commodity contracts current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Energy-related commodity contracts long-term</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level. As of March 31, 2026 and December 31, 2025, the amount of outstanding collateral paid or received was immaterial. The following tables summarize the offsetting of derivatives by counterparty: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40" w:type="dxa"/>
            <w:vAlign w:val="bottom"/>
            <w:gridSpan w:val="6"/>
          </w:tcPr>
          <w:p>
            <w:pPr>
              <w:jc w:val="center"/>
              <w:ind w:left="1075"/>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Energy-related 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energy-related commodity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6"/>
          </w:tcPr>
          <w:p>
            <w:pPr>
              <w:jc w:val="center"/>
              <w:ind w:left="1075"/>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0"/>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Energy-related 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energy-related commodity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OCI (OCL) balance attributable to interest rate swaps designated as cash flow hedge derivatives, net of tax:</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54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Pr>
          <w:p>
            <w:pPr>
              <w:spacing w:after="0"/>
              <w:rPr>
                <w:sz w:val="16"/>
                <w:szCs w:val="16"/>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(OCL) OCI beginning balance</w:t>
            </w:r>
          </w:p>
        </w:tc>
        <w:tc>
          <w:tcPr>
            <w:tcW w:w="94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Rosamond South I Drop Down </w:t>
            </w:r>
            <w:r>
              <w:rPr>
                <w:rFonts w:ascii="Times New Roman" w:cs="Times New Roman" w:eastAsia="Times New Roman" w:hAnsi="Times New Roman"/>
                <w:sz w:val="23"/>
                <w:szCs w:val="23"/>
                <w:color w:val="auto"/>
                <w:vertAlign w:val="superscript"/>
              </w:rPr>
              <w:t>(a)</w:t>
            </w:r>
          </w:p>
        </w:tc>
        <w:tc>
          <w:tcPr>
            <w:tcW w:w="9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Reclassified from accumulated OCI/OCL to income due to realization of previously deferred amounts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OCI ending balance</w:t>
            </w:r>
          </w:p>
        </w:tc>
        <w:tc>
          <w:tcPr>
            <w:tcW w:w="9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OCI attributable to noncontrolling interests</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OCI attributable to Clearway Energy, Inc.</w:t>
            </w:r>
          </w:p>
        </w:tc>
        <w:tc>
          <w:tcPr>
            <w:tcW w:w="94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Losses expected to be realized from OCI during the next 12 months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20" w:type="dxa"/>
            <w:vAlign w:val="bottom"/>
            <w:vMerge w:val="continue"/>
          </w:tcPr>
          <w:p>
            <w:pPr>
              <w:spacing w:after="0"/>
              <w:rPr>
                <w:sz w:val="18"/>
                <w:szCs w:val="18"/>
                <w:color w:val="auto"/>
              </w:rPr>
            </w:pPr>
          </w:p>
        </w:tc>
        <w:tc>
          <w:tcPr>
            <w:tcW w:w="94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3798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4"/>
          <w:szCs w:val="14"/>
          <w:color w:val="auto"/>
        </w:rPr>
        <w:t xml:space="preserve"> Represents $1 million attributable to the Company and $3 million attributable to noncontrolling interests.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reclassified from accumulated OCI/OCL into income are recorded to interest 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Consolidated Statements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Mark-to-market gains/(losses) related to the Company’s derivatives are recorded in the consolidated statements of operations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50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r>
      <w:tr>
        <w:trPr>
          <w:trHeight w:val="23"/>
        </w:trPr>
        <w:tc>
          <w:tcPr>
            <w:tcW w:w="8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8320" w:type="dxa"/>
            <w:vAlign w:val="bottom"/>
          </w:tcPr>
          <w:p>
            <w:pPr>
              <w:spacing w:after="0"/>
              <w:rPr>
                <w:sz w:val="16"/>
                <w:szCs w:val="16"/>
                <w:color w:val="auto"/>
              </w:rPr>
            </w:pP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r>
      <w:tr>
        <w:trPr>
          <w:trHeight w:val="189"/>
        </w:trPr>
        <w:tc>
          <w:tcPr>
            <w:tcW w:w="8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 (Interest expense)</w:t>
            </w:r>
          </w:p>
        </w:tc>
        <w:tc>
          <w:tcPr>
            <w:tcW w:w="94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242424"/>
              </w:rPr>
              <w:t>$</w:t>
            </w:r>
          </w:p>
        </w:tc>
        <w:tc>
          <w:tcPr>
            <w:tcW w:w="15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76"/>
        </w:trPr>
        <w:tc>
          <w:tcPr>
            <w:tcW w:w="8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Energy-Related Commodity Contracts (Mark-to-market for economic hedging activities included in Total</w:t>
            </w: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12"/>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operating revenues) </w:t>
            </w:r>
            <w:r>
              <w:rPr>
                <w:rFonts w:ascii="Times New Roman" w:cs="Times New Roman" w:eastAsia="Times New Roman" w:hAnsi="Times New Roman"/>
                <w:sz w:val="23"/>
                <w:szCs w:val="23"/>
                <w:color w:val="auto"/>
                <w:vertAlign w:val="superscript"/>
              </w:rPr>
              <w:t>(a)</w:t>
            </w:r>
          </w:p>
        </w:tc>
        <w:tc>
          <w:tcPr>
            <w:tcW w:w="940" w:type="dxa"/>
            <w:vAlign w:val="bottom"/>
          </w:tcPr>
          <w:p>
            <w:pPr>
              <w:spacing w:after="0"/>
              <w:rPr>
                <w:sz w:val="24"/>
                <w:szCs w:val="24"/>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242424"/>
              </w:rPr>
              <w:t>30</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3798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59" w:lineRule="exact"/>
        <w:rPr>
          <w:sz w:val="20"/>
          <w:szCs w:val="20"/>
          <w:color w:val="auto"/>
        </w:rPr>
      </w:pPr>
    </w:p>
    <w:p>
      <w:pPr>
        <w:ind w:left="80" w:firstLine="9"/>
        <w:spacing w:after="0" w:line="230" w:lineRule="auto"/>
        <w:tabs>
          <w:tab w:leader="none" w:pos="239"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Relates to long-term energy related commodity contracts at Elbow Creek, Mesquite Star, Mt. Storm, Langford and Mesquite Sky and heat rate call option energy-related commodity contracts at El Segundo, Marsh Landing and Walnut Creek.</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7 — Long-term Debt</w:t>
      </w:r>
    </w:p>
    <w:p>
      <w:pPr>
        <w:spacing w:after="0" w:line="17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Item 15 —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consolidated financial statements included in the Company’s 2025 Form 10-K. The Company’s borrowings, including short-term and long-term portions, consisted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2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8"/>
                <w:szCs w:val="18"/>
                <w:color w:val="auto"/>
              </w:rPr>
            </w:pPr>
          </w:p>
        </w:tc>
        <w:tc>
          <w:tcPr>
            <w:tcW w:w="178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xml:space="preserve">Interest Rate </w:t>
            </w:r>
            <w:r>
              <w:rPr>
                <w:rFonts w:ascii="Times New Roman" w:cs="Times New Roman" w:eastAsia="Times New Roman" w:hAnsi="Times New Roman"/>
                <w:sz w:val="18"/>
                <w:szCs w:val="18"/>
                <w:b w:val="1"/>
                <w:bCs w:val="1"/>
                <w:color w:val="auto"/>
                <w:vertAlign w:val="superscript"/>
              </w:rPr>
              <w:t>(a)</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060" w:type="dxa"/>
            <w:vAlign w:val="bottom"/>
            <w:tcBorders>
              <w:top w:val="single" w:sz="8" w:color="auto"/>
            </w:tcBorders>
            <w:gridSpan w:val="4"/>
            <w:shd w:val="clear" w:color="auto" w:fill="CCEEFF"/>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2028-2034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- 5.750%</w:t>
            </w:r>
          </w:p>
        </w:tc>
        <w:tc>
          <w:tcPr>
            <w:tcW w:w="0" w:type="dxa"/>
            <w:vAlign w:val="bottom"/>
          </w:tcPr>
          <w:p>
            <w:pPr>
              <w:spacing w:after="0"/>
              <w:rPr>
                <w:sz w:val="1"/>
                <w:szCs w:val="1"/>
                <w:color w:val="auto"/>
              </w:rPr>
            </w:pPr>
          </w:p>
        </w:tc>
      </w:tr>
      <w:tr>
        <w:trPr>
          <w:trHeight w:val="165"/>
        </w:trPr>
        <w:tc>
          <w:tcPr>
            <w:tcW w:w="4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Clearway Energy LLC and Clearway Energy Operating LLC</w:t>
            </w: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shd w:val="clear" w:color="auto" w:fill="CCEEFF"/>
          </w:tcPr>
          <w:p>
            <w:pPr>
              <w:spacing w:after="0"/>
              <w:rPr>
                <w:sz w:val="14"/>
                <w:szCs w:val="14"/>
                <w:color w:val="auto"/>
              </w:rPr>
            </w:pPr>
          </w:p>
        </w:tc>
        <w:tc>
          <w:tcPr>
            <w:tcW w:w="1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S+1.750%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Revolving Credit Facility </w:t>
            </w:r>
            <w:r>
              <w:rPr>
                <w:rFonts w:ascii="Times New Roman" w:cs="Times New Roman" w:eastAsia="Times New Roman" w:hAnsi="Times New Roman"/>
                <w:sz w:val="21"/>
                <w:szCs w:val="21"/>
                <w:color w:val="auto"/>
                <w:vertAlign w:val="superscript"/>
              </w:rPr>
              <w:t>(b)</w:t>
            </w: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Non-recourse facility-level debt: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2031-2040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- 8.000%</w:t>
            </w:r>
          </w:p>
        </w:tc>
        <w:tc>
          <w:tcPr>
            <w:tcW w:w="0" w:type="dxa"/>
            <w:vAlign w:val="bottom"/>
          </w:tcPr>
          <w:p>
            <w:pPr>
              <w:spacing w:after="0"/>
              <w:rPr>
                <w:sz w:val="1"/>
                <w:szCs w:val="1"/>
                <w:color w:val="auto"/>
              </w:rPr>
            </w:pPr>
          </w:p>
        </w:tc>
      </w:tr>
      <w:tr>
        <w:trPr>
          <w:trHeight w:val="213"/>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Variable rate</w:t>
            </w: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2026-2036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S+1.375%</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- 2.750%</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current maturities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debt issuance costs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Add premiums </w:t>
            </w:r>
            <w:r>
              <w:rPr>
                <w:rFonts w:ascii="Times New Roman" w:cs="Times New Roman" w:eastAsia="Times New Roman" w:hAnsi="Times New Roman"/>
                <w:sz w:val="21"/>
                <w:szCs w:val="21"/>
                <w:color w:val="auto"/>
                <w:vertAlign w:val="superscript"/>
              </w:rPr>
              <w:t>(c)</w:t>
            </w: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7,898</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As of March 31, 2026, S+ equals SOFR plus x%.</w:t>
      </w:r>
    </w:p>
    <w:p>
      <w:pPr>
        <w:spacing w:after="0" w:line="57" w:lineRule="exact"/>
        <w:rPr>
          <w:rFonts w:ascii="Times New Roman" w:cs="Times New Roman" w:eastAsia="Times New Roman" w:hAnsi="Times New Roman"/>
          <w:sz w:val="20"/>
          <w:szCs w:val="20"/>
          <w:color w:val="auto"/>
          <w:vertAlign w:val="superscript"/>
        </w:rPr>
      </w:pPr>
    </w:p>
    <w:p>
      <w:pPr>
        <w:ind w:left="240" w:hanging="151"/>
        <w:spacing w:after="0" w:line="189" w:lineRule="auto"/>
        <w:tabs>
          <w:tab w:leader="none" w:pos="24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Applicable rate is determined by the borrower leverage ratio, as defined in the credit agreement.</w:t>
      </w:r>
    </w:p>
    <w:p>
      <w:pPr>
        <w:spacing w:after="0" w:line="57" w:lineRule="exact"/>
        <w:rPr>
          <w:rFonts w:ascii="Times New Roman" w:cs="Times New Roman" w:eastAsia="Times New Roman" w:hAnsi="Times New Roman"/>
          <w:sz w:val="19"/>
          <w:szCs w:val="19"/>
          <w:color w:val="auto"/>
          <w:vertAlign w:val="superscript"/>
        </w:rPr>
      </w:pPr>
    </w:p>
    <w:p>
      <w:pPr>
        <w:ind w:left="240" w:hanging="151"/>
        <w:spacing w:after="0" w:line="189" w:lineRule="auto"/>
        <w:tabs>
          <w:tab w:leader="none" w:pos="24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Premiums relate to the 2028 Senior Notes and the debt assumed in the Cardinal Portfolio acquisition.</w:t>
      </w:r>
    </w:p>
    <w:p>
      <w:pPr>
        <w:spacing w:after="0" w:line="1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$1,256 million in letters of credit outstanding, $151 million of which is related to the Company’s revolving credit facility.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March 31, 2026, the Company was in compliance with all of the required covenants.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discussion below describes material changes to or additions of long-term debt for the three months ended March 31,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2034 Senior Notes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On January 13, 2026, Clearway Energy Operating LLC completed the sale of $600 million aggregate principal amount of senior unsecured notes due 2034, or the 2034 Senior Notes. The 2034 Senior Notes bear interest at a rate of 5.750% per annum and mature on January 15, 2034. Interest on the 2034 Senior Notes is payable semi-annually on January 15 and July 15 of each year, beginning on July 15, 2026. The 2034 Senior Notes are unsecured obligations of Clearway Energy Operating LLC and are guaranteed by Clearway Energy LLC and by certain of Clearway Energy Operating LLC’s wholly-owned current and future subsidiaries. The net proceeds from the 2034 Senior Notes were used to repay $361 million in outstanding borrowings under the revolving credit facility and for general corporate purposes.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Facility-level Debt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Honeycomb Portfolio</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May 1, 2026, when the Honeycomb Portfolio BESS facilities reached substantial completion, the Company paid $81 million to Clearway Renew as additional purchase price in connection with the Company’s acquisition of Honeycomb TargetCo LLC, or Honeycomb TargetCo, from Clearway Renew on October 15, 2025, which was funded with existing sources of liquidity. The Company’s total capital investment in Honeycomb TargetCo was $97 million. Also, on May 1, 2026, the tax equity investor in Honeycomb TE Holdco LLC contributed an additional $254 million, which was utilized along with the $60 million previously held in escrow, to repay the $234 million tax equity bridge loan and to pay $14 million in associated fees with the remaining $67 million distributed to CEG. During 2026, the Company borrowed an additional $71 million in construction loans, and on May 1, 2026, the total outstanding construction loans were converted to a term loan in the amount of $327 million that matures on May 1, 2031.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3" w:name="page24"/>
    <w:bookmarkEnd w:id="23"/>
    <w:p>
      <w:pPr>
        <w:ind w:left="420"/>
        <w:spacing w:after="0"/>
        <w:rPr>
          <w:sz w:val="20"/>
          <w:szCs w:val="20"/>
          <w:color w:val="auto"/>
        </w:rPr>
      </w:pPr>
      <w:r>
        <w:rPr>
          <w:rFonts w:ascii="Times New Roman" w:cs="Times New Roman" w:eastAsia="Times New Roman" w:hAnsi="Times New Roman"/>
          <w:sz w:val="18"/>
          <w:szCs w:val="18"/>
          <w:i w:val="1"/>
          <w:iCs w:val="1"/>
          <w:color w:val="auto"/>
        </w:rPr>
        <w:t>Cardinal Portfolio</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February 5, 2026, the Company, through its indirect subsidiary, Cardinal Investment Holdco LLC, entered into a financing arrangement that provides for a term loan of up to $100 million and $119 million in letters of credit in support of debt service and facility-level obligations. On March 30, 2026, the Company borrowed $100 million to partially fund the acquisition of the Cardinal Portfolio,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financing is supported by the Company’s interest in the Cardinal Portfolio. The term loan bears interest at a rate of SOFR plus 2.00% per annum and matures on March 29, 2027.</w:t>
      </w:r>
    </w:p>
    <w:p>
      <w:pPr>
        <w:spacing w:after="0" w:line="127" w:lineRule="exact"/>
        <w:rPr>
          <w:sz w:val="20"/>
          <w:szCs w:val="20"/>
          <w:color w:val="auto"/>
        </w:rPr>
      </w:pPr>
    </w:p>
    <w:p>
      <w:pPr>
        <w:jc w:val="both"/>
        <w:ind w:firstLine="405"/>
        <w:spacing w:after="0" w:line="221" w:lineRule="exact"/>
        <w:rPr>
          <w:sz w:val="20"/>
          <w:szCs w:val="20"/>
          <w:color w:val="auto"/>
        </w:rPr>
      </w:pPr>
      <w:r>
        <w:rPr>
          <w:rFonts w:ascii="Times New Roman" w:cs="Times New Roman" w:eastAsia="Times New Roman" w:hAnsi="Times New Roman"/>
          <w:sz w:val="18"/>
          <w:szCs w:val="18"/>
          <w:color w:val="auto"/>
        </w:rPr>
        <w:t xml:space="preserve">In connection with the acquisition of the Cardinal Portfolio on March 30, 2026,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assumed existing facility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debt associated with certain of the acquired facilities. The assumed debt is secured by the respective facilities and is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recourse to the Company. In accordance with ASC 805, the assumed debt was recorded at its estimated fair value as of the acquisition date. The assumed facility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debt has maturities ranging from 2032 through 2036.</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Mesquite Sky Restructuring</w:t>
      </w:r>
    </w:p>
    <w:p>
      <w:pPr>
        <w:spacing w:after="0" w:line="132" w:lineRule="exact"/>
        <w:rPr>
          <w:sz w:val="20"/>
          <w:szCs w:val="20"/>
          <w:color w:val="auto"/>
        </w:rPr>
      </w:pPr>
    </w:p>
    <w:p>
      <w:pPr>
        <w:jc w:val="both"/>
        <w:ind w:firstLine="405"/>
        <w:spacing w:after="0" w:line="226" w:lineRule="exact"/>
        <w:rPr>
          <w:sz w:val="20"/>
          <w:szCs w:val="20"/>
          <w:color w:val="auto"/>
        </w:rPr>
      </w:pPr>
      <w:r>
        <w:rPr>
          <w:rFonts w:ascii="Times New Roman" w:cs="Times New Roman" w:eastAsia="Times New Roman" w:hAnsi="Times New Roman"/>
          <w:sz w:val="18"/>
          <w:szCs w:val="18"/>
          <w:color w:val="auto"/>
        </w:rPr>
        <w:t>On March 27, 2026, the Company restructured its existing energy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commodity contract associated with the Mesquite Sky wind facility, which resulted in an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substance financing to settle existing derivative liabilities over time. As a result of the restructuring, the Company derecognized derivative liabilities with a fair value of $115 million, as well as $12 million owed to the counterparty that was previously included in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 and recognized a term financing obligation with an initial carrying amount of $127 million. The financing obligation is repaid through fixed monthly payments beginning in May 2026 and matures on September 30, 2035. Total payments over the term of the arrangement are $162 million, which implies an effective interest rate of approximately 5.436%. Interest expense is recognized over the term of the obligation using the effective interest method.</w:t>
      </w:r>
    </w:p>
    <w:p>
      <w:pPr>
        <w:spacing w:after="0" w:line="107" w:lineRule="exact"/>
        <w:rPr>
          <w:sz w:val="20"/>
          <w:szCs w:val="20"/>
          <w:color w:val="auto"/>
        </w:rPr>
      </w:pPr>
    </w:p>
    <w:p>
      <w:pPr>
        <w:jc w:val="both"/>
        <w:ind w:firstLine="405"/>
        <w:spacing w:after="0" w:line="259" w:lineRule="exact"/>
        <w:rPr>
          <w:sz w:val="20"/>
          <w:szCs w:val="20"/>
          <w:color w:val="auto"/>
        </w:rPr>
      </w:pPr>
      <w:r>
        <w:rPr>
          <w:rFonts w:ascii="Times New Roman" w:cs="Times New Roman" w:eastAsia="Times New Roman" w:hAnsi="Times New Roman"/>
          <w:sz w:val="18"/>
          <w:szCs w:val="18"/>
          <w:color w:val="auto"/>
        </w:rPr>
        <w:t>In connection with the restructuring, the Company also entered into a 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PPA with an investment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grade counterparty, which replaces the volumetric and price exposure of Mesquite Sky’s energy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commodity contract with more favorable pricing.</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Goat Mountain Repowering</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On February 27, 2026, the Company, through its indirect subsidiaries, Goat Mountain Class B Holdco LLC and Goat Wind LLC, as co-borrowers, entered into a financing arrangement for non-recourse debt for a total commitment of $703 million, which consists of a construction loan that converts to a five-year term loan upon the repowering of the facility reaching substantial completion, which is expected to occur in the second half of 2027, as well as bridge loans to be repaid with the proceeds from the tax equity investor. The construction loan and bridge loans bear interest at a rate of SOFR plus 1.50% and mature on the term conversion date. The Company’s initial borrowing of $140 million was utilized to pay $88 million under the development services agreement, as further described in Note 12,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$15 million in debt issuance costs that were deferred and $5 million in capital expenditures. Under the financing arrangement, the Company borrowed $151 million through March 31, 2026.</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Pine Forest</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On January 15, 2026, the Company repaid the $231 million outstanding on the tax credit transfer bridge loan utilizing the proceeds received from the sale of transferable ITCs, as further described in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distributed the remaining $51 million to CEG.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Loss Per Share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Basic loss per common share is computed by dividing net income (loss) by the weighted average number of common shares outstanding. Shares issued during the year are weighted for the portion of the year that they were outstanding. Diluted loss per share is computed in a manner consistent with that of basic loss per share while giving effect to all potentially dilutive common shares that were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4" w:name="page25"/>
    <w:bookmarkEnd w:id="24"/>
    <w:p>
      <w:pPr>
        <w:ind w:firstLine="405"/>
        <w:spacing w:after="0" w:line="282" w:lineRule="auto"/>
        <w:rPr>
          <w:sz w:val="20"/>
          <w:szCs w:val="20"/>
          <w:color w:val="auto"/>
        </w:rPr>
      </w:pPr>
      <w:r>
        <w:rPr>
          <w:rFonts w:ascii="Times New Roman" w:cs="Times New Roman" w:eastAsia="Times New Roman" w:hAnsi="Times New Roman"/>
          <w:sz w:val="18"/>
          <w:szCs w:val="18"/>
          <w:color w:val="auto"/>
        </w:rPr>
        <w:t>The reconciliation of the Company’s basic and diluted loss per share is shown in the following tables, including revisions to previously reported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0" w:type="dxa"/>
            <w:vAlign w:val="bottom"/>
          </w:tcPr>
          <w:p>
            <w:pPr>
              <w:spacing w:after="0"/>
              <w:rPr>
                <w:sz w:val="1"/>
                <w:szCs w:val="1"/>
                <w:color w:val="auto"/>
              </w:rPr>
            </w:pPr>
          </w:p>
        </w:tc>
      </w:tr>
      <w:tr>
        <w:trPr>
          <w:trHeight w:val="23"/>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 millions, except per share data) </w:t>
            </w:r>
            <w:r>
              <w:rPr>
                <w:rFonts w:ascii="Times New Roman" w:cs="Times New Roman" w:eastAsia="Times New Roman" w:hAnsi="Times New Roman"/>
                <w:sz w:val="18"/>
                <w:szCs w:val="18"/>
                <w:b w:val="1"/>
                <w:bCs w:val="1"/>
                <w:color w:val="auto"/>
                <w:vertAlign w:val="superscript"/>
              </w:rPr>
              <w:t>(a)</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Common Class A</w:t>
            </w:r>
          </w:p>
        </w:tc>
        <w:tc>
          <w:tcPr>
            <w:tcW w:w="200" w:type="dxa"/>
            <w:vAlign w:val="bottom"/>
          </w:tcPr>
          <w:p>
            <w:pPr>
              <w:spacing w:after="0"/>
              <w:rPr>
                <w:sz w:val="17"/>
                <w:szCs w:val="17"/>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Common Class C</w:t>
            </w:r>
          </w:p>
        </w:tc>
        <w:tc>
          <w:tcPr>
            <w:tcW w:w="0" w:type="dxa"/>
            <w:vAlign w:val="bottom"/>
          </w:tcPr>
          <w:p>
            <w:pPr>
              <w:spacing w:after="0"/>
              <w:rPr>
                <w:sz w:val="1"/>
                <w:szCs w:val="1"/>
                <w:color w:val="auto"/>
              </w:rPr>
            </w:pPr>
          </w:p>
        </w:tc>
      </w:tr>
      <w:tr>
        <w:trPr>
          <w:trHeight w:val="223"/>
        </w:trPr>
        <w:tc>
          <w:tcPr>
            <w:tcW w:w="7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loss per share attributable to Clearway Energy, Inc. common stockholders</w:t>
            </w: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Clearway Energy, Inc.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weighted average common share — basic and diluted</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5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40" w:hanging="151"/>
        <w:spacing w:after="0"/>
        <w:tabs>
          <w:tab w:leader="none" w:pos="24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Net loss attributable to Clearway Energy, Inc. and basic and diluted loss per share might not recalculate due to presenting amounts in millions rather than whole dollars.</w:t>
      </w:r>
    </w:p>
    <w:p>
      <w:pPr>
        <w:spacing w:after="0" w:line="18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40" w:type="dxa"/>
            <w:vAlign w:val="bottom"/>
          </w:tcPr>
          <w:p>
            <w:pPr>
              <w:spacing w:after="0"/>
              <w:rPr>
                <w:sz w:val="16"/>
                <w:szCs w:val="16"/>
                <w:color w:val="auto"/>
              </w:rPr>
            </w:pPr>
          </w:p>
        </w:tc>
        <w:tc>
          <w:tcPr>
            <w:tcW w:w="17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6"/>
                <w:szCs w:val="16"/>
                <w:color w:val="auto"/>
              </w:rPr>
            </w:pPr>
          </w:p>
        </w:tc>
        <w:tc>
          <w:tcPr>
            <w:tcW w:w="1700" w:type="dxa"/>
            <w:vAlign w:val="bottom"/>
            <w:gridSpan w:val="4"/>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37"/>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 millions, except per share data) </w:t>
            </w:r>
            <w:r>
              <w:rPr>
                <w:rFonts w:ascii="Times New Roman" w:cs="Times New Roman" w:eastAsia="Times New Roman" w:hAnsi="Times New Roman"/>
                <w:sz w:val="18"/>
                <w:szCs w:val="18"/>
                <w:b w:val="1"/>
                <w:bCs w:val="1"/>
                <w:color w:val="auto"/>
                <w:vertAlign w:val="superscript"/>
              </w:rPr>
              <w:t>(a)</w:t>
            </w: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59"/>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57"/>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200"/>
        </w:trPr>
        <w:tc>
          <w:tcPr>
            <w:tcW w:w="5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7"/>
                <w:szCs w:val="17"/>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0" w:type="dxa"/>
            <w:vAlign w:val="bottom"/>
          </w:tcPr>
          <w:p>
            <w:pPr>
              <w:spacing w:after="0"/>
              <w:rPr>
                <w:sz w:val="1"/>
                <w:szCs w:val="1"/>
                <w:color w:val="auto"/>
              </w:rPr>
            </w:pPr>
          </w:p>
        </w:tc>
      </w:tr>
      <w:tr>
        <w:trPr>
          <w:trHeight w:val="169"/>
        </w:trPr>
        <w:tc>
          <w:tcPr>
            <w:tcW w:w="5400" w:type="dxa"/>
            <w:vAlign w:val="bottom"/>
            <w:tcBorders>
              <w:top w:val="single" w:sz="8" w:color="auto"/>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Basic and diluted loss per share attributable to Clearway Energy, Inc.</w:t>
            </w: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Clearway Energy, Inc.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6"/>
        </w:trPr>
        <w:tc>
          <w:tcPr>
            <w:tcW w:w="54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number of common shares outstanding — basic and</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weighted average common share — basic and diluted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60" w:type="dxa"/>
            <w:vAlign w:val="bottom"/>
            <w:tcBorders>
              <w:bottom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40" w:hanging="151"/>
        <w:spacing w:after="0"/>
        <w:tabs>
          <w:tab w:leader="none" w:pos="24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Net loss attributable to Clearway Energy, Inc. and basic and diluted loss per share might not recalculate due to presenting amounts in millions rather than whole dollars.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Changes in Capital 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Conversion</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April 29, 2026, at the Company’s Annual Meeting of Stockholders, the Company’s stockholders approved the Amended Charter, pursuant to which each outstanding share of the Company’s Class A common stock was converted into one share of the Company’s Class C common stock, effective May 1, 2026, referred to as the Class A Conversion. As a result of the Class A Conversion, the Company no longer has any Class A common stock.</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the Class A Conversion, on April 29, 2026, CEG entered into a voting trust agreement, or the Voting Trust Agreement, with Wilmington Trust, National Association, as the voting trustee thereunder, or the Voting Trustee, pursuant to which CEG deposited into a voting trust 41,678,637 shares of Class B common stock, or the Voting Trust Shares. The Voting Trust Shares were deposited to maintain CEG’s relative voting power in the Company immediately following the Class A Conversion at the level immediately prior thereto. Under the Voting Trust Agreement, the Voting Trustee is required to vote the Voting Trust Shares on any stockholder matter in the same proportion as the votes cast by all Company stockholders.</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Immediately following the Class A Conversion and after giving effect to the terms of the Voting Trust Agreement, the Company’s outstanding Class C common stock represented 45.12% of the total voting power of the Company’s common stock, and the Company’s outstanding Class B common stock and Class D common stock, collectively, represented 54.88% of the total voting power.</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Neither the Amended Charter nor the Class A Conversion affected the economic interests of the Company’s stockholders, including dividend and liquidation rights. Following the Class A Conversion, holders of the Company’s former Class A common stock converted into Class C common stock remain entitled to receive dividends, if declared by the Company, on the same basis as prior to the conversion.</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Following the Class A Conversion, the Company’s Class A common stock, which previously traded on the NYSE under the symbol “CWEN.A”, was delisted. The Company’s Class C common stock continues to trade on the NYSE under the symbol “CWEN.”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Effective concurrently with the Class A Conversion, each outstanding Class A unit of Clearway Energy LLC was converted into one Class C unit of Clearway Energy LLC.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Direct Stock Purchase Plan, or DSPP</w:t>
      </w:r>
    </w:p>
    <w:p>
      <w:pPr>
        <w:spacing w:after="0" w:line="134" w:lineRule="exact"/>
        <w:rPr>
          <w:sz w:val="20"/>
          <w:szCs w:val="20"/>
          <w:color w:val="auto"/>
        </w:rPr>
      </w:pPr>
    </w:p>
    <w:p>
      <w:pPr>
        <w:jc w:val="both"/>
        <w:ind w:firstLine="405"/>
        <w:spacing w:after="0" w:line="245" w:lineRule="exact"/>
        <w:rPr>
          <w:sz w:val="20"/>
          <w:szCs w:val="20"/>
          <w:color w:val="auto"/>
        </w:rPr>
      </w:pPr>
      <w:r>
        <w:rPr>
          <w:rFonts w:ascii="Times New Roman" w:cs="Times New Roman" w:eastAsia="Times New Roman" w:hAnsi="Times New Roman"/>
          <w:sz w:val="18"/>
          <w:szCs w:val="18"/>
          <w:color w:val="231F20"/>
        </w:rPr>
        <w:t>As previously disclosed in the Company’s Annual Report on Form 10</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 xml:space="preserve">K for the year ended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31F20"/>
        </w:rPr>
        <w:t>, the Company maintains a DSPP, pursuant to which it may issue shares of its Class C common stock, including through waiver arrangements.</w:t>
      </w:r>
    </w:p>
    <w:p>
      <w:pPr>
        <w:spacing w:after="0" w:line="14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During January 2026, the Company issued 1,445,244 shares of Class C common stock under the DSPP for gross proceeds of $50 million and incurred fees of less than $1 million, which were exchanged for 1,445,244 Class C units of Clearway Energy LLC. As of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1,061,554 shares of Class C common stock remained available for issuance under the DSPP.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to Class A and Class C Common Stockholders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dividends paid on the Company’s Class A and Class C common stock during the three months ended March 31, 2026:</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 2026</w:t>
            </w:r>
          </w:p>
        </w:tc>
      </w:tr>
      <w:tr>
        <w:trPr>
          <w:trHeight w:val="23"/>
        </w:trPr>
        <w:tc>
          <w:tcPr>
            <w:tcW w:w="9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Class A share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0.4602</w:t>
            </w:r>
          </w:p>
        </w:tc>
      </w:tr>
      <w:tr>
        <w:trPr>
          <w:trHeight w:val="234"/>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per Class C share</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0.4602</w:t>
            </w:r>
          </w:p>
        </w:tc>
      </w:tr>
    </w:tbl>
    <w:p>
      <w:pPr>
        <w:spacing w:after="0" w:line="23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result of the Class A Conversion discussed above, the Company no longer has any Class A common stock outstanding, and holders of the Company’s former Class A common stock converted into Class C common stock remain entitled to receive dividends, if declared by the Company, on the same basis as prior to the conversion.</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Dividends on the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May 6, 2026, the Company declared quarterly dividends on its Class C common stock</w:t>
      </w:r>
      <w:r>
        <w:rPr>
          <w:rFonts w:ascii="Times New Roman" w:cs="Times New Roman" w:eastAsia="Times New Roman" w:hAnsi="Times New Roman"/>
          <w:sz w:val="18"/>
          <w:szCs w:val="18"/>
          <w:color w:val="231F20"/>
        </w:rPr>
        <w:t>, including shares that were received in the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Conversion, </w:t>
      </w:r>
      <w:r>
        <w:rPr>
          <w:rFonts w:ascii="Times New Roman" w:cs="Times New Roman" w:eastAsia="Times New Roman" w:hAnsi="Times New Roman"/>
          <w:sz w:val="18"/>
          <w:szCs w:val="18"/>
          <w:color w:val="000000"/>
        </w:rPr>
        <w:t>of $0.4676 per share payable on June 15, 2026 to stockholders of record as of June 1,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CEG</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distributions paid to CEG during the three months ended March 31, 2026 on Clearway Energy LLC’s Class B and D units: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 2026</w:t>
            </w:r>
          </w:p>
        </w:tc>
      </w:tr>
      <w:tr>
        <w:trPr>
          <w:trHeight w:val="23"/>
        </w:trPr>
        <w:tc>
          <w:tcPr>
            <w:tcW w:w="9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Class B Unit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0.4602</w:t>
            </w:r>
          </w:p>
        </w:tc>
      </w:tr>
      <w:tr>
        <w:trPr>
          <w:trHeight w:val="234"/>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per Class D Unit</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0.4602</w:t>
            </w:r>
          </w:p>
        </w:tc>
      </w:tr>
    </w:tbl>
    <w:p>
      <w:pPr>
        <w:spacing w:after="0" w:line="22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May 6, 2026, Clearway Energy LLC declared a distribution on its Class B and Class D units of $0.4676 per unit payable on June 15, 2026 to unit holders of record as of June 1, 2026.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10 — Segment Reporting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segment structure reflects how management currently operates and allocates resources. The Company’s businesses are segregated based on Flexible Generation and Renewables &amp; Storage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 The Company’s Chief Executive Officer reviews net income (loss) and its components on a monthly and quarterly basis to evaluate the performance of each segment and to determine how to allocate resources.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8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1"/>
                <w:szCs w:val="21"/>
                <w:b w:val="1"/>
                <w:bCs w:val="1"/>
                <w:color w:val="auto"/>
                <w:vertAlign w:val="superscript"/>
              </w:rPr>
              <w:t>(a)</w:t>
            </w:r>
          </w:p>
        </w:tc>
        <w:tc>
          <w:tcPr>
            <w:tcW w:w="240" w:type="dxa"/>
            <w:vAlign w:val="bottom"/>
          </w:tcPr>
          <w:p>
            <w:pPr>
              <w:spacing w:after="0"/>
              <w:rPr>
                <w:sz w:val="11"/>
                <w:szCs w:val="11"/>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720" w:type="dxa"/>
            <w:vAlign w:val="bottom"/>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175"/>
        </w:trPr>
        <w:tc>
          <w:tcPr>
            <w:tcW w:w="57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75"/>
        </w:trPr>
        <w:tc>
          <w:tcPr>
            <w:tcW w:w="57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 and redeemable</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Clearway Energy, Inc.</w:t>
            </w:r>
          </w:p>
        </w:tc>
        <w:tc>
          <w:tcPr>
            <w:tcW w:w="48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10"/>
                <w:szCs w:val="10"/>
                <w:color w:val="auto"/>
              </w:rPr>
              <w:t>(b)</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 xml:space="preserve"> Includes eliminations.</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vertAlign w:val="superscript"/>
        </w:rPr>
        <w:t>(b)</w:t>
      </w:r>
      <w:r>
        <w:rPr>
          <w:rFonts w:ascii="Times New Roman" w:cs="Times New Roman" w:eastAsia="Times New Roman" w:hAnsi="Times New Roman"/>
          <w:sz w:val="16"/>
          <w:szCs w:val="16"/>
          <w:color w:val="auto"/>
        </w:rPr>
        <w:t xml:space="preserve"> Includes accruals.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9"/>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 xml:space="preserve">Three months ended March 31, 2025 (as revised) </w:t>
            </w:r>
            <w:r>
              <w:rPr>
                <w:rFonts w:ascii="Times New Roman" w:cs="Times New Roman" w:eastAsia="Times New Roman" w:hAnsi="Times New Roman"/>
                <w:sz w:val="18"/>
                <w:szCs w:val="18"/>
                <w:b w:val="1"/>
                <w:bCs w:val="1"/>
                <w:color w:val="auto"/>
                <w:vertAlign w:val="superscript"/>
              </w:rPr>
              <w:t>(a)</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8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1"/>
                <w:szCs w:val="21"/>
                <w:b w:val="1"/>
                <w:bCs w:val="1"/>
                <w:color w:val="auto"/>
                <w:vertAlign w:val="superscript"/>
              </w:rPr>
              <w:t>(b)</w:t>
            </w:r>
          </w:p>
        </w:tc>
        <w:tc>
          <w:tcPr>
            <w:tcW w:w="320" w:type="dxa"/>
            <w:vAlign w:val="bottom"/>
          </w:tcPr>
          <w:p>
            <w:pPr>
              <w:spacing w:after="0"/>
              <w:rPr>
                <w:sz w:val="11"/>
                <w:szCs w:val="11"/>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360" w:type="dxa"/>
            <w:vAlign w:val="bottom"/>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48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175"/>
        </w:trPr>
        <w:tc>
          <w:tcPr>
            <w:tcW w:w="53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Inc.</w:t>
            </w: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10"/>
                <w:szCs w:val="10"/>
                <w:color w:val="auto"/>
              </w:rPr>
              <w:t>(c)</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3798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8" w:lineRule="exact"/>
        <w:rPr>
          <w:sz w:val="20"/>
          <w:szCs w:val="20"/>
          <w:color w:val="auto"/>
        </w:rPr>
      </w:pPr>
    </w:p>
    <w:p>
      <w:pPr>
        <w:ind w:left="240" w:hanging="151"/>
        <w:spacing w:after="0"/>
        <w:tabs>
          <w:tab w:leader="none" w:pos="24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following amounts were revised for the Renewables &amp; Storage and Corporate segments: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gridSpan w:val="10"/>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1"/>
                <w:szCs w:val="11"/>
                <w:color w:val="auto"/>
              </w:rPr>
            </w:pPr>
          </w:p>
        </w:tc>
        <w:tc>
          <w:tcPr>
            <w:tcW w:w="112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4"/>
            <w:vMerge w:val="restart"/>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4"/>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Renewables &amp; Storage Segment:</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Clearway Energy, Inc.</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Segment: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Clearway Energy, Inc.</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21"/>
                <w:szCs w:val="21"/>
                <w:color w:val="auto"/>
                <w:vertAlign w:val="superscript"/>
              </w:rPr>
              <w:t>(b)</w:t>
            </w:r>
            <w:r>
              <w:rPr>
                <w:rFonts w:ascii="Times New Roman" w:cs="Times New Roman" w:eastAsia="Times New Roman" w:hAnsi="Times New Roman"/>
                <w:sz w:val="16"/>
                <w:szCs w:val="16"/>
                <w:color w:val="auto"/>
              </w:rPr>
              <w:t xml:space="preserve"> Includes eliminations.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21"/>
                <w:szCs w:val="21"/>
                <w:color w:val="auto"/>
                <w:vertAlign w:val="superscript"/>
              </w:rPr>
              <w:t>(c)</w:t>
            </w:r>
            <w:r>
              <w:rPr>
                <w:rFonts w:ascii="Times New Roman" w:cs="Times New Roman" w:eastAsia="Times New Roman" w:hAnsi="Times New Roman"/>
                <w:sz w:val="16"/>
                <w:szCs w:val="16"/>
                <w:color w:val="auto"/>
              </w:rPr>
              <w:t xml:space="preserve"> Includes accruals.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income tax provision consisted of the following amounts: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5"/>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gridSpan w:val="2"/>
          </w:tcPr>
          <w:p>
            <w:pPr>
              <w:spacing w:after="0"/>
              <w:rPr>
                <w:sz w:val="16"/>
                <w:szCs w:val="16"/>
                <w:color w:val="auto"/>
              </w:rPr>
            </w:pPr>
          </w:p>
        </w:tc>
        <w:tc>
          <w:tcPr>
            <w:tcW w:w="10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CCEEFF"/>
            </w:tcBorders>
          </w:tcPr>
          <w:p>
            <w:pPr>
              <w:spacing w:after="0"/>
              <w:rPr>
                <w:sz w:val="17"/>
                <w:szCs w:val="17"/>
                <w:color w:val="auto"/>
              </w:rPr>
            </w:pPr>
          </w:p>
        </w:tc>
        <w:tc>
          <w:tcPr>
            <w:tcW w:w="57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840" w:type="dxa"/>
            <w:vAlign w:val="bottom"/>
            <w:tcBorders>
              <w:top w:val="single" w:sz="8" w:color="auto"/>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6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tax purposes, Clearway Energy LLC is treated as a partnership; therefore, the Company and CEG each record their respective share of taxable income or loss.</w:t>
      </w:r>
    </w:p>
    <w:p>
      <w:pPr>
        <w:sectPr>
          <w:pgSz w:w="11900" w:h="16838" w:orient="portrait"/>
          <w:cols w:equalWidth="0" w:num="1">
            <w:col w:w="11240"/>
          </w:cols>
          <w:pgMar w:left="320" w:top="10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Tax Credits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the Company received $282 million from the transfer of PTCs and ITCs, of which $279 million related to the Pine Forest facility and was primarily used to repay the $231 million outstanding on the tax credit transfer bridge loan as further described in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transactions and relationships described elsewhere in the notes to the consolidated financial statements, certain subsidiaries of CEG provide services to the Company and its operating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 This footnote should be read in conjunction with the complete description under Item 15 — Note 15,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color w:val="auto"/>
        </w:rPr>
        <w:t xml:space="preserve"> consolidated financial statements included in the Company’s 2025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Goat Mountain Development Services Agreement with Clearway Renew</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development services agreement entered into in July 2025, in connection with the closing of the Goat Mountain construction financing on February 27, 2026, as further described in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Company acquired assets totaling $106 million, consisting of $98 million for deposits related to the future delivery of equipment, which is included in other non-current assets on the Company’s consolidated balance sheet, and $8 million of capital expenditures. Of this amount, $70 million was paid to Clearway Renew on February 27, 2026, with the remaining $36 million outstanding as of March 31, 2026. Also on February 27, 2026, the Company paid Clearway Renew $18 million in fees under the development services agreement. The Company estimates that its total capital investment in the Goat Mountain repowering will be $200 million, subject to closing adjustments.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the Company and Clearway Renewable Operation &amp; Maintenance LLC</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Various subsidiaries of the Company in the Renewables &amp; Storage segment are party to services agreements with Clearway Renewable Operation &amp; Maintenance LLC, or RENOM, a wholly-owned subsidiary of CEG, which provides operation and maintenance, or O&amp;M, services to these subsidiaries. The Company incurred total expenses for these services of $21 million for each of the three months ended March 31, 2026 and 2025. Expenses for these services are included in cost of operations in the consolidated statements of operations. There was a balance of $12 million and $8 million due to RENOM as of March 31, 2026 and December 31, 2025,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Agreements by and between the Company and CEG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Various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$6 million and $5 million for the three months ended March 31, 2026 and 2025, respectively. Expenses for these services are included in cost of operations in the consolidated statements of operations. There was a balance of $4 million and $3 million due to CEG as of March 31, 2026 and December 31, 2025,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along with certain of its subsidiaries, is a party to the CEG Master Services Agreement, pursuant to which CEG and certain of its affiliates or third-party service providers provide certain services to the Company. These services include operational and administrative services, such as human resources, information systems, cybersecurity, external affairs, legal, risk management, internal audit, accounting, procurement, tax and treasury services, in exchange for the payment of fees in respect of such services, which are settled on a quarterly basis. The Company also directly bears labor costs for certain CEG employees who perform work on behalf of the Company.</w:t>
      </w:r>
    </w:p>
    <w:p>
      <w:pPr>
        <w:spacing w:after="0" w:line="1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incurred expenses under the CEG Master Services Agreement of $7 million and $6 million for the three months ended March 31, 2026 and 2025, respectively. Expenses for these services are included in general and administrative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Note 13 — Revision of Previously Issued Unaudited Financial Information</w:t>
      </w:r>
    </w:p>
    <w:p>
      <w:pPr>
        <w:spacing w:after="0" w:line="17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Item 15 — Note 18, </w:t>
      </w:r>
      <w:r>
        <w:rPr>
          <w:rFonts w:ascii="Times New Roman" w:cs="Times New Roman" w:eastAsia="Times New Roman" w:hAnsi="Times New Roman"/>
          <w:sz w:val="18"/>
          <w:szCs w:val="18"/>
          <w:i w:val="1"/>
          <w:iCs w:val="1"/>
          <w:color w:val="auto"/>
        </w:rPr>
        <w:t>Revision of Previously Issued Unaudited Financial Information (Unaudited)</w:t>
      </w:r>
      <w:r>
        <w:rPr>
          <w:rFonts w:ascii="Times New Roman" w:cs="Times New Roman" w:eastAsia="Times New Roman" w:hAnsi="Times New Roman"/>
          <w:sz w:val="18"/>
          <w:szCs w:val="18"/>
          <w:color w:val="auto"/>
        </w:rPr>
        <w:t>, during the fourth quarter of 2025, the Company’s management identified errors related to certain calculations of hypothetical liquidation at book value (HLBV) accounting used to allocate net income (loss) to the Company’s redeemable noncontrolling interests and noncontrolling interests in tax equity partnerships in each of the quarters ended March 31, 2025, June 30, 2025 and September 30, 2025. The Company evaluated the materiality of the errors in accordance with Staff Accounting Bulletins No. 99 and No. 108 of the SEC and concluded that the errors were immaterial to all previously reported periods and did not require restatement of any previously issued financial statements.</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the corrections to the impacted financial statement line items is presented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w:t>
            </w: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 attributable to Clearway Energy, Inc.</w:t>
            </w: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Earnings (loss) per weighted average Class A and Class C common share -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 of Comprehensive Income (Loss)</w:t>
            </w: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 income (loss) attributable to Clearway Energy, Inc.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6"/>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 (As of March 31, 2025)</w:t>
            </w: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95"/>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0" w:type="dxa"/>
            <w:vAlign w:val="bottom"/>
          </w:tcPr>
          <w:p>
            <w:pPr>
              <w:spacing w:after="0"/>
              <w:rPr>
                <w:sz w:val="1"/>
                <w:szCs w:val="1"/>
                <w:color w:val="auto"/>
              </w:rPr>
            </w:pPr>
          </w:p>
        </w:tc>
      </w:tr>
      <w:tr>
        <w:trPr>
          <w:trHeight w:val="196"/>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 at March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96"/>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8"/>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 at March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See Note 8, </w:t>
      </w:r>
      <w:r>
        <w:rPr>
          <w:rFonts w:ascii="Times New Roman" w:cs="Times New Roman" w:eastAsia="Times New Roman" w:hAnsi="Times New Roman"/>
          <w:sz w:val="17"/>
          <w:szCs w:val="17"/>
          <w:i w:val="1"/>
          <w:iCs w:val="1"/>
          <w:color w:val="auto"/>
        </w:rPr>
        <w:t>Loss Per Share</w:t>
      </w:r>
      <w:r>
        <w:rPr>
          <w:rFonts w:ascii="Times New Roman" w:cs="Times New Roman" w:eastAsia="Times New Roman" w:hAnsi="Times New Roman"/>
          <w:sz w:val="17"/>
          <w:szCs w:val="17"/>
          <w:color w:val="auto"/>
        </w:rPr>
        <w:t xml:space="preserve">, and Note 10,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for more details related to the revisions included in the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0" w:name="page31"/>
    <w:bookmarkEnd w:id="30"/>
    <w:p>
      <w:pPr>
        <w:jc w:val="right"/>
        <w:ind w:right="3160"/>
        <w:spacing w:after="0" w:line="466" w:lineRule="auto"/>
        <w:rPr>
          <w:sz w:val="20"/>
          <w:szCs w:val="20"/>
          <w:color w:val="auto"/>
        </w:rPr>
      </w:pPr>
      <w:r>
        <w:rPr>
          <w:rFonts w:ascii="Times New Roman" w:cs="Times New Roman" w:eastAsia="Times New Roman" w:hAnsi="Times New Roman"/>
          <w:sz w:val="17"/>
          <w:szCs w:val="17"/>
          <w:b w:val="1"/>
          <w:bCs w:val="1"/>
          <w:color w:val="auto"/>
        </w:rPr>
        <w:t xml:space="preserve">ITEM 2 — Management’s Discussion and Analysis of Financial Condition and the Results of Operations </w:t>
      </w:r>
      <w:r>
        <w:rPr>
          <w:rFonts w:ascii="Times New Roman" w:cs="Times New Roman" w:eastAsia="Times New Roman" w:hAnsi="Times New Roman"/>
          <w:sz w:val="17"/>
          <w:szCs w:val="17"/>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you read this discussion and analysis, refer to the Company’s consolidated financial statements to this Form 10-Q, which present the results of operations for the three months ended March 31, 2026 and 2025. Also refer to the Company’s 2025 Form 10-K, which includes detailed discussions of various items impacting the Company’s business, results of operations and financial condition.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discussion and analysis below has been organized as follows:</w:t>
      </w:r>
    </w:p>
    <w:p>
      <w:pPr>
        <w:spacing w:after="0" w:line="117" w:lineRule="exact"/>
        <w:rPr>
          <w:sz w:val="20"/>
          <w:szCs w:val="20"/>
          <w:color w:val="auto"/>
        </w:rPr>
      </w:pPr>
    </w:p>
    <w:p>
      <w:pPr>
        <w:ind w:left="980" w:right="80"/>
        <w:spacing w:after="0" w:line="281" w:lineRule="auto"/>
        <w:tabs>
          <w:tab w:leader="none" w:pos="1299"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Summary, including a description of the business and significant events that are important to understanding the results of operations and financial condition;</w:t>
      </w:r>
    </w:p>
    <w:p>
      <w:pPr>
        <w:spacing w:after="0" w:line="1" w:lineRule="exact"/>
        <w:rPr>
          <w:rFonts w:ascii="Times New Roman" w:cs="Times New Roman" w:eastAsia="Times New Roman" w:hAnsi="Times New Roman"/>
          <w:sz w:val="18"/>
          <w:szCs w:val="18"/>
          <w:color w:val="231F20"/>
        </w:rPr>
      </w:pPr>
    </w:p>
    <w:p>
      <w:pPr>
        <w:ind w:left="980" w:right="80"/>
        <w:spacing w:after="0" w:line="281" w:lineRule="auto"/>
        <w:tabs>
          <w:tab w:leader="none" w:pos="12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Results of operations, including an explanation of significant differences between the periods in the specific line items of the consolidated statements of operations;</w:t>
      </w:r>
    </w:p>
    <w:p>
      <w:pPr>
        <w:spacing w:after="0" w:line="1" w:lineRule="exact"/>
        <w:rPr>
          <w:rFonts w:ascii="Times New Roman" w:cs="Times New Roman" w:eastAsia="Times New Roman" w:hAnsi="Times New Roman"/>
          <w:sz w:val="18"/>
          <w:szCs w:val="18"/>
          <w:color w:val="auto"/>
        </w:rPr>
      </w:pPr>
    </w:p>
    <w:p>
      <w:pPr>
        <w:ind w:left="980" w:right="100"/>
        <w:spacing w:after="0" w:line="281" w:lineRule="auto"/>
        <w:tabs>
          <w:tab w:leader="none" w:pos="1299"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condition addressing liquidity position, sources and uses of cash, capital resources and requirements, commitments and off-balance sheet arrangements;</w:t>
      </w:r>
    </w:p>
    <w:p>
      <w:pPr>
        <w:spacing w:after="0" w:line="1" w:lineRule="exact"/>
        <w:rPr>
          <w:rFonts w:ascii="Times New Roman" w:cs="Times New Roman" w:eastAsia="Times New Roman" w:hAnsi="Times New Roman"/>
          <w:sz w:val="18"/>
          <w:szCs w:val="18"/>
          <w:color w:val="231F20"/>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Known trends that may affect the Company’s results of operations and financial condition in the future; and</w:t>
      </w:r>
    </w:p>
    <w:p>
      <w:pPr>
        <w:spacing w:after="0" w:line="63" w:lineRule="exact"/>
        <w:rPr>
          <w:rFonts w:ascii="Times New Roman" w:cs="Times New Roman" w:eastAsia="Times New Roman" w:hAnsi="Times New Roman"/>
          <w:sz w:val="18"/>
          <w:szCs w:val="18"/>
          <w:color w:val="231F20"/>
        </w:rPr>
      </w:pPr>
    </w:p>
    <w:p>
      <w:pPr>
        <w:ind w:left="980" w:right="80"/>
        <w:spacing w:after="0" w:line="282" w:lineRule="auto"/>
        <w:tabs>
          <w:tab w:leader="none" w:pos="12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9"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Company is one of the largest owners of clean energy generation assets in the U.S. The Company’s portfolio comprises approximately 13.6 GW of gross capacity in 27 states, including approximately 10.8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8"/>
          <w:szCs w:val="18"/>
          <w:color w:val="231F20"/>
        </w:rPr>
        <w:t>The majority</w:t>
      </w:r>
      <w:r>
        <w:rPr>
          <w:rFonts w:ascii="Times New Roman" w:cs="Times New Roman" w:eastAsia="Times New Roman" w:hAnsi="Times New Roman"/>
          <w:sz w:val="18"/>
          <w:szCs w:val="18"/>
          <w:color w:val="auto"/>
        </w:rPr>
        <w:t xml:space="preserve"> of the Company’s revenues are derived from long-term contractual arrangements for the output or capacity from these assets. The weighted average remaining contract duration of the Company’s Renewables &amp; Storage segment offtake agreements was approximately 12 years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auto"/>
        </w:rPr>
        <w:t xml:space="preserve"> March 31, 2026 </w:t>
      </w:r>
      <w:r>
        <w:rPr>
          <w:rFonts w:ascii="Times New Roman" w:cs="Times New Roman" w:eastAsia="Times New Roman" w:hAnsi="Times New Roman"/>
          <w:sz w:val="18"/>
          <w:szCs w:val="18"/>
          <w:color w:val="231F20"/>
        </w:rPr>
        <w:t>based on CAFD.</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the Company’s operating assets are comprised of the following facilities:</w:t>
      </w:r>
    </w:p>
    <w:p>
      <w:pPr>
        <w:spacing w:after="0" w:line="97" w:lineRule="exact"/>
        <w:rPr>
          <w:sz w:val="20"/>
          <w:szCs w:val="20"/>
          <w:color w:val="auto"/>
        </w:rPr>
      </w:pPr>
    </w:p>
    <w:tbl>
      <w:tblPr>
        <w:tblLayout w:type="fixed"/>
        <w:tblInd w:w="150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96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7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740" w:type="dxa"/>
            <w:vAlign w:val="bottom"/>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740" w:type="dxa"/>
            <w:vAlign w:val="bottom"/>
            <w:tcBorders>
              <w:top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Rated</w:t>
            </w:r>
          </w:p>
        </w:tc>
        <w:tc>
          <w:tcPr>
            <w:tcW w:w="1420" w:type="dxa"/>
            <w:vAlign w:val="bottom"/>
            <w:tcBorders>
              <w:top w:val="single" w:sz="8" w:color="auto"/>
            </w:tcBorders>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9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7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MW</w:t>
            </w:r>
          </w:p>
        </w:tc>
        <w:tc>
          <w:tcPr>
            <w:tcW w:w="1520" w:type="dxa"/>
            <w:vAlign w:val="bottom"/>
            <w:gridSpan w:val="2"/>
          </w:tcPr>
          <w:p>
            <w:pPr>
              <w:jc w:val="center"/>
              <w:ind w:left="255"/>
              <w:spacing w:after="0" w:line="233" w:lineRule="exact"/>
              <w:rPr>
                <w:sz w:val="20"/>
                <w:szCs w:val="20"/>
                <w:color w:val="auto"/>
              </w:rPr>
            </w:pPr>
            <w:r>
              <w:rPr>
                <w:rFonts w:ascii="Times New Roman" w:cs="Times New Roman" w:eastAsia="Times New Roman" w:hAnsi="Times New Roman"/>
                <w:sz w:val="27"/>
                <w:szCs w:val="27"/>
                <w:b w:val="1"/>
                <w:bCs w:val="1"/>
                <w:color w:val="auto"/>
                <w:w w:val="89"/>
                <w:vertAlign w:val="subscript"/>
              </w:rPr>
              <w:t>MW</w:t>
            </w:r>
            <w:r>
              <w:rPr>
                <w:rFonts w:ascii="Times New Roman" w:cs="Times New Roman" w:eastAsia="Times New Roman" w:hAnsi="Times New Roman"/>
                <w:sz w:val="10"/>
                <w:szCs w:val="10"/>
                <w:b w:val="1"/>
                <w:bCs w:val="1"/>
                <w:color w:val="auto"/>
                <w:w w:val="89"/>
              </w:rPr>
              <w:t xml:space="preserve"> (a)</w:t>
            </w:r>
          </w:p>
        </w:tc>
        <w:tc>
          <w:tcPr>
            <w:tcW w:w="274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3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Flexible Generation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Carlsbad</w:t>
            </w:r>
          </w:p>
        </w:tc>
        <w:tc>
          <w:tcPr>
            <w:tcW w:w="2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2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SDG&amp;E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r>
      <w:tr>
        <w:trPr>
          <w:trHeight w:val="20"/>
        </w:trPr>
        <w:tc>
          <w:tcPr>
            <w:tcW w:w="2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 Segundo</w:t>
            </w:r>
          </w:p>
        </w:tc>
        <w:tc>
          <w:tcPr>
            <w:tcW w:w="2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2027 - 2029</w:t>
            </w:r>
          </w:p>
        </w:tc>
      </w:tr>
      <w:tr>
        <w:trPr>
          <w:trHeight w:val="195"/>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GenConn Devon</w:t>
            </w:r>
          </w:p>
        </w:tc>
        <w:tc>
          <w:tcPr>
            <w:tcW w:w="2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r>
      <w:tr>
        <w:trPr>
          <w:trHeight w:val="210"/>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GenConn Middletown</w:t>
            </w:r>
          </w:p>
        </w:tc>
        <w:tc>
          <w:tcPr>
            <w:tcW w:w="2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w:t>
            </w:r>
          </w:p>
        </w:tc>
      </w:tr>
      <w:tr>
        <w:trPr>
          <w:trHeight w:val="195"/>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Marsh Landing</w:t>
            </w:r>
          </w:p>
        </w:tc>
        <w:tc>
          <w:tcPr>
            <w:tcW w:w="2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2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2026 - 2030</w:t>
            </w:r>
          </w:p>
        </w:tc>
      </w:tr>
      <w:tr>
        <w:trPr>
          <w:trHeight w:val="20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Walnut Creek</w:t>
            </w:r>
          </w:p>
        </w:tc>
        <w:tc>
          <w:tcPr>
            <w:tcW w:w="2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2026 - 2027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Flexible Generation</w:t>
            </w:r>
          </w:p>
        </w:tc>
        <w:tc>
          <w:tcPr>
            <w:tcW w:w="1900" w:type="dxa"/>
            <w:vAlign w:val="bottom"/>
          </w:tcPr>
          <w:p>
            <w:pPr>
              <w:spacing w:after="0"/>
              <w:rPr>
                <w:sz w:val="17"/>
                <w:szCs w:val="17"/>
                <w:color w:val="auto"/>
              </w:rPr>
            </w:pP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2,770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2,580</w:t>
            </w:r>
          </w:p>
        </w:tc>
        <w:tc>
          <w:tcPr>
            <w:tcW w:w="27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Solar</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Agua Caliente</w:t>
            </w:r>
          </w:p>
        </w:tc>
        <w:tc>
          <w:tcPr>
            <w:tcW w:w="19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51 %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290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w:t>
            </w:r>
          </w:p>
        </w:tc>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Alpine</w:t>
            </w:r>
          </w:p>
        </w:tc>
        <w:tc>
          <w:tcPr>
            <w:tcW w:w="19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66</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r>
      <w:tr>
        <w:trPr>
          <w:trHeight w:val="203"/>
        </w:trPr>
        <w:tc>
          <w:tcPr>
            <w:tcW w:w="330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Arica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40 %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263</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2036 - 2041</w:t>
            </w:r>
          </w:p>
        </w:tc>
      </w:tr>
      <w:tr>
        <w:trPr>
          <w:trHeight w:val="203"/>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Avenal</w:t>
            </w:r>
          </w:p>
        </w:tc>
        <w:tc>
          <w:tcPr>
            <w:tcW w:w="19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50 %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45</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r>
      <w:tr>
        <w:trPr>
          <w:trHeight w:val="229"/>
        </w:trPr>
        <w:tc>
          <w:tcPr>
            <w:tcW w:w="330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Buckthorn Solar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150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w:t>
            </w:r>
          </w:p>
        </w:tc>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City of Georgetown, TX</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w:t>
            </w:r>
          </w:p>
        </w:tc>
      </w:tr>
      <w:tr>
        <w:trPr>
          <w:trHeight w:val="203"/>
        </w:trPr>
        <w:tc>
          <w:tcPr>
            <w:tcW w:w="33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Cardinal Portfolio JV </w:t>
            </w:r>
            <w:r>
              <w:rPr>
                <w:rFonts w:ascii="Times New Roman" w:cs="Times New Roman" w:eastAsia="Times New Roman" w:hAnsi="Times New Roman"/>
                <w:sz w:val="21"/>
                <w:szCs w:val="21"/>
                <w:color w:val="auto"/>
                <w:vertAlign w:val="superscript"/>
              </w:rPr>
              <w:t>(c)</w:t>
            </w:r>
          </w:p>
        </w:tc>
        <w:tc>
          <w:tcPr>
            <w:tcW w:w="19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50 %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95</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2035 - 2041</w:t>
            </w:r>
          </w:p>
        </w:tc>
      </w:tr>
      <w:tr>
        <w:trPr>
          <w:trHeight w:val="216"/>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Catalina</w:t>
            </w:r>
          </w:p>
        </w:tc>
        <w:tc>
          <w:tcPr>
            <w:tcW w:w="1900" w:type="dxa"/>
            <w:vAlign w:val="bottom"/>
          </w:tcPr>
          <w:p>
            <w:pPr>
              <w:jc w:val="right"/>
              <w:ind w:right="329"/>
              <w:spacing w:after="0" w:line="216" w:lineRule="exact"/>
              <w:rPr>
                <w:sz w:val="20"/>
                <w:szCs w:val="20"/>
                <w:color w:val="auto"/>
              </w:rPr>
            </w:pPr>
            <w:r>
              <w:rPr>
                <w:rFonts w:ascii="Arial" w:cs="Arial" w:eastAsia="Arial" w:hAnsi="Arial"/>
                <w:sz w:val="24"/>
                <w:szCs w:val="24"/>
                <w:color w:val="auto"/>
                <w:vertAlign w:val="subscript"/>
              </w:rPr>
              <w:t>—</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9"/>
                <w:szCs w:val="9"/>
                <w:color w:val="auto"/>
              </w:rPr>
              <w:t xml:space="preserve"> (d)</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109</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w:t>
            </w:r>
          </w:p>
        </w:tc>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SDG&amp;E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r>
      <w:tr>
        <w:trPr>
          <w:trHeight w:val="203"/>
        </w:trPr>
        <w:tc>
          <w:tcPr>
            <w:tcW w:w="33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Conetoe </w:t>
            </w:r>
            <w:r>
              <w:rPr>
                <w:rFonts w:ascii="Times New Roman" w:cs="Times New Roman" w:eastAsia="Times New Roman" w:hAnsi="Times New Roman"/>
                <w:sz w:val="21"/>
                <w:szCs w:val="21"/>
                <w:color w:val="auto"/>
                <w:vertAlign w:val="superscript"/>
              </w:rPr>
              <w:t>(c)</w:t>
            </w:r>
          </w:p>
        </w:tc>
        <w:tc>
          <w:tcPr>
            <w:tcW w:w="19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Corning Inc. and Lockheed Martin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CVSR</w:t>
            </w:r>
          </w:p>
        </w:tc>
        <w:tc>
          <w:tcPr>
            <w:tcW w:w="19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250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r>
      <w:tr>
        <w:trPr>
          <w:trHeight w:val="210"/>
        </w:trPr>
        <w:tc>
          <w:tcPr>
            <w:tcW w:w="330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Daggett 2 </w:t>
            </w:r>
            <w:r>
              <w:rPr>
                <w:rFonts w:ascii="Times New Roman" w:cs="Times New Roman" w:eastAsia="Times New Roman" w:hAnsi="Times New Roman"/>
                <w:sz w:val="21"/>
                <w:szCs w:val="21"/>
                <w:color w:val="auto"/>
                <w:vertAlign w:val="superscript"/>
              </w:rPr>
              <w:t>(b)</w:t>
            </w:r>
          </w:p>
        </w:tc>
        <w:tc>
          <w:tcPr>
            <w:tcW w:w="19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182</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r>
      <w:tr>
        <w:trPr>
          <w:trHeight w:val="203"/>
        </w:trPr>
        <w:tc>
          <w:tcPr>
            <w:tcW w:w="330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Daggett 3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300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2033 - 2038</w:t>
            </w:r>
          </w:p>
        </w:tc>
      </w:tr>
      <w:tr>
        <w:trPr>
          <w:trHeight w:val="203"/>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Desert Sunlight 250</w:t>
            </w:r>
          </w:p>
        </w:tc>
        <w:tc>
          <w:tcPr>
            <w:tcW w:w="19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250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SCE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Desert Sunlight 300</w:t>
            </w:r>
          </w:p>
        </w:tc>
        <w:tc>
          <w:tcPr>
            <w:tcW w:w="19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300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Enterprise</w:t>
            </w:r>
          </w:p>
        </w:tc>
        <w:tc>
          <w:tcPr>
            <w:tcW w:w="19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Escalante I</w:t>
            </w:r>
          </w:p>
        </w:tc>
        <w:tc>
          <w:tcPr>
            <w:tcW w:w="19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Escalante II</w:t>
            </w:r>
          </w:p>
        </w:tc>
        <w:tc>
          <w:tcPr>
            <w:tcW w:w="19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Escalante III</w:t>
            </w:r>
          </w:p>
        </w:tc>
        <w:tc>
          <w:tcPr>
            <w:tcW w:w="19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Granite Mountain East</w:t>
            </w:r>
          </w:p>
        </w:tc>
        <w:tc>
          <w:tcPr>
            <w:tcW w:w="19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Granite Mountain West</w:t>
            </w:r>
          </w:p>
        </w:tc>
        <w:tc>
          <w:tcPr>
            <w:tcW w:w="19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50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Iron Springs</w:t>
            </w:r>
          </w:p>
        </w:tc>
        <w:tc>
          <w:tcPr>
            <w:tcW w:w="19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203"/>
        </w:trPr>
        <w:tc>
          <w:tcPr>
            <w:tcW w:w="330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Luna Valley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200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w:t>
            </w:r>
          </w:p>
        </w:tc>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2040 - 2045</w:t>
            </w:r>
          </w:p>
        </w:tc>
      </w:tr>
      <w:tr>
        <w:trPr>
          <w:trHeight w:val="203"/>
        </w:trPr>
        <w:tc>
          <w:tcPr>
            <w:tcW w:w="33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Mililani I </w:t>
            </w:r>
            <w:r>
              <w:rPr>
                <w:rFonts w:ascii="Times New Roman" w:cs="Times New Roman" w:eastAsia="Times New Roman" w:hAnsi="Times New Roman"/>
                <w:sz w:val="21"/>
                <w:szCs w:val="21"/>
                <w:color w:val="auto"/>
                <w:vertAlign w:val="superscript"/>
              </w:rPr>
              <w:t>(b)</w:t>
            </w:r>
          </w:p>
        </w:tc>
        <w:tc>
          <w:tcPr>
            <w:tcW w:w="19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50 %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39</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r>
      <w:tr>
        <w:trPr>
          <w:trHeight w:val="203"/>
        </w:trPr>
        <w:tc>
          <w:tcPr>
            <w:tcW w:w="330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Oahu Solar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61</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r>
      <w:tr>
        <w:trPr>
          <w:trHeight w:val="203"/>
        </w:trPr>
        <w:tc>
          <w:tcPr>
            <w:tcW w:w="330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4"/>
                <w:szCs w:val="14"/>
                <w:color w:val="auto"/>
              </w:rPr>
              <w:t xml:space="preserve">Pine Forest </w:t>
            </w:r>
            <w:r>
              <w:rPr>
                <w:rFonts w:ascii="Times New Roman" w:cs="Times New Roman" w:eastAsia="Times New Roman" w:hAnsi="Times New Roman"/>
                <w:sz w:val="18"/>
                <w:szCs w:val="18"/>
                <w:color w:val="auto"/>
                <w:vertAlign w:val="superscript"/>
              </w:rPr>
              <w:t>(b)</w:t>
            </w:r>
          </w:p>
        </w:tc>
        <w:tc>
          <w:tcPr>
            <w:tcW w:w="19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50 %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300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2040 - 2045</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41"/>
        </w:trPr>
        <w:tc>
          <w:tcPr>
            <w:tcW w:w="2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21"/>
                <w:szCs w:val="21"/>
                <w:color w:val="auto"/>
                <w:vertAlign w:val="superscript"/>
              </w:rPr>
              <w:t>(b)</w:t>
            </w:r>
          </w:p>
        </w:tc>
        <w:tc>
          <w:tcPr>
            <w:tcW w:w="1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2035 - 2047</w:t>
            </w:r>
          </w:p>
        </w:tc>
      </w:tr>
      <w:tr>
        <w:trPr>
          <w:trHeight w:val="229"/>
        </w:trPr>
        <w:tc>
          <w:tcPr>
            <w:tcW w:w="298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Rosamond South I </w:t>
            </w:r>
            <w:r>
              <w:rPr>
                <w:rFonts w:ascii="Times New Roman" w:cs="Times New Roman" w:eastAsia="Times New Roman" w:hAnsi="Times New Roman"/>
                <w:sz w:val="21"/>
                <w:szCs w:val="21"/>
                <w:color w:val="auto"/>
                <w:vertAlign w:val="superscript"/>
              </w:rPr>
              <w:t>(b)</w:t>
            </w:r>
          </w:p>
        </w:tc>
        <w:tc>
          <w:tcPr>
            <w:tcW w:w="1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r>
      <w:tr>
        <w:trPr>
          <w:trHeight w:val="203"/>
        </w:trPr>
        <w:tc>
          <w:tcPr>
            <w:tcW w:w="298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Shoreham </w:t>
            </w:r>
            <w:r>
              <w:rPr>
                <w:rFonts w:ascii="Times New Roman" w:cs="Times New Roman" w:eastAsia="Times New Roman" w:hAnsi="Times New Roman"/>
                <w:sz w:val="21"/>
                <w:szCs w:val="21"/>
                <w:color w:val="auto"/>
                <w:vertAlign w:val="superscript"/>
              </w:rPr>
              <w:t>(b) (c)</w:t>
            </w:r>
          </w:p>
        </w:tc>
        <w:tc>
          <w:tcPr>
            <w:tcW w:w="1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 Island Power Authority</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r>
      <w:tr>
        <w:trPr>
          <w:trHeight w:val="203"/>
        </w:trPr>
        <w:tc>
          <w:tcPr>
            <w:tcW w:w="298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Texas Solar Nova 1 </w:t>
            </w:r>
            <w:r>
              <w:rPr>
                <w:rFonts w:ascii="Times New Roman" w:cs="Times New Roman" w:eastAsia="Times New Roman" w:hAnsi="Times New Roman"/>
                <w:sz w:val="21"/>
                <w:szCs w:val="21"/>
                <w:color w:val="auto"/>
                <w:vertAlign w:val="superscript"/>
              </w:rPr>
              <w:t>(b)</w:t>
            </w:r>
          </w:p>
        </w:tc>
        <w:tc>
          <w:tcPr>
            <w:tcW w:w="1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Verizon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r>
      <w:tr>
        <w:trPr>
          <w:trHeight w:val="203"/>
        </w:trPr>
        <w:tc>
          <w:tcPr>
            <w:tcW w:w="298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Texas Solar Nova 2 </w:t>
            </w:r>
            <w:r>
              <w:rPr>
                <w:rFonts w:ascii="Times New Roman" w:cs="Times New Roman" w:eastAsia="Times New Roman" w:hAnsi="Times New Roman"/>
                <w:sz w:val="21"/>
                <w:szCs w:val="21"/>
                <w:color w:val="auto"/>
                <w:vertAlign w:val="superscript"/>
              </w:rPr>
              <w:t>(b)</w:t>
            </w:r>
          </w:p>
        </w:tc>
        <w:tc>
          <w:tcPr>
            <w:tcW w:w="1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Verizon</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r>
      <w:tr>
        <w:trPr>
          <w:trHeight w:val="203"/>
        </w:trPr>
        <w:tc>
          <w:tcPr>
            <w:tcW w:w="298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Victory Pass </w:t>
            </w:r>
            <w:r>
              <w:rPr>
                <w:rFonts w:ascii="Times New Roman" w:cs="Times New Roman" w:eastAsia="Times New Roman" w:hAnsi="Times New Roman"/>
                <w:sz w:val="21"/>
                <w:szCs w:val="21"/>
                <w:color w:val="auto"/>
                <w:vertAlign w:val="superscript"/>
              </w:rPr>
              <w:t>(b)</w:t>
            </w:r>
          </w:p>
        </w:tc>
        <w:tc>
          <w:tcPr>
            <w:tcW w:w="1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r>
      <w:tr>
        <w:trPr>
          <w:trHeight w:val="203"/>
        </w:trPr>
        <w:tc>
          <w:tcPr>
            <w:tcW w:w="298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Waiawa </w:t>
            </w:r>
            <w:r>
              <w:rPr>
                <w:rFonts w:ascii="Times New Roman" w:cs="Times New Roman" w:eastAsia="Times New Roman" w:hAnsi="Times New Roman"/>
                <w:sz w:val="21"/>
                <w:szCs w:val="21"/>
                <w:color w:val="auto"/>
                <w:vertAlign w:val="superscript"/>
              </w:rPr>
              <w:t>(b)</w:t>
            </w:r>
          </w:p>
        </w:tc>
        <w:tc>
          <w:tcPr>
            <w:tcW w:w="1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w:t>
            </w:r>
          </w:p>
        </w:tc>
      </w:tr>
      <w:tr>
        <w:trPr>
          <w:trHeight w:val="19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Utility Scale Solar</w:t>
            </w:r>
          </w:p>
        </w:tc>
        <w:tc>
          <w:tcPr>
            <w:tcW w:w="1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2029 - 2038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Utility Scale Solar</w:t>
            </w:r>
          </w:p>
        </w:tc>
        <w:tc>
          <w:tcPr>
            <w:tcW w:w="17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3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BESS</w:t>
            </w:r>
          </w:p>
        </w:tc>
        <w:tc>
          <w:tcPr>
            <w:tcW w:w="1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Arica </w:t>
            </w:r>
            <w:r>
              <w:rPr>
                <w:rFonts w:ascii="Times New Roman" w:cs="Times New Roman" w:eastAsia="Times New Roman" w:hAnsi="Times New Roman"/>
                <w:sz w:val="21"/>
                <w:szCs w:val="21"/>
                <w:color w:val="auto"/>
                <w:vertAlign w:val="superscript"/>
              </w:rPr>
              <w:t>(b)</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2039 - 2041</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Daggett 1 </w:t>
            </w:r>
            <w:r>
              <w:rPr>
                <w:rFonts w:ascii="Times New Roman" w:cs="Times New Roman" w:eastAsia="Times New Roman" w:hAnsi="Times New Roman"/>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SDG&amp;E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203"/>
        </w:trPr>
        <w:tc>
          <w:tcPr>
            <w:tcW w:w="322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Daggett 2 </w:t>
            </w:r>
            <w:r>
              <w:rPr>
                <w:rFonts w:ascii="Times New Roman" w:cs="Times New Roman" w:eastAsia="Times New Roman" w:hAnsi="Times New Roman"/>
                <w:sz w:val="21"/>
                <w:szCs w:val="21"/>
                <w:color w:val="auto"/>
                <w:vertAlign w:val="superscript"/>
              </w:rPr>
              <w:t>(b)</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Daggett 3 </w:t>
            </w:r>
            <w:r>
              <w:rPr>
                <w:rFonts w:ascii="Times New Roman" w:cs="Times New Roman" w:eastAsia="Times New Roman" w:hAnsi="Times New Roman"/>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2033 - 2038</w:t>
            </w:r>
          </w:p>
        </w:tc>
        <w:tc>
          <w:tcPr>
            <w:tcW w:w="0" w:type="dxa"/>
            <w:vAlign w:val="bottom"/>
          </w:tcPr>
          <w:p>
            <w:pPr>
              <w:spacing w:after="0"/>
              <w:rPr>
                <w:sz w:val="1"/>
                <w:szCs w:val="1"/>
                <w:color w:val="auto"/>
              </w:rPr>
            </w:pPr>
          </w:p>
        </w:tc>
      </w:tr>
      <w:tr>
        <w:trPr>
          <w:trHeight w:val="203"/>
        </w:trPr>
        <w:tc>
          <w:tcPr>
            <w:tcW w:w="322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Mililani I </w:t>
            </w:r>
            <w:r>
              <w:rPr>
                <w:rFonts w:ascii="Times New Roman" w:cs="Times New Roman" w:eastAsia="Times New Roman" w:hAnsi="Times New Roman"/>
                <w:sz w:val="21"/>
                <w:szCs w:val="21"/>
                <w:color w:val="auto"/>
                <w:vertAlign w:val="superscript"/>
              </w:rPr>
              <w:t>(b)</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4"/>
                <w:szCs w:val="14"/>
                <w:color w:val="auto"/>
              </w:rPr>
              <w:t xml:space="preserve">Pine Forest </w:t>
            </w:r>
            <w:r>
              <w:rPr>
                <w:rFonts w:ascii="Times New Roman" w:cs="Times New Roman" w:eastAsia="Times New Roman" w:hAnsi="Times New Roman"/>
                <w:sz w:val="18"/>
                <w:szCs w:val="18"/>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21"/>
                <w:szCs w:val="21"/>
                <w:color w:val="auto"/>
                <w:vertAlign w:val="superscript"/>
              </w:rPr>
              <w:t>(b)</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Rosamond South I </w:t>
            </w:r>
            <w:r>
              <w:rPr>
                <w:rFonts w:ascii="Times New Roman" w:cs="Times New Roman" w:eastAsia="Times New Roman" w:hAnsi="Times New Roman"/>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2035 - 2040</w:t>
            </w:r>
          </w:p>
        </w:tc>
        <w:tc>
          <w:tcPr>
            <w:tcW w:w="0" w:type="dxa"/>
            <w:vAlign w:val="bottom"/>
          </w:tcPr>
          <w:p>
            <w:pPr>
              <w:spacing w:after="0"/>
              <w:rPr>
                <w:sz w:val="1"/>
                <w:szCs w:val="1"/>
                <w:color w:val="auto"/>
              </w:rPr>
            </w:pPr>
          </w:p>
        </w:tc>
      </w:tr>
      <w:tr>
        <w:trPr>
          <w:trHeight w:val="203"/>
        </w:trPr>
        <w:tc>
          <w:tcPr>
            <w:tcW w:w="322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Victory Pass </w:t>
            </w:r>
            <w:r>
              <w:rPr>
                <w:rFonts w:ascii="Times New Roman" w:cs="Times New Roman" w:eastAsia="Times New Roman" w:hAnsi="Times New Roman"/>
                <w:sz w:val="21"/>
                <w:szCs w:val="21"/>
                <w:color w:val="auto"/>
                <w:vertAlign w:val="superscript"/>
              </w:rPr>
              <w:t>(b)</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Waiawa </w:t>
            </w:r>
            <w:r>
              <w:rPr>
                <w:rFonts w:ascii="Times New Roman" w:cs="Times New Roman" w:eastAsia="Times New Roman" w:hAnsi="Times New Roman"/>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195"/>
        </w:trPr>
        <w:tc>
          <w:tcPr>
            <w:tcW w:w="3220" w:type="dxa"/>
            <w:vAlign w:val="bottom"/>
          </w:tcPr>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Total Utility Scale BESS</w:t>
            </w:r>
          </w:p>
        </w:tc>
        <w:tc>
          <w:tcPr>
            <w:tcW w:w="17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3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Distributed Solar</w:t>
            </w:r>
          </w:p>
        </w:tc>
        <w:tc>
          <w:tcPr>
            <w:tcW w:w="1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Cardinal Portfolio </w:t>
            </w:r>
            <w:r>
              <w:rPr>
                <w:rFonts w:ascii="Times New Roman" w:cs="Times New Roman" w:eastAsia="Times New Roman" w:hAnsi="Times New Roman"/>
                <w:sz w:val="21"/>
                <w:szCs w:val="21"/>
                <w:color w:val="auto"/>
                <w:vertAlign w:val="superscript"/>
              </w:rPr>
              <w:t>(c)</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2027 - 2040</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Cardinal Portfolio JV </w:t>
            </w:r>
            <w:r>
              <w:rPr>
                <w:rFonts w:ascii="Times New Roman" w:cs="Times New Roman" w:eastAsia="Times New Roman" w:hAnsi="Times New Roman"/>
                <w:sz w:val="21"/>
                <w:szCs w:val="21"/>
                <w:color w:val="auto"/>
                <w:vertAlign w:val="superscript"/>
              </w:rPr>
              <w:t>(c)</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2033 - 2041</w:t>
            </w:r>
          </w:p>
        </w:tc>
        <w:tc>
          <w:tcPr>
            <w:tcW w:w="0" w:type="dxa"/>
            <w:vAlign w:val="bottom"/>
          </w:tcPr>
          <w:p>
            <w:pPr>
              <w:spacing w:after="0"/>
              <w:rPr>
                <w:sz w:val="1"/>
                <w:szCs w:val="1"/>
                <w:color w:val="auto"/>
              </w:rPr>
            </w:pPr>
          </w:p>
        </w:tc>
      </w:tr>
      <w:tr>
        <w:trPr>
          <w:trHeight w:val="230"/>
        </w:trPr>
        <w:tc>
          <w:tcPr>
            <w:tcW w:w="322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DGPV Funds </w:t>
            </w:r>
            <w:r>
              <w:rPr>
                <w:rFonts w:ascii="Times New Roman" w:cs="Times New Roman" w:eastAsia="Times New Roman" w:hAnsi="Times New Roman"/>
                <w:sz w:val="21"/>
                <w:szCs w:val="21"/>
                <w:color w:val="auto"/>
                <w:vertAlign w:val="superscript"/>
              </w:rPr>
              <w:t>(b)</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2030 - 2044</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Solar Power Partners (SPP)</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2026 - 2037</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DG Facilities</w:t>
            </w:r>
          </w:p>
        </w:tc>
        <w:tc>
          <w:tcPr>
            <w:tcW w:w="170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2026 - 2039</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Distributed Solar</w:t>
            </w:r>
          </w:p>
        </w:tc>
        <w:tc>
          <w:tcPr>
            <w:tcW w:w="17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3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Wind</w:t>
            </w: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 - V</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5"/>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Alta X - XI</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37"/>
        </w:trPr>
        <w:tc>
          <w:tcPr>
            <w:tcW w:w="3220" w:type="dxa"/>
            <w:vAlign w:val="bottom"/>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Black Rock </w:t>
            </w:r>
            <w:r>
              <w:rPr>
                <w:rFonts w:ascii="Times New Roman" w:cs="Times New Roman" w:eastAsia="Times New Roman" w:hAnsi="Times New Roman"/>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Toyota and Google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195"/>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Broken Bow</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Cedar Creek </w:t>
            </w:r>
            <w:r>
              <w:rPr>
                <w:rFonts w:ascii="Times New Roman" w:cs="Times New Roman" w:eastAsia="Times New Roman" w:hAnsi="Times New Roman"/>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PacifiCorp</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0" w:type="dxa"/>
            <w:vAlign w:val="bottom"/>
          </w:tcPr>
          <w:p>
            <w:pPr>
              <w:spacing w:after="0"/>
              <w:rPr>
                <w:sz w:val="1"/>
                <w:szCs w:val="1"/>
                <w:color w:val="auto"/>
              </w:rPr>
            </w:pPr>
          </w:p>
        </w:tc>
      </w:tr>
      <w:tr>
        <w:trPr>
          <w:trHeight w:val="203"/>
        </w:trPr>
        <w:tc>
          <w:tcPr>
            <w:tcW w:w="322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Cedro Hill </w:t>
            </w:r>
            <w:r>
              <w:rPr>
                <w:rFonts w:ascii="Times New Roman" w:cs="Times New Roman" w:eastAsia="Times New Roman" w:hAnsi="Times New Roman"/>
                <w:sz w:val="21"/>
                <w:szCs w:val="21"/>
                <w:color w:val="auto"/>
                <w:vertAlign w:val="superscript"/>
              </w:rPr>
              <w:t>(b)</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CPS Energy</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Crofton Bluffs</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03"/>
        </w:trPr>
        <w:tc>
          <w:tcPr>
            <w:tcW w:w="322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Dan’s Mountain </w:t>
            </w:r>
            <w:r>
              <w:rPr>
                <w:rFonts w:ascii="Times New Roman" w:cs="Times New Roman" w:eastAsia="Times New Roman" w:hAnsi="Times New Roman"/>
                <w:sz w:val="21"/>
                <w:szCs w:val="21"/>
                <w:color w:val="auto"/>
                <w:vertAlign w:val="superscript"/>
              </w:rPr>
              <w:t>(b)</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Constellation Energy Generation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Elbow Creek </w:t>
            </w:r>
            <w:r>
              <w:rPr>
                <w:rFonts w:ascii="Times New Roman" w:cs="Times New Roman" w:eastAsia="Times New Roman" w:hAnsi="Times New Roman"/>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5"/>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Elkhorn Ridge</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66.7 %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Goat Mountain </w:t>
            </w:r>
            <w:r>
              <w:rPr>
                <w:rFonts w:ascii="Times New Roman" w:cs="Times New Roman" w:eastAsia="Times New Roman" w:hAnsi="Times New Roman"/>
                <w:sz w:val="21"/>
                <w:szCs w:val="21"/>
                <w:color w:val="auto"/>
                <w:vertAlign w:val="superscript"/>
              </w:rPr>
              <w:t>(e)</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Langford </w:t>
            </w:r>
            <w:r>
              <w:rPr>
                <w:rFonts w:ascii="Times New Roman" w:cs="Times New Roman" w:eastAsia="Times New Roman" w:hAnsi="Times New Roman"/>
                <w:sz w:val="21"/>
                <w:szCs w:val="21"/>
                <w:color w:val="auto"/>
                <w:vertAlign w:val="superscript"/>
              </w:rPr>
              <w:t>(b)</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Goldman Sachs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Laredo Ridge</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03"/>
        </w:trPr>
        <w:tc>
          <w:tcPr>
            <w:tcW w:w="322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Mesquite Sky </w:t>
            </w:r>
            <w:r>
              <w:rPr>
                <w:rFonts w:ascii="Times New Roman" w:cs="Times New Roman" w:eastAsia="Times New Roman" w:hAnsi="Times New Roman"/>
                <w:sz w:val="21"/>
                <w:szCs w:val="21"/>
                <w:color w:val="auto"/>
                <w:vertAlign w:val="superscript"/>
              </w:rPr>
              <w:t>(b)</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Mesquite Star </w:t>
            </w:r>
            <w:r>
              <w:rPr>
                <w:rFonts w:ascii="Times New Roman" w:cs="Times New Roman" w:eastAsia="Times New Roman" w:hAnsi="Times New Roman"/>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2032 - 2035</w:t>
            </w:r>
          </w:p>
        </w:tc>
        <w:tc>
          <w:tcPr>
            <w:tcW w:w="0" w:type="dxa"/>
            <w:vAlign w:val="bottom"/>
          </w:tcPr>
          <w:p>
            <w:pPr>
              <w:spacing w:after="0"/>
              <w:rPr>
                <w:sz w:val="1"/>
                <w:szCs w:val="1"/>
                <w:color w:val="auto"/>
              </w:rPr>
            </w:pPr>
          </w:p>
        </w:tc>
      </w:tr>
      <w:tr>
        <w:trPr>
          <w:trHeight w:val="195"/>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Mountain Wind 1</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PacifiCorp</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Mountain Wind 2</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PacifiCorp</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95"/>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Ocotillo</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2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Pinnacle </w:t>
            </w:r>
            <w:r>
              <w:rPr>
                <w:rFonts w:ascii="Times New Roman" w:cs="Times New Roman" w:eastAsia="Times New Roman" w:hAnsi="Times New Roman"/>
                <w:sz w:val="21"/>
                <w:szCs w:val="21"/>
                <w:color w:val="auto"/>
                <w:vertAlign w:val="superscript"/>
              </w:rPr>
              <w:t>(b)</w:t>
            </w:r>
          </w:p>
        </w:tc>
        <w:tc>
          <w:tcPr>
            <w:tcW w:w="1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31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Maryland Department of General Services and</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8"/>
        </w:trPr>
        <w:tc>
          <w:tcPr>
            <w:tcW w:w="3220" w:type="dxa"/>
            <w:vAlign w:val="bottom"/>
            <w:vMerge w:val="continue"/>
            <w:shd w:val="clear" w:color="auto" w:fill="CCEEFF"/>
          </w:tcPr>
          <w:p>
            <w:pPr>
              <w:spacing w:after="0"/>
              <w:rPr>
                <w:sz w:val="17"/>
                <w:szCs w:val="17"/>
                <w:color w:val="auto"/>
              </w:rPr>
            </w:pPr>
          </w:p>
        </w:tc>
        <w:tc>
          <w:tcPr>
            <w:tcW w:w="170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University System of Maryland</w:t>
            </w: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Rattlesnake </w:t>
            </w:r>
            <w:r>
              <w:rPr>
                <w:rFonts w:ascii="Times New Roman" w:cs="Times New Roman" w:eastAsia="Times New Roman" w:hAnsi="Times New Roman"/>
                <w:sz w:val="21"/>
                <w:szCs w:val="21"/>
                <w:color w:val="auto"/>
                <w:vertAlign w:val="superscript"/>
              </w:rPr>
              <w:t>(b) (f)</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Avista Corporation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San Juan Mesa</w:t>
            </w:r>
          </w:p>
        </w:tc>
        <w:tc>
          <w:tcPr>
            <w:tcW w:w="2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r>
      <w:tr>
        <w:trPr>
          <w:trHeight w:val="195"/>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Sleeping Bear</w:t>
            </w:r>
          </w:p>
        </w:tc>
        <w:tc>
          <w:tcPr>
            <w:tcW w:w="2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Public Service Company of Oklahoma</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r>
      <w:tr>
        <w:trPr>
          <w:trHeight w:val="210"/>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South Trent</w:t>
            </w:r>
          </w:p>
        </w:tc>
        <w:tc>
          <w:tcPr>
            <w:tcW w:w="2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AEP Energy Partners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r>
      <w:tr>
        <w:trPr>
          <w:trHeight w:val="195"/>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Spring Canyon II and III</w:t>
            </w:r>
          </w:p>
        </w:tc>
        <w:tc>
          <w:tcPr>
            <w:tcW w:w="2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r>
      <w:tr>
        <w:trPr>
          <w:trHeight w:val="210"/>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Taloga</w:t>
            </w:r>
          </w:p>
        </w:tc>
        <w:tc>
          <w:tcPr>
            <w:tcW w:w="2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Oklahoma Gas &amp; Electric</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r>
      <w:tr>
        <w:trPr>
          <w:trHeight w:val="195"/>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Tuolumne</w:t>
            </w:r>
          </w:p>
        </w:tc>
        <w:tc>
          <w:tcPr>
            <w:tcW w:w="2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Turlock Irrigation District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r>
      <w:tr>
        <w:trPr>
          <w:trHeight w:val="210"/>
        </w:trPr>
        <w:tc>
          <w:tcPr>
            <w:tcW w:w="218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Wildorado </w:t>
            </w:r>
            <w:r>
              <w:rPr>
                <w:rFonts w:ascii="Times New Roman" w:cs="Times New Roman" w:eastAsia="Times New Roman" w:hAnsi="Times New Roman"/>
                <w:sz w:val="21"/>
                <w:szCs w:val="21"/>
                <w:color w:val="auto"/>
                <w:vertAlign w:val="superscript"/>
              </w:rPr>
              <w:t>(b)</w:t>
            </w:r>
          </w:p>
        </w:tc>
        <w:tc>
          <w:tcPr>
            <w:tcW w:w="2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r>
      <w:tr>
        <w:trPr>
          <w:trHeight w:val="196"/>
        </w:trPr>
        <w:tc>
          <w:tcPr>
            <w:tcW w:w="2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Other Utility Scale Wind</w:t>
            </w:r>
          </w:p>
        </w:tc>
        <w:tc>
          <w:tcPr>
            <w:tcW w:w="274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2027 - 2033</w:t>
            </w:r>
          </w:p>
        </w:tc>
      </w:tr>
      <w:tr>
        <w:trPr>
          <w:trHeight w:val="202"/>
        </w:trPr>
        <w:tc>
          <w:tcPr>
            <w:tcW w:w="2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Wind</w:t>
            </w:r>
          </w:p>
        </w:tc>
        <w:tc>
          <w:tcPr>
            <w:tcW w:w="274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29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7"/>
        </w:trPr>
        <w:tc>
          <w:tcPr>
            <w:tcW w:w="21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Clearway Energy, Inc.</w:t>
            </w:r>
          </w:p>
        </w:tc>
        <w:tc>
          <w:tcPr>
            <w:tcW w:w="27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13,552</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10,345</w:t>
            </w:r>
          </w:p>
        </w:tc>
        <w:tc>
          <w:tcPr>
            <w:tcW w:w="29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
        </w:trPr>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2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99" w:lineRule="exact"/>
        <w:rPr>
          <w:sz w:val="20"/>
          <w:szCs w:val="20"/>
          <w:color w:val="auto"/>
        </w:rPr>
      </w:pPr>
    </w:p>
    <w:p>
      <w:pPr>
        <w:ind w:left="80" w:firstLine="9"/>
        <w:spacing w:after="0" w:line="210" w:lineRule="auto"/>
        <w:tabs>
          <w:tab w:leader="none" w:pos="254"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For owned facilities, net capacity represents the maximum, or rated, generating or storage capacity of the facility multiplied by the Company’s percentage ownership in the facility as of March 31, 2026.</w:t>
      </w:r>
    </w:p>
    <w:p>
      <w:pPr>
        <w:spacing w:after="0" w:line="7" w:lineRule="exact"/>
        <w:rPr>
          <w:rFonts w:ascii="Times New Roman" w:cs="Times New Roman" w:eastAsia="Times New Roman" w:hAnsi="Times New Roman"/>
          <w:sz w:val="22"/>
          <w:szCs w:val="22"/>
          <w:color w:val="auto"/>
          <w:vertAlign w:val="superscript"/>
        </w:rPr>
      </w:pPr>
    </w:p>
    <w:p>
      <w:pPr>
        <w:ind w:left="280" w:hanging="191"/>
        <w:spacing w:after="0"/>
        <w:tabs>
          <w:tab w:leader="none" w:pos="28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 xml:space="preserve">Facilities are part of tax equity arrangements, as further described in Note 4,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w:t>
      </w:r>
    </w:p>
    <w:p>
      <w:pPr>
        <w:spacing w:after="0" w:line="78" w:lineRule="exact"/>
        <w:rPr>
          <w:rFonts w:ascii="Times New Roman" w:cs="Times New Roman" w:eastAsia="Times New Roman" w:hAnsi="Times New Roman"/>
          <w:sz w:val="23"/>
          <w:szCs w:val="23"/>
          <w:color w:val="auto"/>
          <w:vertAlign w:val="superscript"/>
        </w:rPr>
      </w:pPr>
    </w:p>
    <w:p>
      <w:pPr>
        <w:ind w:left="260" w:hanging="171"/>
        <w:spacing w:after="0" w:line="181" w:lineRule="auto"/>
        <w:tabs>
          <w:tab w:leader="none" w:pos="26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Facilities are part of the Cardinal Portfolio acquisition, which closed on March 30, 2026,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w:t>
      </w:r>
    </w:p>
    <w:p>
      <w:pPr>
        <w:spacing w:after="0" w:line="79" w:lineRule="exact"/>
        <w:rPr>
          <w:rFonts w:ascii="Times New Roman" w:cs="Times New Roman" w:eastAsia="Times New Roman" w:hAnsi="Times New Roman"/>
          <w:sz w:val="22"/>
          <w:szCs w:val="22"/>
          <w:color w:val="auto"/>
          <w:vertAlign w:val="superscript"/>
        </w:rPr>
      </w:pPr>
    </w:p>
    <w:p>
      <w:pPr>
        <w:ind w:left="280" w:hanging="191"/>
        <w:spacing w:after="0" w:line="181" w:lineRule="auto"/>
        <w:tabs>
          <w:tab w:leader="none" w:pos="2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Company leases 100% of the interests in the Catalina solar facility through a facility lease agreement that expires in October 2043.</w:t>
      </w:r>
    </w:p>
    <w:p>
      <w:pPr>
        <w:spacing w:after="0" w:line="82" w:lineRule="exact"/>
        <w:rPr>
          <w:rFonts w:ascii="Times New Roman" w:cs="Times New Roman" w:eastAsia="Times New Roman" w:hAnsi="Times New Roman"/>
          <w:sz w:val="22"/>
          <w:szCs w:val="22"/>
          <w:color w:val="auto"/>
          <w:vertAlign w:val="superscript"/>
        </w:rPr>
      </w:pPr>
    </w:p>
    <w:p>
      <w:pPr>
        <w:ind w:left="80" w:firstLine="9"/>
        <w:spacing w:after="0"/>
        <w:tabs>
          <w:tab w:leader="none" w:pos="254"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Goat Mountain wind facility commenced repowering activities in February 2026 and was taken offline. Repowering commercial operations is expected to occur in the second half of 2027.</w:t>
      </w:r>
    </w:p>
    <w:p>
      <w:pPr>
        <w:spacing w:after="0" w:line="116" w:lineRule="exact"/>
        <w:rPr>
          <w:rFonts w:ascii="Times New Roman" w:cs="Times New Roman" w:eastAsia="Times New Roman" w:hAnsi="Times New Roman"/>
          <w:sz w:val="22"/>
          <w:szCs w:val="22"/>
          <w:color w:val="auto"/>
          <w:vertAlign w:val="superscript"/>
        </w:rPr>
      </w:pPr>
    </w:p>
    <w:p>
      <w:pPr>
        <w:ind w:left="260" w:hanging="171"/>
        <w:spacing w:after="0"/>
        <w:tabs>
          <w:tab w:leader="none" w:pos="26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Rattlesnake has a deliverable capacity of 144 MW.</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Acquisitions</w:t>
      </w:r>
    </w:p>
    <w:p>
      <w:pPr>
        <w:spacing w:after="0" w:line="173" w:lineRule="exact"/>
        <w:rPr>
          <w:sz w:val="20"/>
          <w:szCs w:val="20"/>
          <w:color w:val="auto"/>
        </w:rPr>
      </w:pPr>
    </w:p>
    <w:p>
      <w:pPr>
        <w:jc w:val="both"/>
        <w:ind w:left="660" w:hanging="328"/>
        <w:spacing w:after="0" w:line="256"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On March 30, 2026, the Company, through its indirect subsidiaries, Cardinal Purchaser LLC and Cardinal JV Purchaser LLC, completed the acquisition of the Cardinal Portfolio for total cash consideration of $324 million, subject to post-closing adjustments. Of the total consideration, $244 million was paid by Cardinal Purchaser LLC related to facilities consolidated by the Company and $80 million was paid by Cardinal JV Purchaser LLC related to facilities held through a joint venture with a third-party investor, recorded as an equity method investment. After factoring in cash acquired, transaction expenses and proceeds from the related financing activities, the Company estimates that its net capital investment in the Cardinal Portfolio will be approximately $240 million.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left="660" w:hanging="328"/>
        <w:spacing w:after="0" w:line="256" w:lineRule="auto"/>
        <w:tabs>
          <w:tab w:leader="none" w:pos="65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On May 1, 2026, when the Honeycomb Portfolio BESS facilities reached substantial completion, the Company paid $81 million to Clearway Renew as additional purchase price in connection with the Company’s acquisition of Honeycomb TargetCo from Clearway Renew on October 15, 2025. The Company’s total capital investment in Honeycomb TargetCo was $97 million. Also, on May 1, 2026, the tax equity investor in Honeycomb TE Holdco LLC contributed an additional $254 million, which was utilized along with the $60 million previously held in escrow, to repay the tax equity bridge loan and to pay associated fees with the remaining proceeds distributed to CEG.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further discussion of the transaction.</w:t>
      </w:r>
    </w:p>
    <w:p>
      <w:pPr>
        <w:spacing w:after="0" w:line="133"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March 30, 2026, the Company, through its indirect subsidiary, Cardinal Investment Holdco LLC, borrowed $100 million under a new financing arrangement that was entered into in February 2026 to partially fund the acquisition of the Cardinal Portfolio. In connection with the acquisition, the Company also assumed non-recourse facility-level debt associated with certain of the acquired facilities. See Note 7,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discussion of the financing arrangement and assumed non-recourse facility-level debt.</w:t>
      </w:r>
    </w:p>
    <w:p>
      <w:pPr>
        <w:spacing w:after="0" w:line="84" w:lineRule="exact"/>
        <w:rPr>
          <w:rFonts w:ascii="Times New Roman" w:cs="Times New Roman" w:eastAsia="Times New Roman" w:hAnsi="Times New Roman"/>
          <w:sz w:val="18"/>
          <w:szCs w:val="18"/>
          <w:color w:val="auto"/>
        </w:rPr>
      </w:pPr>
    </w:p>
    <w:p>
      <w:pPr>
        <w:jc w:val="both"/>
        <w:ind w:left="660" w:hanging="328"/>
        <w:spacing w:after="0" w:line="228" w:lineRule="exact"/>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27, 2026, the Company restructured its existing energy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commodity contract associated with the Mesquite Sky wind facility, which resulted in an in-substance financing to settle derivative liabilities over time. The term financing obligation has an initial carrying amount of $127 million and total payments over the term of the arrangement are $162 million. In connection with the restructuring, the Company also entered into a 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PPA with an investment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grade counterparty.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further discussion of the Mesquite Sky restructuring.</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February 27, 2026, the Company, through its indirect subsidiaries, Goat Mountain Class B Holdco LLC and Goat Wind LLC, as co-borrowers, entered into a financing arrangement for non-recourse debt for a total commitment of $703 million. The Company made initial borrowings under the arrangement to fund costs associated with the Goat Mountain repowering, including payments under the development services agreement with Clearway Renew.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for further discussion.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On January 15, 2026, the Company repaid the $231 million outstanding on the Pine Forest tax credit transfer bridge loan utilizing the proceeds received from the sale of transferable ITCs and distributed the remaining $51 million to CEG, as further described in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January 13, 2026, Clearway Ener</w:t>
      </w:r>
      <w:r>
        <w:rPr>
          <w:rFonts w:ascii="Times New Roman" w:cs="Times New Roman" w:eastAsia="Times New Roman" w:hAnsi="Times New Roman"/>
          <w:sz w:val="18"/>
          <w:szCs w:val="18"/>
          <w:color w:val="231F20"/>
        </w:rPr>
        <w:t>gy Operating LLC completed the sale of $600 million aggregate principal amount of 5.75% senior unsecured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notes due 2034, or the 2034 Senior Notes. </w:t>
      </w:r>
      <w:r>
        <w:rPr>
          <w:rFonts w:ascii="Times New Roman" w:cs="Times New Roman" w:eastAsia="Times New Roman" w:hAnsi="Times New Roman"/>
          <w:sz w:val="18"/>
          <w:szCs w:val="18"/>
          <w:color w:val="000000"/>
        </w:rPr>
        <w:t>See 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000000"/>
        </w:rPr>
        <w:t>, for further discussion of the 2034 Senior Notes.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state and local environmental laws have historically become more stringent over time, although this trend has recently shifted at the federal level.</w:t>
      </w:r>
    </w:p>
    <w:p>
      <w:pPr>
        <w:spacing w:after="0" w:line="131"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Company’s environmental matters are further described in the Company’s 2025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3"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Company’s regulatory matters are described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the Company’s 2025 Form 10-K</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8"/>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3333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333</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354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Cost of fuels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334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Derivative interest expense</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 and redeemable noncontrolling interests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Clearway Energy,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Solar MWh generated/sold (in thousands) </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2"/>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Wind MWh generated/sold (in thousands)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2,709</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2,743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08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Solar &amp; Wind MWh generated/sold (in thousands)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4,827</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bottom w:val="single" w:sz="8" w:color="CCEEFF"/>
            </w:tcBorders>
            <w:gridSpan w:val="2"/>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Solar weighted-average capacity factor </w:t>
            </w:r>
            <w:r>
              <w:rPr>
                <w:rFonts w:ascii="Times New Roman" w:cs="Times New Roman" w:eastAsia="Times New Roman" w:hAnsi="Times New Roman"/>
                <w:sz w:val="23"/>
                <w:szCs w:val="23"/>
                <w:color w:val="auto"/>
                <w:vertAlign w:val="superscript"/>
              </w:rPr>
              <w:t>(b)</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7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25.1 %</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Wind weighted-average capacity factor </w:t>
            </w:r>
            <w:r>
              <w:rPr>
                <w:rFonts w:ascii="Times New Roman" w:cs="Times New Roman" w:eastAsia="Times New Roman" w:hAnsi="Times New Roman"/>
                <w:sz w:val="23"/>
                <w:szCs w:val="23"/>
                <w:color w:val="auto"/>
                <w:vertAlign w:val="superscript"/>
              </w:rPr>
              <w:t>(c)</w:t>
            </w: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Flexible Generation MWh generated (in thousands)</w:t>
            </w:r>
          </w:p>
        </w:tc>
        <w:tc>
          <w:tcPr>
            <w:tcW w:w="2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Flexible Generation equivalent availability factor</w:t>
            </w: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88.7 %</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798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92" w:lineRule="exact"/>
        <w:rPr>
          <w:sz w:val="20"/>
          <w:szCs w:val="20"/>
          <w:color w:val="auto"/>
        </w:rPr>
      </w:pPr>
    </w:p>
    <w:p>
      <w:pPr>
        <w:ind w:left="260" w:hanging="171"/>
        <w:spacing w:after="0"/>
        <w:tabs>
          <w:tab w:leader="none" w:pos="26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Volumes do not include the MWh generated/sold by the Company’s equity method investments.</w:t>
      </w:r>
    </w:p>
    <w:p>
      <w:pPr>
        <w:spacing w:after="0" w:line="3" w:lineRule="exact"/>
        <w:rPr>
          <w:rFonts w:ascii="Times New Roman" w:cs="Times New Roman" w:eastAsia="Times New Roman" w:hAnsi="Times New Roman"/>
          <w:sz w:val="23"/>
          <w:szCs w:val="23"/>
          <w:color w:val="auto"/>
          <w:vertAlign w:val="superscript"/>
        </w:rPr>
      </w:pPr>
    </w:p>
    <w:p>
      <w:pPr>
        <w:ind w:left="260" w:hanging="171"/>
        <w:spacing w:after="0" w:line="189" w:lineRule="auto"/>
        <w:tabs>
          <w:tab w:leader="none" w:pos="26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Typical average capacity factors for solar facilities is 25%. The weighted-average capacity factors can vary based on seasonality and weather.</w:t>
      </w:r>
    </w:p>
    <w:p>
      <w:pPr>
        <w:spacing w:after="0" w:line="16" w:lineRule="exact"/>
        <w:rPr>
          <w:rFonts w:ascii="Times New Roman" w:cs="Times New Roman" w:eastAsia="Times New Roman" w:hAnsi="Times New Roman"/>
          <w:sz w:val="19"/>
          <w:szCs w:val="19"/>
          <w:color w:val="auto"/>
          <w:vertAlign w:val="superscript"/>
        </w:rPr>
      </w:pPr>
    </w:p>
    <w:p>
      <w:pPr>
        <w:ind w:left="260" w:hanging="171"/>
        <w:spacing w:after="0" w:line="189" w:lineRule="auto"/>
        <w:tabs>
          <w:tab w:leader="none" w:pos="26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Typical average capacity factors for wind facilities is 25-45%. The weighted-average capacity factors can vary based on seasonality and weather.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7" w:name="page38"/>
    <w:bookmarkEnd w:id="37"/>
    <w:p>
      <w:pPr>
        <w:ind w:right="28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of the Results of Operations for the Three Months Ended March 31, 2026 and 2025 </w:t>
      </w:r>
      <w:r>
        <w:rPr>
          <w:rFonts w:ascii="Times New Roman" w:cs="Times New Roman" w:eastAsia="Times New Roman" w:hAnsi="Times New Roman"/>
          <w:sz w:val="18"/>
          <w:szCs w:val="18"/>
          <w:b w:val="1"/>
          <w:bCs w:val="1"/>
          <w:i w:val="1"/>
          <w:iCs w:val="1"/>
          <w:color w:val="auto"/>
        </w:rPr>
        <w:t>Operating Revenues</w:t>
      </w:r>
    </w:p>
    <w:p>
      <w:pPr>
        <w:spacing w:after="0" w:line="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Operating revenues increased by $56 million during the three months ended March 31, 2026, compared to the same period in 2025, due to a combination of the drivers summarized in the table below:</w:t>
      </w:r>
    </w:p>
    <w:p>
      <w:pPr>
        <w:spacing w:after="0" w:line="43"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6"/>
          <w:szCs w:val="16"/>
          <w:b w:val="1"/>
          <w:bCs w:val="1"/>
          <w:color w:val="auto"/>
        </w:rPr>
        <w:t>(In millions)</w:t>
      </w:r>
    </w:p>
    <w:p>
      <w:pPr>
        <w:sectPr>
          <w:pgSz w:w="11900" w:h="16838" w:orient="portrait"/>
          <w:cols w:equalWidth="0" w:num="1">
            <w:col w:w="11240"/>
          </w:cols>
          <w:pgMar w:left="320" w:top="1049" w:right="339" w:bottom="1440" w:gutter="0" w:footer="0" w:header="0"/>
        </w:sectPr>
      </w:pPr>
    </w:p>
    <w:p>
      <w:pPr>
        <w:spacing w:after="0" w:line="28" w:lineRule="exact"/>
        <w:rPr>
          <w:sz w:val="20"/>
          <w:szCs w:val="20"/>
          <w:color w:val="auto"/>
        </w:rPr>
      </w:pPr>
    </w:p>
    <w:p>
      <w:pPr>
        <w:jc w:val="right"/>
        <w:ind w:left="20"/>
        <w:spacing w:after="0" w:line="223" w:lineRule="auto"/>
        <w:rPr>
          <w:sz w:val="20"/>
          <w:szCs w:val="20"/>
          <w:color w:val="auto"/>
        </w:rPr>
      </w:pPr>
      <w:r>
        <w:rPr>
          <w:rFonts w:ascii="Times New Roman" w:cs="Times New Roman" w:eastAsia="Times New Roman" w:hAnsi="Times New Roman"/>
          <w:sz w:val="18"/>
          <w:szCs w:val="18"/>
          <w:b w:val="1"/>
          <w:bCs w:val="1"/>
          <w:color w:val="auto"/>
        </w:rPr>
        <w:t xml:space="preserve">Renewables &amp; Storage Segment  </w:t>
      </w:r>
      <w:r>
        <w:rPr>
          <w:rFonts w:ascii="Times New Roman" w:cs="Times New Roman" w:eastAsia="Times New Roman" w:hAnsi="Times New Roman"/>
          <w:sz w:val="18"/>
          <w:szCs w:val="18"/>
          <w:color w:val="auto"/>
        </w:rPr>
        <w:t>Increase primarily driven by the Daggett 1 BESS, Luna Valley solar, Pine Forest solar and BESS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Rosamond South I solar and BESS acquisitions, which reached commercial operations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3771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640"/>
        <w:spacing w:after="0"/>
        <w:rPr>
          <w:sz w:val="20"/>
          <w:szCs w:val="20"/>
          <w:color w:val="auto"/>
        </w:rPr>
      </w:pPr>
      <w:r>
        <w:rPr>
          <w:rFonts w:ascii="Times New Roman" w:cs="Times New Roman" w:eastAsia="Times New Roman" w:hAnsi="Times New Roman"/>
          <w:sz w:val="18"/>
          <w:szCs w:val="18"/>
          <w:color w:val="auto"/>
        </w:rPr>
        <w:t>second half of 2025, as well as the Catalina solar acquisition in the second half of 2025.</w:t>
      </w:r>
    </w:p>
    <w:p>
      <w:pPr>
        <w:jc w:val="right"/>
        <w:spacing w:after="0" w:line="229" w:lineRule="auto"/>
        <w:rPr>
          <w:sz w:val="20"/>
          <w:szCs w:val="20"/>
          <w:color w:val="auto"/>
        </w:rPr>
      </w:pPr>
      <w:r>
        <w:rPr>
          <w:rFonts w:ascii="Times New Roman" w:cs="Times New Roman" w:eastAsia="Times New Roman" w:hAnsi="Times New Roman"/>
          <w:sz w:val="18"/>
          <w:szCs w:val="18"/>
          <w:color w:val="auto"/>
        </w:rPr>
        <w:t>Increase driven by the Tuolumne wind acquisition in April 2025, as well as the Dan’s Mountain</w:t>
      </w:r>
    </w:p>
    <w:p>
      <w:pPr>
        <w:spacing w:after="0" w:line="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wind acquisition, which reached commercial operations in May 2025.</w:t>
      </w:r>
    </w:p>
    <w:p>
      <w:pPr>
        <w:spacing w:after="0" w:line="1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Decrease primarily driven by lower wind resource at the Alta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640" w:right="20"/>
        <w:spacing w:after="0" w:line="234" w:lineRule="auto"/>
        <w:rPr>
          <w:sz w:val="20"/>
          <w:szCs w:val="20"/>
          <w:color w:val="auto"/>
        </w:rPr>
      </w:pPr>
      <w:r>
        <w:rPr>
          <w:rFonts w:ascii="Times New Roman" w:cs="Times New Roman" w:eastAsia="Times New Roman" w:hAnsi="Times New Roman"/>
          <w:sz w:val="18"/>
          <w:szCs w:val="18"/>
          <w:color w:val="auto"/>
        </w:rPr>
        <w:t>Decrease driven by the Mt. Storm wind sale to Clearway Renew in October 2025 in connection with the repowering.</w:t>
      </w:r>
    </w:p>
    <w:p>
      <w:pPr>
        <w:spacing w:after="0" w:line="6" w:lineRule="exact"/>
        <w:rPr>
          <w:sz w:val="20"/>
          <w:szCs w:val="20"/>
          <w:color w:val="auto"/>
        </w:rPr>
      </w:pPr>
    </w:p>
    <w:p>
      <w:pPr>
        <w:ind w:left="20"/>
        <w:spacing w:after="0"/>
        <w:tabs>
          <w:tab w:leader="none" w:pos="2620" w:val="left"/>
        </w:tabs>
        <w:rPr>
          <w:sz w:val="20"/>
          <w:szCs w:val="20"/>
          <w:color w:val="auto"/>
        </w:rPr>
      </w:pPr>
      <w:r>
        <w:rPr>
          <w:rFonts w:ascii="Times New Roman" w:cs="Times New Roman" w:eastAsia="Times New Roman" w:hAnsi="Times New Roman"/>
          <w:sz w:val="18"/>
          <w:szCs w:val="18"/>
          <w:b w:val="1"/>
          <w:bCs w:val="1"/>
          <w:color w:val="auto"/>
        </w:rPr>
        <w:t>Flexible Generation Segment</w:t>
      </w:r>
      <w:r>
        <w:rPr>
          <w:sz w:val="20"/>
          <w:szCs w:val="20"/>
          <w:color w:val="auto"/>
        </w:rPr>
        <w:tab/>
      </w:r>
      <w:r>
        <w:rPr>
          <w:rFonts w:ascii="Times New Roman" w:cs="Times New Roman" w:eastAsia="Times New Roman" w:hAnsi="Times New Roman"/>
          <w:sz w:val="17"/>
          <w:szCs w:val="17"/>
          <w:color w:val="auto"/>
        </w:rPr>
        <w:t>Increase reflects normal operating variability.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tabs>
          <w:tab w:leader="none" w:pos="2620" w:val="left"/>
        </w:tabs>
        <w:rPr>
          <w:sz w:val="20"/>
          <w:szCs w:val="20"/>
          <w:color w:val="auto"/>
        </w:rPr>
      </w:pPr>
      <w:r>
        <w:rPr>
          <w:rFonts w:ascii="Times New Roman" w:cs="Times New Roman" w:eastAsia="Times New Roman" w:hAnsi="Times New Roman"/>
          <w:sz w:val="18"/>
          <w:szCs w:val="18"/>
          <w:b w:val="1"/>
          <w:bCs w:val="1"/>
          <w:color w:val="auto"/>
        </w:rPr>
        <w:t>Contract amortization</w:t>
      </w:r>
      <w:r>
        <w:rPr>
          <w:sz w:val="20"/>
          <w:szCs w:val="20"/>
          <w:color w:val="auto"/>
        </w:rPr>
        <w:tab/>
      </w:r>
      <w:r>
        <w:rPr>
          <w:rFonts w:ascii="Times New Roman" w:cs="Times New Roman" w:eastAsia="Times New Roman" w:hAnsi="Times New Roman"/>
          <w:sz w:val="18"/>
          <w:szCs w:val="18"/>
          <w:color w:val="auto"/>
        </w:rPr>
        <w:t>Decrease primarily driven by additional amortization from the Tuolumne wind and Catalina solar</w:t>
      </w:r>
    </w:p>
    <w:p>
      <w:pPr>
        <w:ind w:left="2640"/>
        <w:spacing w:after="0"/>
        <w:rPr>
          <w:sz w:val="20"/>
          <w:szCs w:val="20"/>
          <w:color w:val="auto"/>
        </w:rPr>
      </w:pPr>
      <w:r>
        <w:rPr>
          <w:rFonts w:ascii="Times New Roman" w:cs="Times New Roman" w:eastAsia="Times New Roman" w:hAnsi="Times New Roman"/>
          <w:sz w:val="18"/>
          <w:szCs w:val="18"/>
          <w:color w:val="auto"/>
        </w:rPr>
        <w:t>acquisitions, in April 2025 and July 2025, respectively.</w:t>
      </w:r>
    </w:p>
    <w:p>
      <w:pPr>
        <w:spacing w:after="0" w:line="1" w:lineRule="exact"/>
        <w:rPr>
          <w:sz w:val="20"/>
          <w:szCs w:val="20"/>
          <w:color w:val="auto"/>
        </w:rPr>
      </w:pPr>
    </w:p>
    <w:p>
      <w:pPr>
        <w:ind w:left="20"/>
        <w:spacing w:after="0"/>
        <w:tabs>
          <w:tab w:leader="none" w:pos="2620" w:val="left"/>
        </w:tabs>
        <w:rPr>
          <w:sz w:val="20"/>
          <w:szCs w:val="20"/>
          <w:color w:val="auto"/>
        </w:rPr>
      </w:pPr>
      <w:r>
        <w:rPr>
          <w:rFonts w:ascii="Times New Roman" w:cs="Times New Roman" w:eastAsia="Times New Roman" w:hAnsi="Times New Roman"/>
          <w:sz w:val="18"/>
          <w:szCs w:val="18"/>
          <w:b w:val="1"/>
          <w:bCs w:val="1"/>
          <w:color w:val="auto"/>
        </w:rPr>
        <w:t>Mark-to-market economic</w:t>
      </w:r>
      <w:r>
        <w:rPr>
          <w:sz w:val="20"/>
          <w:szCs w:val="20"/>
          <w:color w:val="auto"/>
        </w:rPr>
        <w:tab/>
      </w:r>
      <w:r>
        <w:rPr>
          <w:rFonts w:ascii="Times New Roman" w:cs="Times New Roman" w:eastAsia="Times New Roman" w:hAnsi="Times New Roman"/>
          <w:sz w:val="18"/>
          <w:szCs w:val="18"/>
          <w:color w:val="auto"/>
        </w:rPr>
        <w:t>Increase primarily driven by a decrease in forward power prices in the ERCOT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hedging activities</w:t>
      </w:r>
    </w:p>
    <w:p>
      <w:pPr>
        <w:spacing w:after="0" w:line="16" w:lineRule="exact"/>
        <w:rPr>
          <w:sz w:val="20"/>
          <w:szCs w:val="20"/>
          <w:color w:val="auto"/>
        </w:rPr>
      </w:pPr>
    </w:p>
    <w:p>
      <w:pPr>
        <w:ind w:left="2640"/>
        <w:spacing w:after="0" w:line="237" w:lineRule="auto"/>
        <w:rPr>
          <w:sz w:val="20"/>
          <w:szCs w:val="20"/>
          <w:color w:val="auto"/>
        </w:rPr>
      </w:pPr>
      <w:r>
        <w:rPr>
          <w:rFonts w:ascii="Times New Roman" w:cs="Times New Roman" w:eastAsia="Times New Roman" w:hAnsi="Times New Roman"/>
          <w:sz w:val="18"/>
          <w:szCs w:val="18"/>
          <w:color w:val="auto"/>
        </w:rPr>
        <w:t>Decrease in value of heat rate call option contracts primarily driven by changes in power market prices.</w:t>
      </w:r>
    </w:p>
    <w:p>
      <w:pPr>
        <w:spacing w:after="0" w:line="10" w:lineRule="exact"/>
        <w:rPr>
          <w:sz w:val="20"/>
          <w:szCs w:val="20"/>
          <w:color w:val="auto"/>
        </w:rPr>
      </w:pPr>
    </w:p>
    <w:p>
      <w:pPr>
        <w:ind w:left="2640"/>
        <w:spacing w:after="0" w:line="237" w:lineRule="auto"/>
        <w:rPr>
          <w:sz w:val="20"/>
          <w:szCs w:val="20"/>
          <w:color w:val="auto"/>
        </w:rPr>
      </w:pPr>
      <w:r>
        <w:rPr>
          <w:rFonts w:ascii="Times New Roman" w:cs="Times New Roman" w:eastAsia="Times New Roman" w:hAnsi="Times New Roman"/>
          <w:sz w:val="18"/>
          <w:szCs w:val="18"/>
          <w:color w:val="auto"/>
        </w:rPr>
        <w:t>Decrease driven by the Mt. Storm hedge buy-out, which occurred during the second and third quarters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1086" w:hanging="1086"/>
        <w:spacing w:after="0"/>
        <w:tabs>
          <w:tab w:leader="none" w:pos="10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11" w:lineRule="exact"/>
        <w:rPr>
          <w:rFonts w:ascii="Times New Roman" w:cs="Times New Roman" w:eastAsia="Times New Roman" w:hAnsi="Times New Roman"/>
          <w:sz w:val="18"/>
          <w:szCs w:val="18"/>
          <w:color w:val="auto"/>
        </w:rPr>
      </w:pPr>
    </w:p>
    <w:p>
      <w:pPr>
        <w:ind w:left="108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w:t>
      </w:r>
    </w:p>
    <w:p>
      <w:pPr>
        <w:spacing w:after="0" w:line="212" w:lineRule="exact"/>
        <w:rPr>
          <w:sz w:val="20"/>
          <w:szCs w:val="20"/>
          <w:color w:val="auto"/>
        </w:rPr>
      </w:pPr>
    </w:p>
    <w:p>
      <w:pPr>
        <w:ind w:left="1086"/>
        <w:spacing w:after="0"/>
        <w:rPr>
          <w:sz w:val="20"/>
          <w:szCs w:val="20"/>
          <w:color w:val="auto"/>
        </w:rPr>
      </w:pPr>
      <w:r>
        <w:rPr>
          <w:rFonts w:ascii="Times New Roman" w:cs="Times New Roman" w:eastAsia="Times New Roman" w:hAnsi="Times New Roman"/>
          <w:sz w:val="18"/>
          <w:szCs w:val="18"/>
          <w:color w:val="auto"/>
        </w:rPr>
        <w:t>57</w:t>
      </w:r>
    </w:p>
    <w:p>
      <w:pPr>
        <w:spacing w:after="0" w:line="21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w:t>
      </w:r>
    </w:p>
    <w:p>
      <w:pPr>
        <w:spacing w:after="0" w:line="21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655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16" w:lineRule="exact"/>
        <w:rPr>
          <w:sz w:val="20"/>
          <w:szCs w:val="20"/>
          <w:color w:val="auto"/>
        </w:rPr>
      </w:pPr>
    </w:p>
    <w:p>
      <w:pPr>
        <w:ind w:left="1086" w:hanging="1086"/>
        <w:spacing w:after="0"/>
        <w:tabs>
          <w:tab w:leader="none" w:pos="10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655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8655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1049"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Amortization and Accretion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amortization and accretion increased by $19 million during the three months ended March 31, 2026, compared to the same period in 2025, primarily due to the solar and BESS acquisitions referenced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decreased by $15 million during the three months ended March 31, 2026, compared to the same period in 2025, primarily due to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swaps due to changes in interest rates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75"/>
        </w:trPr>
        <w:tc>
          <w:tcPr>
            <w:tcW w:w="9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in interest expense for the Renewables &amp; Storage segment primarily due to an increase in principal balances from the solar and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BESS acquisitions referenced above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interest expense for the Corporate segment primarily due to the issuance of the 2034 Senior Notes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9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an income tax benefit of $2 million on a pretax loss of $70 million. For the same period in 2025, the Company recorded an immaterial income tax expense on a pretax loss of $104 million. The $2 million increase in income tax benefit during the three months ended March 31, 2026, compared to the same period in 2025, was primarily due to the allocation of taxable earnings and losses, which includes the effect of applying the HLBV method of accounting for book purposes for certain partnerships.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Noncontrolling Interests and Redeemable Noncontrolling Interests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had net income of $95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third-party partnerships (primarily from the equity pickup of Pine Forest TE HoldCo LLC HLBV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176"/>
        </w:trPr>
        <w:tc>
          <w:tcPr>
            <w:tcW w:w="99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 (primarily due to Daggett 1 TE Holdco</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LLC and Luna Valley TE Holdco LLC HLBV losses)</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99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
        </w:trPr>
        <w:tc>
          <w:tcPr>
            <w:tcW w:w="9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Company had a net loss of $101 million attributable to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58"/>
        </w:trPr>
        <w:tc>
          <w:tcPr>
            <w:tcW w:w="99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 (primarily due VP-Arica TE Holdco</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4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LLC and Cedro Hill TE Holdco LLC HLBV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third-party partnerships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9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9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The Company’s principal liquidity requirements are to meet its financial commitments, finance current operations, fund capital expenditures, including investments and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investments,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Liquidity Position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31F20"/>
        </w:rPr>
        <w:t xml:space="preserve">, the Company’s liquidity was approximately $1,229 million and </w:t>
      </w:r>
      <w:r>
        <w:rPr>
          <w:rFonts w:ascii="Times New Roman" w:cs="Times New Roman" w:eastAsia="Times New Roman" w:hAnsi="Times New Roman"/>
          <w:sz w:val="18"/>
          <w:szCs w:val="18"/>
          <w:color w:val="000000"/>
        </w:rPr>
        <w:t>$1,061 million</w:t>
      </w:r>
      <w:r>
        <w:rPr>
          <w:rFonts w:ascii="Times New Roman" w:cs="Times New Roman" w:eastAsia="Times New Roman" w:hAnsi="Times New Roman"/>
          <w:sz w:val="18"/>
          <w:szCs w:val="18"/>
          <w:color w:val="231F20"/>
        </w:rPr>
        <w:t>, respectively, comprised of cash, restricted cash and availability under the Company’s revolving credit facility.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7"/>
                <w:szCs w:val="17"/>
                <w:color w:val="auto"/>
              </w:rPr>
            </w:pPr>
          </w:p>
        </w:tc>
        <w:tc>
          <w:tcPr>
            <w:tcW w:w="16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Clearway Energy, Inc. and Clearway Energy LLC, excluding subsidiaries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2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accounts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Reserves, including debt service, distributions, performance obligations and other reserves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3"/>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9"/>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Revolving credit facility availability</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liquidity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31F20"/>
        </w:rPr>
        <w:t xml:space="preserve">The Company’s liquidity includes $355 million and $587 million of restricted cash balances as of March 31, 2026 and December 31, 2025, respectively. Restricted cash consists primarily of funds to satisfy the requirements of certain debt arrangements and funds held within the Company’s facilities that are restricted in their use. As of </w:t>
      </w:r>
      <w:r>
        <w:rPr>
          <w:rFonts w:ascii="Times New Roman" w:cs="Times New Roman" w:eastAsia="Times New Roman" w:hAnsi="Times New Roman"/>
          <w:sz w:val="18"/>
          <w:szCs w:val="18"/>
          <w:color w:val="000000"/>
        </w:rPr>
        <w:t>March 31, 2026, these restricted funds were comprised of $141 million designated to fund operating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expenses, approximately $97 million designated for current debt service payments and $85 million restricted for reserves including debt service, performance obligations and other reserves, as well as capital expenditures. The remaining $32 million is held in distribution reserve accounts. In January 2026, the Company distributed $174 million to the tax equity investor in Rosie South TE Holdco LLC related to transferable ITCs for the Rosamond South I solar and BESS facility that were included in restricted cash as of December 31, 2025.</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Clearway Energy LLC and Clearway Energy Operating LLC Revolving Credit Facility</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2026, the Company had no outstanding borrowings under the revolving credit facility and $151 million in letters of credit outstanding. During January 2026, the Company repaid all of the outstanding borrowings under the revolving credit facility utilizing the proceeds from the sale of the 2034 Senior Notes. </w:t>
      </w:r>
      <w:r>
        <w:rPr>
          <w:rFonts w:ascii="Times New Roman" w:cs="Times New Roman" w:eastAsia="Times New Roman" w:hAnsi="Times New Roman"/>
          <w:sz w:val="18"/>
          <w:szCs w:val="18"/>
          <w:color w:val="231F20"/>
        </w:rPr>
        <w:t>The facility will continue to be used for general corporate purposes including financing of future investments or acquisitions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posting letters of credit.</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C common stock. Management continues to regularly monitor the Company’s ability to finance the needs of its operating, financing and investing activities within the dictates of prudent balance sheet management.</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Credit Ratings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0" w:name="page41"/>
    <w:bookmarkEnd w:id="40"/>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credit ratings for the Company and its Senior Notes as of March 31, 2026: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6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S&amp;P</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Moody’s</w:t>
            </w:r>
          </w:p>
        </w:tc>
      </w:tr>
      <w:tr>
        <w:trPr>
          <w:trHeight w:val="23"/>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Clearway Energy, Inc.</w:t>
            </w:r>
          </w:p>
        </w:tc>
        <w:tc>
          <w:tcPr>
            <w:tcW w:w="1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4.750% Senior Notes, due 2028</w:t>
            </w: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3.750% Senior Notes, due 2031</w:t>
            </w:r>
          </w:p>
        </w:tc>
        <w:tc>
          <w:tcPr>
            <w:tcW w:w="16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3.750% Senior Notes, due 2032</w:t>
            </w: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5.750% Senior Notes, due 2034</w:t>
            </w:r>
          </w:p>
        </w:tc>
        <w:tc>
          <w:tcPr>
            <w:tcW w:w="16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Ba2</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Note 7,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Note 9,</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Changes in Capital Structure</w:t>
      </w:r>
      <w:r>
        <w:rPr>
          <w:rFonts w:ascii="Times New Roman" w:cs="Times New Roman" w:eastAsia="Times New Roman" w:hAnsi="Times New Roman"/>
          <w:sz w:val="18"/>
          <w:szCs w:val="18"/>
          <w:color w:val="231F20"/>
        </w:rPr>
        <w:t xml:space="preserve">, to this Form 10-Q, and Item 15 — Note 10,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Note 12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Stockholders’ Equity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to the consolidated financial statements included in the Company’s 2025 Form 10-K, and further below, the Company’s financing</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arrangements consist of corporate-level debt, which includes Senior Notes and the revolving credit facility; facility-level financings for its various assets; the ATM Program and the DSPP.</w:t>
      </w:r>
    </w:p>
    <w:p>
      <w:pPr>
        <w:spacing w:after="0" w:line="1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Goat Mountain Repowering Financing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February 27, 2026, the Company, through its indirect subsidiaries, Goat Mountain Class B Holdco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Goat Wind LLC, as co-borrowers, entered into a financing arrangement for non-recourse debt for a total commitment of $703 million, which consists of a construction loan that converts to a five-year term loan upon substantial completion of the repowering, as well as bridge loans to be repaid with the proceeds from the tax equity investor. The construction loan and bridge loans bear interest at a rate of SOFR plus 1.50% and mature on the term conversion date. The initial borrowing of $140 million was primarily used to fund costs associated with the Goat Mountain repowering, including payments under the development services agreement, deferred debt issuance costs and capital expenditures. Under the financing arrangement, the Company borrowed $151 million through March 31, 2026. The Company estimates that its total capital investment in the Goat Mountain repowering will be $200 million, subject to closing adjustments.</w:t>
      </w:r>
    </w:p>
    <w:p>
      <w:pPr>
        <w:spacing w:after="0" w:line="131"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2034 Senior Notes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On January 13, 2026, Clearway Energy Operating LLC completed the sale of $600 million aggregate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senior unsecured notes due 2034, or the 2034 Senior Notes. The 2034 Senior Notes bear interest at a rate of 5.750% per annum and mature on January 15, 2034. Interest on the 2034 Senior Notes is payable semi-annually on January 15 and July 15 of each year, beginning on July 15, 2026. The net proceeds from the 2034 Senior Notes were used to repay $361 million in outstanding borrowings under the revolving credit facility and for general corporate purposes.</w:t>
      </w:r>
    </w:p>
    <w:p>
      <w:pPr>
        <w:spacing w:after="0" w:line="125"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Direct Stock Purchase Plan, or DSPP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January 2026, the Company issued 1,445,244 shares of Class C common stock under the DSPP for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$50 million and incurred fees of less than $1 million, which were exchanged for 1,445,244 Class C units of Clearway Energy LLC. As of March 31, 2026, 1,061,554 shares of Class C common stock remained available for issuance under the DSPP.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Uses of Liquidity</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Company’s requirements for liquidity and capital resources, other than for operating its facilities, are categorized as: (i) debt service obligations, as described more fully in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xml:space="preserve">; (ii) capital expenditures; (iii) off-balance sheet arrangements; (iv) acquisitions and investments, as described more fully in </w:t>
      </w:r>
      <w:r>
        <w:rPr>
          <w:rFonts w:ascii="Times New Roman" w:cs="Times New Roman" w:eastAsia="Times New Roman" w:hAnsi="Times New Roman"/>
          <w:sz w:val="18"/>
          <w:szCs w:val="18"/>
          <w:color w:val="000000"/>
        </w:rPr>
        <w:t>Note 3,</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Acquisitions</w:t>
      </w:r>
      <w:r>
        <w:rPr>
          <w:rFonts w:ascii="Times New Roman" w:cs="Times New Roman" w:eastAsia="Times New Roman" w:hAnsi="Times New Roman"/>
          <w:sz w:val="18"/>
          <w:szCs w:val="18"/>
          <w:color w:val="000000"/>
        </w:rPr>
        <w:t>, 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000000"/>
        </w:rPr>
        <w:t>, and Note 9,</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Changes in Capital Structure</w:t>
      </w:r>
      <w:r>
        <w:rPr>
          <w:rFonts w:ascii="Times New Roman" w:cs="Times New Roman" w:eastAsia="Times New Roman" w:hAnsi="Times New Roman"/>
          <w:sz w:val="18"/>
          <w:szCs w:val="18"/>
          <w:color w:val="231F20"/>
        </w:rPr>
        <w:t>; and (v) cash dividends to investors.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Capital Expenditures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increase the operating capacity of existing assets and costs to complete the construction of assets where construction is in process.</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For the three months ended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the Company used approximately $75 million to fund capital expenditures, including growth </w:t>
      </w:r>
      <w:r>
        <w:rPr>
          <w:rFonts w:ascii="Times New Roman" w:cs="Times New Roman" w:eastAsia="Times New Roman" w:hAnsi="Times New Roman"/>
          <w:sz w:val="18"/>
          <w:szCs w:val="18"/>
          <w:color w:val="000000"/>
        </w:rPr>
        <w:t xml:space="preserve">expenditures of $70 million, primarily in the Renewables &amp; Storage segment, funded through construction-related financing. Growth capital expenditures included $29 million incurred in connection with the Honeycomb Portfolio BESS facilities, $22 million incurred in connection with the Pine Forest solar and BESS facility, $17 million incurred in connection with the repowering of the Goat Mountain wind facility and $2 million incurred by other facilities. </w:t>
      </w:r>
      <w:r>
        <w:rPr>
          <w:rFonts w:ascii="Times New Roman" w:cs="Times New Roman" w:eastAsia="Times New Roman" w:hAnsi="Times New Roman"/>
          <w:sz w:val="18"/>
          <w:szCs w:val="18"/>
          <w:color w:val="231F20"/>
        </w:rPr>
        <w:t>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addition, the Company incurred </w:t>
      </w:r>
      <w:r>
        <w:rPr>
          <w:rFonts w:ascii="Times New Roman" w:cs="Times New Roman" w:eastAsia="Times New Roman" w:hAnsi="Times New Roman"/>
          <w:sz w:val="18"/>
          <w:szCs w:val="18"/>
          <w:color w:val="000000"/>
        </w:rPr>
        <w:t>$5 million of maintenance capital expenditures.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1" w:name="page42"/>
    <w:bookmarkEnd w:id="41"/>
    <w:p>
      <w:pPr>
        <w:ind w:left="4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under Certain Guarantee Contracts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Company may enter into guarantee arrangements in the normal course of business to facilitate commercial transactions with third parties.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Retained or Contingent Interests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Arising Out of a Variable Interest in an Unconsolidated Entity</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Variable interest in equity investments </w:t>
      </w:r>
      <w:r>
        <w:rPr>
          <w:rFonts w:ascii="Times New Roman" w:cs="Times New Roman" w:eastAsia="Times New Roman" w:hAnsi="Times New Roman"/>
          <w:sz w:val="18"/>
          <w:szCs w:val="18"/>
          <w:color w:val="auto"/>
        </w:rPr>
        <w:t>— As of March 31, 2026, the Company has several investments with an ownership interest percentage of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less. GenConn is a VIE for which the Company is not the primary beneficiary. The Company’s pro-rata share of non-recourse debt held by unconsolidated affiliates was approximately $367 million as of March 31, 2026. This indebtedness may restrict the ability of these subsidiaries to issue dividends or distributions to the Company.</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w:t>
      </w:r>
      <w:r>
        <w:rPr>
          <w:rFonts w:ascii="Times New Roman" w:cs="Times New Roman" w:eastAsia="Times New Roman" w:hAnsi="Times New Roman"/>
          <w:sz w:val="18"/>
          <w:szCs w:val="18"/>
          <w:color w:val="231F20"/>
        </w:rPr>
        <w:t>2025</w:t>
      </w:r>
      <w:r>
        <w:rPr>
          <w:rFonts w:ascii="Times New Roman" w:cs="Times New Roman" w:eastAsia="Times New Roman" w:hAnsi="Times New Roman"/>
          <w:sz w:val="18"/>
          <w:szCs w:val="18"/>
          <w:color w:val="auto"/>
        </w:rPr>
        <w:t xml:space="preserve"> Form 10-K.</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Investments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11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Honeycomb Portfolio Drop Down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1, 2026, when the Honeycomb Portfolio BESS facilities reached substantial completion,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$81 million to Clearway Renew as additional purchase price in connection with the Company’s acquisition of Honeycomb TargetCo from Clearway Renew on October 15, 2025, which was funded with existing sources of liquidity. The Company’s total capital investment in Honeycomb TargetCo was $97 million. Also, on May 1, 2026, the tax equity investor in Honeycomb TE Holdco LLC contributed an additional $254 million, which was utilized along with the $60 million previously held in escrow, to repay the tax equity bridge loan and to pay associated fees with the remaining proceeds distributed to CEG. During 2026, the Company borrowed an additional $71 million in construction loans, and on May 1, 2026, the total outstanding construction loans were converted to a term loan.</w:t>
      </w:r>
    </w:p>
    <w:p>
      <w:pPr>
        <w:spacing w:after="0" w:line="1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Cardinal Portfolio Acquisition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March 30, 2026, the Company, through its indirect subsidiaries, Cardinal Purchaser LLC and Cardinal JV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 LLC, completed the acquisition of the Cardinal Portfolio for total cash consideration of $324 million, subject to post-closing adjustments. Of the total consideration, $244 million was paid by Cardinal Purchaser LLC related to facilities consolidated by the Company and $80 million was paid by Cardinal JV Purchaser LLC related to facilities held through a joint venture with a third-party investor. The Cardinal Portfolio has a weighted average remaining contract duration of approximately 10 years. The acquisition was funded with $100 million in borrowings under the new financing arrangement entered into in connection with the acquisition, as well as existing sources of liquidity. In connection with the acquisition, the Company also assumed non-recourse facility-level debt associated with certain of the acquired facilities. After factoring in cash acquired, transaction expenses and proceeds from the related financing activities, the Company estimates that its net capital investment in the Cardinal Portfolio will be approximately $240 million.</w:t>
      </w:r>
    </w:p>
    <w:p>
      <w:pPr>
        <w:spacing w:after="0" w:line="94" w:lineRule="exact"/>
        <w:rPr>
          <w:sz w:val="20"/>
          <w:szCs w:val="20"/>
          <w:color w:val="auto"/>
        </w:rPr>
      </w:pPr>
    </w:p>
    <w:p>
      <w:pPr>
        <w:jc w:val="both"/>
        <w:ind w:firstLine="405"/>
        <w:spacing w:after="0" w:line="224" w:lineRule="exact"/>
        <w:rPr>
          <w:sz w:val="20"/>
          <w:szCs w:val="20"/>
          <w:color w:val="auto"/>
        </w:rPr>
      </w:pPr>
      <w:r>
        <w:rPr>
          <w:rFonts w:ascii="Times New Roman" w:cs="Times New Roman" w:eastAsia="Times New Roman" w:hAnsi="Times New Roman"/>
          <w:sz w:val="18"/>
          <w:szCs w:val="18"/>
          <w:i w:val="1"/>
          <w:iCs w:val="1"/>
          <w:color w:val="auto"/>
        </w:rPr>
        <w:t xml:space="preserve">Mesquite Sky Restructuring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March 27, 2026, the Company restructured its existing energy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commodity contract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Mesquite Sky wind facility, which resulted in an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substance financing to settle existing derivative liabilities over time. As a result of the restructuring, the Company derecognized derivative liabilities with a fair value of $115 million, as well as $12 million owed to the counterparty that was previously included in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 and recognized a term financing obligation with an initial carrying amount of $127 million. The financing obligation is repaid through fixed monthly payments beginning in May 2026 and matures on September 30, 2035. Total payments over the term of the arrangement are $162 million, which implies an effective interest rate of approximately 5.436%. In connection with the restructuring, the Company also entered into a 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PPA with an investment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grade counterparty, which replaces the volumetric and price exposure of Mesquite Sky’s energy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commodity contract with more favorable pricing.</w:t>
      </w:r>
    </w:p>
    <w:p>
      <w:pPr>
        <w:spacing w:after="0" w:line="140"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Pine Forest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15, 2026, the Company repaid the $231 million outstanding on the tax credit transfer bridge loan utilizing the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received from the sale of transferable ITCs and distributed the remaining $51 million to CEG, as further described in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42" w:name="page43"/>
    <w:bookmarkEnd w:id="42"/>
    <w:p>
      <w:pPr>
        <w:jc w:val="both"/>
        <w:ind w:firstLine="405"/>
        <w:spacing w:after="0" w:line="281" w:lineRule="auto"/>
        <w:rPr>
          <w:sz w:val="20"/>
          <w:szCs w:val="20"/>
          <w:color w:val="auto"/>
        </w:rPr>
      </w:pPr>
      <w:r>
        <w:rPr>
          <w:rFonts w:ascii="Times New Roman" w:cs="Times New Roman" w:eastAsia="Times New Roman" w:hAnsi="Times New Roman"/>
          <w:sz w:val="17"/>
          <w:szCs w:val="17"/>
          <w:color w:val="auto"/>
        </w:rPr>
        <w:t>Since the Company holds the Class A membership interests in Pine Forest TE HoldCo LLC through its ownership of Pine Forest TE Class A, net loss attributable to Clearway Energy, Inc. reflects HLBV allocations associated with Pine Forest’s tax attributes, including ITCs and accelerated tax depreciation. As a result, larger losses were allocated to the Company in the first quarter of 2026 relative to other partnerships and will continue to be allocated to the Company during the early stages of the facility’s operations. These losses are non-cash in nature and do not impact the Company’s liquidity.</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Dividends to Investors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The Company intends to use the amount of cash that it receives from its distributions from Clearway Energy LLC to pay quarterly dividends to the holders of its Class C common stock. Clearway Energy LLC intends to distribute to its unit holders in the form of a quarterly distribution all of the CAFD that is generated each quarter, less reserves for the prudent conduct of the business. Dividends on t</w:t>
      </w:r>
      <w:r>
        <w:rPr>
          <w:rFonts w:ascii="Times New Roman" w:cs="Times New Roman" w:eastAsia="Times New Roman" w:hAnsi="Times New Roman"/>
          <w:sz w:val="18"/>
          <w:szCs w:val="18"/>
          <w:color w:val="000000"/>
        </w:rPr>
        <w:t>he Class C common stock are subject to available capital,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market conditions and compliance with associated laws, regulations and other contractual obligations. The Company expects that, based on current circumstances, comparable cash dividends will continue to be paid in the foreseeable future.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dividends paid on the Company’s Class A common stock and Class C common stock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 2026</w:t>
            </w:r>
          </w:p>
        </w:tc>
      </w:tr>
      <w:tr>
        <w:trPr>
          <w:trHeight w:val="23"/>
        </w:trPr>
        <w:tc>
          <w:tcPr>
            <w:tcW w:w="9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Class A share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0.4602</w:t>
            </w:r>
          </w:p>
        </w:tc>
      </w:tr>
      <w:tr>
        <w:trPr>
          <w:trHeight w:val="234"/>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per Class C share</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0.4602</w:t>
            </w:r>
          </w:p>
        </w:tc>
      </w:tr>
    </w:tbl>
    <w:p>
      <w:pPr>
        <w:spacing w:after="0" w:line="231"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As a result of the Class A Conversion discussed in Note 9, </w:t>
      </w:r>
      <w:r>
        <w:rPr>
          <w:rFonts w:ascii="Times New Roman" w:cs="Times New Roman" w:eastAsia="Times New Roman" w:hAnsi="Times New Roman"/>
          <w:sz w:val="18"/>
          <w:szCs w:val="18"/>
          <w:i w:val="1"/>
          <w:iCs w:val="1"/>
          <w:color w:val="auto"/>
        </w:rPr>
        <w:t>Changes in Capital Structure</w:t>
      </w:r>
      <w:r>
        <w:rPr>
          <w:rFonts w:ascii="Times New Roman" w:cs="Times New Roman" w:eastAsia="Times New Roman" w:hAnsi="Times New Roman"/>
          <w:sz w:val="18"/>
          <w:szCs w:val="18"/>
          <w:color w:val="auto"/>
        </w:rPr>
        <w:t>, the Company no longer has any Class A common stock outstanding, and holders of the Company’s former Class A common stock converted into Class C common stock remain entitled to receive dividends, if declared by the Company, on the same basis as prior to the conversion.</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May 6, 2026, the Company declared quarterly dividends on its Class C common stock</w:t>
      </w:r>
      <w:r>
        <w:rPr>
          <w:rFonts w:ascii="Times New Roman" w:cs="Times New Roman" w:eastAsia="Times New Roman" w:hAnsi="Times New Roman"/>
          <w:sz w:val="18"/>
          <w:szCs w:val="18"/>
          <w:color w:val="231F20"/>
        </w:rPr>
        <w:t>, including shares that were received in the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Conversion, </w:t>
      </w:r>
      <w:r>
        <w:rPr>
          <w:rFonts w:ascii="Times New Roman" w:cs="Times New Roman" w:eastAsia="Times New Roman" w:hAnsi="Times New Roman"/>
          <w:sz w:val="18"/>
          <w:szCs w:val="18"/>
          <w:color w:val="000000"/>
        </w:rPr>
        <w:t>of $0.4676 per share payable on June 15, 2026 to stockholders of record as of June 1, 2026.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reflect the changes in cash flows for the comparative periods: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44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7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7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401</w:t>
            </w:r>
          </w:p>
        </w:tc>
        <w:tc>
          <w:tcPr>
            <w:tcW w:w="104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w:t>
            </w:r>
          </w:p>
        </w:tc>
        <w:tc>
          <w:tcPr>
            <w:tcW w:w="104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ectPr>
          <w:pgSz w:w="11900" w:h="16838" w:orient="portrait"/>
          <w:cols w:equalWidth="0" w:num="1">
            <w:col w:w="11240"/>
          </w:cols>
          <w:pgMar w:left="320" w:top="1049" w:right="33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40"/>
        <w:spacing w:after="0" w:line="234" w:lineRule="auto"/>
        <w:rPr>
          <w:sz w:val="20"/>
          <w:szCs w:val="20"/>
          <w:color w:val="auto"/>
        </w:rPr>
      </w:pPr>
      <w:r>
        <w:rPr>
          <w:rFonts w:ascii="Times New Roman" w:cs="Times New Roman" w:eastAsia="Times New Roman" w:hAnsi="Times New Roman"/>
          <w:sz w:val="18"/>
          <w:szCs w:val="18"/>
          <w:color w:val="auto"/>
        </w:rPr>
        <w:t>Proceeds from transferable tax credits in 2025, primarily from the Pine Forest solar and BESS facility, utilized to repay long-term debt and pay distributions to noncontrolling interests (Financing Activities)</w:t>
      </w:r>
    </w:p>
    <w:p>
      <w:pPr>
        <w:spacing w:after="0" w:line="10" w:lineRule="exact"/>
        <w:rPr>
          <w:sz w:val="20"/>
          <w:szCs w:val="20"/>
          <w:color w:val="auto"/>
        </w:rPr>
      </w:pPr>
    </w:p>
    <w:p>
      <w:pPr>
        <w:ind w:left="140" w:right="220"/>
        <w:spacing w:after="0" w:line="237" w:lineRule="auto"/>
        <w:rPr>
          <w:sz w:val="20"/>
          <w:szCs w:val="20"/>
          <w:color w:val="auto"/>
        </w:rPr>
      </w:pPr>
      <w:r>
        <w:rPr>
          <w:rFonts w:ascii="Times New Roman" w:cs="Times New Roman" w:eastAsia="Times New Roman" w:hAnsi="Times New Roman"/>
          <w:sz w:val="18"/>
          <w:szCs w:val="18"/>
          <w:color w:val="auto"/>
        </w:rPr>
        <w:t>Increase from changes in working capital primarily driven by the timing of accounts receivable collections and payments of current liabilities, including accounts payable and accrued liabilities</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operating income after adjusting for non-cash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9" w:lineRule="exact"/>
        <w:rPr>
          <w:sz w:val="20"/>
          <w:szCs w:val="20"/>
          <w:color w:val="auto"/>
        </w:rPr>
      </w:pPr>
    </w:p>
    <w:p>
      <w:pPr>
        <w:ind w:left="920" w:hanging="911"/>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w:t>
      </w:r>
    </w:p>
    <w:p>
      <w:pPr>
        <w:spacing w:after="0" w:line="21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33</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w:t>
      </w:r>
    </w:p>
    <w:p>
      <w:pPr>
        <w:spacing w:after="0" w:line="31" w:lineRule="exact"/>
        <w:rPr>
          <w:sz w:val="20"/>
          <w:szCs w:val="20"/>
          <w:color w:val="auto"/>
        </w:rPr>
      </w:pPr>
    </w:p>
    <w:p>
      <w:pPr>
        <w:ind w:left="920" w:hanging="911"/>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8058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20" w:space="160"/>
            <w:col w:w="1260"/>
          </w:cols>
          <w:pgMar w:left="320" w:top="1049" w:right="339" w:bottom="1440" w:gutter="0" w:footer="0" w:header="0"/>
          <w:type w:val="continuous"/>
        </w:sectPr>
      </w:pP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right="1969"/>
        <w:spacing w:after="0" w:line="268" w:lineRule="auto"/>
        <w:rPr>
          <w:sz w:val="20"/>
          <w:szCs w:val="20"/>
          <w:color w:val="auto"/>
        </w:rPr>
      </w:pPr>
      <w:r>
        <w:rPr>
          <w:rFonts w:ascii="Times New Roman" w:cs="Times New Roman" w:eastAsia="Times New Roman" w:hAnsi="Times New Roman"/>
          <w:sz w:val="18"/>
          <w:szCs w:val="18"/>
          <w:color w:val="auto"/>
        </w:rPr>
        <w:t>Cash paid for third party acquisitions, net of cash acquired, in 2026 related to the Cardinal Portfolio Investments in unconsolidated affiliates in 2026 related to the Cardinal Portfolio JV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right="709"/>
        <w:spacing w:after="0" w:line="266" w:lineRule="auto"/>
        <w:rPr>
          <w:sz w:val="20"/>
          <w:szCs w:val="20"/>
          <w:color w:val="auto"/>
        </w:rPr>
      </w:pPr>
      <w:r>
        <w:rPr>
          <w:rFonts w:ascii="Times New Roman" w:cs="Times New Roman" w:eastAsia="Times New Roman" w:hAnsi="Times New Roman"/>
          <w:sz w:val="18"/>
          <w:szCs w:val="18"/>
          <w:color w:val="auto"/>
        </w:rPr>
        <w:t>Payments for equipment deposits and asset purchases from affiliate in 2026 related to the Goat Mountain repowering Increase in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Decrease in cash paid for Drop Down Assets, net of cash acquired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191"/>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831" w:hanging="831"/>
        <w:spacing w:after="0"/>
        <w:tabs>
          <w:tab w:leader="none" w:pos="8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w:t>
      </w:r>
    </w:p>
    <w:p>
      <w:pPr>
        <w:spacing w:after="0" w:line="27" w:lineRule="exact"/>
        <w:rPr>
          <w:rFonts w:ascii="Times New Roman" w:cs="Times New Roman" w:eastAsia="Times New Roman" w:hAnsi="Times New Roman"/>
          <w:sz w:val="18"/>
          <w:szCs w:val="18"/>
          <w:color w:val="auto"/>
        </w:rPr>
      </w:pPr>
    </w:p>
    <w:p>
      <w:pPr>
        <w:ind w:left="93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w:t>
      </w:r>
    </w:p>
    <w:p>
      <w:pPr>
        <w:spacing w:after="0" w:line="22" w:lineRule="exact"/>
        <w:rPr>
          <w:rFonts w:ascii="Times New Roman" w:cs="Times New Roman" w:eastAsia="Times New Roman" w:hAnsi="Times New Roman"/>
          <w:sz w:val="18"/>
          <w:szCs w:val="18"/>
          <w:color w:val="auto"/>
        </w:rPr>
      </w:pPr>
    </w:p>
    <w:p>
      <w:pPr>
        <w:ind w:left="93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w:t>
      </w:r>
    </w:p>
    <w:p>
      <w:pPr>
        <w:spacing w:after="0" w:line="22" w:lineRule="exact"/>
        <w:rPr>
          <w:rFonts w:ascii="Times New Roman" w:cs="Times New Roman" w:eastAsia="Times New Roman" w:hAnsi="Times New Roman"/>
          <w:sz w:val="18"/>
          <w:szCs w:val="18"/>
          <w:color w:val="auto"/>
        </w:rPr>
      </w:pPr>
    </w:p>
    <w:p>
      <w:pPr>
        <w:ind w:left="93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pacing w:after="0" w:line="22" w:lineRule="exact"/>
        <w:rPr>
          <w:rFonts w:ascii="Times New Roman" w:cs="Times New Roman" w:eastAsia="Times New Roman" w:hAnsi="Times New Roman"/>
          <w:sz w:val="18"/>
          <w:szCs w:val="18"/>
          <w:color w:val="auto"/>
        </w:rPr>
      </w:pPr>
    </w:p>
    <w:p>
      <w:pPr>
        <w:ind w:left="109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2" w:lineRule="exact"/>
        <w:rPr>
          <w:rFonts w:ascii="Times New Roman" w:cs="Times New Roman" w:eastAsia="Times New Roman" w:hAnsi="Times New Roman"/>
          <w:sz w:val="18"/>
          <w:szCs w:val="18"/>
          <w:color w:val="auto"/>
        </w:rPr>
      </w:pPr>
    </w:p>
    <w:p>
      <w:pPr>
        <w:ind w:left="101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31" w:lineRule="exact"/>
        <w:rPr>
          <w:sz w:val="20"/>
          <w:szCs w:val="20"/>
          <w:color w:val="auto"/>
        </w:rPr>
      </w:pPr>
    </w:p>
    <w:p>
      <w:pPr>
        <w:ind w:left="831" w:hanging="831"/>
        <w:spacing w:after="0"/>
        <w:tabs>
          <w:tab w:leader="none" w:pos="8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8058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69" w:space="720"/>
            <w:col w:w="1251"/>
          </w:cols>
          <w:pgMar w:left="320" w:top="1049" w:right="339" w:bottom="1440" w:gutter="0" w:footer="0" w:header="0"/>
          <w:type w:val="continuous"/>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10"/>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net cash used in financing activities were driven by:</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3"/>
        </w:trPr>
        <w:tc>
          <w:tcPr>
            <w:tcW w:w="9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for the revolving credit facility in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9"/>
        </w:trPr>
        <w:tc>
          <w:tcPr>
            <w:tcW w:w="9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distributions to noncontrolling interests, net of contributions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9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debt issuance costs in 2026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9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dividends paid to common stockholders and distributions paid to CEG unit holders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9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proceeds from issuance of long-term debt and payments for long-term debt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30"/>
        </w:trPr>
        <w:tc>
          <w:tcPr>
            <w:tcW w:w="9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Class C common stock under the DSPP in 2026</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9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9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
        </w:trPr>
        <w:tc>
          <w:tcPr>
            <w:tcW w:w="9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a cumulative federal NOL carryforward balance of $212 million for financial statement purposes, none of which were subject to expiration. Additionally, as of December 31, 2025, the Company had a cumulative state NOL carryforward balance of $100 million for financial statement purposes, which will expire between 2026 and 2042 if unutilized. The Company does not anticipate material income tax payments through 2030. In addition, as of December 31, 2025, the Company had PTC and ITC carryforward balances totaling $18 million, which will expire between 2036 and 2045 if unutilized.</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an interest disallowance carryforward of $107 million as a result of Internal Revenue Code §163(j). The disallowed interest deduction has an indefinite carryforward period and any limitations on the utilization of this carryforward have been factored into the Company’s valuation allowance analysis.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after the utilization of various federal and state NOL carryforwards, paid an immaterial amount of federal and state income taxes during the three months ended March 31, 2026 and does not expect to pay material federal or state income taxes for the remainder of the current year. The Company does not anticipate being subject to the corporate minimum tax on financial statement income.</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Federal tax legislation enacted on July 4, 2025 contains a number of revisions to the Internal Revenue Code, including adjustments to the business interest expense disallowance calculation, accelerated tax depreciation and business tax credits and incentives for the development of clean energy facilities and production of clean energy, including wind, solar and BESS facilities. These changes did not have a material impact on the Company’s consolidated financial statements and the Company does not anticipate that these changes will have an adverse impact either (i) on the anticipated pipeline of facilities being developed by the Company’s sponsor, CEG, through at least 2030 or (ii) on the operation of facilities owned and operated by the Company. The Company will continue to monitor future guidance issued by the United States Department of the Treasury to assess for potential impacts on its consolidated financial statements.</w:t>
      </w:r>
    </w:p>
    <w:p>
      <w:pPr>
        <w:spacing w:after="0" w:line="13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is subject to examination by taxing authorities for income tax returns filed in the U.S. federal and various state jurisdictions. All tax returns filed by the Company for the year ended December 31, 2013 and forward remain subject to audit. As of December 31, 2025, the U.S. federal partnership returns of two of the Company’s subsidiaries are under audit by the IRS. The Company and its subsidiaries are also periodically subject to various state tax audits, including one current audit as a result of filing an amended return in order to pursue a potential California tax refund. The IRS has not yet issued any proposed adjustments with respect to the two subsidiaries under audit. The Company believes that the ultimate resolution of each of these audits will not be material to the Company’s financial condition, results of operations or liquidity, and thus no material provision has been made for any adjustments that may result from tax examinations. The outcome of tax audits cannot be predicted with certainty and if any issues addressed in tax audits of the Company are resolved in a manner inconsistent with its expectations, the Company could be required to adjust its provision for income taxes in the period such resolution occurs.</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an unrecognized tax benefit of $19 million as of March 31,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spacing w:after="0" w:line="108"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based on their level within the fair value hierarchy defined in ASC 820; and indicate the maturities of contracts at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For a full discussion of the Company’s valuation methodology of its contracts, see </w:t>
      </w:r>
      <w:r>
        <w:rPr>
          <w:rFonts w:ascii="Times New Roman" w:cs="Times New Roman" w:eastAsia="Times New Roman" w:hAnsi="Times New Roman"/>
          <w:sz w:val="18"/>
          <w:szCs w:val="18"/>
          <w:i w:val="1"/>
          <w:iCs w:val="1"/>
          <w:color w:val="231F20"/>
        </w:rPr>
        <w:t>Derivative Fair Value Measurements</w:t>
      </w:r>
      <w:r>
        <w:rPr>
          <w:rFonts w:ascii="Times New Roman" w:cs="Times New Roman" w:eastAsia="Times New Roman" w:hAnsi="Times New Roman"/>
          <w:sz w:val="18"/>
          <w:szCs w:val="18"/>
          <w:color w:val="231F20"/>
        </w:rPr>
        <w:t xml:space="preserve"> in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Derivative Activity (Losses) Gains</w:t>
            </w:r>
          </w:p>
        </w:tc>
        <w:tc>
          <w:tcPr>
            <w:tcW w:w="180" w:type="dxa"/>
            <w:vAlign w:val="bottom"/>
          </w:tcPr>
          <w:p>
            <w:pPr>
              <w:spacing w:after="0"/>
              <w:rPr>
                <w:sz w:val="18"/>
                <w:szCs w:val="18"/>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contracts as of December 31,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20" w:type="dxa"/>
            <w:vAlign w:val="bottom"/>
          </w:tcPr>
          <w:p>
            <w:pPr>
              <w:spacing w:after="0"/>
              <w:rPr>
                <w:sz w:val="19"/>
                <w:szCs w:val="19"/>
                <w:color w:val="auto"/>
              </w:rPr>
            </w:pPr>
          </w:p>
        </w:tc>
        <w:tc>
          <w:tcPr>
            <w:tcW w:w="9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Contracts realized, restructured or otherwise settled during the period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20" w:type="dxa"/>
            <w:vAlign w:val="bottom"/>
            <w:shd w:val="clear" w:color="auto" w:fill="CCEEFF"/>
          </w:tcPr>
          <w:p>
            <w:pPr>
              <w:spacing w:after="0"/>
              <w:rPr>
                <w:sz w:val="19"/>
                <w:szCs w:val="19"/>
                <w:color w:val="auto"/>
              </w:rPr>
            </w:pPr>
          </w:p>
        </w:tc>
        <w:tc>
          <w:tcPr>
            <w:tcW w:w="9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Contracts added during the period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20" w:type="dxa"/>
            <w:vAlign w:val="bottom"/>
            <w:tcBorders>
              <w:bottom w:val="single" w:sz="8" w:color="CCEEFF"/>
            </w:tcBorders>
          </w:tcPr>
          <w:p>
            <w:pPr>
              <w:spacing w:after="0"/>
              <w:rPr>
                <w:sz w:val="19"/>
                <w:szCs w:val="19"/>
                <w:color w:val="auto"/>
              </w:rPr>
            </w:pPr>
          </w:p>
        </w:tc>
        <w:tc>
          <w:tcPr>
            <w:tcW w:w="9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Changes in fair value</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contracts as of March 31,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of contracts as of March 31, 2026</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 Hierarchy (Losses) Gains</w:t>
            </w: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4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80" w:type="dxa"/>
            <w:vAlign w:val="bottom"/>
          </w:tcPr>
          <w:p>
            <w:pPr>
              <w:spacing w:after="0"/>
              <w:rPr>
                <w:sz w:val="16"/>
                <w:szCs w:val="16"/>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2240" w:type="dxa"/>
            <w:vAlign w:val="bottom"/>
            <w:tcBorders>
              <w:bottom w:val="single" w:sz="8" w:color="auto"/>
            </w:tcBorders>
            <w:vMerge w:val="continue"/>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1 Year or Less</w:t>
            </w:r>
          </w:p>
        </w:tc>
        <w:tc>
          <w:tcPr>
            <w:tcW w:w="12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1 Year to 3 Years</w:t>
            </w:r>
          </w:p>
        </w:tc>
        <w:tc>
          <w:tcPr>
            <w:tcW w:w="12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3 Years to 5 Years</w:t>
            </w:r>
          </w:p>
        </w:tc>
        <w:tc>
          <w:tcPr>
            <w:tcW w:w="16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2"/>
                <w:szCs w:val="12"/>
                <w:color w:val="auto"/>
              </w:rPr>
            </w:pPr>
          </w:p>
        </w:tc>
        <w:tc>
          <w:tcPr>
            <w:tcW w:w="96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9"/>
              </w:rPr>
              <w:t>21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w w:val="99"/>
              </w:rPr>
              <w:t>17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77"/>
              <w:spacing w:after="0"/>
              <w:rPr>
                <w:sz w:val="20"/>
                <w:szCs w:val="20"/>
                <w:color w:val="auto"/>
              </w:rPr>
            </w:pPr>
            <w:r>
              <w:rPr>
                <w:rFonts w:ascii="Times New Roman" w:cs="Times New Roman" w:eastAsia="Times New Roman" w:hAnsi="Times New Roman"/>
                <w:sz w:val="18"/>
                <w:szCs w:val="18"/>
                <w:color w:val="auto"/>
                <w:w w:val="99"/>
              </w:rPr>
              <w:t>(33)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9"/>
              </w:rPr>
              <w:t>(29)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w w:val="99"/>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The Company has elected to disclose derivative assets and liabilities on a trade-by-trade basis and does not offset amounts at the counterparty master agreement level.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HLBV and determining the fair value of financial instruments.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8"/>
          <w:szCs w:val="18"/>
          <w:color w:val="000000"/>
        </w:rPr>
        <w:t>The following disclosures about market risk provide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update to, and should be read in conjunction with, Item 7A — </w:t>
      </w:r>
      <w:r>
        <w:rPr>
          <w:rFonts w:ascii="Times New Roman" w:cs="Times New Roman" w:eastAsia="Times New Roman" w:hAnsi="Times New Roman"/>
          <w:sz w:val="18"/>
          <w:szCs w:val="18"/>
          <w:i w:val="1"/>
          <w:iCs w:val="1"/>
          <w:color w:val="000000"/>
        </w:rPr>
        <w:t>Quantitative and Qualitative Disclosures About Market Risk,</w:t>
      </w:r>
      <w:r>
        <w:rPr>
          <w:rFonts w:ascii="Times New Roman" w:cs="Times New Roman" w:eastAsia="Times New Roman" w:hAnsi="Times New Roman"/>
          <w:sz w:val="18"/>
          <w:szCs w:val="18"/>
          <w:color w:val="000000"/>
        </w:rPr>
        <w:t xml:space="preserve"> of the Company’s 2025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Commodity Price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Based on a sensitivity analysis using simplified assumptions, the impact of a $0.50 per MWh increase or decrease in power prices across the term of the long-term power commodity contracts would cause a change of approximately $3 million to the net value of the related derivatives as of March 31,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 w:cs="Times New Roman" w:eastAsia="Times New Roman" w:hAnsi="Times New Roman"/>
          <w:sz w:val="18"/>
          <w:szCs w:val="18"/>
          <w:color w:val="000000"/>
        </w:rPr>
        <w:t>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Derivative Instruments and Hedging Activities</w:t>
      </w:r>
      <w:r>
        <w:rPr>
          <w:rFonts w:ascii="Times New Roman" w:cs="Times New Roman" w:eastAsia="Times New Roman" w:hAnsi="Times New Roman"/>
          <w:sz w:val="18"/>
          <w:szCs w:val="18"/>
          <w:color w:val="231F20"/>
        </w:rPr>
        <w:t>, for more information.</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and most of its subsidiaries enter into interest rate swaps intended to hedge the risks associated with interest rates on non-recourse facility-level debt or any potential refinancing of the Senior Notes. See Item 15 — </w:t>
      </w:r>
      <w:r>
        <w:rPr>
          <w:rFonts w:ascii="Times New Roman" w:cs="Times New Roman" w:eastAsia="Times New Roman" w:hAnsi="Times New Roman"/>
          <w:sz w:val="18"/>
          <w:szCs w:val="18"/>
          <w:color w:val="000000"/>
        </w:rPr>
        <w:t>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to the Company’s </w:t>
      </w:r>
      <w:r>
        <w:rPr>
          <w:rFonts w:ascii="Times New Roman" w:cs="Times New Roman" w:eastAsia="Times New Roman" w:hAnsi="Times New Roman"/>
          <w:sz w:val="18"/>
          <w:szCs w:val="18"/>
          <w:color w:val="000000"/>
        </w:rPr>
        <w:t>audited consolidated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financial statements for the year ended December 31, 2025 included in the 2025 Form 10-K </w:t>
      </w:r>
      <w:r>
        <w:rPr>
          <w:rFonts w:ascii="Times New Roman" w:cs="Times New Roman" w:eastAsia="Times New Roman" w:hAnsi="Times New Roman"/>
          <w:sz w:val="18"/>
          <w:szCs w:val="18"/>
          <w:color w:val="231F20"/>
        </w:rPr>
        <w:t>for more information about interest rate swaps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Company’s subsidiaries.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If all of the interest rate swaps had been discontinued on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the counterparties would have owed the Company </w:t>
      </w:r>
      <w:r>
        <w:rPr>
          <w:rFonts w:ascii="Times New Roman" w:cs="Times New Roman" w:eastAsia="Times New Roman" w:hAnsi="Times New Roman"/>
          <w:sz w:val="18"/>
          <w:szCs w:val="18"/>
          <w:color w:val="000000"/>
        </w:rPr>
        <w:t>$129 million.</w:t>
      </w:r>
      <w:r>
        <w:rPr>
          <w:rFonts w:ascii="Times New Roman" w:cs="Times New Roman" w:eastAsia="Times New Roman" w:hAnsi="Times New Roman"/>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8"/>
          <w:szCs w:val="18"/>
          <w:color w:val="000000"/>
        </w:rPr>
        <w:t>March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2026</w:t>
      </w:r>
      <w:r>
        <w:rPr>
          <w:rFonts w:ascii="Times New Roman" w:cs="Times New Roman" w:eastAsia="Times New Roman" w:hAnsi="Times New Roman"/>
          <w:sz w:val="18"/>
          <w:szCs w:val="18"/>
          <w:color w:val="231F20"/>
        </w:rPr>
        <w:t>, a change of 1%, or 100 basis points, in interest rates would result in an approximately $3 million change in market interest expense on a rolling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twelve-month basis.</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the fair value of the Company’s debt was $8,872 million and the carrying value was $9,205 million. The Company estimates that a decrease of 1%, or 100 basis points, in market interest rates would have increased the fair value of its long-term debt by approximately $94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Liquidity Risk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Liquidity risk arises from the general funding needs of the Company’s activities and in the management of the Company’s assets and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Counterparty Credit Risk</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Company’s disclosure controls and procedures were effective as of the end of the period covered by this Quarterly Report on Form 10-Q.</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of Previously Reported Material Weakness</w:t>
      </w:r>
    </w:p>
    <w:p>
      <w:pPr>
        <w:spacing w:after="0" w:line="132" w:lineRule="exact"/>
        <w:rPr>
          <w:sz w:val="20"/>
          <w:szCs w:val="20"/>
          <w:color w:val="auto"/>
        </w:rPr>
      </w:pPr>
    </w:p>
    <w:p>
      <w:pPr>
        <w:jc w:val="both"/>
        <w:ind w:firstLine="405"/>
        <w:spacing w:after="0" w:line="231" w:lineRule="exact"/>
        <w:rPr>
          <w:sz w:val="20"/>
          <w:szCs w:val="20"/>
          <w:color w:val="auto"/>
        </w:rPr>
      </w:pPr>
      <w:r>
        <w:rPr>
          <w:rFonts w:ascii="Times New Roman" w:cs="Times New Roman" w:eastAsia="Times New Roman" w:hAnsi="Times New Roman"/>
          <w:sz w:val="18"/>
          <w:szCs w:val="18"/>
          <w:color w:val="auto"/>
        </w:rPr>
        <w:t>As previously disclosed in the Company’s 2025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K, the Company’s management identified a material weakness in its internal control over financial reporting related to ineffective controls over the review of certain calculations of HLBV accounting used to allocate net income (loss) to the Company’s redeemable noncontrolling interests and noncontrolling interests in tax equity partnerships. For further discussion, see Item 9A – </w:t>
      </w:r>
      <w:r>
        <w:rPr>
          <w:rFonts w:ascii="Times New Roman" w:cs="Times New Roman" w:eastAsia="Times New Roman" w:hAnsi="Times New Roman"/>
          <w:sz w:val="18"/>
          <w:szCs w:val="18"/>
          <w:i w:val="1"/>
          <w:iCs w:val="1"/>
          <w:color w:val="auto"/>
        </w:rPr>
        <w:t>Controls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Procedures</w:t>
      </w:r>
      <w:r>
        <w:rPr>
          <w:rFonts w:ascii="Times New Roman" w:cs="Times New Roman" w:eastAsia="Times New Roman" w:hAnsi="Times New Roman"/>
          <w:sz w:val="18"/>
          <w:szCs w:val="18"/>
          <w:color w:val="auto"/>
        </w:rPr>
        <w:t>, of the Company’s 2025 Form 10-K.</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the Company implemented and operated enhanced controls over the review of HLBV calculations designed to remediate this material weakness, and the Company again operated these controls during the first quarter of 2026. Based on management’s evaluation, including the operation and testing of these controls, the Company’s management concluded that the material weakness was remediated as of March 31, 2026.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first quarter of 2026, there were changes in internal control over financial reporting, specifically, modifications to certain existing internal controls and implementation of new controls and procedures as a result of CEG’s successful implementation of a new enterprise resource planning, or ERP, application to support its core business processes and data. The Company will continue to evaluate its internal control processes, including the operating effectiveness of impacted internal controls.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than the matter described above, there were no changes in the Company’s internal control over financial reporting (as such term is defined in Rule 13a-15(f) under the Exchange Act) during the quarter ended March 31, 2026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risk factors appears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Company’s 2025 Form 10-K. There have been no material changes in the Company’s risk factors since those reported in its 2025 Form 10-K.</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Plans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(as defined in Rule 16a-1(f) of the Exchange Act)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82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1"/>
        </w:trPr>
        <w:tc>
          <w:tcPr>
            <w:tcW w:w="10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3.1</w:t>
            </w:r>
          </w:p>
        </w:tc>
        <w:tc>
          <w:tcPr>
            <w:tcW w:w="4040" w:type="dxa"/>
            <w:vAlign w:val="bottom"/>
            <w:tcBorders>
              <w:bottom w:val="single" w:sz="8" w:color="0000FF"/>
            </w:tcBorders>
            <w:gridSpan w:val="6"/>
          </w:tcPr>
          <w:p>
            <w:pPr>
              <w:spacing w:after="0" w:line="181"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Restated Certificate of Incorporation of Clearway Energy, Inc.</w:t>
              </w:r>
            </w:hyperlink>
          </w:p>
        </w:tc>
        <w:tc>
          <w:tcPr>
            <w:tcW w:w="1780" w:type="dxa"/>
            <w:vAlign w:val="bottom"/>
            <w:gridSpan w:val="8"/>
          </w:tcPr>
          <w:p>
            <w:pPr>
              <w:spacing w:after="0"/>
              <w:rPr>
                <w:sz w:val="15"/>
                <w:szCs w:val="15"/>
                <w:color w:val="auto"/>
              </w:rPr>
            </w:pPr>
          </w:p>
        </w:tc>
      </w:tr>
      <w:tr>
        <w:trPr>
          <w:trHeight w:val="35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5820" w:type="dxa"/>
            <w:vAlign w:val="bottom"/>
            <w:gridSpan w:val="14"/>
          </w:tcPr>
          <w:p>
            <w:pPr>
              <w:spacing w:after="0"/>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Indenture, dated as of January 13, 2026, by and among Clearway Energy Operating</w:t>
              </w:r>
            </w:hyperlink>
          </w:p>
        </w:tc>
      </w:tr>
      <w:tr>
        <w:trPr>
          <w:trHeight w:val="142"/>
        </w:trPr>
        <w:tc>
          <w:tcPr>
            <w:tcW w:w="1020" w:type="dxa"/>
            <w:vAlign w:val="bottom"/>
          </w:tcPr>
          <w:p>
            <w:pPr>
              <w:spacing w:after="0"/>
              <w:rPr>
                <w:sz w:val="12"/>
                <w:szCs w:val="12"/>
                <w:color w:val="auto"/>
              </w:rPr>
            </w:pPr>
          </w:p>
        </w:tc>
        <w:tc>
          <w:tcPr>
            <w:tcW w:w="532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LLC, the guarantors named therein and CSC Delaware Trust Company, as trustee.</w:t>
              </w:r>
            </w:hyperlink>
          </w:p>
        </w:tc>
        <w:tc>
          <w:tcPr>
            <w:tcW w:w="40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5820" w:type="dxa"/>
            <w:vAlign w:val="bottom"/>
            <w:gridSpan w:val="14"/>
          </w:tcPr>
          <w:p>
            <w:pPr>
              <w:spacing w:after="0"/>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Form of 5.750% Senior Notes due 2034.</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5820" w:type="dxa"/>
            <w:vAlign w:val="bottom"/>
            <w:gridSpan w:val="14"/>
          </w:tcPr>
          <w:p>
            <w:pPr>
              <w:spacing w:after="0"/>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Fifth Amended and Restated Limited Liability Company Agreement of Clearway</w:t>
              </w:r>
            </w:hyperlink>
          </w:p>
        </w:tc>
      </w:tr>
      <w:tr>
        <w:trPr>
          <w:trHeight w:val="142"/>
        </w:trPr>
        <w:tc>
          <w:tcPr>
            <w:tcW w:w="1020" w:type="dxa"/>
            <w:vAlign w:val="bottom"/>
          </w:tcPr>
          <w:p>
            <w:pPr>
              <w:spacing w:after="0"/>
              <w:rPr>
                <w:sz w:val="12"/>
                <w:szCs w:val="12"/>
                <w:color w:val="auto"/>
              </w:rPr>
            </w:pPr>
          </w:p>
        </w:tc>
        <w:tc>
          <w:tcPr>
            <w:tcW w:w="574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Energy LLC, dated as of May 1, 2026, by and between Clearway Energy, Inc.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572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Clearway Energy Group LLC.</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9.1†</w:t>
            </w:r>
          </w:p>
        </w:tc>
        <w:tc>
          <w:tcPr>
            <w:tcW w:w="5820" w:type="dxa"/>
            <w:vAlign w:val="bottom"/>
            <w:gridSpan w:val="14"/>
          </w:tcPr>
          <w:p>
            <w:pPr>
              <w:spacing w:after="0"/>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Voting Trust Agreement, dated as of April 29, 2026, by and between Clearway Energy</w:t>
              </w:r>
            </w:hyperlink>
          </w:p>
        </w:tc>
      </w:tr>
      <w:tr>
        <w:trPr>
          <w:trHeight w:val="142"/>
        </w:trPr>
        <w:tc>
          <w:tcPr>
            <w:tcW w:w="1020" w:type="dxa"/>
            <w:vAlign w:val="bottom"/>
          </w:tcPr>
          <w:p>
            <w:pPr>
              <w:spacing w:after="0"/>
              <w:rPr>
                <w:sz w:val="12"/>
                <w:szCs w:val="12"/>
                <w:color w:val="auto"/>
              </w:rPr>
            </w:pPr>
          </w:p>
        </w:tc>
        <w:tc>
          <w:tcPr>
            <w:tcW w:w="558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Group LLC and Wilmington Trust, National Association, as voting trustee thereunder.</w:t>
              </w:r>
            </w:hyperlink>
          </w:p>
        </w:tc>
        <w:tc>
          <w:tcPr>
            <w:tcW w:w="18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5820" w:type="dxa"/>
            <w:vAlign w:val="bottom"/>
            <w:gridSpan w:val="14"/>
          </w:tcPr>
          <w:p>
            <w:pPr>
              <w:spacing w:after="0"/>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Third Amended and Restated Exchange Agreement, dated as of April 1, 2026, by and</w:t>
              </w:r>
            </w:hyperlink>
          </w:p>
        </w:tc>
      </w:tr>
      <w:tr>
        <w:trPr>
          <w:trHeight w:val="142"/>
        </w:trPr>
        <w:tc>
          <w:tcPr>
            <w:tcW w:w="1020" w:type="dxa"/>
            <w:vAlign w:val="bottom"/>
          </w:tcPr>
          <w:p>
            <w:pPr>
              <w:spacing w:after="0"/>
              <w:rPr>
                <w:sz w:val="12"/>
                <w:szCs w:val="12"/>
                <w:color w:val="auto"/>
              </w:rPr>
            </w:pPr>
          </w:p>
        </w:tc>
        <w:tc>
          <w:tcPr>
            <w:tcW w:w="580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among Clearway Energy, Inc., Clearway Energy LLC and Clearway Energy Group</w:t>
              </w:r>
            </w:hyperlink>
          </w:p>
        </w:tc>
        <w:tc>
          <w:tcPr>
            <w:tcW w:w="2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578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LLC.</w:t>
              </w:r>
            </w:hyperlink>
          </w:p>
        </w:tc>
        <w:tc>
          <w:tcPr>
            <w:tcW w:w="40" w:type="dxa"/>
            <w:vAlign w:val="bottom"/>
            <w:gridSpan w:val="2"/>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58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Rule 13a-14(a)/15d-14(a) certification of Craig Cornelius.</w:t>
            </w:r>
          </w:p>
        </w:tc>
      </w:tr>
      <w:tr>
        <w:trPr>
          <w:trHeight w:val="20"/>
        </w:trPr>
        <w:tc>
          <w:tcPr>
            <w:tcW w:w="1020" w:type="dxa"/>
            <w:vAlign w:val="bottom"/>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38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Rule 13a-14(a)/15d-14(a) certification of Sarah Rubenstein.</w:t>
            </w:r>
          </w:p>
        </w:tc>
        <w:tc>
          <w:tcPr>
            <w:tcW w:w="1940" w:type="dxa"/>
            <w:vAlign w:val="bottom"/>
            <w:gridSpan w:val="9"/>
          </w:tcPr>
          <w:p>
            <w:pPr>
              <w:spacing w:after="0"/>
              <w:rPr>
                <w:sz w:val="17"/>
                <w:szCs w:val="17"/>
                <w:color w:val="auto"/>
              </w:rPr>
            </w:pPr>
          </w:p>
        </w:tc>
      </w:tr>
    </w:tbl>
    <w:p>
      <w:pPr>
        <w:spacing w:after="0" w:line="27" w:lineRule="exact"/>
        <w:rPr>
          <w:sz w:val="20"/>
          <w:szCs w:val="20"/>
          <w:color w:val="auto"/>
        </w:rPr>
      </w:pPr>
    </w:p>
    <w:p>
      <w:pPr>
        <w:ind w:left="1040" w:hanging="1014"/>
        <w:spacing w:after="0"/>
        <w:tabs>
          <w:tab w:leader="none" w:pos="10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Section 1350 Certification.</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 SCH</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bl>
    <w:p>
      <w:pPr>
        <w:spacing w:after="0" w:line="6" w:lineRule="exact"/>
        <w:rPr>
          <w:sz w:val="20"/>
          <w:szCs w:val="20"/>
          <w:color w:val="auto"/>
        </w:rPr>
      </w:pPr>
    </w:p>
    <w:p>
      <w:pPr>
        <w:jc w:val="both"/>
        <w:ind w:left="1040" w:hanging="1014"/>
        <w:spacing w:after="0" w:line="232" w:lineRule="auto"/>
        <w:tabs>
          <w:tab w:leader="none" w:pos="10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Method of Filing</w:t>
      </w:r>
    </w:p>
    <w:p>
      <w:pPr>
        <w:spacing w:after="0" w:line="34"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6"/>
          <w:szCs w:val="16"/>
          <w:color w:val="auto"/>
        </w:rPr>
        <w:t>Incorporated herein by reference to Exhibit 3.3 to the Company’s Current Report on Form 8-K filed on May 1, 2026.</w:t>
      </w:r>
    </w:p>
    <w:p>
      <w:pPr>
        <w:spacing w:after="0" w:line="2"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January 13, 2026.</w:t>
      </w:r>
    </w:p>
    <w:p>
      <w:pPr>
        <w:spacing w:after="0" w:line="2"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January 13, 2026.</w:t>
      </w:r>
    </w:p>
    <w:p>
      <w:pPr>
        <w:spacing w:after="0" w:line="2"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May 1, 2026.</w:t>
      </w:r>
    </w:p>
    <w:p>
      <w:pPr>
        <w:spacing w:after="0" w:line="164" w:lineRule="exact"/>
        <w:rPr>
          <w:sz w:val="20"/>
          <w:szCs w:val="20"/>
          <w:color w:val="auto"/>
        </w:rPr>
      </w:pPr>
    </w:p>
    <w:p>
      <w:pPr>
        <w:jc w:val="both"/>
        <w:ind w:right="60"/>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9.1 to the Company’s Registration Statement on Form 8-A/A filed on April 29, 2026 (File No. 001-36002).</w:t>
      </w:r>
    </w:p>
    <w:p>
      <w:pPr>
        <w:spacing w:after="0" w:line="6"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Current Report on Form 8-K filed on April 2,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Furnished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549" w:lineRule="exact"/>
        <w:rPr>
          <w:sz w:val="20"/>
          <w:szCs w:val="20"/>
          <w:color w:val="auto"/>
        </w:rPr>
      </w:pPr>
    </w:p>
    <w:p>
      <w:pPr>
        <w:sectPr>
          <w:pgSz w:w="11900" w:h="16838" w:orient="portrait"/>
          <w:cols w:equalWidth="0" w:num="2">
            <w:col w:w="6760" w:space="160"/>
            <w:col w:w="4320"/>
          </w:cols>
          <w:pgMar w:left="320" w:top="1292" w:right="339" w:bottom="1440" w:gutter="0" w:footer="0" w:header="0"/>
        </w:sectPr>
      </w:pPr>
    </w:p>
    <w:p>
      <w:pPr>
        <w:spacing w:after="0" w:line="49" w:lineRule="exact"/>
        <w:rPr>
          <w:sz w:val="20"/>
          <w:szCs w:val="20"/>
          <w:color w:val="auto"/>
        </w:rPr>
      </w:pPr>
    </w:p>
    <w:p>
      <w:pPr>
        <w:ind w:firstLine="8"/>
        <w:spacing w:after="0" w:line="280" w:lineRule="auto"/>
        <w:tabs>
          <w:tab w:leader="none" w:pos="128"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similar attachments to this Exhibit have been omitted pursuant to Item 601(a)(5) of Regulation S-K. The Company agrees to furnish supplementally a copy of any omitted schedule or exhibit to the U.S. Securities and Exchange Commission (the “SEC”) upon request.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CLEARWAY ENERGY, INC.</w:t>
      </w:r>
    </w:p>
    <w:p>
      <w:pPr>
        <w:ind w:left="6680"/>
        <w:spacing w:after="0"/>
        <w:rPr>
          <w:sz w:val="20"/>
          <w:szCs w:val="20"/>
          <w:color w:val="auto"/>
        </w:rPr>
      </w:pPr>
      <w:r>
        <w:rPr>
          <w:rFonts w:ascii="Times New Roman" w:cs="Times New Roman" w:eastAsia="Times New Roman" w:hAnsi="Times New Roman"/>
          <w:sz w:val="18"/>
          <w:szCs w:val="18"/>
          <w:color w:val="auto"/>
        </w:rPr>
        <w:t>(Registrant)</w:t>
      </w:r>
    </w:p>
    <w:p>
      <w:pPr>
        <w:spacing w:after="0" w:line="27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17145</wp:posOffset>
            </wp:positionV>
            <wp:extent cx="29057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Craig Cornelius</w:t>
      </w:r>
    </w:p>
    <w:p>
      <w:pPr>
        <w:spacing w:after="0" w:line="1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6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RUBENSTEIN</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Rubenstein</w:t>
            </w:r>
          </w:p>
        </w:tc>
        <w:tc>
          <w:tcPr>
            <w:tcW w:w="0" w:type="dxa"/>
            <w:vAlign w:val="bottom"/>
          </w:tcPr>
          <w:p>
            <w:pPr>
              <w:spacing w:after="0"/>
              <w:rPr>
                <w:sz w:val="1"/>
                <w:szCs w:val="1"/>
                <w:color w:val="auto"/>
              </w:rPr>
            </w:pPr>
          </w:p>
        </w:tc>
      </w:tr>
      <w:tr>
        <w:trPr>
          <w:trHeight w:val="182"/>
        </w:trPr>
        <w:tc>
          <w:tcPr>
            <w:tcW w:w="6640" w:type="dxa"/>
            <w:vAlign w:val="bottom"/>
          </w:tcPr>
          <w:p>
            <w:pPr>
              <w:spacing w:after="0"/>
              <w:rPr>
                <w:sz w:val="15"/>
                <w:szCs w:val="15"/>
                <w:color w:val="auto"/>
              </w:rPr>
            </w:pPr>
          </w:p>
        </w:tc>
        <w:tc>
          <w:tcPr>
            <w:tcW w:w="45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Executive Vice President and Chief Financial</w:t>
            </w:r>
          </w:p>
        </w:tc>
        <w:tc>
          <w:tcPr>
            <w:tcW w:w="0" w:type="dxa"/>
            <w:vAlign w:val="bottom"/>
          </w:tcPr>
          <w:p>
            <w:pPr>
              <w:spacing w:after="0"/>
              <w:rPr>
                <w:sz w:val="1"/>
                <w:szCs w:val="1"/>
                <w:color w:val="auto"/>
              </w:rPr>
            </w:pPr>
          </w:p>
        </w:tc>
      </w:tr>
      <w:tr>
        <w:trPr>
          <w:trHeight w:val="182"/>
        </w:trPr>
        <w:tc>
          <w:tcPr>
            <w:tcW w:w="6640" w:type="dxa"/>
            <w:vAlign w:val="bottom"/>
          </w:tcPr>
          <w:p>
            <w:pPr>
              <w:spacing w:after="0"/>
              <w:rPr>
                <w:sz w:val="15"/>
                <w:szCs w:val="15"/>
                <w:color w:val="auto"/>
              </w:rPr>
            </w:pPr>
          </w:p>
        </w:tc>
        <w:tc>
          <w:tcPr>
            <w:tcW w:w="45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Officer</w:t>
            </w:r>
          </w:p>
        </w:tc>
        <w:tc>
          <w:tcPr>
            <w:tcW w:w="0" w:type="dxa"/>
            <w:vAlign w:val="bottom"/>
          </w:tcPr>
          <w:p>
            <w:pPr>
              <w:spacing w:after="0"/>
              <w:rPr>
                <w:sz w:val="1"/>
                <w:szCs w:val="1"/>
                <w:color w:val="auto"/>
              </w:rPr>
            </w:pPr>
          </w:p>
        </w:tc>
      </w:tr>
      <w:tr>
        <w:trPr>
          <w:trHeight w:val="182"/>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5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c>
          <w:tcPr>
            <w:tcW w:w="0" w:type="dxa"/>
            <w:vAlign w:val="bottom"/>
          </w:tcPr>
          <w:p>
            <w:pPr>
              <w:spacing w:after="0"/>
              <w:rPr>
                <w:sz w:val="1"/>
                <w:szCs w:val="1"/>
                <w:color w:val="auto"/>
              </w:rPr>
            </w:pPr>
          </w:p>
        </w:tc>
      </w:tr>
      <w:tr>
        <w:trPr>
          <w:trHeight w:val="236"/>
        </w:trPr>
        <w:tc>
          <w:tcPr>
            <w:tcW w:w="6640" w:type="dxa"/>
            <w:vAlign w:val="bottom"/>
            <w:vMerge w:val="continue"/>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51</w:t>
      </w:r>
    </w:p>
    <w:p>
      <w:pPr>
        <w:sectPr>
          <w:pgSz w:w="11900" w:h="16838" w:orient="portrait"/>
          <w:cols w:equalWidth="0" w:num="1">
            <w:col w:w="11240"/>
          </w:cols>
          <w:pgMar w:left="320" w:top="1049"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Cornelius, certify that:</w:t>
      </w:r>
    </w:p>
    <w:p>
      <w:pPr>
        <w:spacing w:after="0" w:line="347"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17145</wp:posOffset>
            </wp:positionV>
            <wp:extent cx="1800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Craig Cornelius</w:t>
      </w:r>
    </w:p>
    <w:p>
      <w:pPr>
        <w:ind w:left="7200"/>
        <w:spacing w:after="0" w:line="203"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ectPr>
          <w:pgSz w:w="11900" w:h="16838" w:orient="portrait"/>
          <w:cols w:equalWidth="0" w:num="1">
            <w:col w:w="11240"/>
          </w:cols>
          <w:pgMar w:left="320" w:top="98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17145</wp:posOffset>
            </wp:positionV>
            <wp:extent cx="18345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Sarah Rubenstein</w:t>
      </w:r>
    </w:p>
    <w:p>
      <w:pPr>
        <w:ind w:left="7520"/>
        <w:spacing w:after="0" w:line="219" w:lineRule="auto"/>
        <w:rPr>
          <w:sz w:val="20"/>
          <w:szCs w:val="20"/>
          <w:color w:val="auto"/>
        </w:rPr>
      </w:pPr>
      <w:r>
        <w:rPr>
          <w:rFonts w:ascii="Times New Roman" w:cs="Times New Roman" w:eastAsia="Times New Roman" w:hAnsi="Times New Roman"/>
          <w:sz w:val="18"/>
          <w:szCs w:val="18"/>
          <w:i w:val="1"/>
          <w:iCs w:val="1"/>
          <w:color w:val="auto"/>
        </w:rPr>
        <w:t>Executive Vice President and Chief</w:t>
      </w:r>
    </w:p>
    <w:p>
      <w:pPr>
        <w:ind w:left="7520"/>
        <w:spacing w:after="0" w:line="203" w:lineRule="auto"/>
        <w:rPr>
          <w:sz w:val="20"/>
          <w:szCs w:val="20"/>
          <w:color w:val="auto"/>
        </w:rPr>
      </w:pPr>
      <w:r>
        <w:rPr>
          <w:rFonts w:ascii="Times New Roman" w:cs="Times New Roman" w:eastAsia="Times New Roman" w:hAnsi="Times New Roman"/>
          <w:sz w:val="18"/>
          <w:szCs w:val="18"/>
          <w:i w:val="1"/>
          <w:iCs w:val="1"/>
          <w:color w:val="auto"/>
        </w:rPr>
        <w:t>Financial Officer</w:t>
      </w:r>
    </w:p>
    <w:p>
      <w:pPr>
        <w:ind w:left="7520"/>
        <w:spacing w:after="0" w:line="204" w:lineRule="auto"/>
        <w:rPr>
          <w:sz w:val="20"/>
          <w:szCs w:val="20"/>
          <w:color w:val="auto"/>
        </w:rPr>
      </w:pPr>
      <w:r>
        <w:rPr>
          <w:rFonts w:ascii="Times New Roman" w:cs="Times New Roman" w:eastAsia="Times New Roman" w:hAnsi="Times New Roman"/>
          <w:sz w:val="18"/>
          <w:szCs w:val="18"/>
          <w:i w:val="1"/>
          <w:iCs w:val="1"/>
          <w:color w:val="auto"/>
        </w:rPr>
        <w:t>(Principal Financial Officer and</w:t>
      </w:r>
    </w:p>
    <w:p>
      <w:pPr>
        <w:ind w:left="75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Clearway Energy, Inc. on Form 10-Q for the quarter ended March 31, 2026,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4"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10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Craig Cornelius</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lowerLetter"/>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32"/>
    </w:lvl>
  </w:abstractNum>
  <w:abstractNum w:abstractNumId="28">
    <w:nsid w:val="7C3DBD3D"/>
    <w:multiLevelType w:val="hybridMultilevel"/>
    <w:lvl w:ilvl="0">
      <w:lvlJc w:val="left"/>
      <w:lvlText w:val="%1"/>
      <w:numFmt w:val="decimal"/>
      <w:start w:val="104"/>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91" Type="http://schemas.openxmlformats.org/officeDocument/2006/relationships/hyperlink" Target="https://www.sec.gov/Archives/edgar/data/1567683/000110465926053557/tm2613249d1_ex3-3.htm" TargetMode="External"/><Relationship Id="rId92" Type="http://schemas.openxmlformats.org/officeDocument/2006/relationships/hyperlink" Target="https://www.sec.gov/Archives/edgar/data/1567683/000110465926003322/tm262986d1_ex4-1.htm" TargetMode="External"/><Relationship Id="rId93" Type="http://schemas.openxmlformats.org/officeDocument/2006/relationships/hyperlink" Target="https://www.sec.gov/Archives/edgar/data/1567683/000110465926053557/tm2613249d1_ex4-1.htm" TargetMode="External"/><Relationship Id="rId94" Type="http://schemas.openxmlformats.org/officeDocument/2006/relationships/hyperlink" Target="https://www.sec.gov/Archives/edgar/data/1567683/000110465926051683/tm2612967d1_ex9-1.htm" TargetMode="External"/><Relationship Id="rId95" Type="http://schemas.openxmlformats.org/officeDocument/2006/relationships/hyperlink" Target="https://www.sec.gov/Archives/edgar/data/1567683/000110465926038738/tm261063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2026-05-08T05:04:24Z</dcterms:created>
  <dcterms:modified xsi:type="dcterms:W3CDTF">2026-05-08T05:04:24Z</dcterms:modified>
</cp:coreProperties>
</file>