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Rubenstein Sarah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VP Accounting &amp; Controller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11/02/2020</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7"/>
              </w:rPr>
              <w:t>5,122</w:t>
            </w:r>
            <w:r>
              <w:rPr>
                <w:rFonts w:ascii="Times New Roman" w:cs="Times New Roman" w:eastAsia="Times New Roman" w:hAnsi="Times New Roman"/>
                <w:sz w:val="22"/>
                <w:szCs w:val="22"/>
                <w:color w:val="008000"/>
                <w:w w:val="97"/>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16,743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-3014345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her appointment as Vice President, Accounting and Controller, Ms. Rubenstein was granted Restricted Stock Units ("RSUs") under Clearway Energy, Inc.'s Amended and Restated 2013 Equity Incentive Plan (the "LTIP"). The Reporting Person will receive from Clearway Energy, Inc. one such share of Class C Common Stock for each RSU that will vest ratably over a three-year period beginning on the first anniversary of the date of the grant.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11/04/2020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927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2020-11-04T16:46:11Z</dcterms:created>
  <dcterms:modified xsi:type="dcterms:W3CDTF">2020-11-04T16:46:11Z</dcterms:modified>
</cp:coreProperties>
</file>