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0" w:lineRule="exact"/>
        <w:rPr>
          <w:sz w:val="24"/>
          <w:szCs w:val="24"/>
          <w:color w:val="auto"/>
        </w:rPr>
      </w:pPr>
    </w:p>
    <w:p>
      <w:pPr>
        <w:spacing w:after="0" w:line="25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3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333-203369</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Clearway Energy LLC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25"/>
        </w:trPr>
        <w:tc>
          <w:tcPr>
            <w:tcW w:w="5180" w:type="dxa"/>
            <w:vAlign w:val="bottom"/>
          </w:tcPr>
          <w:p>
            <w:pPr>
              <w:jc w:val="center"/>
              <w:ind w:right="121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40" w:type="dxa"/>
            <w:vAlign w:val="bottom"/>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32-0407370</w:t>
            </w:r>
          </w:p>
        </w:tc>
      </w:tr>
      <w:tr>
        <w:trPr>
          <w:trHeight w:val="210"/>
        </w:trPr>
        <w:tc>
          <w:tcPr>
            <w:tcW w:w="5180" w:type="dxa"/>
            <w:vAlign w:val="bottom"/>
          </w:tcPr>
          <w:p>
            <w:pPr>
              <w:jc w:val="center"/>
              <w:ind w:right="12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40" w:type="dxa"/>
            <w:vAlign w:val="bottom"/>
          </w:tcPr>
          <w:p>
            <w:pPr>
              <w:jc w:val="center"/>
              <w:ind w:left="1214"/>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16"/>
        </w:trPr>
        <w:tc>
          <w:tcPr>
            <w:tcW w:w="5180" w:type="dxa"/>
            <w:vAlign w:val="bottom"/>
          </w:tcPr>
          <w:p>
            <w:pPr>
              <w:jc w:val="center"/>
              <w:ind w:right="1214"/>
              <w:spacing w:after="0"/>
              <w:rPr>
                <w:sz w:val="20"/>
                <w:szCs w:val="20"/>
                <w:color w:val="auto"/>
              </w:rPr>
            </w:pPr>
            <w:r>
              <w:rPr>
                <w:rFonts w:ascii="Times New Roman" w:cs="Times New Roman" w:eastAsia="Times New Roman" w:hAnsi="Times New Roman"/>
                <w:sz w:val="18"/>
                <w:szCs w:val="18"/>
                <w:b w:val="1"/>
                <w:bCs w:val="1"/>
                <w:color w:val="auto"/>
                <w:w w:val="98"/>
              </w:rPr>
              <w:t>300 Carnegie Center, Suite 300</w:t>
            </w:r>
          </w:p>
        </w:tc>
        <w:tc>
          <w:tcPr>
            <w:tcW w:w="3640" w:type="dxa"/>
            <w:vAlign w:val="bottom"/>
          </w:tcPr>
          <w:p>
            <w:pPr>
              <w:spacing w:after="0"/>
              <w:rPr>
                <w:sz w:val="24"/>
                <w:szCs w:val="24"/>
                <w:color w:val="auto"/>
              </w:rPr>
            </w:pPr>
          </w:p>
        </w:tc>
      </w:tr>
      <w:tr>
        <w:trPr>
          <w:trHeight w:val="225"/>
        </w:trPr>
        <w:tc>
          <w:tcPr>
            <w:tcW w:w="5180" w:type="dxa"/>
            <w:vAlign w:val="bottom"/>
          </w:tcPr>
          <w:p>
            <w:pPr>
              <w:jc w:val="center"/>
              <w:ind w:right="1214"/>
              <w:spacing w:after="0"/>
              <w:rPr>
                <w:sz w:val="20"/>
                <w:szCs w:val="20"/>
                <w:color w:val="auto"/>
              </w:rPr>
            </w:pPr>
            <w:r>
              <w:rPr>
                <w:rFonts w:ascii="Times New Roman" w:cs="Times New Roman" w:eastAsia="Times New Roman" w:hAnsi="Times New Roman"/>
                <w:sz w:val="18"/>
                <w:szCs w:val="18"/>
                <w:b w:val="1"/>
                <w:bCs w:val="1"/>
                <w:color w:val="auto"/>
              </w:rPr>
              <w:t>Princeton, New Jersey</w:t>
            </w:r>
          </w:p>
        </w:tc>
        <w:tc>
          <w:tcPr>
            <w:tcW w:w="3640" w:type="dxa"/>
            <w:vAlign w:val="bottom"/>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210"/>
        </w:trPr>
        <w:tc>
          <w:tcPr>
            <w:tcW w:w="5180" w:type="dxa"/>
            <w:vAlign w:val="bottom"/>
          </w:tcPr>
          <w:p>
            <w:pPr>
              <w:jc w:val="center"/>
              <w:ind w:right="119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40" w:type="dxa"/>
            <w:vAlign w:val="bottom"/>
          </w:tcPr>
          <w:p>
            <w:pPr>
              <w:jc w:val="center"/>
              <w:ind w:left="1214"/>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ind w:firstLine="270"/>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8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8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firstLine="27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5100"/>
        <w:spacing w:after="0" w:line="207" w:lineRule="exact"/>
        <w:tabs>
          <w:tab w:leader="none" w:pos="588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As of October 31, 2019, there were 34,599,645 Class A units outstanding, 42,738,750 Class B units outstanding, 73,336,990 Class C units outstanding, and 42,738,750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00" w:type="dxa"/>
            <w:vAlign w:val="bottom"/>
            <w:gridSpan w:val="16"/>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CAUTIONARY STATEMENT REGARDING FORWARD LOOKING INFORMATION</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9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GLOSSARY OF TERMS</w:t>
              </w:r>
            </w:hyperlink>
          </w:p>
        </w:tc>
        <w:tc>
          <w:tcPr>
            <w:tcW w:w="4840" w:type="dxa"/>
            <w:vAlign w:val="bottom"/>
            <w:tcBorders>
              <w:top w:val="single" w:sz="8" w:color="0000EE"/>
            </w:tcBorders>
            <w:gridSpan w:val="9"/>
          </w:tcPr>
          <w:p>
            <w:pPr>
              <w:spacing w:after="0"/>
              <w:rPr>
                <w:sz w:val="17"/>
                <w:szCs w:val="17"/>
                <w:color w:val="auto"/>
              </w:rPr>
            </w:pPr>
          </w:p>
        </w:tc>
        <w:tc>
          <w:tcPr>
            <w:tcW w:w="328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PART I — FINANCIAL INFORMATION</w:t>
              </w:r>
            </w:hyperlink>
          </w:p>
        </w:tc>
        <w:tc>
          <w:tcPr>
            <w:tcW w:w="6840" w:type="dxa"/>
            <w:vAlign w:val="bottom"/>
            <w:gridSpan w:val="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40" w:type="dxa"/>
            <w:vAlign w:val="bottom"/>
          </w:tcPr>
          <w:p>
            <w:pPr>
              <w:spacing w:after="0"/>
              <w:rPr>
                <w:sz w:val="17"/>
                <w:szCs w:val="17"/>
                <w:color w:val="auto"/>
              </w:rPr>
            </w:pPr>
          </w:p>
        </w:tc>
        <w:tc>
          <w:tcPr>
            <w:tcW w:w="976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 — FINANCIAL STATEMENTS AND NOTES</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7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ITEM 2 — MANAGEMENT’S DISCUSSION AND ANALYSIS OF FINANCIAL CONDITION AND RESULTS OF OPERATIONS</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340" w:type="dxa"/>
            <w:vAlign w:val="bottom"/>
          </w:tcPr>
          <w:p>
            <w:pPr>
              <w:spacing w:after="0"/>
              <w:rPr>
                <w:sz w:val="17"/>
                <w:szCs w:val="17"/>
                <w:color w:val="auto"/>
              </w:rPr>
            </w:pPr>
          </w:p>
        </w:tc>
        <w:tc>
          <w:tcPr>
            <w:tcW w:w="69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ITEM 3 — QUANTITATIVE AND QUALITATIVE DISCLOSURES ABOUT MARKET RISK</w:t>
              </w:r>
            </w:hyperlink>
          </w:p>
        </w:tc>
        <w:tc>
          <w:tcPr>
            <w:tcW w:w="27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340" w:type="dxa"/>
            <w:vAlign w:val="bottom"/>
          </w:tcPr>
          <w:p>
            <w:pPr>
              <w:spacing w:after="0"/>
              <w:rPr>
                <w:sz w:val="17"/>
                <w:szCs w:val="17"/>
                <w:color w:val="auto"/>
              </w:rPr>
            </w:pPr>
          </w:p>
        </w:tc>
        <w:tc>
          <w:tcPr>
            <w:tcW w:w="3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ITEM 4 — CONTROLS AND PROCEDURES</w:t>
              </w:r>
            </w:hyperlink>
          </w:p>
        </w:tc>
        <w:tc>
          <w:tcPr>
            <w:tcW w:w="632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2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8"/>
              </w:rPr>
            </w:pPr>
            <w:hyperlink w:anchor="page66">
              <w:r>
                <w:rPr>
                  <w:rFonts w:ascii="Times New Roman" w:cs="Times New Roman" w:eastAsia="Times New Roman" w:hAnsi="Times New Roman"/>
                  <w:sz w:val="18"/>
                  <w:szCs w:val="18"/>
                  <w:b w:val="1"/>
                  <w:bCs w:val="1"/>
                  <w:color w:val="0000EE"/>
                  <w:w w:val="98"/>
                </w:rPr>
                <w:t>PART II — OTHER INFORMATION</w:t>
              </w:r>
            </w:hyperlink>
          </w:p>
        </w:tc>
        <w:tc>
          <w:tcPr>
            <w:tcW w:w="7140" w:type="dxa"/>
            <w:vAlign w:val="bottom"/>
            <w:gridSpan w:val="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2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ITEM 1 — LEGAL PROCEEDINGS</w:t>
              </w:r>
            </w:hyperlink>
          </w:p>
        </w:tc>
        <w:tc>
          <w:tcPr>
            <w:tcW w:w="7040" w:type="dxa"/>
            <w:vAlign w:val="bottom"/>
            <w:gridSpan w:val="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2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66">
              <w:r>
                <w:rPr>
                  <w:rFonts w:ascii="Times New Roman" w:cs="Times New Roman" w:eastAsia="Times New Roman" w:hAnsi="Times New Roman"/>
                  <w:sz w:val="18"/>
                  <w:szCs w:val="18"/>
                  <w:color w:val="0000EE"/>
                  <w:w w:val="98"/>
                </w:rPr>
                <w:t>ITEM 1A — RISK FACTORS</w:t>
              </w:r>
            </w:hyperlink>
          </w:p>
        </w:tc>
        <w:tc>
          <w:tcPr>
            <w:tcW w:w="754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9760" w:type="dxa"/>
            <w:vAlign w:val="bottom"/>
            <w:gridSpan w:val="15"/>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ITEM 2 — UNREGISTERED SALES OF EQUITY SECURITIES AND USE OF PROCEEDS</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58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ITEM 3</w:t>
              </w:r>
            </w:hyperlink>
          </w:p>
        </w:tc>
        <w:tc>
          <w:tcPr>
            <w:tcW w:w="6320" w:type="dxa"/>
            <w:vAlign w:val="bottom"/>
            <w:tcBorders>
              <w:top w:val="single" w:sz="8" w:color="0000EE"/>
            </w:tcBorders>
            <w:gridSpan w:val="12"/>
          </w:tcPr>
          <w:p>
            <w:pPr>
              <w:ind w:left="40"/>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 DEFAULTS UPON SENIOR SECURITIES</w:t>
              </w:r>
            </w:hyperlink>
          </w:p>
        </w:tc>
        <w:tc>
          <w:tcPr>
            <w:tcW w:w="286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ITEM 4</w:t>
              </w:r>
            </w:hyperlink>
          </w:p>
        </w:tc>
        <w:tc>
          <w:tcPr>
            <w:tcW w:w="2700" w:type="dxa"/>
            <w:vAlign w:val="bottom"/>
            <w:tcBorders>
              <w:top w:val="single" w:sz="8" w:color="0000EE"/>
              <w:bottom w:val="single" w:sz="8" w:color="0000EE"/>
            </w:tcBorders>
            <w:gridSpan w:val="8"/>
          </w:tcPr>
          <w:p>
            <w:pPr>
              <w:ind w:left="40"/>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 MINE SAFETY DISCLOSURES</w:t>
              </w:r>
            </w:hyperlink>
          </w:p>
        </w:tc>
        <w:tc>
          <w:tcPr>
            <w:tcW w:w="760" w:type="dxa"/>
            <w:vAlign w:val="bottom"/>
            <w:tcBorders>
              <w:top w:val="single" w:sz="8" w:color="0000EE"/>
            </w:tcBorders>
            <w:gridSpan w:val="2"/>
          </w:tcPr>
          <w:p>
            <w:pPr>
              <w:spacing w:after="0"/>
              <w:rPr>
                <w:sz w:val="17"/>
                <w:szCs w:val="17"/>
                <w:color w:val="auto"/>
              </w:rPr>
            </w:pPr>
          </w:p>
        </w:tc>
        <w:tc>
          <w:tcPr>
            <w:tcW w:w="572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580" w:type="dxa"/>
            <w:vAlign w:val="bottom"/>
          </w:tcPr>
          <w:p>
            <w:pPr>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ITEM 5</w:t>
              </w:r>
            </w:hyperlink>
          </w:p>
        </w:tc>
        <w:tc>
          <w:tcPr>
            <w:tcW w:w="9180" w:type="dxa"/>
            <w:vAlign w:val="bottom"/>
            <w:gridSpan w:val="14"/>
          </w:tcPr>
          <w:p>
            <w:pPr>
              <w:ind w:left="40"/>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 OTHER INFORMATION</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ITEM 6</w:t>
              </w:r>
            </w:hyperlink>
          </w:p>
        </w:tc>
        <w:tc>
          <w:tcPr>
            <w:tcW w:w="1080" w:type="dxa"/>
            <w:vAlign w:val="bottom"/>
            <w:tcBorders>
              <w:top w:val="single" w:sz="8" w:color="0000EE"/>
              <w:bottom w:val="single" w:sz="8" w:color="0000EE"/>
            </w:tcBorders>
            <w:gridSpan w:val="3"/>
          </w:tcPr>
          <w:p>
            <w:pPr>
              <w:ind w:left="40"/>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 EXHIBITS</w:t>
              </w:r>
            </w:hyperlink>
          </w:p>
        </w:tc>
        <w:tc>
          <w:tcPr>
            <w:tcW w:w="1060" w:type="dxa"/>
            <w:vAlign w:val="bottom"/>
            <w:tcBorders>
              <w:top w:val="single" w:sz="8" w:color="0000EE"/>
            </w:tcBorders>
            <w:gridSpan w:val="3"/>
          </w:tcPr>
          <w:p>
            <w:pPr>
              <w:spacing w:after="0"/>
              <w:rPr>
                <w:sz w:val="17"/>
                <w:szCs w:val="17"/>
                <w:color w:val="auto"/>
              </w:rPr>
            </w:pPr>
          </w:p>
        </w:tc>
        <w:tc>
          <w:tcPr>
            <w:tcW w:w="7040" w:type="dxa"/>
            <w:vAlign w:val="bottom"/>
            <w:gridSpan w:val="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340" w:type="dxa"/>
            <w:vAlign w:val="bottom"/>
          </w:tcPr>
          <w:p>
            <w:pPr>
              <w:spacing w:after="0"/>
              <w:rPr>
                <w:sz w:val="17"/>
                <w:szCs w:val="17"/>
                <w:color w:val="auto"/>
              </w:rPr>
            </w:pPr>
          </w:p>
        </w:tc>
        <w:tc>
          <w:tcPr>
            <w:tcW w:w="9760" w:type="dxa"/>
            <w:vAlign w:val="bottom"/>
            <w:gridSpan w:val="15"/>
          </w:tcPr>
          <w:p>
            <w:pPr>
              <w:spacing w:after="0" w:line="196" w:lineRule="exact"/>
              <w:rPr>
                <w:rFonts w:ascii="Times New Roman" w:cs="Times New Roman" w:eastAsia="Times New Roman" w:hAnsi="Times New Roman"/>
                <w:sz w:val="18"/>
                <w:szCs w:val="18"/>
                <w:b w:val="1"/>
                <w:bCs w:val="1"/>
                <w:color w:val="0000EE"/>
              </w:rPr>
            </w:pPr>
            <w:hyperlink w:anchor="page66">
              <w:r>
                <w:rPr>
                  <w:rFonts w:ascii="Times New Roman" w:cs="Times New Roman" w:eastAsia="Times New Roman" w:hAnsi="Times New Roman"/>
                  <w:sz w:val="18"/>
                  <w:szCs w:val="18"/>
                  <w:b w:val="1"/>
                  <w:bCs w:val="1"/>
                  <w:color w:val="0000EE"/>
                </w:rPr>
                <w:t>SIGNATURES</w:t>
              </w:r>
            </w:hyperlink>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453"/>
        </w:trPr>
        <w:tc>
          <w:tcPr>
            <w:tcW w:w="3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340" w:type="dxa"/>
            <w:vAlign w:val="bottom"/>
            <w:gridSpan w:val="10"/>
          </w:tcPr>
          <w:p>
            <w:pPr>
              <w:jc w:val="right"/>
              <w:ind w:right="106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2018, as well as the following:</w:t>
      </w:r>
    </w:p>
    <w:p>
      <w:pPr>
        <w:spacing w:after="0" w:line="189"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PG&amp;E Bankruptcy;</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distributions;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and CEG;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transition services previously provided by NRG;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third parties;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or CEG;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9"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9"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1"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9" w:lineRule="exact"/>
        <w:rPr>
          <w:rFonts w:ascii="Times New Roman" w:cs="Times New Roman" w:eastAsia="Times New Roman" w:hAnsi="Times New Roman"/>
          <w:sz w:val="18"/>
          <w:szCs w:val="18"/>
          <w:color w:val="auto"/>
        </w:rPr>
      </w:pPr>
    </w:p>
    <w:p>
      <w:pPr>
        <w:ind w:left="820" w:hanging="326"/>
        <w:spacing w:after="0" w:line="261"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ectPr>
          <w:pgSz w:w="11900" w:h="16838" w:orient="portrait"/>
          <w:cols w:equalWidth="0" w:num="1">
            <w:col w:w="11420"/>
          </w:cols>
          <w:pgMar w:left="240" w:top="111"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432"/>
        </w:trPr>
        <w:tc>
          <w:tcPr>
            <w:tcW w:w="114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454"/>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2018 Form 10-K</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Clearway Energy LLC's (formerly NRG Yield LLC) Annual Report on Form 10-K for the year ended December</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31, 2018</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2019 Convertible Notes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$329 million aggregate principal amount of 3.50% convertible notes due 2019, issued by Clearway Energy, Inc.</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 Convertible Notes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 million aggregate principal amount of 3.25% convertible notes due 2020, issued by Clearway Energy, Inc.</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2024 Senior Notes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$500 million aggregate principal amount of 5.375% unsecured senior notes due 2024, issued by Clearway</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Energy Operating LLC</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2025 Senior Notes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Energy Operating LLC</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2026 Senior Notes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$350 million aggregate principal amount of 5.00% unsecured senior notes due 2026, issued by Clearway Energy</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Represents EBITDA adjusted for mark-to-market gains or losses, asset write offs and impairments; and factors</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which the Company does not consider indicative of future operating performance</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AOCL/AOCI</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Loss/Accumulated Other Comprehensive Income</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authoritative GAAP</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At-The-Market Equity Offering Program</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Bankruptcy Code</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11 of the U.S. Code</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Bankruptcy Court</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Bankruptcy Court for the Northern District of California</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CAFD</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Available for Distribution is Adjusted EBITDA plus cash distributions/return of investment from</w:t>
            </w:r>
          </w:p>
        </w:tc>
      </w:tr>
      <w:tr>
        <w:trPr>
          <w:trHeight w:val="216"/>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unconsolidated affiliates, adjustments to reflect CAFD generated by unconsolidated investments that are not</w:t>
            </w:r>
          </w:p>
        </w:tc>
      </w:tr>
      <w:tr>
        <w:trPr>
          <w:trHeight w:val="216"/>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able to distribute project dividends due to the PG&amp;E Bankruptcy, cash receipts from notes receivable, cash</w:t>
            </w:r>
          </w:p>
        </w:tc>
      </w:tr>
      <w:tr>
        <w:trPr>
          <w:trHeight w:val="216"/>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from noncontrolling interests, less cash distributions to noncontrolling interests, maintenance</w:t>
            </w:r>
          </w:p>
        </w:tc>
      </w:tr>
      <w:tr>
        <w:trPr>
          <w:trHeight w:val="216"/>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pro-rata Adjusted EBITDA from unconsolidated affiliates, cash interest paid, income taxes</w:t>
            </w:r>
          </w:p>
        </w:tc>
      </w:tr>
      <w:tr>
        <w:trPr>
          <w:trHeight w:val="216"/>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 principal amortization of indebtedness, Walnut Creek investment payments, and changes in prepaid and</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capacity payments</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Carlsbad Project</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527 MW natural gas fired project in Carlsbad, CA</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CEG</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CEG Master Services Agreements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Energy LLC</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Clearway Energy Operating LLC, and CEG</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CEG ROFO Agreement</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First Offer Agreement, entered into as of August 31, 2018, by and between Clearway Energy Group</w:t>
            </w:r>
          </w:p>
        </w:tc>
      </w:tr>
      <w:tr>
        <w:trPr>
          <w:trHeight w:val="216"/>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LLC and Clearway Energy, Inc., and solely for purposes of Section 2.4, GIP III Zephyr Acquisition Partners,</w:t>
            </w:r>
          </w:p>
        </w:tc>
      </w:tr>
      <w:tr>
        <w:trPr>
          <w:trHeight w:val="216"/>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L.P., as amended by the First Amendment dated February 14, 2019, the Second Amendment dated August 1,</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2019</w:t>
            </w:r>
          </w:p>
        </w:tc>
      </w:tr>
      <w:tr>
        <w:trPr>
          <w:trHeight w:val="500"/>
        </w:trPr>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5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15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r>
      <w:tr>
        <w:trPr>
          <w:trHeight w:val="311"/>
        </w:trPr>
        <w:tc>
          <w:tcPr>
            <w:tcW w:w="2880" w:type="dxa"/>
            <w:vAlign w:val="bottom"/>
            <w:gridSpan w:val="2"/>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8540" w:type="dxa"/>
            <w:vAlign w:val="bottom"/>
          </w:tcPr>
          <w:p>
            <w:pPr>
              <w:spacing w:after="0"/>
              <w:rPr>
                <w:sz w:val="24"/>
                <w:szCs w:val="24"/>
                <w:color w:val="auto"/>
              </w:rPr>
            </w:pPr>
          </w:p>
        </w:tc>
      </w:tr>
      <w:tr>
        <w:trPr>
          <w:trHeight w:val="493"/>
        </w:trPr>
        <w:tc>
          <w:tcPr>
            <w:tcW w:w="154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auto"/>
              </w:rPr>
              <w:t>CEG ROFO Asset</w:t>
            </w:r>
          </w:p>
        </w:tc>
        <w:tc>
          <w:tcPr>
            <w:tcW w:w="1340" w:type="dxa"/>
            <w:vAlign w:val="bottom"/>
          </w:tcPr>
          <w:p>
            <w:pPr>
              <w:spacing w:after="0"/>
              <w:rPr>
                <w:sz w:val="24"/>
                <w:szCs w:val="24"/>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to potentially be offered to the Company by CEG under the CEG ROFO Agreement</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Clearway Energy LLC</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holding company through which the projects are owned by Clearway Energy Group LLC, the holder of</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B and Class D units, and Clearway Energy, Inc., the holder of the Class A and Class C units</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Clearway Energy Group LLC</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holder of Clearway Energy, Inc.'s Class B and Class D common shares and Clearway Energy LLC's Class B</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Class D units</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holder of the project assets that are owned by Clearway Energy LLC</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COD</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Operation Date</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Clearway Energy LLC, together with its consolidated subsidiaries</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CVSR</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CVSR Holdco</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DGPV Holdco 1</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DGPV Holdco 1 LLC</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DGPV Holdco 2</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DGPV Holdco 2 LLC</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DGPV Holdco 3</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DGPV Holdco 3 LLC</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Distributed Solar</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Solar power projects, typically less than 20 MW in size, that primarily sell power produced to customers for</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usage on site, or are interconnected to sell power into the local distribution grid</w:t>
            </w:r>
          </w:p>
        </w:tc>
      </w:tr>
      <w:tr>
        <w:trPr>
          <w:trHeight w:val="279"/>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Drop Down Assets</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Collectively, assets under common control acquired by the Company from NRG from January 1, 2014 through</w:t>
            </w:r>
          </w:p>
        </w:tc>
      </w:tr>
      <w:tr>
        <w:trPr>
          <w:trHeight w:val="234"/>
        </w:trPr>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period ended August 31, 2018</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interest, tax, depreciation and amortization</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Economic Gross Margin</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Energy and capacity revenue less cost of fuels</w:t>
            </w:r>
          </w:p>
        </w:tc>
      </w:tr>
      <w:tr>
        <w:trPr>
          <w:trHeight w:val="29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ECP</w:t>
            </w:r>
          </w:p>
        </w:tc>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Energy Center Pittsburgh LLC, a subsidiary of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-3931285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-3931285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 Environmental Protection Agency</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EPC</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Engineering, Procurement and Construction</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GenConn</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GenConn Energy LLC</w:t>
            </w:r>
          </w:p>
        </w:tc>
      </w:tr>
      <w:tr>
        <w:trPr>
          <w:trHeight w:val="27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GIP</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Collectively, Global Infrastructure Partners III-C Intermediate AIV 3, L.P., Global Infrastructure Partners III-</w:t>
            </w:r>
          </w:p>
        </w:tc>
      </w:tr>
      <w:tr>
        <w:trPr>
          <w:trHeight w:val="216"/>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 AIV 3, L.P., Global Infrastructure Partners III-C Intermediate AIV 2, L.P., Global Infrastructure Partners</w:t>
            </w:r>
          </w:p>
        </w:tc>
      </w:tr>
      <w:tr>
        <w:trPr>
          <w:trHeight w:val="234"/>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III-C2 Intermediate AIV, L.P. and GIP III Zephyr Friends &amp; Family, LLC.</w:t>
            </w:r>
          </w:p>
        </w:tc>
      </w:tr>
      <w:tr>
        <w:trPr>
          <w:trHeight w:val="500"/>
        </w:trPr>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5</w:t>
            </w:r>
          </w:p>
        </w:tc>
      </w:tr>
      <w:tr>
        <w:trPr>
          <w:trHeight w:val="115"/>
        </w:trPr>
        <w:tc>
          <w:tcPr>
            <w:tcW w:w="1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r>
      <w:tr>
        <w:trPr>
          <w:trHeight w:val="311"/>
        </w:trPr>
        <w:tc>
          <w:tcPr>
            <w:tcW w:w="2780" w:type="dxa"/>
            <w:vAlign w:val="bottom"/>
            <w:gridSpan w:val="2"/>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8640" w:type="dxa"/>
            <w:vAlign w:val="bottom"/>
          </w:tcPr>
          <w:p>
            <w:pPr>
              <w:spacing w:after="0"/>
              <w:rPr>
                <w:sz w:val="24"/>
                <w:szCs w:val="24"/>
                <w:color w:val="auto"/>
              </w:rPr>
            </w:pPr>
          </w:p>
        </w:tc>
      </w:tr>
      <w:tr>
        <w:trPr>
          <w:trHeight w:val="475"/>
        </w:trPr>
        <w:tc>
          <w:tcPr>
            <w:tcW w:w="154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auto"/>
              </w:rPr>
              <w:t>GIP Transaction</w:t>
            </w:r>
          </w:p>
        </w:tc>
        <w:tc>
          <w:tcPr>
            <w:tcW w:w="1240" w:type="dxa"/>
            <w:vAlign w:val="bottom"/>
          </w:tcPr>
          <w:p>
            <w:pPr>
              <w:spacing w:after="0"/>
              <w:rPr>
                <w:sz w:val="24"/>
                <w:szCs w:val="24"/>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On August 31, 2018, NRG transferred its full ownership interest in the Company to Clearway Energy Group</w:t>
            </w:r>
          </w:p>
        </w:tc>
      </w:tr>
      <w:tr>
        <w:trPr>
          <w:trHeight w:val="216"/>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LLC and subsequently sold 100% of its interests in Clearway Energy Group LLC, which included NRG's</w:t>
            </w:r>
          </w:p>
        </w:tc>
      </w:tr>
      <w:tr>
        <w:trPr>
          <w:trHeight w:val="216"/>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renewable energy development and operations platform, to an affiliate of GIP. GIP, NRG and the Company also</w:t>
            </w:r>
          </w:p>
        </w:tc>
      </w:tr>
      <w:tr>
        <w:trPr>
          <w:trHeight w:val="216"/>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entered into a consent and indemnity agreement in connection with the purchase and sale agreement, which was</w:t>
            </w:r>
          </w:p>
        </w:tc>
      </w:tr>
      <w:tr>
        <w:trPr>
          <w:trHeight w:val="234"/>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signed on February 6, 2018</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HLBV</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Hypothetical Liquidation at Book Value</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LIBOR</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7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2017 Drop Down Assets</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 Agua Caliente Borrower 2 LLC, which owns a 16% interest (approximately 31% of NRG's 51% interest) in</w:t>
            </w:r>
          </w:p>
        </w:tc>
      </w:tr>
      <w:tr>
        <w:trPr>
          <w:trHeight w:val="216"/>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Agua Caliente solar farm and (ii) NRG's 100% ownership in the Class A equity interests in the Utah Solar</w:t>
            </w:r>
          </w:p>
        </w:tc>
      </w:tr>
      <w:tr>
        <w:trPr>
          <w:trHeight w:val="234"/>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Portfolio (defined below), both acquired by the Company on March 27, 2017</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MMBtu</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MW</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Megawatts</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MWh</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MWt</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Megawatts Thermal Equivalent</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Exposure</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Counterparty credit exposure to Clearway Energy, Inc. net of collateral</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NPPD</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Nebraska Public Power District</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NRG</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NRG Energy, Inc.</w:t>
            </w:r>
          </w:p>
        </w:tc>
      </w:tr>
      <w:tr>
        <w:trPr>
          <w:trHeight w:val="27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NRG ROFO Agreement</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Third Amended and Restated Right of First Offer Agreement, entered into as of August 31, 2018, by and</w:t>
            </w:r>
          </w:p>
        </w:tc>
      </w:tr>
      <w:tr>
        <w:trPr>
          <w:trHeight w:val="234"/>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between NRG Energy, Inc. and the Company</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OCI/OCL</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comprehensive income/loss</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O&amp;M</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Operation and Maintenance</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PG&amp;E</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Pacific Gas and Electric Company</w:t>
            </w:r>
          </w:p>
        </w:tc>
      </w:tr>
      <w:tr>
        <w:trPr>
          <w:trHeight w:val="27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PG&amp;E Bankruptcy</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On January 29, 2019, PG&amp;E Corporation and Pacific Gas and Electric Company filed voluntary petitions for</w:t>
            </w:r>
          </w:p>
        </w:tc>
      </w:tr>
      <w:tr>
        <w:trPr>
          <w:trHeight w:val="234"/>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relief under the Bankruptcy Code in the Bankruptcy Court</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PPA</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RENOM</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Clearway Renewable Operation &amp; Maintenance LLC</w:t>
            </w:r>
          </w:p>
        </w:tc>
      </w:tr>
      <w:tr>
        <w:trPr>
          <w:trHeight w:val="29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ROFO</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First Offer</w:t>
            </w:r>
          </w:p>
        </w:tc>
      </w:tr>
      <w:tr>
        <w:trPr>
          <w:trHeight w:val="500"/>
        </w:trPr>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6</w:t>
            </w:r>
          </w:p>
        </w:tc>
      </w:tr>
      <w:tr>
        <w:trPr>
          <w:trHeight w:val="115"/>
        </w:trPr>
        <w:tc>
          <w:tcPr>
            <w:tcW w:w="1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r>
      <w:tr>
        <w:trPr>
          <w:trHeight w:val="311"/>
        </w:trPr>
        <w:tc>
          <w:tcPr>
            <w:tcW w:w="2780" w:type="dxa"/>
            <w:vAlign w:val="bottom"/>
            <w:gridSpan w:val="2"/>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8640" w:type="dxa"/>
            <w:vAlign w:val="bottom"/>
          </w:tcPr>
          <w:p>
            <w:pPr>
              <w:spacing w:after="0"/>
              <w:rPr>
                <w:sz w:val="24"/>
                <w:szCs w:val="24"/>
                <w:color w:val="auto"/>
              </w:rPr>
            </w:pPr>
          </w:p>
        </w:tc>
      </w:tr>
      <w:tr>
        <w:trPr>
          <w:trHeight w:val="480"/>
        </w:trPr>
        <w:tc>
          <w:tcPr>
            <w:tcW w:w="154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auto"/>
              </w:rPr>
              <w:t>RPV Holdco</w:t>
            </w:r>
          </w:p>
        </w:tc>
        <w:tc>
          <w:tcPr>
            <w:tcW w:w="1240" w:type="dxa"/>
            <w:vAlign w:val="bottom"/>
          </w:tcPr>
          <w:p>
            <w:pPr>
              <w:spacing w:after="0"/>
              <w:rPr>
                <w:sz w:val="24"/>
                <w:szCs w:val="24"/>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RPV Holdco 1 LLC</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Collectively, the 2024 Senior Notes, the 2025 Senior Notes and the 2026 Senior Notes</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SPP</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Solar Power Partners</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Act</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Cuts and Jobs Act of 2017</w:t>
            </w:r>
          </w:p>
        </w:tc>
      </w:tr>
      <w:tr>
        <w:trPr>
          <w:trHeight w:val="252"/>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Thermal Business</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w:t>
            </w:r>
          </w:p>
        </w:tc>
      </w:tr>
      <w:tr>
        <w:trPr>
          <w:trHeight w:val="216"/>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and/or chilled water, and in some instances electricity, to commercial businesses, universities, hospitals and</w:t>
            </w:r>
          </w:p>
        </w:tc>
      </w:tr>
      <w:tr>
        <w:trPr>
          <w:trHeight w:val="234"/>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governmental units</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TSA</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Transition Services Agreement</w:t>
            </w:r>
          </w:p>
        </w:tc>
      </w:tr>
      <w:tr>
        <w:trPr>
          <w:trHeight w:val="252"/>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UPMC Thermal Project</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University of Pittsburgh Medical Center Thermal Project, a 73 MWt district energy system that allows ECP</w:t>
            </w:r>
          </w:p>
        </w:tc>
      </w:tr>
      <w:tr>
        <w:trPr>
          <w:trHeight w:val="234"/>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provide steam, chilled water and 7.5 MW of emergency backup power service to UPMC</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52"/>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Utah Solar Portfolio</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Collection consists of Four Brothers Solar, LLC, Granite Mountain Holdings, LLC, and Iron Springs Holdings,</w:t>
            </w:r>
          </w:p>
        </w:tc>
      </w:tr>
      <w:tr>
        <w:trPr>
          <w:trHeight w:val="216"/>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LLC, which are equity investments owned by Four Brothers Capital, LLC, Granite Mountain Capital, LLC, and</w:t>
            </w:r>
          </w:p>
        </w:tc>
      </w:tr>
      <w:tr>
        <w:trPr>
          <w:trHeight w:val="216"/>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Iron Springs Capital, LLC, respectively, and are part of the March 2017 Drop Down Assets acquisition that</w:t>
            </w:r>
          </w:p>
        </w:tc>
      </w:tr>
      <w:tr>
        <w:trPr>
          <w:trHeight w:val="234"/>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closed on March 27, 2017</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Utility Scale Solar</w:t>
            </w:r>
          </w:p>
        </w:tc>
        <w:tc>
          <w:tcPr>
            <w:tcW w:w="8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-8502015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-8502015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-3082290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-3082290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4" w:name="page5"/>
    <w:bookmarkEnd w:id="4"/>
    <w:p>
      <w:pPr>
        <w:ind w:left="3240"/>
        <w:spacing w:after="0"/>
        <w:rPr>
          <w:sz w:val="20"/>
          <w:szCs w:val="20"/>
          <w:color w:val="auto"/>
        </w:rPr>
      </w:pPr>
      <w:r>
        <w:rPr>
          <w:rFonts w:ascii="Times New Roman" w:cs="Times New Roman" w:eastAsia="Times New Roman" w:hAnsi="Times New Roman"/>
          <w:sz w:val="17"/>
          <w:szCs w:val="17"/>
          <w:color w:val="auto"/>
        </w:rPr>
        <w:t>interconnected into the transmission or distribution grid to sell power at a wholesale level</w:t>
      </w:r>
    </w:p>
    <w:p>
      <w:pPr>
        <w:sectPr>
          <w:pgSz w:w="11900" w:h="16838" w:orient="portrait"/>
          <w:cols w:equalWidth="0" w:num="1">
            <w:col w:w="11420"/>
          </w:cols>
          <w:pgMar w:left="240" w:top="121" w:right="239" w:bottom="175" w:gutter="0" w:footer="0" w:header="0"/>
        </w:sectPr>
      </w:pP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VaR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at Risk</w:t>
      </w:r>
    </w:p>
    <w:p>
      <w:pPr>
        <w:spacing w:after="0" w:line="75" w:lineRule="exact"/>
        <w:rPr>
          <w:sz w:val="20"/>
          <w:szCs w:val="20"/>
          <w:color w:val="auto"/>
        </w:rPr>
      </w:pPr>
    </w:p>
    <w:p>
      <w:pPr>
        <w:sectPr>
          <w:pgSz w:w="11900" w:h="16838" w:orient="portrait"/>
          <w:cols w:equalWidth="0" w:num="2">
            <w:col w:w="2520" w:space="720"/>
            <w:col w:w="8180"/>
          </w:cols>
          <w:pgMar w:left="240" w:top="121" w:right="239" w:bottom="175"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74" w:lineRule="exact"/>
        <w:rPr>
          <w:sz w:val="20"/>
          <w:szCs w:val="20"/>
          <w:color w:val="auto"/>
        </w:rPr>
      </w:pPr>
    </w:p>
    <w:p>
      <w:pPr>
        <w:sectPr>
          <w:pgSz w:w="11900" w:h="16838" w:orient="portrait"/>
          <w:cols w:equalWidth="0" w:num="2">
            <w:col w:w="2520" w:space="720"/>
            <w:col w:w="8180"/>
          </w:cols>
          <w:pgMar w:left="240" w:top="121" w:right="239" w:bottom="175"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520" w:space="720"/>
            <w:col w:w="8180"/>
          </w:cols>
          <w:pgMar w:left="240" w:top="121" w:right="239" w:bottom="175" w:gutter="0" w:footer="0" w:header="0"/>
          <w:type w:val="continuous"/>
        </w:sectPr>
      </w:pP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75" w:gutter="0" w:footer="0" w:header="0"/>
          <w:type w:val="continuous"/>
        </w:sectPr>
      </w:pPr>
    </w:p>
    <w:p>
      <w:pPr>
        <w:spacing w:after="0" w:line="24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3"/>
        </w:trPr>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c>
          <w:tcPr>
            <w:tcW w:w="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(Loss)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LLC</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80" w:type="dxa"/>
            <w:vAlign w:val="bottom"/>
          </w:tcPr>
          <w:p>
            <w:pPr>
              <w:spacing w:after="0"/>
              <w:rPr>
                <w:sz w:val="17"/>
                <w:szCs w:val="17"/>
                <w:color w:val="auto"/>
              </w:rPr>
            </w:pPr>
          </w:p>
        </w:tc>
      </w:tr>
      <w:tr>
        <w:trPr>
          <w:trHeight w:val="212"/>
        </w:trPr>
        <w:tc>
          <w:tcPr>
            <w:tcW w:w="6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5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80" w:type="dxa"/>
            <w:vAlign w:val="bottom"/>
            <w:tcBorders>
              <w:bottom w:val="single" w:sz="8" w:color="auto"/>
            </w:tcBorders>
          </w:tcPr>
          <w:p>
            <w:pPr>
              <w:spacing w:after="0"/>
              <w:rPr>
                <w:sz w:val="18"/>
                <w:szCs w:val="18"/>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60" w:type="dxa"/>
            <w:vAlign w:val="bottom"/>
            <w:gridSpan w:val="2"/>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w:t>
            </w:r>
          </w:p>
        </w:tc>
        <w:tc>
          <w:tcPr>
            <w:tcW w:w="84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172</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Gain</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6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5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206</w:t>
            </w:r>
          </w:p>
        </w:tc>
      </w:tr>
      <w:tr>
        <w:trPr>
          <w:trHeight w:val="21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5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Clearway Energy LLC</w:t>
            </w:r>
          </w:p>
        </w:tc>
        <w:tc>
          <w:tcPr>
            <w:tcW w:w="1260" w:type="dxa"/>
            <w:vAlign w:val="bottom"/>
            <w:gridSpan w:val="2"/>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86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w:t>
            </w:r>
          </w:p>
        </w:tc>
        <w:tc>
          <w:tcPr>
            <w:tcW w:w="84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301</w:t>
            </w:r>
          </w:p>
        </w:tc>
      </w:tr>
      <w:tr>
        <w:trPr>
          <w:trHeight w:val="20"/>
        </w:trPr>
        <w:tc>
          <w:tcPr>
            <w:tcW w:w="6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ectPr>
          <w:pgSz w:w="11900" w:h="16838" w:orient="portrait"/>
          <w:cols w:equalWidth="0" w:num="1">
            <w:col w:w="11420"/>
          </w:cols>
          <w:pgMar w:left="240" w:top="121" w:right="239" w:bottom="175" w:gutter="0" w:footer="0" w:header="0"/>
          <w:type w:val="continuous"/>
        </w:sectPr>
      </w:pPr>
    </w:p>
    <w:bookmarkStart w:id="5" w:name="page6"/>
    <w:bookmarkEnd w:id="5"/>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208"/>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500" w:type="dxa"/>
            <w:vAlign w:val="bottom"/>
            <w:shd w:val="clear" w:color="auto" w:fill="CCEEFF"/>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 — affiliate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5,245</w:t>
            </w: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Right of use assets,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37"/>
        </w:trPr>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2,442</w:t>
            </w:r>
          </w:p>
        </w:tc>
      </w:tr>
      <w:tr>
        <w:trPr>
          <w:trHeight w:val="250"/>
        </w:trPr>
        <w:tc>
          <w:tcPr>
            <w:tcW w:w="20" w:type="dxa"/>
            <w:vAlign w:val="bottom"/>
          </w:tcPr>
          <w:p>
            <w:pPr>
              <w:spacing w:after="0"/>
              <w:rPr>
                <w:sz w:val="21"/>
                <w:szCs w:val="21"/>
                <w:color w:val="auto"/>
              </w:rPr>
            </w:pPr>
          </w:p>
        </w:tc>
        <w:tc>
          <w:tcPr>
            <w:tcW w:w="8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8,762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8,448</w:t>
            </w:r>
          </w:p>
        </w:tc>
      </w:tr>
      <w:tr>
        <w:trPr>
          <w:trHeight w:val="197"/>
        </w:trPr>
        <w:tc>
          <w:tcPr>
            <w:tcW w:w="20" w:type="dxa"/>
            <w:vAlign w:val="bottom"/>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6500" w:type="dxa"/>
            <w:vAlign w:val="bottom"/>
            <w:tcBorders>
              <w:top w:val="single" w:sz="8" w:color="CCEEFF"/>
            </w:tcBorders>
          </w:tcPr>
          <w:p>
            <w:pPr>
              <w:jc w:val="center"/>
              <w:ind w:right="14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MEMBERS' EQUITY</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 external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 affiliate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 — trade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 external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5,404</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debt — affiliate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5,567</w:t>
            </w: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6,266</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Contributed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1,940</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r>
      <w:tr>
        <w:trPr>
          <w:trHeight w:val="250"/>
        </w:trPr>
        <w:tc>
          <w:tcPr>
            <w:tcW w:w="20" w:type="dxa"/>
            <w:vAlign w:val="bottom"/>
          </w:tcPr>
          <w:p>
            <w:pPr>
              <w:spacing w:after="0"/>
              <w:rPr>
                <w:sz w:val="21"/>
                <w:szCs w:val="21"/>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8,762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8,448</w:t>
            </w:r>
          </w:p>
        </w:tc>
      </w:tr>
      <w:tr>
        <w:trPr>
          <w:trHeight w:val="413"/>
        </w:trPr>
        <w:tc>
          <w:tcPr>
            <w:tcW w:w="20" w:type="dxa"/>
            <w:vAlign w:val="bottom"/>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6500" w:type="dxa"/>
            <w:vAlign w:val="bottom"/>
            <w:tcBorders>
              <w:top w:val="single" w:sz="8" w:color="CCEEFF"/>
            </w:tcBorders>
          </w:tcPr>
          <w:p>
            <w:pPr>
              <w:jc w:val="center"/>
              <w:ind w:left="177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432"/>
        </w:trPr>
        <w:tc>
          <w:tcPr>
            <w:tcW w:w="8040" w:type="dxa"/>
            <w:vAlign w:val="bottom"/>
            <w:gridSpan w:val="3"/>
          </w:tcPr>
          <w:p>
            <w:pPr>
              <w:jc w:val="center"/>
              <w:ind w:left="3288"/>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r>
        <w:trPr>
          <w:trHeight w:val="311"/>
        </w:trPr>
        <w:tc>
          <w:tcPr>
            <w:tcW w:w="8040" w:type="dxa"/>
            <w:vAlign w:val="bottom"/>
            <w:gridSpan w:val="3"/>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96"/>
        </w:trPr>
        <w:tc>
          <w:tcPr>
            <w:tcW w:w="2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65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CLEARWAY ENERGY LLC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5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32"/>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4"/>
          </w:tcPr>
          <w:p>
            <w:pPr>
              <w:jc w:val="right"/>
              <w:ind w:right="1210"/>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20"/>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Right of use asset amortization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
              <w:spacing w:after="0" w:line="205"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-2732405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-2732405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420"/>
          </w:cols>
          <w:pgMar w:left="240" w:top="117"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intangibles and out-of-market contracts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Adjustment for debt extinguishment</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losses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(gain) on disposal of asset components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1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3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Partnership interests acquisition</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 of the Drop Down Assets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Buyout of Wind TE Holdco non-controlling interest</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expenditures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(distributions) contributions from noncontrolling interests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proceeds from the issuance of Class C units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of distributions, net of contributions</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the issuance of long-term debt — external</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for long-term debt — external</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for long-term debt — affiliate</w:t>
            </w:r>
          </w:p>
        </w:tc>
        <w:tc>
          <w:tcPr>
            <w:tcW w:w="1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3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3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6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Members'</w:t>
            </w:r>
          </w:p>
        </w:tc>
      </w:tr>
      <w:tr>
        <w:trPr>
          <w:trHeight w:val="218"/>
        </w:trPr>
        <w:tc>
          <w:tcPr>
            <w:tcW w:w="61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Buyout of Wind TE Holdco non-controlling interest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tax equity investors, net of distributions, cash</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CEG, net of contributions</w:t>
            </w: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CEG for Oahu Partnership, non-cash</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from change in accounting principle</w:t>
            </w: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CEG on Class B and Class D units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Clearway Energy, Inc.</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non-controlling interests, net of contributions, cash</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(Distributions) contributions from CEG for Kawailoa, Repowering Partnerships,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CEG on Class B and Class D units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Clearway Energy, Inc., non-cash</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Clearway Energy, Inc.</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p>
    <w:p>
      <w:pPr>
        <w:sectPr>
          <w:pgSz w:w="11900" w:h="16838" w:orient="portrait"/>
          <w:cols w:equalWidth="0" w:num="1">
            <w:col w:w="11420"/>
          </w:cols>
          <w:pgMar w:left="240" w:top="121"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to non-controlling interests, net of contributions, cash</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CEG for Kawailoa, Repowering Partnerships, non-cash</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CEG on Class B and Class D units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Clearway Energy, Inc., non-cash</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Clearway Energy, Inc.</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1,854</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1,977</w:t>
            </w:r>
          </w:p>
        </w:tc>
      </w:tr>
      <w:tr>
        <w:trPr>
          <w:trHeight w:val="845"/>
        </w:trPr>
        <w:tc>
          <w:tcPr>
            <w:tcW w:w="154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r>
        <w:trPr>
          <w:trHeight w:val="311"/>
        </w:trPr>
        <w:tc>
          <w:tcPr>
            <w:tcW w:w="5520" w:type="dxa"/>
            <w:vAlign w:val="bottom"/>
            <w:gridSpan w:val="2"/>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-234950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Members'</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2017</w:t>
            </w: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Payment for the Buckthorn Solar Drop Down Asset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tax equity investors, net of distributions, cash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NRG, net of contributions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NRG on Class B and Class D units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Clearway Energy, Inc.</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2018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Payment for the Buckthorn Solar Drop Down Asset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tax equity investors, net of distributions, cash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NRG, net of contributions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Class C Common Stock</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Clearway Energy, Inc.</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Payment for the Buckthorn Solar Drop Down Asset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tax equity investors, net of distributions, cash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from tax equity investors, net of distributions, non cash</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NRG on Class B and Class D units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Class C Common Stock</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Clearway Energy, Inc.</w:t>
            </w: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2018</w:t>
            </w: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was previously owned by NRG Energy, Inc., or NRG. On August 31, 2018, NRG transferred its full ownership interest in the Company to CEG, the holder of NRG's renewable energy development and operations platform, and subsequently sold 100% of its interest in CEG to GIP, referred to hereinafter as the GIP Transaction.</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environmentally-sound asset portfolio includes over 5,330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ectPr>
          <w:pgSz w:w="11900" w:h="16838" w:orient="portrait"/>
          <w:cols w:equalWidth="0" w:num="1">
            <w:col w:w="11420"/>
          </w:cols>
          <w:pgMar w:left="240" w:top="121" w:right="239" w:bottom="0" w:gutter="0" w:footer="0" w:header="0"/>
        </w:sectPr>
      </w:pPr>
    </w:p>
    <w:bookmarkStart w:id="8" w:name="page9"/>
    <w:bookmarkEnd w:id="8"/>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Clearway Energy, Inc. consolidates the results of Clearway Energy LLC through its controlling interest, with CEG's interest shown as noncontrolling interest in the financial statements. The holders of Clearway Energy, Inc.'s outstanding shares of Class A and Class C common stock are entitled to dividends as declared. CEG receives its distributions from Clearway Energy LLC through its ownership of Clearway Energy LLC Class B and Class D units. Clearway Energy, Inc. currently owns 55.81% of the economic interests of Clearway Energy LLC, with CEG retaining 44.19% of the economic interests of Clearway Energy LLC.</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154940</wp:posOffset>
            </wp:positionV>
            <wp:extent cx="5848985" cy="4090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8985"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2018 Form 10-K. Interim results are not necessarily indicative of results for a full year.</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2019, and the results of operations, comprehensive income (loss) and cash flows for the nine months ended September 30, 2019 and 2018.</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January 29, 2019,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September 30, 2019, the Company had $147 million in restricted cash, $1.4 billion of property, plant and equipment, net, $370 million investments in unconsolidated affiliates and $1.3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$1.3 billion of principal, net of the related unamortized debt issuance costs, as short-term debt as of September 30, 2019.</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As of November 6, 2019, the Company's contracts with PG&amp;E have operated in the normal course and the Company currently expects these contracts to continue as such. On September 23, 2019, PG&amp;E filed the </w:t>
      </w:r>
      <w:r>
        <w:rPr>
          <w:rFonts w:ascii="Times New Roman" w:cs="Times New Roman" w:eastAsia="Times New Roman" w:hAnsi="Times New Roman"/>
          <w:sz w:val="18"/>
          <w:szCs w:val="18"/>
          <w:i w:val="1"/>
          <w:iCs w:val="1"/>
          <w:color w:val="auto"/>
        </w:rPr>
        <w:t>Debtors' First Amended Joint Chapter</w:t>
      </w:r>
      <w:r>
        <w:rPr>
          <w:rFonts w:ascii="Times New Roman" w:cs="Times New Roman" w:eastAsia="Times New Roman" w:hAnsi="Times New Roman"/>
          <w:sz w:val="18"/>
          <w:szCs w:val="18"/>
          <w:color w:val="auto"/>
        </w:rPr>
        <w:t xml:space="preserve"> 11 </w:t>
      </w:r>
      <w:r>
        <w:rPr>
          <w:rFonts w:ascii="Times New Roman" w:cs="Times New Roman" w:eastAsia="Times New Roman" w:hAnsi="Times New Roman"/>
          <w:sz w:val="18"/>
          <w:szCs w:val="18"/>
          <w:i w:val="1"/>
          <w:iCs w:val="1"/>
          <w:color w:val="auto"/>
        </w:rPr>
        <w:t>Plan of Reorganization, or</w:t>
      </w:r>
      <w:r>
        <w:rPr>
          <w:rFonts w:ascii="Times New Roman" w:cs="Times New Roman" w:eastAsia="Times New Roman" w:hAnsi="Times New Roman"/>
          <w:sz w:val="18"/>
          <w:szCs w:val="18"/>
          <w:color w:val="auto"/>
        </w:rPr>
        <w:t xml:space="preserve"> the PG&amp;E Plan, which would provide for PG&amp;E to assume all of its PPAs with the Company. The PG&amp;E Plan is not expected to be considered for confirmation by the Bankruptcy Court until the conclusion of a proceeding to estimate PG&amp;E’s liability for prior wildfires, now pending before the United States District Court for the Northern District of California, and scheduled for trial commencing on February 18, 2020. Additionally, on October 9, 2019, the Bankruptcy Court entered an order terminating the period in which PG&amp;E had the exclusive right to prosecute a plan of reorganization. On October 17, 2019, an ad hoc group of senior noteholders filed a competing plan of reorganization, which would also provide for PG&amp;E to assume all of its PPAs with the Company. As of November 6, 2019,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 For further discussion, see Note 7, </w:t>
      </w:r>
      <w:r>
        <w:rPr>
          <w:rFonts w:ascii="Times New Roman" w:cs="Times New Roman" w:eastAsia="Times New Roman" w:hAnsi="Times New Roman"/>
          <w:sz w:val="18"/>
          <w:szCs w:val="18"/>
          <w:i w:val="1"/>
          <w:iCs w:val="1"/>
          <w:color w:val="auto"/>
        </w:rPr>
        <w:t>Long-term Debt.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GIP Transaction, the Company entered into a Transition Services Agreement with NRG, or the NRG TSA, pursuant to which NRG or certain of its affiliates began providing certain services to the Company following the consummation of the GIP Transaction on August 31, 2018, in exchange for the payment of a fee in respect of such services. A material portion of these processes terminated during the second quarter of 2019 and such services were subsequently provided by both the Company and by CEG pursuant to the CEG Master Services Agreements. During the second quarter of 2019, the Company exercised its option to extend the term of the NRG TSA through April 30, 2020 for the remaining services, some of which will be billed at an hourly rate as agreed between the parties. The Company incurred approximately $1.5 million of expense related to the NRG TSA during the nine months ended September 30, 2019, which was recorded in transaction and integration costs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$116 million and $109 million as of September 30, 2019 and December 31, 2018, respectively.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4"/>
          </w:tcPr>
          <w:p>
            <w:pPr>
              <w:jc w:val="right"/>
              <w:ind w:right="1014"/>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shown in the statement of cash flows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Restricted cash consists primarily of funds held to satisfy the requirements of certain debt agreements and funds held within the Company's projects that are restricted in their use. As of September 30, 2019, these restricted funds were comprised of $78 million designated to fund operating expenses, $70 million designated for current debt service payments, and $53 million restricted for reserves including debt service, performance obligations and other reserves, as well as capital expenditures. The remaining $48 million is held in distribution reserve accounts, of which $36 million related to subsidiaries affected by the PG&amp;E Bankruptcy as discussed in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may not be distributed during the pendency of the bankruptcy. The Company had a total of $147 million in restricted cash held by the subsidiaries affected by the PG&amp;E Bankruptcy at September 30,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Accumulated Amortization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the property, plant and equipment, net, and accumulated amortization included in intangible assets, net, respectively, as of September 30, 2019 and December 31, 2018:</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4"/>
          </w:tcPr>
          <w:p>
            <w:pPr>
              <w:jc w:val="right"/>
              <w:ind w:right="1014"/>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22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lists distributions paid on Clearway Energy LLC's Class A, B, C and D units during the nine months ended September 30, 2019:</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Third Quarter 2019</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Second Quarter 2019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First Quarter 2019</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per Class A, B, C and D unit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October 29, 2019, Clearway Energy LLC declared a distribution on its Class B and Class D units of $0.20 per unit payable on December 16, 2019 to unit holders of record as of December 2,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2018, the Company adopted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Power Purchase Agreements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Renewable Energy Credits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 of Emission Allowances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22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nine months ended September 30, 2019:</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3"/>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8"/>
        </w:trPr>
        <w:tc>
          <w:tcPr>
            <w:tcW w:w="5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5320" w:type="dxa"/>
            <w:vAlign w:val="bottom"/>
            <w:shd w:val="clear" w:color="auto" w:fill="CCEEFF"/>
          </w:tcPr>
          <w:p>
            <w:pPr>
              <w:ind w:left="160"/>
              <w:spacing w:after="0" w:line="250"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8"/>
                <w:szCs w:val="28"/>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532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14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14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Mark-to-market for economic hedging activities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Lease revenue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740" w:hanging="246"/>
        <w:spacing w:after="0"/>
        <w:tabs>
          <w:tab w:leader="none" w:pos="740" w:val="left"/>
        </w:tabs>
        <w:numPr>
          <w:ilvl w:val="0"/>
          <w:numId w:val="4"/>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The following amounts of energy and capacity revenue relate to leases and are accounted for under ASC 842:</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8"/>
        </w:trPr>
        <w:tc>
          <w:tcPr>
            <w:tcW w:w="5340" w:type="dxa"/>
            <w:vAlign w:val="bottom"/>
            <w:gridSpan w:val="2"/>
          </w:tcPr>
          <w:p>
            <w:pPr>
              <w:ind w:left="8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7"/>
              </w:rPr>
              <w:t>Thermal</w:t>
            </w:r>
          </w:p>
        </w:tc>
        <w:tc>
          <w:tcPr>
            <w:tcW w:w="80" w:type="dxa"/>
            <w:vAlign w:val="bottom"/>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4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44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w:t>
            </w:r>
          </w:p>
        </w:tc>
        <w:tc>
          <w:tcPr>
            <w:tcW w:w="84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629"/>
        </w:trPr>
        <w:tc>
          <w:tcPr>
            <w:tcW w:w="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0"/>
        </w:trPr>
        <w:tc>
          <w:tcPr>
            <w:tcW w:w="8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52"/>
              <w:spacing w:after="0" w:line="181" w:lineRule="exact"/>
              <w:rPr>
                <w:sz w:val="20"/>
                <w:szCs w:val="20"/>
                <w:color w:val="auto"/>
              </w:rPr>
            </w:pPr>
            <w:r>
              <w:rPr>
                <w:rFonts w:ascii="Times New Roman" w:cs="Times New Roman" w:eastAsia="Times New Roman" w:hAnsi="Times New Roman"/>
                <w:sz w:val="16"/>
                <w:szCs w:val="16"/>
                <w:b w:val="1"/>
                <w:bCs w:val="1"/>
                <w:color w:val="auto"/>
              </w:rPr>
              <w:t>Conventional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8"/>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50"/>
        </w:trPr>
        <w:tc>
          <w:tcPr>
            <w:tcW w:w="5340" w:type="dxa"/>
            <w:vAlign w:val="bottom"/>
            <w:tcBorders>
              <w:right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8"/>
                <w:szCs w:val="28"/>
                <w:color w:val="auto"/>
                <w:vertAlign w:val="superscript"/>
              </w:rPr>
              <w:t>(a)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w:t>
            </w:r>
          </w:p>
        </w:tc>
        <w:tc>
          <w:tcPr>
            <w:tcW w:w="840" w:type="dxa"/>
            <w:vAlign w:val="bottom"/>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451</w:t>
            </w:r>
          </w:p>
        </w:tc>
      </w:tr>
      <w:tr>
        <w:trPr>
          <w:trHeight w:val="257"/>
        </w:trPr>
        <w:tc>
          <w:tcPr>
            <w:tcW w:w="53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5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3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5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hedging activities</w:t>
            </w: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2"/>
              </w:rPr>
              <w:t>(416)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53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gridSpan w:val="3"/>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700" w:hanging="206"/>
        <w:spacing w:after="0"/>
        <w:tabs>
          <w:tab w:leader="none" w:pos="70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following amounts of energy and capacity revenue relate to leases and are accounted for under ASC 842:</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8"/>
        </w:trPr>
        <w:tc>
          <w:tcPr>
            <w:tcW w:w="4020" w:type="dxa"/>
            <w:vAlign w:val="bottom"/>
            <w:gridSpan w:val="2"/>
          </w:tcPr>
          <w:p>
            <w:pPr>
              <w:ind w:left="11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7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nine months ended September 30, 2018:</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2018</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3"/>
        </w:trPr>
        <w:tc>
          <w:tcPr>
            <w:tcW w:w="5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5280" w:type="dxa"/>
            <w:vAlign w:val="bottom"/>
            <w:shd w:val="clear" w:color="auto" w:fill="CCEEFF"/>
          </w:tcPr>
          <w:p>
            <w:pPr>
              <w:ind w:left="160"/>
              <w:spacing w:after="0" w:line="250"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8"/>
                <w:szCs w:val="28"/>
                <w:color w:val="auto"/>
                <w:vertAlign w:val="superscript"/>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r>
      <w:tr>
        <w:trPr>
          <w:trHeight w:val="257"/>
        </w:trPr>
        <w:tc>
          <w:tcPr>
            <w:tcW w:w="528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Lease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700" w:hanging="206"/>
        <w:spacing w:after="0"/>
        <w:tabs>
          <w:tab w:leader="none" w:pos="70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following amounts of energy and capacity revenue relate to leases and are accounted for under ASC 840:</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8"/>
        </w:trPr>
        <w:tc>
          <w:tcPr>
            <w:tcW w:w="5340" w:type="dxa"/>
            <w:vAlign w:val="bottom"/>
            <w:gridSpan w:val="2"/>
          </w:tcPr>
          <w:p>
            <w:pPr>
              <w:ind w:left="8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7"/>
              </w:rPr>
              <w:t>Thermal</w:t>
            </w:r>
          </w:p>
        </w:tc>
        <w:tc>
          <w:tcPr>
            <w:tcW w:w="80" w:type="dxa"/>
            <w:vAlign w:val="bottom"/>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4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44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246</w:t>
            </w:r>
          </w:p>
        </w:tc>
        <w:tc>
          <w:tcPr>
            <w:tcW w:w="84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612"/>
        </w:trPr>
        <w:tc>
          <w:tcPr>
            <w:tcW w:w="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2018</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8"/>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50"/>
        </w:trPr>
        <w:tc>
          <w:tcPr>
            <w:tcW w:w="5340" w:type="dxa"/>
            <w:vAlign w:val="bottom"/>
            <w:tcBorders>
              <w:right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8"/>
                <w:szCs w:val="28"/>
                <w:color w:val="auto"/>
                <w:vertAlign w:val="superscript"/>
              </w:rPr>
              <w:t>(a)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c>
          <w:tcPr>
            <w:tcW w:w="840" w:type="dxa"/>
            <w:vAlign w:val="bottom"/>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470</w:t>
            </w:r>
          </w:p>
        </w:tc>
      </w:tr>
      <w:tr>
        <w:trPr>
          <w:trHeight w:val="257"/>
        </w:trPr>
        <w:tc>
          <w:tcPr>
            <w:tcW w:w="53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5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5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2"/>
              </w:rPr>
              <w:t>(438)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53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gridSpan w:val="3"/>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700" w:hanging="206"/>
        <w:spacing w:after="0"/>
        <w:tabs>
          <w:tab w:leader="none" w:pos="70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following amounts of energy and capacity revenue relate to leases and are accounted for under ASC 840:</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8"/>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96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96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balance sheet as of September 30, 2019:</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line="210" w:lineRule="exact"/>
              <w:rPr>
                <w:sz w:val="20"/>
                <w:szCs w:val="20"/>
                <w:color w:val="auto"/>
              </w:rPr>
            </w:pPr>
            <w:r>
              <w:rPr>
                <w:rFonts w:ascii="Times New Roman" w:cs="Times New Roman" w:eastAsia="Times New Roman" w:hAnsi="Times New Roman"/>
                <w:sz w:val="15"/>
                <w:szCs w:val="15"/>
                <w:color w:val="auto"/>
              </w:rPr>
              <w:t xml:space="preserve">Total accounts receivable, net </w:t>
            </w:r>
            <w:r>
              <w:rPr>
                <w:rFonts w:ascii="Times New Roman" w:cs="Times New Roman" w:eastAsia="Times New Roman" w:hAnsi="Times New Roman"/>
                <w:sz w:val="24"/>
                <w:szCs w:val="24"/>
                <w:color w:val="auto"/>
                <w:vertAlign w:val="superscript"/>
              </w:rPr>
              <w:t>(a)</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38" w:lineRule="exact"/>
        <w:rPr>
          <w:sz w:val="20"/>
          <w:szCs w:val="20"/>
          <w:color w:val="auto"/>
        </w:rPr>
      </w:pPr>
    </w:p>
    <w:p>
      <w:pPr>
        <w:ind w:left="1800" w:firstLine="477"/>
        <w:spacing w:after="0" w:line="195" w:lineRule="auto"/>
        <w:tabs>
          <w:tab w:leader="none" w:pos="2534"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accounts receivable, net, excludes $5 million generated at projects affected by PG&amp;E Bankruptcy, which were reclassified to non-current assets as of September 30, 2019.</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b w:val="1"/>
          <w:bCs w:val="1"/>
          <w:i w:val="1"/>
          <w:iCs w:val="1"/>
          <w:color w:val="auto"/>
        </w:rPr>
        <w:t>Acquisitions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Duquesne University District Energy System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May 1, 2019, the Company, through its indirect subsidiary ECP Uptown Campus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acquired the Duquesne University district energy system, totaling 82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transaction is reflected in the Company's Thermal segment. The total investment for the project is approximately $107 million This includes $100 million related to the purchase of district energy assets, which was funded through a combination of issuance of non-recourse debt in the amount of $95 million, as further discussed in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well as cash on hand. The acquisition was determined to be an asset acquisition under ASC 805, with identifiable assets acquired and liabilities assumed recorded at their estimated fair values on the acquisition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18"/>
          <w:szCs w:val="18"/>
          <w:b w:val="1"/>
          <w:bCs w:val="1"/>
          <w:i w:val="1"/>
          <w:iCs w:val="1"/>
          <w:color w:val="auto"/>
        </w:rPr>
        <w:t>Acquisitions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UPMC Thermal Project Asset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19, 2018, upon reaching substantial completion, the Company acquired from NRG the UPMC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Thermal Project for cash consideration of $84 million, subject to working capital adjustments. The Company had a payable of $4 million to NRG as of December 31, 2018, $3 million of which was paid in January 2019 upon final completion of the project pursuant to the EPC agreement. The project added 73 MWt of thermal equivalent capacity and 7.5 MW of emergency backup thermal capacity to the Company's portfolio. The transaction is reflected in the Company's Thermal segment. The acquisition was funded with the proceeds from the sale of the Series E Notes and Series F Notes. The assets transferred to the Company relate to interests under common control by NRG and were recorded at book value in accordance with ASC 805-50, </w:t>
      </w:r>
      <w:r>
        <w:rPr>
          <w:rFonts w:ascii="Times New Roman" w:cs="Times New Roman" w:eastAsia="Times New Roman" w:hAnsi="Times New Roman"/>
          <w:sz w:val="18"/>
          <w:szCs w:val="18"/>
          <w:i w:val="1"/>
          <w:iCs w:val="1"/>
          <w:color w:val="auto"/>
        </w:rPr>
        <w:t>Business Combinations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Issues</w:t>
      </w:r>
      <w:r>
        <w:rPr>
          <w:rFonts w:ascii="Times New Roman" w:cs="Times New Roman" w:eastAsia="Times New Roman" w:hAnsi="Times New Roman"/>
          <w:sz w:val="18"/>
          <w:szCs w:val="18"/>
          <w:color w:val="auto"/>
        </w:rPr>
        <w:t>. The difference between the purchase price and book value of the assets was recorded as a distribution to NRG and decreased the balance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capital. The acquisition was determined to be an asset acquisition and not a business combination, and therefore no recast of the historical financial information was deemed necessary.</w:t>
      </w:r>
    </w:p>
    <w:p>
      <w:pPr>
        <w:spacing w:after="0" w:line="18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CA Fuel Cell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i w:val="1"/>
          <w:iCs w:val="1"/>
          <w:color w:val="auto"/>
        </w:rPr>
        <w:t xml:space="preserve">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April 18, 2018, the Company acquired the Central CA Fuel Cell 1, LLC project in Tulare, California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FuelCell 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Solar Drop Down Asset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30, 2018, the Company acquired 100% of NRG's interests in Buckthorn Renewables,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owns a 154 MW construction-stage utility-scale solar generation project located in Texas, or the Buckthorn Solar Drop Down Asset, for cash consideration of $42 million. The project sells power under a 25-year PPA to the City of Georgetown, Texas, which commenced in July 2018. The Company also assumed non-recourse debt of $183 million and non-controlling interest of $19 million, as of the acquisition date,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Combinations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w:t>
      </w:r>
      <w:r>
        <w:rPr>
          <w:rFonts w:ascii="Times New Roman" w:cs="Times New Roman" w:eastAsia="Times New Roman" w:hAnsi="Times New Roman"/>
          <w:sz w:val="18"/>
          <w:szCs w:val="18"/>
          <w:color w:val="auto"/>
        </w:rPr>
        <w:t>. The difference between the cash paid and historical value of the entities' equity was recorded as a distribution to NRG and decreased the balance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 Since the transaction constituted a transfer of net assets under common control, the guidance requires retrospective combination of the entities for all periods presented as if the combination had been in effect since the inception of common control.</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project sells power under a 25-year PPA to the City of Georgetown, Texas, which commenced in July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25"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Energy Center Dover LLC and Energy Center Smyrna LLC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September 5, 2019, the Company entered into a purchase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agreement with DB Energy Assets, LLC to sell 100% of its interests in Energy Center Dover LLC and Energy Center Smyrna LLC, Energy Center Dover LLC owns a 103 MW natural gas-fired cogeneration facility located in Dover, DE (Energy Center Dover). The transaction is subject to standard regulatory approvals and the completion of certain maintenance activities. The HSD assets and liabilities were classified as held for sale and recorded to other current assets and non-current assets, as well as current liabilities on the Company’s consolidated balance sheets as of September 30, 2019.</w:t>
      </w:r>
    </w:p>
    <w:p>
      <w:pPr>
        <w:spacing w:after="0" w:line="180"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HSD Solar Holdings, LLC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October 8, 2019, the Company, through HSD Solar Holdings, LLC, or HSD, sold 100%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in certain distributed generation solar facilities totaling 6 MW to the offtaker under the PPA, for cash consideration of $20 million, as a result of the offtaker exercising its right to purchase the project pursuant to the PPA. In conjunction with the sale, the Company repaid in full the non-recourse lease financing associated with the HSD projects. The repaid amount was net of cash released at closing and totaled $23 million. The HSD assets and liabilities were classified as held for sale and recorded to other current assets and non-current assets, as well as current liabilities on the Company’s consolidated balance sheets as of September 30, 2019.</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2018 Form 10-K.</w:t>
      </w:r>
    </w:p>
    <w:p>
      <w:pPr>
        <w:sectPr>
          <w:pgSz w:w="11900" w:h="16838" w:orient="portrait"/>
          <w:cols w:equalWidth="0" w:num="1">
            <w:col w:w="11420"/>
          </w:cols>
          <w:pgMar w:left="240" w:top="112" w:right="239" w:bottom="0" w:gutter="0" w:footer="0" w:header="0"/>
        </w:sectPr>
      </w:pPr>
    </w:p>
    <w:bookmarkStart w:id="17" w:name="page18"/>
    <w:bookmarkEnd w:id="17"/>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Repowering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30, 2018, Wind TE Holdco, an indirect subsidiary of the Company, formed a partnership with Clearway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entitled to allocations of 21% of income, which is reflected in Wind TE Holdco’s noncontrolling interests. In connection with repowering of the projects, the Company revised the remaining useful life of the property, plant and equipment, net at the projects and accelerated depreciation through the expected COD dates, which are December 2019 and March 2020 for Wildorado Wind and Elbow Creek, respectively. The accelerated depreciation resulted in an additional expense of $26 million during the three and nine months ended September 30, 2019.</w:t>
      </w:r>
    </w:p>
    <w:p>
      <w:pPr>
        <w:spacing w:after="0" w:line="1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On June 14, 2019, Repowering Partnership LLC was replaced with Repowering Partnership II LLC as the owner of the Elbow Creek and Wildorado Wind projects, as well as Repowering Partnership Holdco LLC, which concurrently entered into a financing agreement for construction debt of total commitment of $352 million, as further described in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80"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LLC, a subsidiary of CEG,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Class A membership interests in the Kawailoa Solar Partnership LLC, or Kawailoa Partnership, for $9 million in cash consideration. The purpose of the partnership is to own, finance, operate, and maintain the Kawailoa Solar project, a 49 MW utility-scale solar generation project, an indirect subsidiary of the Kawailoa Partnership, which is being developed in Oahu, Hawaii. The Kawailoa Solar project is contracted to sell power under long-term PPAs with Hawaiian Electric Company, or HECO, upon reaching COD. The Kawailoa Solar project is 51% owned by the Kawailoa Partnership, with the remaining 49% owned by a third party investor. The Kawailoa Partnership consolidates the Kawailoa Solar project through its controlling majority interest.</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May 7, 2019, the Company made an initial capital contribution of $2 million, which represents 20% of its total anticipated capital contributions. The Company assumed non-recourse debt of $120 million, as further described in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non-controlling interests attributable to third parties in the amount of $21 million. The Company has a $7 million payable due to Clearway Renew LLC in accounts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affiliate on the Company's consolidated balance sheets as of September 30, 2019, which represents the remaining 80% of the equity commitment and will be funded on the date the Kawailoa Solar project reaches certain milestones.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the Class A membership interests in the Kawailoa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distribution to CEG and decreased the balance of its noncontrolling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LLC, a subsidiary of CEG, to acquire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which represent 15 MW and 46 MW respectively, the indirect subsidiaries of the Oahu Partnership, which are being developed in Oahu, Hawaii. The Oahu Solar projects reached COD on September 19, 2019 and began to sell power to HECO pursuant to the long-term PPAs.</w:t>
      </w:r>
    </w:p>
    <w:p>
      <w:pPr>
        <w:spacing w:after="0" w:line="1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March 8, 2019, the Company made an initial capital contribution of $4 million, which represents 20% of its total anticipated capital contributions. The Company also assumed non-recourse debt of $143 million, as further described in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$18 million of non-controlling interest attributable to a tax equity investor's initial contribution. The Company has a payable in the amount of $16 million due to Clearway Renew LLC in accounts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affiliate on the Company's consolidated balance sheets as of September 30, 2019. The payable represents the remaining 80% of the equity commitment and will be funded on the date the Oahu Solar LLC projects reach certain milestones.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the Class A membership interests in the Oahu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contribution from CEG and increased the balance of its noncontrolling interest.</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January 2, 2019, the Company bought out 100% of the Class A membership interests from the tax equity investor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 TE Holdco,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17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Renewables,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 Acquisitions and Dispositions</w:t>
      </w:r>
      <w:r>
        <w:rPr>
          <w:rFonts w:ascii="Times New Roman" w:cs="Times New Roman" w:eastAsia="Times New Roman" w:hAnsi="Times New Roman"/>
          <w:sz w:val="18"/>
          <w:szCs w:val="18"/>
          <w:color w:val="auto"/>
        </w:rPr>
        <w:t>, on March 30, 2018, the Company acquired 100%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NRG’s interest in a 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member's interest in the tax equity fund is reflected as noncontrolling interest on the Company’s consolidated balance sheet. The Company utilizes the HLBV method to determine the net income or loss allocated to the tax equity investor noncontrolling interest.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September 30,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Oahu</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Kawailoa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Buckthorn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Repowering</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Solar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Alta Wind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Spring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TE Holdco</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Canyon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LLC</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 less noncontrolling interests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Entities that are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b w:val="1"/>
          <w:bCs w:val="1"/>
          <w:i w:val="1"/>
          <w:iCs w:val="1"/>
          <w:color w:val="auto"/>
        </w:rPr>
        <w:t xml:space="preserve"> Consolidated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Equity Method and Variable Interest Entities, </w:t>
      </w:r>
      <w:r>
        <w:rPr>
          <w:rFonts w:ascii="Times New Roman" w:cs="Times New Roman" w:eastAsia="Times New Roman" w:hAnsi="Times New Roman"/>
          <w:sz w:val="18"/>
          <w:szCs w:val="18"/>
          <w:color w:val="auto"/>
        </w:rPr>
        <w:t>to the consolidated financial statements included in the Company's 2018 Form 10-K.</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September 30, 2019, is limited to its equity investment in the unconsolidated entities, as further summarized in the table below:</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360" w:type="dxa"/>
            <w:vAlign w:val="bottom"/>
          </w:tcPr>
          <w:p>
            <w:pPr>
              <w:spacing w:after="0"/>
              <w:rPr>
                <w:sz w:val="18"/>
                <w:szCs w:val="18"/>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Maximum exposure to loss</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Brothers Solar, LLC</w:t>
            </w:r>
          </w:p>
        </w:tc>
        <w:tc>
          <w:tcPr>
            <w:tcW w:w="322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GenConn Energy LLC</w:t>
            </w:r>
          </w:p>
        </w:tc>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DGPV Holdco 3 LLC</w:t>
            </w:r>
          </w:p>
        </w:tc>
        <w:tc>
          <w:tcPr>
            <w:tcW w:w="2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DGPV Holdco 1 LLC</w:t>
            </w:r>
          </w:p>
        </w:tc>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Granite Mountain Holdings, LLC</w:t>
            </w:r>
          </w:p>
        </w:tc>
        <w:tc>
          <w:tcPr>
            <w:tcW w:w="2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DGPV Holdco 2 LLC</w:t>
            </w:r>
          </w:p>
        </w:tc>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Iron Springs Holdings, LLC</w:t>
            </w:r>
          </w:p>
        </w:tc>
        <w:tc>
          <w:tcPr>
            <w:tcW w:w="2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RPV Holdco 1 LLC</w:t>
            </w:r>
          </w:p>
        </w:tc>
        <w:tc>
          <w:tcPr>
            <w:tcW w:w="2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i w:val="1"/>
          <w:iCs w:val="1"/>
          <w:color w:val="auto"/>
        </w:rPr>
        <w:t xml:space="preserve">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invested $2 million of cash during the nine months ended September 30, 2019 into DGPV Holdco 1 LLC.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owns approximately 52 MW of distributed solar capacity, based on cash to be distributed, with a weighted average remaining contract life of approximately 16 years as of September 30, 2019.</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i w:val="1"/>
          <w:iCs w:val="1"/>
          <w:color w:val="auto"/>
        </w:rPr>
        <w:t xml:space="preserve">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invested $12 million of cash during the nine months ended September 30, 2019 into DGPV Holdco 3 LLC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$23 million due to CEG in accounts payable — affiliate as of September 30, 2019 to be funded in tranches as the project milestones are completed. The Company owns approximately 59 MW of distributed solar capacity, based on cash to be distributed, with a weighted average remaining contract life of approximately 20 years as of September 30, 2019.</w:t>
      </w:r>
    </w:p>
    <w:p>
      <w:pPr>
        <w:spacing w:after="0" w:line="18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DGPV Holdco 1 LLC, DGPV Holdco 2 LLC and DGPV Holdco 3 LLC on a combined basis. These entities were deemed to be the Company's significant equity method investments as of September 30,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60" w:type="dxa"/>
            <w:vAlign w:val="bottom"/>
            <w:gridSpan w:val="5"/>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20" w:type="dxa"/>
            <w:vAlign w:val="bottom"/>
          </w:tcPr>
          <w:p>
            <w:pPr>
              <w:spacing w:after="0"/>
              <w:rPr>
                <w:sz w:val="17"/>
                <w:szCs w:val="17"/>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9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 Statement Data:</w:t>
            </w:r>
          </w:p>
        </w:tc>
        <w:tc>
          <w:tcPr>
            <w:tcW w:w="19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Borders>
              <w:bottom w:val="single" w:sz="8" w:color="auto"/>
            </w:tcBorders>
          </w:tcPr>
          <w:p>
            <w:pPr>
              <w:spacing w:after="0"/>
              <w:rPr>
                <w:sz w:val="17"/>
                <w:szCs w:val="17"/>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78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78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851"/>
        </w:trPr>
        <w:tc>
          <w:tcPr>
            <w:tcW w:w="4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0" w:type="dxa"/>
            <w:vAlign w:val="bottom"/>
          </w:tcPr>
          <w:p>
            <w:pPr>
              <w:spacing w:after="0"/>
              <w:rPr>
                <w:sz w:val="24"/>
                <w:szCs w:val="24"/>
                <w:color w:val="auto"/>
              </w:rPr>
            </w:pPr>
          </w:p>
        </w:tc>
        <w:tc>
          <w:tcPr>
            <w:tcW w:w="16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148</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4100" w:type="dxa"/>
            <w:vAlign w:val="bottom"/>
          </w:tcPr>
          <w:p>
            <w:pPr>
              <w:spacing w:after="0"/>
              <w:rPr>
                <w:sz w:val="24"/>
                <w:szCs w:val="24"/>
                <w:color w:val="auto"/>
              </w:rPr>
            </w:pP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1" w:right="239" w:bottom="1440"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 Value Accounting under ASC </w:t>
      </w:r>
      <w:r>
        <w:rPr>
          <w:rFonts w:ascii="Times New Roman" w:cs="Times New Roman" w:eastAsia="Times New Roman" w:hAnsi="Times New Roman"/>
          <w:sz w:val="18"/>
          <w:szCs w:val="18"/>
          <w:b w:val="1"/>
          <w:bCs w:val="1"/>
          <w:color w:val="auto"/>
        </w:rPr>
        <w:t>820</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27" w:lineRule="exact"/>
        <w:rPr>
          <w:sz w:val="20"/>
          <w:szCs w:val="20"/>
          <w:color w:val="auto"/>
        </w:rPr>
      </w:pPr>
    </w:p>
    <w:p>
      <w:pPr>
        <w:ind w:left="1300" w:right="20" w:hanging="320"/>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ind w:left="1300" w:right="20" w:hanging="320"/>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ind w:left="1300" w:hanging="320"/>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carrying amounts and fair values of the Company’s recorded financial instruments not carried at fair market value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r>
      <w:tr>
        <w:trPr>
          <w:trHeight w:val="183"/>
        </w:trPr>
        <w:tc>
          <w:tcPr>
            <w:tcW w:w="5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2"/>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 affiliate, including current portion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r>
      <w:tr>
        <w:trPr>
          <w:trHeight w:val="257"/>
        </w:trPr>
        <w:tc>
          <w:tcPr>
            <w:tcW w:w="51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Long-term debt — external, including current portion </w:t>
            </w:r>
            <w:r>
              <w:rPr>
                <w:rFonts w:ascii="Times New Roman" w:cs="Times New Roman" w:eastAsia="Times New Roman" w:hAnsi="Times New Roman"/>
                <w:sz w:val="29"/>
                <w:szCs w:val="29"/>
                <w:color w:val="auto"/>
                <w:vertAlign w:val="superscript"/>
              </w:rPr>
              <w:t>(a)</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6,134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6,129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5,779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5,681</w:t>
            </w:r>
          </w:p>
        </w:tc>
      </w:tr>
    </w:tbl>
    <w:p>
      <w:pPr>
        <w:spacing w:after="0" w:line="162" w:lineRule="exact"/>
        <w:rPr>
          <w:sz w:val="20"/>
          <w:szCs w:val="20"/>
          <w:color w:val="auto"/>
        </w:rPr>
      </w:pPr>
    </w:p>
    <w:p>
      <w:pPr>
        <w:ind w:left="700" w:hanging="206"/>
        <w:spacing w:after="0"/>
        <w:tabs>
          <w:tab w:leader="none" w:pos="70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Excludes net debt issuance costs, which are recorded as a reduction to long-term debt on the Company's consolidated balance sheets.</w:t>
      </w:r>
    </w:p>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2019 and December 31,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1,550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4,622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1,358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4,580</w:t>
            </w:r>
          </w:p>
        </w:tc>
      </w:tr>
      <w:tr>
        <w:trPr>
          <w:trHeight w:val="432"/>
        </w:trPr>
        <w:tc>
          <w:tcPr>
            <w:tcW w:w="4320" w:type="dxa"/>
            <w:vAlign w:val="bottom"/>
          </w:tcPr>
          <w:p>
            <w:pPr>
              <w:spacing w:after="0"/>
              <w:rPr>
                <w:sz w:val="24"/>
                <w:szCs w:val="24"/>
                <w:color w:val="auto"/>
              </w:rPr>
            </w:pP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1" w:right="23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5"/>
        </w:trPr>
        <w:tc>
          <w:tcPr>
            <w:tcW w:w="5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652"/>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2018</w:t>
            </w:r>
          </w:p>
        </w:tc>
      </w:tr>
      <w:tr>
        <w:trPr>
          <w:trHeight w:val="240"/>
        </w:trPr>
        <w:tc>
          <w:tcPr>
            <w:tcW w:w="5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2"/>
              <w:spacing w:after="0" w:line="240" w:lineRule="exact"/>
              <w:rPr>
                <w:sz w:val="20"/>
                <w:szCs w:val="20"/>
                <w:color w:val="auto"/>
              </w:rPr>
            </w:pPr>
            <w:r>
              <w:rPr>
                <w:rFonts w:ascii="Times New Roman" w:cs="Times New Roman" w:eastAsia="Times New Roman" w:hAnsi="Times New Roman"/>
                <w:sz w:val="16"/>
                <w:szCs w:val="16"/>
                <w:b w:val="1"/>
                <w:bCs w:val="1"/>
                <w:color w:val="auto"/>
                <w:w w:val="93"/>
              </w:rPr>
              <w:t xml:space="preserve">Fair Value </w:t>
            </w:r>
            <w:r>
              <w:rPr>
                <w:rFonts w:ascii="Times New Roman" w:cs="Times New Roman" w:eastAsia="Times New Roman" w:hAnsi="Times New Roman"/>
                <w:sz w:val="27"/>
                <w:szCs w:val="27"/>
                <w:b w:val="1"/>
                <w:bCs w:val="1"/>
                <w:color w:val="auto"/>
                <w:w w:val="93"/>
                <w:vertAlign w:val="superscript"/>
              </w:rPr>
              <w:t>(a)</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4"/>
              <w:spacing w:after="0" w:line="240" w:lineRule="exact"/>
              <w:rPr>
                <w:sz w:val="20"/>
                <w:szCs w:val="20"/>
                <w:color w:val="auto"/>
              </w:rPr>
            </w:pPr>
            <w:r>
              <w:rPr>
                <w:rFonts w:ascii="Times New Roman" w:cs="Times New Roman" w:eastAsia="Times New Roman" w:hAnsi="Times New Roman"/>
                <w:sz w:val="16"/>
                <w:szCs w:val="16"/>
                <w:b w:val="1"/>
                <w:bCs w:val="1"/>
                <w:color w:val="auto"/>
                <w:w w:val="93"/>
              </w:rPr>
              <w:t xml:space="preserve">Fair Value </w:t>
            </w:r>
            <w:r>
              <w:rPr>
                <w:rFonts w:ascii="Times New Roman" w:cs="Times New Roman" w:eastAsia="Times New Roman" w:hAnsi="Times New Roman"/>
                <w:sz w:val="27"/>
                <w:szCs w:val="27"/>
                <w:b w:val="1"/>
                <w:bCs w:val="1"/>
                <w:color w:val="auto"/>
                <w:w w:val="93"/>
                <w:vertAlign w:val="superscript"/>
              </w:rPr>
              <w:t>(a)</w:t>
            </w: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5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Commodity contracts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6"/>
        </w:trPr>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Commodity contracts</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94"/>
        <w:spacing w:after="0" w:line="213" w:lineRule="auto"/>
        <w:tabs>
          <w:tab w:leader="none" w:pos="699"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There were no derivative assets or liabilities classified as Level 1 as of September 30, 2019, and no derivative assets or liabilities classified as Level 1 or Level 3 as of December 31, 2018.</w:t>
      </w:r>
    </w:p>
    <w:p>
      <w:pPr>
        <w:spacing w:after="0" w:line="19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r>
      <w:tr>
        <w:trPr>
          <w:trHeight w:val="211"/>
        </w:trPr>
        <w:tc>
          <w:tcPr>
            <w:tcW w:w="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60" w:type="dxa"/>
            <w:vAlign w:val="bottom"/>
          </w:tcPr>
          <w:p>
            <w:pPr>
              <w:spacing w:after="0"/>
              <w:rPr>
                <w:sz w:val="18"/>
                <w:szCs w:val="18"/>
                <w:color w:val="auto"/>
              </w:rPr>
            </w:pPr>
          </w:p>
        </w:tc>
      </w:tr>
      <w:tr>
        <w:trPr>
          <w:trHeight w:val="182"/>
        </w:trPr>
        <w:tc>
          <w:tcPr>
            <w:tcW w:w="3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4"/>
          </w:tcPr>
          <w:p>
            <w:pPr>
              <w:jc w:val="center"/>
              <w:ind w:right="12"/>
              <w:spacing w:after="0" w:line="182" w:lineRule="exact"/>
              <w:rPr>
                <w:sz w:val="20"/>
                <w:szCs w:val="20"/>
                <w:color w:val="auto"/>
              </w:rPr>
            </w:pPr>
            <w:r>
              <w:rPr>
                <w:rFonts w:ascii="Times New Roman" w:cs="Times New Roman" w:eastAsia="Times New Roman" w:hAnsi="Times New Roman"/>
                <w:sz w:val="16"/>
                <w:szCs w:val="16"/>
                <w:b w:val="1"/>
                <w:bCs w:val="1"/>
                <w:color w:val="auto"/>
              </w:rPr>
              <w:t>Fair Value Measurement Using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4"/>
          </w:tcPr>
          <w:p>
            <w:pPr>
              <w:jc w:val="center"/>
              <w:ind w:right="12"/>
              <w:spacing w:after="0" w:line="182" w:lineRule="exact"/>
              <w:rPr>
                <w:sz w:val="20"/>
                <w:szCs w:val="20"/>
                <w:color w:val="auto"/>
              </w:rPr>
            </w:pPr>
            <w:r>
              <w:rPr>
                <w:rFonts w:ascii="Times New Roman" w:cs="Times New Roman" w:eastAsia="Times New Roman" w:hAnsi="Times New Roman"/>
                <w:sz w:val="16"/>
                <w:szCs w:val="16"/>
                <w:b w:val="1"/>
                <w:bCs w:val="1"/>
                <w:color w:val="auto"/>
              </w:rPr>
              <w:t>Fair Value Measurement Using</w:t>
            </w:r>
          </w:p>
        </w:tc>
        <w:tc>
          <w:tcPr>
            <w:tcW w:w="260" w:type="dxa"/>
            <w:vAlign w:val="bottom"/>
          </w:tcPr>
          <w:p>
            <w:pPr>
              <w:spacing w:after="0"/>
              <w:rPr>
                <w:sz w:val="15"/>
                <w:szCs w:val="15"/>
                <w:color w:val="auto"/>
              </w:rPr>
            </w:pPr>
          </w:p>
        </w:tc>
      </w:tr>
      <w:tr>
        <w:trPr>
          <w:trHeight w:val="218"/>
        </w:trPr>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Significant Unobservable Inputs (Level 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Significant Unobservable Inputs (Level 3)</w:t>
            </w: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4"/>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1" w:right="2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September 30, 2019, contracts valued with prices provided by models and other valuation techniques make up 8% of derivative liabilities.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quantify the significant unobservable inputs used in developing the fair value of the Company's Level 3 positions as of September 30, 2019:</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9"/>
        </w:trPr>
        <w:tc>
          <w:tcPr>
            <w:tcW w:w="20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Input/Range</w:t>
            </w:r>
          </w:p>
        </w:tc>
        <w:tc>
          <w:tcPr>
            <w:tcW w:w="760" w:type="dxa"/>
            <w:vAlign w:val="bottom"/>
            <w:tcBorders>
              <w:bottom w:val="single" w:sz="8" w:color="auto"/>
            </w:tcBorders>
          </w:tcPr>
          <w:p>
            <w:pPr>
              <w:spacing w:after="0"/>
              <w:rPr>
                <w:sz w:val="17"/>
                <w:szCs w:val="17"/>
                <w:color w:val="auto"/>
              </w:rPr>
            </w:pPr>
          </w:p>
        </w:tc>
      </w:tr>
      <w:tr>
        <w:trPr>
          <w:trHeight w:val="180"/>
        </w:trPr>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r>
      <w:tr>
        <w:trPr>
          <w:trHeight w:val="212"/>
        </w:trPr>
        <w:tc>
          <w:tcPr>
            <w:tcW w:w="2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Valuation Technique</w:t>
            </w:r>
          </w:p>
        </w:tc>
        <w:tc>
          <w:tcPr>
            <w:tcW w:w="2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Significant Unobservable Input</w:t>
            </w:r>
          </w:p>
        </w:tc>
        <w:tc>
          <w:tcPr>
            <w:tcW w:w="7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Low</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High</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3"/>
        </w:trPr>
        <w:tc>
          <w:tcPr>
            <w:tcW w:w="2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Power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8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9"/>
              </w:rPr>
              <w:t>Forward Market Price (per MWh)</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33</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sensitivity of fair value measurements to increases/(decreases) in significant unobservable inputs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9"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330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rPr>
              <w:t>Significant Observable Input</w:t>
            </w:r>
          </w:p>
        </w:tc>
        <w:tc>
          <w:tcPr>
            <w:tcW w:w="134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In Input</w:t>
            </w:r>
          </w:p>
        </w:tc>
        <w:tc>
          <w:tcPr>
            <w:tcW w:w="31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Impact on Fair Value Measurement</w:t>
            </w:r>
          </w:p>
        </w:tc>
      </w:tr>
      <w:tr>
        <w:trPr>
          <w:trHeight w:val="213"/>
        </w:trPr>
        <w:tc>
          <w:tcPr>
            <w:tcW w:w="33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3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Buy</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316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9"/>
              </w:rPr>
              <w:t>Higher/(Lower)</w:t>
            </w:r>
          </w:p>
        </w:tc>
      </w:tr>
      <w:tr>
        <w:trPr>
          <w:trHeight w:val="234"/>
        </w:trPr>
        <w:tc>
          <w:tcPr>
            <w:tcW w:w="33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34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Sell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31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9"/>
              </w:rPr>
              <w:t>Lower/(Higher)</w:t>
            </w:r>
          </w:p>
        </w:tc>
      </w:tr>
    </w:tbl>
    <w:p>
      <w:pPr>
        <w:spacing w:after="0" w:line="17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2019, the non-performance reserve was $8 million gain recorded primarily in interest expense in the consolidated statements of operations. It is possible that future market prices could vary from those used in recording assets and liabilities and such variations could be material.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in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Company's 2018 Form 10-K, the following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w:t>
      </w:r>
    </w:p>
    <w:p>
      <w:pPr>
        <w:jc w:val="both"/>
        <w:ind w:firstLine="8"/>
        <w:spacing w:after="0" w:line="254" w:lineRule="auto"/>
        <w:tabs>
          <w:tab w:leader="none" w:pos="3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$31 million in accounts receivable due from PG&amp;E for its consolidated projects, of which $5 million was recorded to non-current assets as of September 30, 2019. As of November 6, 2019, the Company's contracts with PG&amp;E have operated in the normal course and the Company currently expects these contracts to continue as such. The Company has entered into forbearance agreements for certain project-level financing arrangements as of November 6, 2019, and continues seeking similar forbearance agreements with lenders for the remaining project-level financing arrangements affected by the PG&amp;E Bankruptcy. For further discussion see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to the consolidated financial statements included in the Company's 2018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September 30, 2019, the Company had interest rate derivative instruments on non-recourse debt extending through 2041, a portion of which were designated as cash flow hedges. Under the interest rate swap agreements, the Company pays a fixed rate and the counterparties to the agreements pay a variable interest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energy-related derivative instruments extending through 2029. At September 30, 2019, these contracts were not designated as cash flow or fair value hedges.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 of the Company's open derivative transactions broken out by type: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3"/>
          </w:tcPr>
          <w:p>
            <w:pPr>
              <w:jc w:val="right"/>
              <w:ind w:right="1092"/>
              <w:spacing w:after="0"/>
              <w:rPr>
                <w:sz w:val="20"/>
                <w:szCs w:val="20"/>
                <w:color w:val="auto"/>
              </w:rPr>
            </w:pPr>
            <w:r>
              <w:rPr>
                <w:rFonts w:ascii="Times New Roman" w:cs="Times New Roman" w:eastAsia="Times New Roman" w:hAnsi="Times New Roman"/>
                <w:sz w:val="16"/>
                <w:szCs w:val="16"/>
                <w:b w:val="1"/>
                <w:bCs w:val="1"/>
                <w:color w:val="auto"/>
              </w:rPr>
              <w:t>Total Volume</w:t>
            </w:r>
          </w:p>
        </w:tc>
        <w:tc>
          <w:tcPr>
            <w:tcW w:w="0" w:type="dxa"/>
            <w:vAlign w:val="bottom"/>
          </w:tcPr>
          <w:p>
            <w:pPr>
              <w:spacing w:after="0"/>
              <w:rPr>
                <w:sz w:val="1"/>
                <w:szCs w:val="1"/>
                <w:color w:val="auto"/>
              </w:rPr>
            </w:pPr>
          </w:p>
        </w:tc>
      </w:tr>
      <w:tr>
        <w:trPr>
          <w:trHeight w:val="213"/>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169"/>
        </w:trPr>
        <w:tc>
          <w:tcPr>
            <w:tcW w:w="130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Commodity</w:t>
            </w:r>
          </w:p>
        </w:tc>
        <w:tc>
          <w:tcPr>
            <w:tcW w:w="3920" w:type="dxa"/>
            <w:vAlign w:val="bottom"/>
            <w:gridSpan w:val="3"/>
          </w:tcPr>
          <w:p>
            <w:pPr>
              <w:ind w:left="420"/>
              <w:spacing w:after="0" w:line="169" w:lineRule="exact"/>
              <w:rPr>
                <w:sz w:val="20"/>
                <w:szCs w:val="20"/>
                <w:color w:val="auto"/>
              </w:rPr>
            </w:pPr>
            <w:r>
              <w:rPr>
                <w:rFonts w:ascii="Times New Roman" w:cs="Times New Roman" w:eastAsia="Times New Roman" w:hAnsi="Times New Roman"/>
                <w:sz w:val="16"/>
                <w:szCs w:val="16"/>
                <w:b w:val="1"/>
                <w:bCs w:val="1"/>
                <w:color w:val="auto"/>
              </w:rPr>
              <w:t>Units</w:t>
            </w: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3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MWh</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39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MMBtu</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Dollars</w:t>
            </w:r>
          </w:p>
        </w:tc>
        <w:tc>
          <w:tcPr>
            <w:tcW w:w="3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53"/>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Derivative Assets </w:t>
            </w:r>
            <w:r>
              <w:rPr>
                <w:rFonts w:ascii="Times New Roman" w:cs="Times New Roman" w:eastAsia="Times New Roman" w:hAnsi="Times New Roman"/>
                <w:sz w:val="27"/>
                <w:szCs w:val="27"/>
                <w:b w:val="1"/>
                <w:bCs w:val="1"/>
                <w:color w:val="auto"/>
                <w:vertAlign w:val="superscript"/>
              </w:rPr>
              <w:t>(a)</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r>
      <w:tr>
        <w:trPr>
          <w:trHeight w:val="180"/>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72"/>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5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2"/>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5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38" w:lineRule="exact"/>
        <w:rPr>
          <w:sz w:val="20"/>
          <w:szCs w:val="20"/>
          <w:color w:val="auto"/>
        </w:rPr>
      </w:pPr>
    </w:p>
    <w:p>
      <w:pPr>
        <w:ind w:right="20" w:firstLine="8"/>
        <w:spacing w:after="0" w:line="213" w:lineRule="auto"/>
        <w:tabs>
          <w:tab w:leader="none" w:pos="211"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Derivative Assets balances classified as current are included within the prepayments and other current assets line item of the consolidated balance sheets as of December 31, 2018</w:t>
      </w:r>
    </w:p>
    <w:p>
      <w:pPr>
        <w:spacing w:after="0" w:line="1" w:lineRule="exact"/>
        <w:rPr>
          <w:rFonts w:ascii="Times New Roman" w:cs="Times New Roman" w:eastAsia="Times New Roman" w:hAnsi="Times New Roman"/>
          <w:sz w:val="27"/>
          <w:szCs w:val="27"/>
          <w:color w:val="auto"/>
          <w:vertAlign w:val="superscript"/>
        </w:rPr>
      </w:pPr>
    </w:p>
    <w:p>
      <w:pPr>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master agreement level. As of September 30, 2019 and December 31, 2018, there was nooutstanding collateral paid or received. The following tables summarize the offsetting of derivatives by the counterparty master agreement level as of September 30, 2019 and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Recognized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8"/>
        </w:trPr>
        <w:tc>
          <w:tcPr>
            <w:tcW w:w="7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Net Amount</w:t>
            </w:r>
          </w:p>
        </w:tc>
      </w:tr>
      <w:tr>
        <w:trPr>
          <w:trHeight w:val="21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 millions)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1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Recognized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8"/>
        </w:trPr>
        <w:tc>
          <w:tcPr>
            <w:tcW w:w="7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Net Amount</w:t>
            </w:r>
          </w:p>
        </w:tc>
      </w:tr>
      <w:tr>
        <w:trPr>
          <w:trHeight w:val="21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 millions)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1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OCL balance attributable to interest rate swaps designated as cash flow hedge derivatives</w:t>
      </w:r>
      <w:r>
        <w:rPr>
          <w:rFonts w:ascii="Times New Roman" w:cs="Times New Roman" w:eastAsia="Times New Roman" w:hAnsi="Times New Roman"/>
          <w:sz w:val="18"/>
          <w:szCs w:val="18"/>
          <w:b w:val="1"/>
          <w:bCs w:val="1"/>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80" w:type="dxa"/>
            <w:vAlign w:val="bottom"/>
          </w:tcPr>
          <w:p>
            <w:pPr>
              <w:spacing w:after="0"/>
              <w:rPr>
                <w:sz w:val="17"/>
                <w:szCs w:val="17"/>
                <w:color w:val="auto"/>
              </w:rPr>
            </w:pPr>
          </w:p>
        </w:tc>
      </w:tr>
      <w:tr>
        <w:trPr>
          <w:trHeight w:val="215"/>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r>
      <w:tr>
        <w:trPr>
          <w:trHeight w:val="211"/>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380" w:type="dxa"/>
            <w:vAlign w:val="bottom"/>
            <w:tcBorders>
              <w:bottom w:val="single" w:sz="8" w:color="auto"/>
            </w:tcBorders>
          </w:tcPr>
          <w:p>
            <w:pPr>
              <w:spacing w:after="0"/>
              <w:rPr>
                <w:sz w:val="18"/>
                <w:szCs w:val="18"/>
                <w:color w:val="auto"/>
              </w:rPr>
            </w:pPr>
          </w:p>
        </w:tc>
      </w:tr>
      <w:tr>
        <w:trPr>
          <w:trHeight w:val="208"/>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OCL beginning balance</w:t>
            </w:r>
          </w:p>
        </w:tc>
        <w:tc>
          <w:tcPr>
            <w:tcW w:w="1100" w:type="dxa"/>
            <w:vAlign w:val="bottom"/>
            <w:gridSpan w:val="2"/>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98"/>
        </w:trPr>
        <w:tc>
          <w:tcPr>
            <w:tcW w:w="6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Reclassified from accumulated OCL to income due to realization of previously</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amounts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OCL ending balance</w:t>
            </w:r>
          </w:p>
        </w:tc>
        <w:tc>
          <w:tcPr>
            <w:tcW w:w="110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6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Accumulated OCL attributable to noncontrolling interests</w:t>
            </w: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OCL attributable to Clearway Energy LLC</w:t>
            </w:r>
          </w:p>
        </w:tc>
        <w:tc>
          <w:tcPr>
            <w:tcW w:w="110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6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Losses expected to be realized from OCL during the next 12 months</w:t>
            </w:r>
          </w:p>
        </w:tc>
        <w:tc>
          <w:tcPr>
            <w:tcW w:w="1100" w:type="dxa"/>
            <w:vAlign w:val="bottom"/>
            <w:gridSpan w:val="2"/>
            <w:shd w:val="clear" w:color="auto" w:fill="CCEEFF"/>
          </w:tcPr>
          <w:p>
            <w:pPr>
              <w:jc w:val="right"/>
              <w:ind w:right="59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579"/>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Gains and losses related to the Company's derivatives are recorded in the consolidated statements of operations as follows:</w:t>
      </w:r>
    </w:p>
    <w:p>
      <w:pPr>
        <w:spacing w:after="0" w:line="228"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10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gridSpan w:val="3"/>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4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0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4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8"/>
        </w:trPr>
        <w:tc>
          <w:tcPr>
            <w:tcW w:w="4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2160" w:type="dxa"/>
            <w:vAlign w:val="bottom"/>
            <w:gridSpan w:val="2"/>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repowering activities at Elbow Creek, the Company entered into a new long-term power hedge in January of 2019, and the impact to the consolidated statements of operations was a $9 million loss for the period ended September 30, 2019. The loss was recorded in total operating revenues in the Company's consolidated statements of operations.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ectPr>
          <w:pgSz w:w="11900" w:h="16838" w:orient="portrait"/>
          <w:cols w:equalWidth="0" w:num="1">
            <w:col w:w="11420"/>
          </w:cols>
          <w:pgMar w:left="240" w:top="111"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225"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2018 Form 10-K. Long-term debt consisted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Letters of Credit</w:t>
            </w:r>
          </w:p>
        </w:tc>
        <w:tc>
          <w:tcPr>
            <w:tcW w:w="0" w:type="dxa"/>
            <w:vAlign w:val="bottom"/>
          </w:tcPr>
          <w:p>
            <w:pPr>
              <w:spacing w:after="0"/>
              <w:rPr>
                <w:sz w:val="1"/>
                <w:szCs w:val="1"/>
                <w:color w:val="auto"/>
              </w:rPr>
            </w:pPr>
          </w:p>
        </w:tc>
      </w:tr>
      <w:tr>
        <w:trPr>
          <w:trHeight w:val="164"/>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Outstanding at</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57"/>
        </w:trPr>
        <w:tc>
          <w:tcPr>
            <w:tcW w:w="6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20" w:type="dxa"/>
            <w:vAlign w:val="bottom"/>
            <w:tcBorders>
              <w:bottom w:val="single" w:sz="8" w:color="auto"/>
            </w:tcBorders>
          </w:tcPr>
          <w:p>
            <w:pPr>
              <w:jc w:val="center"/>
              <w:spacing w:after="0" w:line="257" w:lineRule="exact"/>
              <w:rPr>
                <w:sz w:val="20"/>
                <w:szCs w:val="20"/>
                <w:color w:val="auto"/>
              </w:rPr>
            </w:pPr>
            <w:r>
              <w:rPr>
                <w:rFonts w:ascii="Times New Roman" w:cs="Times New Roman" w:eastAsia="Times New Roman" w:hAnsi="Times New Roman"/>
                <w:sz w:val="16"/>
                <w:szCs w:val="16"/>
                <w:b w:val="1"/>
                <w:bCs w:val="1"/>
                <w:color w:val="auto"/>
                <w:w w:val="96"/>
              </w:rPr>
              <w:t xml:space="preserve">interest rate % </w:t>
            </w:r>
            <w:r>
              <w:rPr>
                <w:rFonts w:ascii="Times New Roman" w:cs="Times New Roman" w:eastAsia="Times New Roman" w:hAnsi="Times New Roman"/>
                <w:sz w:val="27"/>
                <w:szCs w:val="27"/>
                <w:b w:val="1"/>
                <w:bCs w:val="1"/>
                <w:color w:val="auto"/>
                <w:w w:val="96"/>
                <w:vertAlign w:val="superscript"/>
              </w:rPr>
              <w:t>(a)</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i w:val="1"/>
                <w:iCs w:val="1"/>
                <w:color w:val="auto"/>
              </w:rPr>
              <w:t>(In millions, except rates)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 affiliate, due 2019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3.580</w:t>
            </w: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 affiliate, due 2020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3.325</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Senior Notes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5.375</w:t>
            </w: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2025 Senior Notes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5.750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 Senior Notes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5.000</w:t>
            </w: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Clearway Energy LLC and Clearway Energy Operating LLC Revolving Credit Facility, due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140" w:type="dxa"/>
            <w:vAlign w:val="bottom"/>
          </w:tcPr>
          <w:p>
            <w:pPr>
              <w:spacing w:after="0" w:line="255" w:lineRule="exact"/>
              <w:rPr>
                <w:sz w:val="20"/>
                <w:szCs w:val="20"/>
                <w:color w:val="auto"/>
              </w:rPr>
            </w:pPr>
            <w:r>
              <w:rPr>
                <w:rFonts w:ascii="Times New Roman" w:cs="Times New Roman" w:eastAsia="Times New Roman" w:hAnsi="Times New Roman"/>
                <w:sz w:val="16"/>
                <w:szCs w:val="16"/>
                <w:color w:val="auto"/>
              </w:rPr>
              <w:t xml:space="preserve">2023 </w:t>
            </w:r>
            <w:r>
              <w:rPr>
                <w:rFonts w:ascii="Times New Roman" w:cs="Times New Roman" w:eastAsia="Times New Roman" w:hAnsi="Times New Roman"/>
                <w:sz w:val="27"/>
                <w:szCs w:val="27"/>
                <w:color w:val="auto"/>
                <w:vertAlign w:val="superscript"/>
              </w:rPr>
              <w:t>(b)</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L+1.75</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Project-level debt: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40" w:type="dxa"/>
            <w:vAlign w:val="bottom"/>
          </w:tcPr>
          <w:p>
            <w:pPr>
              <w:spacing w:after="0" w:line="242" w:lineRule="exact"/>
              <w:rPr>
                <w:sz w:val="20"/>
                <w:szCs w:val="20"/>
                <w:color w:val="auto"/>
              </w:rPr>
            </w:pPr>
            <w:r>
              <w:rPr>
                <w:rFonts w:ascii="Times New Roman" w:cs="Times New Roman" w:eastAsia="Times New Roman" w:hAnsi="Times New Roman"/>
                <w:sz w:val="16"/>
                <w:szCs w:val="16"/>
                <w:color w:val="auto"/>
              </w:rPr>
              <w:t xml:space="preserve">Agua Caliente Borrower 2, due 2038 </w:t>
            </w:r>
            <w:r>
              <w:rPr>
                <w:rFonts w:ascii="Times New Roman" w:cs="Times New Roman" w:eastAsia="Times New Roman" w:hAnsi="Times New Roman"/>
                <w:sz w:val="27"/>
                <w:szCs w:val="27"/>
                <w:color w:val="auto"/>
                <w:vertAlign w:val="superscript"/>
              </w:rPr>
              <w:t>(c)(d)</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5.430</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 xml:space="preserve">Alpine, due 2022 </w:t>
            </w:r>
            <w:r>
              <w:rPr>
                <w:rFonts w:ascii="Times New Roman" w:cs="Times New Roman" w:eastAsia="Times New Roman" w:hAnsi="Times New Roman"/>
                <w:sz w:val="27"/>
                <w:szCs w:val="27"/>
                <w:color w:val="auto"/>
                <w:vertAlign w:val="superscript"/>
              </w:rPr>
              <w:t>(c)</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L+2.00</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Alta Wind I - V lease financing arrangements, due 2034 and 2035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886</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5.696 - 7.015</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Buckthorn Solar, due 2025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L+1.750</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43"/>
        </w:trPr>
        <w:tc>
          <w:tcPr>
            <w:tcW w:w="6140" w:type="dxa"/>
            <w:vAlign w:val="bottom"/>
          </w:tcPr>
          <w:p>
            <w:pPr>
              <w:spacing w:after="0" w:line="242" w:lineRule="exact"/>
              <w:rPr>
                <w:sz w:val="20"/>
                <w:szCs w:val="20"/>
                <w:color w:val="auto"/>
              </w:rPr>
            </w:pPr>
            <w:r>
              <w:rPr>
                <w:rFonts w:ascii="Times New Roman" w:cs="Times New Roman" w:eastAsia="Times New Roman" w:hAnsi="Times New Roman"/>
                <w:sz w:val="16"/>
                <w:szCs w:val="16"/>
                <w:color w:val="auto"/>
              </w:rPr>
              <w:t xml:space="preserve">CVSR, due 2037 </w:t>
            </w:r>
            <w:r>
              <w:rPr>
                <w:rFonts w:ascii="Times New Roman" w:cs="Times New Roman" w:eastAsia="Times New Roman" w:hAnsi="Times New Roman"/>
                <w:sz w:val="27"/>
                <w:szCs w:val="27"/>
                <w:color w:val="auto"/>
                <w:vertAlign w:val="superscript"/>
              </w:rPr>
              <w:t>(c)</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720</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2.339 - 3.775</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 xml:space="preserve">CVSR Holdco Notes, due 2037 </w:t>
            </w:r>
            <w:r>
              <w:rPr>
                <w:rFonts w:ascii="Times New Roman" w:cs="Times New Roman" w:eastAsia="Times New Roman" w:hAnsi="Times New Roman"/>
                <w:sz w:val="27"/>
                <w:szCs w:val="27"/>
                <w:color w:val="auto"/>
                <w:vertAlign w:val="superscript"/>
              </w:rPr>
              <w:t>(c)</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4.680</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Duquesne, due 2059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4.620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L+1.75 -</w:t>
            </w: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 Segundo Energy Center, due 2023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L+2.375</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Energy Center Minneapolis Series D, E, F, G, H Notes, due 2025-2037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various</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Laredo Ridge, due 2028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L+2.125</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3"/>
        </w:trPr>
        <w:tc>
          <w:tcPr>
            <w:tcW w:w="6140" w:type="dxa"/>
            <w:vAlign w:val="bottom"/>
          </w:tcPr>
          <w:p>
            <w:pPr>
              <w:spacing w:after="0" w:line="242" w:lineRule="exact"/>
              <w:rPr>
                <w:sz w:val="20"/>
                <w:szCs w:val="20"/>
                <w:color w:val="auto"/>
              </w:rPr>
            </w:pPr>
            <w:r>
              <w:rPr>
                <w:rFonts w:ascii="Times New Roman" w:cs="Times New Roman" w:eastAsia="Times New Roman" w:hAnsi="Times New Roman"/>
                <w:sz w:val="16"/>
                <w:szCs w:val="16"/>
                <w:color w:val="auto"/>
              </w:rPr>
              <w:t xml:space="preserve">Kansas South, due 2030 </w:t>
            </w:r>
            <w:r>
              <w:rPr>
                <w:rFonts w:ascii="Times New Roman" w:cs="Times New Roman" w:eastAsia="Times New Roman" w:hAnsi="Times New Roman"/>
                <w:sz w:val="27"/>
                <w:szCs w:val="27"/>
                <w:color w:val="auto"/>
                <w:vertAlign w:val="superscript"/>
              </w:rPr>
              <w:t>(c)</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L+2.00</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Kawailoa Solar Holdings LLC, due 2026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L+1.375</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3"/>
        </w:trPr>
        <w:tc>
          <w:tcPr>
            <w:tcW w:w="6140" w:type="dxa"/>
            <w:vAlign w:val="bottom"/>
          </w:tcPr>
          <w:p>
            <w:pPr>
              <w:spacing w:after="0" w:line="242" w:lineRule="exact"/>
              <w:rPr>
                <w:sz w:val="20"/>
                <w:szCs w:val="20"/>
                <w:color w:val="auto"/>
              </w:rPr>
            </w:pPr>
            <w:r>
              <w:rPr>
                <w:rFonts w:ascii="Times New Roman" w:cs="Times New Roman" w:eastAsia="Times New Roman" w:hAnsi="Times New Roman"/>
                <w:sz w:val="16"/>
                <w:szCs w:val="16"/>
                <w:color w:val="auto"/>
              </w:rPr>
              <w:t xml:space="preserve">Marsh Landing, due 2023 </w:t>
            </w:r>
            <w:r>
              <w:rPr>
                <w:rFonts w:ascii="Times New Roman" w:cs="Times New Roman" w:eastAsia="Times New Roman" w:hAnsi="Times New Roman"/>
                <w:sz w:val="27"/>
                <w:szCs w:val="27"/>
                <w:color w:val="auto"/>
                <w:vertAlign w:val="superscript"/>
              </w:rPr>
              <w:t>(c)</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263</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L+2.125</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Oahu Solar Holdings LLC, due 2026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L+1.375</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Repowering Partnership Holdco LLC, due 2020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L+0.85</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 Trent Wind, due 2028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L+1.350</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Tapestry, due 2031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L+1.375</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Utah Solar Portfolio, due 2022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L+2.625</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Viento, due 2023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L+2.00</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Walnut Creek, due 2023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w:t>
            </w: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L+1.75</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343</w:t>
            </w: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various</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Subtotal project-level debt:</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4,684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4,329</w:t>
            </w:r>
          </w:p>
        </w:tc>
        <w:tc>
          <w:tcPr>
            <w:tcW w:w="14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debt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6,038</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current maturities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5,448</w:t>
            </w:r>
          </w:p>
        </w:tc>
        <w:tc>
          <w:tcPr>
            <w:tcW w:w="1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820" w:hanging="326"/>
        <w:spacing w:after="0" w:line="210" w:lineRule="auto"/>
        <w:tabs>
          <w:tab w:leader="none" w:pos="8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September 30, 2019, L+ equals 3 month LIBOR plus x%, except for Viento, due 2023 and Kansas South, due 2030 where L+ equals 6 month LIBOR plus 2.00% and Utah Solar Portfolio,Kawailoa Solar Holdings LLC, Oahu Solar Holdings LLC, Repowering Partnership Holdco LLC where L+ equals 1 month LIBOR plus x%</w:t>
      </w:r>
    </w:p>
    <w:p>
      <w:pPr>
        <w:spacing w:after="0" w:line="2" w:lineRule="exact"/>
        <w:rPr>
          <w:rFonts w:ascii="Times New Roman" w:cs="Times New Roman" w:eastAsia="Times New Roman" w:hAnsi="Times New Roman"/>
          <w:sz w:val="30"/>
          <w:szCs w:val="30"/>
          <w:color w:val="auto"/>
          <w:vertAlign w:val="superscript"/>
        </w:rPr>
      </w:pPr>
    </w:p>
    <w:p>
      <w:pPr>
        <w:ind w:left="820" w:hanging="326"/>
        <w:spacing w:after="0" w:line="180" w:lineRule="auto"/>
        <w:tabs>
          <w:tab w:leader="none" w:pos="82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Applicable rate is determined by the borrower leverage ratio, as defined in the credit agreement</w:t>
      </w:r>
    </w:p>
    <w:p>
      <w:pPr>
        <w:spacing w:after="0" w:line="2" w:lineRule="exact"/>
        <w:rPr>
          <w:rFonts w:ascii="Times New Roman" w:cs="Times New Roman" w:eastAsia="Times New Roman" w:hAnsi="Times New Roman"/>
          <w:sz w:val="25"/>
          <w:szCs w:val="25"/>
          <w:color w:val="auto"/>
          <w:vertAlign w:val="superscript"/>
        </w:rPr>
      </w:pPr>
    </w:p>
    <w:p>
      <w:pPr>
        <w:ind w:left="820" w:hanging="326"/>
        <w:spacing w:after="0" w:line="186" w:lineRule="auto"/>
        <w:tabs>
          <w:tab w:leader="none" w:pos="8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Entities affected by PG&amp;E Bankruptcy, see further discussion below</w:t>
      </w:r>
    </w:p>
    <w:p>
      <w:pPr>
        <w:spacing w:after="0" w:line="2" w:lineRule="exact"/>
        <w:rPr>
          <w:rFonts w:ascii="Times New Roman" w:cs="Times New Roman" w:eastAsia="Times New Roman" w:hAnsi="Times New Roman"/>
          <w:sz w:val="24"/>
          <w:szCs w:val="24"/>
          <w:color w:val="auto"/>
          <w:vertAlign w:val="superscript"/>
        </w:rPr>
      </w:pPr>
    </w:p>
    <w:p>
      <w:pPr>
        <w:ind w:left="820" w:hanging="326"/>
        <w:spacing w:after="0" w:line="186" w:lineRule="auto"/>
        <w:tabs>
          <w:tab w:leader="none" w:pos="8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Company repaid the debt on October 21, 2019, as further described below</w:t>
      </w:r>
    </w:p>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September 30, 2019, the Company was not in compliance with certain covenants impacted by the PG&amp;E Bankruptcy, as discussed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discussion below describes material changes to or additions of long-term debt for the nine months ended September 30, 2019.</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Clearway Energy LLC and Clearway Energy Operating LLC Revolving Credit Facility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2019, there were no outstanding borrowings under the revolving credit facility and the Company had $52 million of letters of credit outstanding. The Company had $40 million outstanding under the revolving credit facility and a total of $71 million in letters of credit outstanding as of November 6, 2019.</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b w:val="1"/>
          <w:bCs w:val="1"/>
          <w:i w:val="1"/>
          <w:iCs w:val="1"/>
          <w:color w:val="auto"/>
        </w:rPr>
        <w:t>Convertible Notes Open Market Repurchases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January 2019, the Company repurchased a combined aggregate principal amount of $50 million of the 2019 Convertible Notes in open market transactions. The repurchases were funded through a partial repayment of the intercompany note between Clearway Energy Operating LLC and Clearway Energy, Inc. The 2019 Convertible Notes matured on February 1, 2019 and the Company paid off the remaining balance of an aggregate principal amount of $170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 level Debt</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22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on January 29, 2019, PG&amp;E filed for reorganization under Chapter 11 of the U.S. Bankruptcy Code in the U.S. Bankruptcy Court for the Northern District of California, or the Bankruptcy Court. Certain subsidiaries of the Company listed in the table above are parties to financing agreements consisting of non-recourse project-level debt and, in certain cases, non-recourse holding company debt. The PG&amp;E bankruptcy filing has triggered defaults under the PPAs with PG&amp;E and such related project level financing agreements. As a result the Company recorded approximately $1.3 billion of principal, net of the related unamortized debt issuance costs, with final maturity dates ranging from 2023 - 2038, as short-term debt as of September 30, 2019. In addition, distributions from these projects to Clearway Operating LLC are prohibited under the related debt agreements. As of November 6, 2019, the Company has entered into forbearance agreements for certain project-level financing arrangements, and continues to seek forbearance agreements for its other project-level financing arrangements affected by the PG&amp;E Bankruptcy.</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Agua Caliente Borrower </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 xml:space="preserve"> debt Repayment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21, 2019, the Company, through Agua Caliente Borrower 2 LLC, repaid $40 million of the outstanding notes balance, including accrued interest and premiums, issued under the Agua Caliente Holdco Financing Agreement. The repayment was funded with Company's existing liquidity.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Repowering Partnership Holdco LLC</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14, 2019, as part of the Repowering Partnership, Repowering Partnership Holdco LLC entered into a financing agreement for non-recourse debt for a total commitment amount of $352 million related to the construction for the repowering activities at Wildorado and Elbow Creek. The debt consists of a construction loan at an interest rate of LIBOR plus 0.85% that matures on March 31, 2020. The construction loan is expected be paid at final completion with proceeds from the tax equity investor. Interest on the construction loan is payable monthly in arrears. The Company borrowings were utilized to repay $109 million of the outstanding balance, including accrued interest, under the Viento financing agreement, to reimburse Clearway Renew LLC for previous contributions into the Repowering Partnership and pay construction invoices.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Duquesne University</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1, 2019, as part of the Duquesne University district energy system acquisition, ECP Uptown Campus LLC issued non-recourse debt of $95 million, excluding financing fees. The debt consists of senior notes at an interest rate of 4.62% that mature on May 1, 2059. Interest on the notes are payable semi-annually in arrears. The proceeds of the debt, along with cash on hand, were utilized to fund the purchase price of the acquisition.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Oahu Solar Holdings LLC</w:t>
      </w:r>
    </w:p>
    <w:p>
      <w:pPr>
        <w:spacing w:after="0" w:line="22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Due to the Company consolidating the Oahu Partnership, as further described in Note 4, </w:t>
      </w:r>
      <w:r>
        <w:rPr>
          <w:rFonts w:ascii="Times New Roman" w:cs="Times New Roman" w:eastAsia="Times New Roman" w:hAnsi="Times New Roman"/>
          <w:sz w:val="18"/>
          <w:szCs w:val="18"/>
          <w:i w:val="1"/>
          <w:iCs w:val="1"/>
          <w:color w:val="auto"/>
        </w:rPr>
        <w:t>Investments Accounted for by the Equity Method and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the Company assumed non-recourse debt of $143 million related to Oahu Solar Holdings, LLC. The debt consists of a construction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ITC bridge loan with a total commitment amount of $162 million, both at an interest rate of LIBOR plus 1.375%. The construction loan will convert to a term loan upon completion of certain milestones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Kawailoa Solar Holdings LLC</w:t>
      </w:r>
    </w:p>
    <w:p>
      <w:pPr>
        <w:spacing w:after="0" w:line="22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Due to the Company consolidating the Kawailoa Partnership, as further described in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the Company assumed non-recourse debt of $120 million related to Kawailoa Solar Holdings, LLC. The debt consists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loan and an ITC bridge loan with a total commitment amount of $137 million, both at an interest rate of LIBOR plus 1.375%. The construction loan will convert to a term loan upon completion of certain milestones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South Trent Refinancing</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June 14, 2019, the Company, through South Trent Wind LLC, refinanced $49 million of non-recourse debt due 2020 at interest rate of LIBOR plus 1.625% by issuing $46 million of new non-recourse financing due 2028 at an interest rate of LIBOR plus 1.350%.</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Tapestry Refinancing</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April 29, 2019, the Company, through Tapestry Wind LLC, refinanced $147 million of non-recourse debt due 2021 at interest rate of LIBOR plus 1.75% by issuing $164 million of new non-recourse financing due 2031 at an interest rate of LIBOR plus 1.375%.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8"/>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1,766</w:t>
            </w:r>
          </w:p>
        </w:tc>
        <w:tc>
          <w:tcPr>
            <w:tcW w:w="2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6,330</w:t>
            </w:r>
          </w:p>
        </w:tc>
        <w:tc>
          <w:tcPr>
            <w:tcW w:w="32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632</w:t>
            </w:r>
          </w:p>
        </w:tc>
        <w:tc>
          <w:tcPr>
            <w:tcW w:w="2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38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8,762</w:t>
            </w:r>
          </w:p>
        </w:tc>
      </w:tr>
      <w:tr>
        <w:trPr>
          <w:trHeight w:val="42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Three months ended September 30, 2018</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8"/>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r>
      <w:tr>
        <w:trPr>
          <w:trHeight w:val="413"/>
        </w:trPr>
        <w:tc>
          <w:tcPr>
            <w:tcW w:w="20" w:type="dxa"/>
            <w:vAlign w:val="bottom"/>
          </w:tcPr>
          <w:p>
            <w:pPr>
              <w:spacing w:after="0"/>
              <w:rPr>
                <w:sz w:val="24"/>
                <w:szCs w:val="24"/>
                <w:color w:val="auto"/>
              </w:rPr>
            </w:pPr>
          </w:p>
        </w:tc>
        <w:tc>
          <w:tcPr>
            <w:tcW w:w="43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9"/>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98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8"/>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losses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1420"/>
          </w:cols>
          <w:pgMar w:left="240" w:top="111"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r>
        <w:trPr>
          <w:trHeight w:val="410"/>
        </w:trPr>
        <w:tc>
          <w:tcPr>
            <w:tcW w:w="4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Nine months ended September 30, 2018</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3"/>
        </w:trPr>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8"/>
        </w:trPr>
        <w:tc>
          <w:tcPr>
            <w:tcW w:w="4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operations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r>
      <w:tr>
        <w:trPr>
          <w:trHeight w:val="413"/>
        </w:trPr>
        <w:tc>
          <w:tcPr>
            <w:tcW w:w="43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on August 31, 2018, NRG sold 100% of its interest in CEG to GIP, and as a result, CEG and its subsidiaries are considered related parties during the period ended September 30, 2019, and NRG and its subsidiaries were considered related parties during the period ended September 30,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CEG entities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Services Agreements by and between the Company and Clearway Renewable Operation &amp; Maintenance LLC (formerly NRG Renew Operation &amp; Maintenance LLC) and other CEG subsidiaries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services agreements with Clearway Renewable Operation</w:t>
      </w:r>
    </w:p>
    <w:p>
      <w:pPr>
        <w:spacing w:after="0" w:line="27" w:lineRule="exact"/>
        <w:rPr>
          <w:sz w:val="20"/>
          <w:szCs w:val="20"/>
          <w:color w:val="auto"/>
        </w:rPr>
      </w:pPr>
    </w:p>
    <w:p>
      <w:pPr>
        <w:jc w:val="both"/>
        <w:ind w:firstLine="8"/>
        <w:spacing w:after="0" w:line="253" w:lineRule="auto"/>
        <w:tabs>
          <w:tab w:leader="none" w:pos="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LLC (formerly NRG Renew Operation &amp; Maintenance LLC), or RENOM, a wholly-owned subsidiary of CEG, as well as other CEG subsidiaries, which provides operation and maintenance, or O&amp;M, and administrative services to these subsidiaries. The Company incurred total expenses for these services of $8 million and $22 million for each of the three and nine months ended September 30, 2019, respectively. The Company incurred total expenses for these services of $7 million and $22 million for each of the three and nine months ended September 30, 2018, respectively. There was a balance of $8 million and $6 million due to RENOM as of September 30, 2019 and December 31, 2018,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w:t>
      </w:r>
    </w:p>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NRG prior to the GIP Transaction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Agreements (PPAs) between the Company and NRG Power Marketing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Elbow Creek and Dover were parties to PPAs with NRG Power Marketing, a wholly-owned subsidiary of NRG, and generated revenue under the PPAs, which were recorded to operating revenue in the Company's consolidated statements of operations. For the two and eight months ended August 31, 2018, Elbow Creek and Dover, collectively, generated revenue of $2 million and $8 million, respectively. Dover's PPA with NRG Power Marketing ended as of December 31, 2018.</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Energy Marketing Services Agreement by and between Thermal entities and NRG Power Marketing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Energy Center Dover LLC, Energy Center Minneapolis, Energy Center Phoenix LLC, and Energy Center Paxton LLC, or Thermal entities, which are subsidiaries of the Company, are parties to Energy Marketing Services Agreements with NRG Power Marketing. Under the agreements, NRG Power Marketing procures fuel and fuel transportation for the operation of the Thermal entities. For the two and eight months ended August 31, 2018, the Thermal entities purchased $1 million and $7 million, respectively, of natural gas from NRG Power Marketing.</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Company's subsidiaries and NRG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the Company's subsidiaries are party to O&amp;M Service Agreements with NRG, pursuant to which NRG subsidiaries provide necessary and appropriate services to operate and maintain the subsidiaries' plant operations. NRG was reimbursed for the provided services, as well as for all reasonable and related expenses and expenditures, and payments to third parties for services and materials rendered to or on behalf of the parties to the agreements. The fees incurred under these agreements were $7 million and $27 million and for the two and eight months ended August 31, 2018,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GenConn and NRG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GenConn incurs fees under two O&amp;M agreements with wholly-owned subsidiaries of NRG. For the two and eight months ended August 31, 2018, the aggregate fees incurred under the agreements were $1 million and $4 million,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Project Administrative Services Agreement by and between ESEC and NRG West Coast LLC</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$7 million and $11 million for the two and eight months ended August 31, 2018.</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by and between Marsh Landing and NRG West Coast LLC</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Marsh Landing is a party to an administrative services agreement with NRG West Coast LLC, a wholly owned subsidiary of NRG. The Company reimbursed costs under the agreement of $2 million and $11 million for the two and eight months ended August 31, 2018,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 by and between the Company and NRG</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for the two and eight months ended August 31, 2018 were $2 million and $7 million, respectively. The costs incurred under the Management Services Agreement included certain direct expenses incurred by NRG on behalf of the Company in addition to the base management fee. Subsequent to the GIP Transaction, the Company entered into the NRG TSA pursuant to which NRG or certain of its affiliates began providing certain services to the Company following the consummation of the GIP Transaction, in exchange for the payment of a fee in respect of such services. Expenses related to the NRG TSA are recorded in transaction and integration costs in the consolidated statements of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 Concurrently with entering into the Termination Agreement on August 31, 2018, the Company entered into a Transition Services Agreement with NRG, as further described in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Condensed Consolidating Financial Information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2019, Clearway Energy Operating LLC had outstanding $500 million of the 2024 Senior Notes, $600 million of the 2025 Senior Notes and $350 million of the 2026 Senior Notes, collectively Senior Notes, as described in Note 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2018 Form 10-K. These Senior Notes are guaranteed by Clearway Energy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otherwise noted below, each of the following guarantor subsidiaries fully and unconditionally guaranteed the Senior Notes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3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Clearway Energy Operating LLC conducts its business through and derives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8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operations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Impairment losses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Development costs</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 earnings (losses) of consolidated affiliates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Clearway Energy LLC</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5400" w:hanging="5612"/>
        <w:spacing w:after="0" w:line="248" w:lineRule="auto"/>
        <w:tabs>
          <w:tab w:leader="none" w:pos="216"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All significant intercompany transactions have been eliminated in consolidation.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operations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Impairment losses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Development costs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 losses of consolidated affiliates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 earnings (losses) of unconsolidated affiliates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 Income Attributable to Clearway Energy</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5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178" w:lineRule="exact"/>
              <w:rPr>
                <w:sz w:val="20"/>
                <w:szCs w:val="20"/>
                <w:color w:val="auto"/>
              </w:rPr>
            </w:pPr>
            <w:r>
              <w:rPr>
                <w:rFonts w:ascii="Times New Roman" w:cs="Times New Roman" w:eastAsia="Times New Roman" w:hAnsi="Times New Roman"/>
                <w:sz w:val="16"/>
                <w:szCs w:val="16"/>
                <w:b w:val="1"/>
                <w:bCs w:val="1"/>
                <w:color w:val="auto"/>
              </w:rPr>
              <w:t>LLC</w:t>
            </w:r>
          </w:p>
        </w:tc>
        <w:tc>
          <w:tcPr>
            <w:tcW w:w="28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5400" w:hanging="5612"/>
        <w:spacing w:after="0" w:line="248" w:lineRule="auto"/>
        <w:tabs>
          <w:tab w:leader="none" w:pos="216"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All significant intercompany transactions have been eliminated in consolidation.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9" w:name="page40"/>
    <w:bookmarkEnd w:id="3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2"/>
        </w:trPr>
        <w:tc>
          <w:tcPr>
            <w:tcW w:w="392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Less: Comprehensive loss attributable to noncontrolling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 Income Attributable to Clearway</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5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b w:val="1"/>
                <w:bCs w:val="1"/>
                <w:color w:val="auto"/>
              </w:rPr>
              <w:t>Energy LLC</w:t>
            </w:r>
          </w:p>
        </w:tc>
        <w:tc>
          <w:tcPr>
            <w:tcW w:w="22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6"/>
        </w:trPr>
        <w:tc>
          <w:tcPr>
            <w:tcW w:w="4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2"/>
        </w:trPr>
        <w:tc>
          <w:tcPr>
            <w:tcW w:w="402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Less: Comprehensive loss attributable to noncontrolling</w:t>
            </w:r>
          </w:p>
        </w:tc>
        <w:tc>
          <w:tcPr>
            <w:tcW w:w="120" w:type="dxa"/>
            <w:vAlign w:val="bottom"/>
          </w:tcPr>
          <w:p>
            <w:pPr>
              <w:spacing w:after="0"/>
              <w:rPr>
                <w:sz w:val="15"/>
                <w:szCs w:val="15"/>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4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20" w:type="dxa"/>
            <w:vAlign w:val="bottom"/>
            <w:tcBorders>
              <w:right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 (Loss) Income Attributable to Clearway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8"/>
        </w:trPr>
        <w:tc>
          <w:tcPr>
            <w:tcW w:w="4020" w:type="dxa"/>
            <w:vAlign w:val="bottom"/>
            <w:tcBorders>
              <w:right w:val="single" w:sz="8" w:color="CCEEFF"/>
            </w:tcBorders>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5400" w:hanging="5612"/>
        <w:spacing w:after="0" w:line="248" w:lineRule="auto"/>
        <w:tabs>
          <w:tab w:leader="none" w:pos="216"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All significant intercompany transactions have been eliminated in consolidation.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affiliate</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6"/>
        </w:trPr>
        <w:tc>
          <w:tcPr>
            <w:tcW w:w="4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property, plant and equipment</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5,562</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consolidated subsidiaries</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 of use assets, net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2,584</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3,645</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8,762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All significant intercompany transactions have been eliminated in consolidation.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 — external</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 — affiliate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interest expense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debt — external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5,222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Contributed capital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1,961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3,645</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5400" w:hanging="5612"/>
        <w:spacing w:after="0" w:line="248" w:lineRule="auto"/>
        <w:tabs>
          <w:tab w:leader="none" w:pos="216"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All significant intercompany transactions have been eliminated in consolidation.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 Issuer)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w:t>
            </w: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Intercompany transactions between Clearway Energy LLC and subsidiaries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Partnership interests acquisition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Buyout of Wind TE Holdco non-controlling interest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investments in unconsolidated affiliates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196"/>
        </w:trPr>
        <w:tc>
          <w:tcPr>
            <w:tcW w:w="20" w:type="dxa"/>
            <w:vAlign w:val="bottom"/>
          </w:tcPr>
          <w:p>
            <w:pPr>
              <w:spacing w:after="0"/>
              <w:rPr>
                <w:sz w:val="17"/>
                <w:szCs w:val="17"/>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of funds under intercompany cash management arrangement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Net contributions (distributions) to (from) noncontrolling interests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of) proceeds from distributions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issuance of long-term debt — external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long-term debt — external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03"/>
        </w:trPr>
        <w:tc>
          <w:tcPr>
            <w:tcW w:w="20" w:type="dxa"/>
            <w:vAlign w:val="bottom"/>
          </w:tcPr>
          <w:p>
            <w:pPr>
              <w:spacing w:after="0"/>
              <w:rPr>
                <w:sz w:val="17"/>
                <w:szCs w:val="17"/>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for long-term debt — affiliate</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by Financing Activities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583</w:t>
            </w:r>
          </w:p>
        </w:tc>
      </w:t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w:t>
            </w: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 xml:space="preserve">Eliminations </w:t>
            </w:r>
            <w:r>
              <w:rPr>
                <w:rFonts w:ascii="Times New Roman" w:cs="Times New Roman" w:eastAsia="Times New Roman" w:hAnsi="Times New Roman"/>
                <w:sz w:val="27"/>
                <w:szCs w:val="27"/>
                <w:b w:val="1"/>
                <w:bCs w:val="1"/>
                <w:color w:val="auto"/>
                <w:w w:val="94"/>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operations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Development costs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 earnings of consolidated affiliates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Clearway Energy LLC</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5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operations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Development costs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 income of consolidated affiliates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Clearway Energy LLC</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5400" w:hanging="5612"/>
        <w:spacing w:after="0" w:line="248" w:lineRule="auto"/>
        <w:tabs>
          <w:tab w:leader="none" w:pos="216"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All significant intercompany transactions have been eliminated in consolidation.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5" w:name="page46"/>
    <w:bookmarkEnd w:id="4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bottom w:val="single" w:sz="8" w:color="auto"/>
            </w:tcBorders>
            <w:gridSpan w:val="2"/>
          </w:tcPr>
          <w:p>
            <w:pPr>
              <w:jc w:val="right"/>
              <w:spacing w:after="0" w:line="257" w:lineRule="exact"/>
              <w:rPr>
                <w:sz w:val="20"/>
                <w:szCs w:val="20"/>
                <w:color w:val="auto"/>
              </w:rPr>
            </w:pPr>
            <w:r>
              <w:rPr>
                <w:rFonts w:ascii="Times New Roman" w:cs="Times New Roman" w:eastAsia="Times New Roman" w:hAnsi="Times New Roman"/>
                <w:sz w:val="16"/>
                <w:szCs w:val="16"/>
                <w:b w:val="1"/>
                <w:bCs w:val="1"/>
                <w:color w:val="auto"/>
                <w:w w:val="98"/>
              </w:rPr>
              <w:t xml:space="preserve">Energy LLC </w:t>
            </w:r>
            <w:r>
              <w:rPr>
                <w:rFonts w:ascii="Times New Roman" w:cs="Times New Roman" w:eastAsia="Times New Roman" w:hAnsi="Times New Roman"/>
                <w:sz w:val="27"/>
                <w:szCs w:val="27"/>
                <w:b w:val="1"/>
                <w:bCs w:val="1"/>
                <w:color w:val="auto"/>
                <w:w w:val="98"/>
                <w:vertAlign w:val="superscript"/>
              </w:rPr>
              <w:t>(a)</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22"/>
                <w:szCs w:val="22"/>
                <w:color w:val="auto"/>
              </w:rPr>
            </w:pPr>
          </w:p>
        </w:tc>
        <w:tc>
          <w:tcPr>
            <w:tcW w:w="1160" w:type="dxa"/>
            <w:vAlign w:val="bottom"/>
            <w:tcBorders>
              <w:bottom w:val="single" w:sz="8" w:color="auto"/>
            </w:tcBorders>
            <w:gridSpan w:val="2"/>
          </w:tcPr>
          <w:p>
            <w:pPr>
              <w:jc w:val="right"/>
              <w:spacing w:after="0" w:line="257" w:lineRule="exact"/>
              <w:rPr>
                <w:sz w:val="20"/>
                <w:szCs w:val="20"/>
                <w:color w:val="auto"/>
              </w:rPr>
            </w:pPr>
            <w:r>
              <w:rPr>
                <w:rFonts w:ascii="Times New Roman" w:cs="Times New Roman" w:eastAsia="Times New Roman" w:hAnsi="Times New Roman"/>
                <w:sz w:val="16"/>
                <w:szCs w:val="16"/>
                <w:b w:val="1"/>
                <w:bCs w:val="1"/>
                <w:color w:val="auto"/>
                <w:w w:val="99"/>
              </w:rPr>
              <w:t xml:space="preserve">Subsidiaries </w:t>
            </w:r>
            <w:r>
              <w:rPr>
                <w:rFonts w:ascii="Times New Roman" w:cs="Times New Roman" w:eastAsia="Times New Roman" w:hAnsi="Times New Roman"/>
                <w:sz w:val="27"/>
                <w:szCs w:val="27"/>
                <w:b w:val="1"/>
                <w:bCs w:val="1"/>
                <w:color w:val="auto"/>
                <w:w w:val="99"/>
                <w:vertAlign w:val="superscript"/>
              </w:rPr>
              <w:t>(a)</w:t>
            </w:r>
          </w:p>
        </w:tc>
        <w:tc>
          <w:tcPr>
            <w:tcW w:w="100" w:type="dxa"/>
            <w:vAlign w:val="bottom"/>
          </w:tcPr>
          <w:p>
            <w:pPr>
              <w:spacing w:after="0"/>
              <w:rPr>
                <w:sz w:val="22"/>
                <w:szCs w:val="22"/>
                <w:color w:val="auto"/>
              </w:rPr>
            </w:pPr>
          </w:p>
        </w:tc>
        <w:tc>
          <w:tcPr>
            <w:tcW w:w="1120" w:type="dxa"/>
            <w:vAlign w:val="bottom"/>
            <w:tcBorders>
              <w:bottom w:val="single" w:sz="8" w:color="auto"/>
            </w:tcBorders>
            <w:gridSpan w:val="2"/>
          </w:tcPr>
          <w:p>
            <w:pPr>
              <w:ind w:left="20"/>
              <w:spacing w:after="0" w:line="257" w:lineRule="exact"/>
              <w:rPr>
                <w:sz w:val="20"/>
                <w:szCs w:val="20"/>
                <w:color w:val="auto"/>
              </w:rPr>
            </w:pPr>
            <w:r>
              <w:rPr>
                <w:rFonts w:ascii="Times New Roman" w:cs="Times New Roman" w:eastAsia="Times New Roman" w:hAnsi="Times New Roman"/>
                <w:sz w:val="16"/>
                <w:szCs w:val="16"/>
                <w:b w:val="1"/>
                <w:bCs w:val="1"/>
                <w:color w:val="auto"/>
                <w:w w:val="95"/>
              </w:rPr>
              <w:t xml:space="preserve">(Note Issuer) </w:t>
            </w:r>
            <w:r>
              <w:rPr>
                <w:rFonts w:ascii="Times New Roman" w:cs="Times New Roman" w:eastAsia="Times New Roman" w:hAnsi="Times New Roman"/>
                <w:sz w:val="27"/>
                <w:szCs w:val="27"/>
                <w:b w:val="1"/>
                <w:bCs w:val="1"/>
                <w:color w:val="auto"/>
                <w:w w:val="95"/>
                <w:vertAlign w:val="superscript"/>
              </w:rPr>
              <w:t>(a)</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3"/>
          </w:tcPr>
          <w:p>
            <w:pPr>
              <w:ind w:left="300"/>
              <w:spacing w:after="0"/>
              <w:rPr>
                <w:sz w:val="20"/>
                <w:szCs w:val="20"/>
                <w:color w:val="auto"/>
              </w:rPr>
            </w:pPr>
            <w:r>
              <w:rPr>
                <w:rFonts w:ascii="Times New Roman" w:cs="Times New Roman" w:eastAsia="Times New Roman" w:hAnsi="Times New Roman"/>
                <w:sz w:val="16"/>
                <w:szCs w:val="16"/>
                <w:i w:val="1"/>
                <w:iCs w:val="1"/>
                <w:color w:val="auto"/>
                <w:w w:val="97"/>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5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6"/>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82"/>
        </w:trPr>
        <w:tc>
          <w:tcPr>
            <w:tcW w:w="392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Less: Comprehensive loss attributable to noncontrolling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 Income Attributable to Clearway</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500" w:type="dxa"/>
            <w:vAlign w:val="bottom"/>
            <w:gridSpan w:val="2"/>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b w:val="1"/>
                <w:bCs w:val="1"/>
                <w:color w:val="auto"/>
              </w:rPr>
              <w:t>Energy LLC</w:t>
            </w:r>
          </w:p>
        </w:tc>
        <w:tc>
          <w:tcPr>
            <w:tcW w:w="26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6"/>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2"/>
        </w:trPr>
        <w:tc>
          <w:tcPr>
            <w:tcW w:w="392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Less: Comprehensive loss attributable to noncontrolling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 Income Attributable to Clearway</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c>
          <w:tcPr>
            <w:tcW w:w="5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b w:val="1"/>
                <w:bCs w:val="1"/>
                <w:color w:val="auto"/>
              </w:rPr>
              <w:t>Energy LLC</w:t>
            </w:r>
          </w:p>
        </w:tc>
        <w:tc>
          <w:tcPr>
            <w:tcW w:w="22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All significant intercompany transactions have been eliminated in consolidation.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6" w:name="page47"/>
    <w:bookmarkEnd w:id="4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 affiliate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property, plant and equipment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consolidated subsidiaries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Total other assets</w:t>
            </w:r>
          </w:p>
        </w:tc>
        <w:tc>
          <w:tcPr>
            <w:tcW w:w="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3,627</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All significant intercompany transactions have been eliminated in consolidation.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 xml:space="preserve">Eliminations </w:t>
            </w:r>
            <w:r>
              <w:rPr>
                <w:rFonts w:ascii="Times New Roman" w:cs="Times New Roman" w:eastAsia="Times New Roman" w:hAnsi="Times New Roman"/>
                <w:sz w:val="27"/>
                <w:szCs w:val="27"/>
                <w:b w:val="1"/>
                <w:bCs w:val="1"/>
                <w:color w:val="auto"/>
                <w:w w:val="96"/>
                <w:vertAlign w:val="superscript"/>
              </w:rPr>
              <w: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(Note Issuer)</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 — external</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 — affiliate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 affiliate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interest expense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debt — external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debt — affiliate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4,079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Contributed capital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3,627</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All significant intercompany transactions have been eliminated in consolidation.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Clearway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 LLC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Energy LLC</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 Issuer)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2"/>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w:t>
            </w: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Intercompany transactions from Clearway Energy LLC to subsidiaries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Partnership interests acquisition</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the Drop Down Assets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receipts from notes receivable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investments in unconsolidated affiliates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20" w:type="dxa"/>
            <w:vAlign w:val="bottom"/>
          </w:tcPr>
          <w:p>
            <w:pPr>
              <w:spacing w:after="0"/>
              <w:rPr>
                <w:sz w:val="17"/>
                <w:szCs w:val="17"/>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196"/>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of funds under intercompany cash management arrangement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Net contributions from noncontrolling interests</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issuance of Class C units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(Payments of) proceeds from distributions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issuance of long-term debt - external</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for long-term debt — external</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long-term debt — affiliate</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6"/>
        </w:trPr>
        <w:tc>
          <w:tcPr>
            <w:tcW w:w="20" w:type="dxa"/>
            <w:vAlign w:val="bottom"/>
          </w:tcPr>
          <w:p>
            <w:pPr>
              <w:spacing w:after="0"/>
              <w:rPr>
                <w:sz w:val="17"/>
                <w:szCs w:val="17"/>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196"/>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r>
      <w:tr>
        <w:trPr>
          <w:trHeight w:val="203"/>
        </w:trPr>
        <w:tc>
          <w:tcPr>
            <w:tcW w:w="20" w:type="dxa"/>
            <w:vAlign w:val="bottom"/>
          </w:tcPr>
          <w:p>
            <w:pPr>
              <w:spacing w:after="0"/>
              <w:rPr>
                <w:sz w:val="17"/>
                <w:szCs w:val="17"/>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r>
      <w:tr>
        <w:trPr>
          <w:trHeight w:val="196"/>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Contingencies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Note 14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Company's 2018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Nebraska Public Power District Litigation</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Additionally, Elkhorn Ridge was added as a third-party defendant to the litigation in the U.S. District Court. On September 23, 2019, NPPD filed amended complaints in the U.S. District Court, to which Laredo Ridge and Elkhorn Ridge responded on October 7, 2019. The Company believes the allegations of NPPD are meritless and the Company is vigorously defending its rights under the PPAs.</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Buckthorn Solar Litigation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Buckthorn Westex believes the allegations of Georgetown are meritless, and Buckthorn Westex is vigorously defending its rights under the PPA.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Adoption of Topic </w:t>
      </w:r>
      <w:r>
        <w:rPr>
          <w:rFonts w:ascii="Times New Roman" w:cs="Times New Roman" w:eastAsia="Times New Roman" w:hAnsi="Times New Roman"/>
          <w:sz w:val="18"/>
          <w:szCs w:val="18"/>
          <w:b w:val="1"/>
          <w:bCs w:val="1"/>
          <w:color w:val="auto"/>
        </w:rPr>
        <w:t>842</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adopted ASU No. 2019-01, Leases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adoption of the standard resulted in the recording of operating lease liabilities of $174 million and related ROU assets of $168 million. There was no impact to the Company’s consolidated statement of operations or cash flows. The Company utilized its incremental borrowing rate at adoption date, ranging from 4.04% - 4.67%, to determine the amount of the lease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evaluates each arrangement at inception to determine if it contains a lease. All of the Company’s leases are operating leases as of September 30,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expense for the three and nine months ended September 30, 2019 was comprised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0" w:type="dxa"/>
            <w:vAlign w:val="bottom"/>
          </w:tcPr>
          <w:p>
            <w:pPr>
              <w:spacing w:after="0"/>
              <w:rPr>
                <w:sz w:val="17"/>
                <w:szCs w:val="17"/>
                <w:color w:val="auto"/>
              </w:rPr>
            </w:pPr>
          </w:p>
        </w:tc>
        <w:tc>
          <w:tcPr>
            <w:tcW w:w="1660" w:type="dxa"/>
            <w:vAlign w:val="bottom"/>
            <w:tcBorders>
              <w:top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Variable lease cost</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160" w:type="dxa"/>
            <w:vAlign w:val="bottom"/>
          </w:tcPr>
          <w:p>
            <w:pPr>
              <w:spacing w:after="0"/>
              <w:rPr>
                <w:sz w:val="24"/>
                <w:szCs w:val="24"/>
                <w:color w:val="auto"/>
              </w:rPr>
            </w:pPr>
          </w:p>
        </w:tc>
        <w:tc>
          <w:tcPr>
            <w:tcW w:w="296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jc w:val="right"/>
              <w:ind w:right="10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51" w:name="page52"/>
    <w:bookmarkEnd w:id="51"/>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112" w:right="239" w:bottom="1440" w:gutter="0" w:footer="0" w:header="0"/>
        </w:sectPr>
      </w:pP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Operating lease information as of September 30, 2019 was as follows: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(In millions, except term and rate)</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ROU Assets - operating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687768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Short-term lease liability - operating leases </w:t>
      </w:r>
      <w:r>
        <w:rPr>
          <w:rFonts w:ascii="Times New Roman" w:cs="Times New Roman" w:eastAsia="Times New Roman" w:hAnsi="Times New Roman"/>
          <w:sz w:val="30"/>
          <w:szCs w:val="30"/>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-172085</wp:posOffset>
            </wp:positionV>
            <wp:extent cx="687768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Long-term lease liability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4445</wp:posOffset>
            </wp:positionV>
            <wp:extent cx="687768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lease liability</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Cash paid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-119380</wp:posOffset>
            </wp:positionV>
            <wp:extent cx="687768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687768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26" w:hanging="926"/>
        <w:spacing w:after="0"/>
        <w:tabs>
          <w:tab w:leader="none" w:pos="9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w:t>
      </w:r>
    </w:p>
    <w:p>
      <w:pPr>
        <w:spacing w:after="0" w:line="266"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193</w:t>
      </w:r>
    </w:p>
    <w:p>
      <w:pPr>
        <w:spacing w:after="0" w:line="9" w:lineRule="exact"/>
        <w:rPr>
          <w:sz w:val="20"/>
          <w:szCs w:val="20"/>
          <w:color w:val="auto"/>
        </w:rPr>
      </w:pPr>
    </w:p>
    <w:p>
      <w:pPr>
        <w:ind w:left="926" w:hanging="926"/>
        <w:spacing w:after="0"/>
        <w:tabs>
          <w:tab w:leader="none" w:pos="9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8578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41" w:lineRule="exact"/>
        <w:rPr>
          <w:sz w:val="20"/>
          <w:szCs w:val="20"/>
          <w:color w:val="auto"/>
        </w:rPr>
      </w:pPr>
    </w:p>
    <w:p>
      <w:pPr>
        <w:ind w:left="1106" w:hanging="1106"/>
        <w:spacing w:after="0"/>
        <w:tabs>
          <w:tab w:leader="none" w:pos="11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7" w:lineRule="exact"/>
        <w:rPr>
          <w:rFonts w:ascii="Times New Roman" w:cs="Times New Roman" w:eastAsia="Times New Roman" w:hAnsi="Times New Roman"/>
          <w:sz w:val="18"/>
          <w:szCs w:val="18"/>
          <w:color w:val="auto"/>
        </w:rPr>
      </w:pPr>
    </w:p>
    <w:p>
      <w:pPr>
        <w:ind w:left="10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9" w:lineRule="exact"/>
        <w:rPr>
          <w:rFonts w:ascii="Times New Roman" w:cs="Times New Roman" w:eastAsia="Times New Roman" w:hAnsi="Times New Roman"/>
          <w:sz w:val="18"/>
          <w:szCs w:val="18"/>
          <w:color w:val="auto"/>
        </w:rPr>
      </w:pPr>
    </w:p>
    <w:p>
      <w:pPr>
        <w:ind w:left="9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ectPr>
          <w:pgSz w:w="11900" w:h="16838" w:orient="portrait"/>
          <w:cols w:equalWidth="0" w:num="2">
            <w:col w:w="9054" w:space="720"/>
            <w:col w:w="1646"/>
          </w:cols>
          <w:pgMar w:left="240" w:top="112" w:right="239" w:bottom="1440" w:gutter="0" w:footer="0" w:header="0"/>
          <w:type w:val="continuous"/>
        </w:sectPr>
      </w:pPr>
    </w:p>
    <w:p>
      <w:pPr>
        <w:spacing w:after="0" w:line="47" w:lineRule="exact"/>
        <w:rPr>
          <w:sz w:val="20"/>
          <w:szCs w:val="20"/>
          <w:color w:val="auto"/>
        </w:rPr>
      </w:pPr>
    </w:p>
    <w:p>
      <w:pPr>
        <w:ind w:firstLine="494"/>
        <w:spacing w:after="0" w:line="208" w:lineRule="auto"/>
        <w:tabs>
          <w:tab w:leader="none" w:pos="702"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Short-term lease liability balances are included within the accrued expenses and other current liabilities line item of the consolidated balance sheets as of September 30, 2019.</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2019 are as follows: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9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9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0"/>
        </w:trPr>
        <w:tc>
          <w:tcPr>
            <w:tcW w:w="9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lease liability - operating leases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minimum lease commitments under operating leases as of December 31, 2018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5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9"/>
        </w:trPr>
        <w:tc>
          <w:tcPr>
            <w:tcW w:w="30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5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9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6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30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3540" w:type="dxa"/>
            <w:vAlign w:val="bottom"/>
            <w:tcBorders>
              <w:top w:val="single" w:sz="8" w:color="CCEEFF"/>
            </w:tcBorders>
          </w:tcPr>
          <w:p>
            <w:pPr>
              <w:spacing w:after="0"/>
              <w:rPr>
                <w:sz w:val="24"/>
                <w:szCs w:val="24"/>
                <w:color w:val="auto"/>
              </w:rPr>
            </w:pPr>
          </w:p>
        </w:tc>
        <w:tc>
          <w:tcPr>
            <w:tcW w:w="5980" w:type="dxa"/>
            <w:vAlign w:val="bottom"/>
            <w:tcBorders>
              <w:top w:val="single" w:sz="8" w:color="CCEEFF"/>
            </w:tcBorders>
          </w:tcPr>
          <w:p>
            <w:pPr>
              <w:jc w:val="right"/>
              <w:ind w:right="3930"/>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type w:val="continuous"/>
        </w:sectPr>
      </w:pPr>
    </w:p>
    <w:bookmarkStart w:id="52" w:name="page53"/>
    <w:bookmarkEnd w:id="52"/>
    <w:p>
      <w:pPr>
        <w:spacing w:after="0" w:line="5"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Oahu Solar Lease Agreements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$21 million and corresponding right-of-use asset of $19 million related to the leases as of September 30,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Times New Roman" w:cs="Times New Roman" w:eastAsia="Times New Roman" w:hAnsi="Times New Roman"/>
          <w:sz w:val="18"/>
          <w:szCs w:val="18"/>
          <w:i w:val="1"/>
          <w:iCs w:val="1"/>
          <w:color w:val="auto"/>
        </w:rPr>
        <w:t>Introduction, Environmental, Regulatory</w:t>
      </w:r>
      <w:r>
        <w:rPr>
          <w:rFonts w:ascii="Times New Roman" w:cs="Times New Roman" w:eastAsia="Times New Roman" w:hAnsi="Times New Roman"/>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following amounts of energy and capacity revenue are related to the Company’s leases: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Renewables</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Thermal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8"/>
        </w:trPr>
        <w:tc>
          <w:tcPr>
            <w:tcW w:w="4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5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revenue</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407"/>
        </w:trPr>
        <w:tc>
          <w:tcPr>
            <w:tcW w:w="4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16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Renewables</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Thermal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8"/>
        </w:trPr>
        <w:tc>
          <w:tcPr>
            <w:tcW w:w="4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revenue</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Minimum future rent payments under the operating leases for the remaining periods as of September 30, 2019:</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6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plant and equipment, net related to the Company’s operating leases were as follows as of September 30, 2019:</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4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w:t>
            </w:r>
          </w:p>
        </w:tc>
      </w:tr>
      <w:tr>
        <w:trPr>
          <w:trHeight w:val="250"/>
        </w:trPr>
        <w:tc>
          <w:tcPr>
            <w:tcW w:w="20" w:type="dxa"/>
            <w:vAlign w:val="bottom"/>
          </w:tcPr>
          <w:p>
            <w:pPr>
              <w:spacing w:after="0"/>
              <w:rPr>
                <w:sz w:val="21"/>
                <w:szCs w:val="21"/>
                <w:color w:val="auto"/>
              </w:rPr>
            </w:pPr>
          </w:p>
        </w:tc>
        <w:tc>
          <w:tcPr>
            <w:tcW w:w="50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46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Asset Impairments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recorded an impairment loss of $19 million related to a facility in the Thermal segment during the second quarter of 2019.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the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discussion analyzes the Company's historical financial condition and results of operations.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nine months ended September 30, 2019 and 2018. Also refer to the Company's 2018 Form 10-K, which includes detailed discussions of various items impacting the Company's business, results of operations and financial condition.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discussion and analysis below has been organized as follows:</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including a description of the business and significant events that are important to understanding the results of operations</w:t>
      </w:r>
    </w:p>
    <w:p>
      <w:pPr>
        <w:sectPr>
          <w:pgSz w:w="11900" w:h="16843" w:orient="portrait"/>
          <w:cols w:equalWidth="0" w:num="1">
            <w:col w:w="11420"/>
          </w:cols>
          <w:pgMar w:left="240" w:top="112" w:right="239" w:bottom="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8"/>
          <w:szCs w:val="18"/>
          <w:color w:val="auto"/>
        </w:rPr>
        <w:t>and financial condition;</w:t>
      </w:r>
    </w:p>
    <w:p>
      <w:pPr>
        <w:spacing w:after="0" w:line="27"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trends that may affect the Company’s results of operations and financial condition in the future;</w:t>
      </w:r>
    </w:p>
    <w:p>
      <w:pPr>
        <w:spacing w:after="0" w:line="17" w:lineRule="exact"/>
        <w:rPr>
          <w:rFonts w:ascii="Times New Roman" w:cs="Times New Roman" w:eastAsia="Times New Roman" w:hAnsi="Times New Roman"/>
          <w:sz w:val="18"/>
          <w:szCs w:val="18"/>
          <w:color w:val="auto"/>
        </w:rPr>
      </w:pPr>
    </w:p>
    <w:p>
      <w:pPr>
        <w:ind w:left="980" w:right="50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including an explanation of significant differences between the periods in the specific line items of the consolidated statements of income;</w:t>
      </w:r>
    </w:p>
    <w:p>
      <w:pPr>
        <w:ind w:left="980" w:right="24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addressing liquidity position, sources and uses of cash, capital resources and requirements, commitments, and off-balance sheet arrangements; and</w:t>
      </w:r>
    </w:p>
    <w:p>
      <w:pPr>
        <w:ind w:left="980" w:right="20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Clearway Energy LLC (formerly NRG Yield LLC), together with its consolidated subsidiaries, or the Company, is an energy infrastructure investor in and owner of modern, sustainable and long-term contracted assets across North America. The Company is indirectly owned by Global Infrastructure Partners</w:t>
      </w:r>
    </w:p>
    <w:p>
      <w:pPr>
        <w:ind w:firstLine="8"/>
        <w:spacing w:after="0" w:line="261" w:lineRule="auto"/>
        <w:tabs>
          <w:tab w:leader="none" w:pos="2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environmentally sound asset portfolio includes over 5,330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14 years as of September 30, 2019 based on CAFD. The Company also owns thermal 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2019, the Company's operating assets are comprised of the following projects: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7"/>
                <w:szCs w:val="17"/>
                <w:color w:val="auto"/>
              </w:rPr>
            </w:pPr>
          </w:p>
        </w:tc>
        <w:tc>
          <w:tcPr>
            <w:tcW w:w="15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Net Capacity</w:t>
            </w:r>
          </w:p>
        </w:tc>
        <w:tc>
          <w:tcPr>
            <w:tcW w:w="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7"/>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Projects</w:t>
            </w:r>
          </w:p>
        </w:tc>
        <w:tc>
          <w:tcPr>
            <w:tcW w:w="120" w:type="dxa"/>
            <w:vAlign w:val="bottom"/>
          </w:tcPr>
          <w:p>
            <w:pPr>
              <w:spacing w:after="0"/>
              <w:rPr>
                <w:sz w:val="22"/>
                <w:szCs w:val="22"/>
                <w:color w:val="auto"/>
              </w:rPr>
            </w:pP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0" w:type="dxa"/>
            <w:vAlign w:val="bottom"/>
          </w:tcPr>
          <w:p>
            <w:pPr>
              <w:spacing w:after="0"/>
              <w:rPr>
                <w:sz w:val="22"/>
                <w:szCs w:val="22"/>
                <w:color w:val="auto"/>
              </w:rPr>
            </w:pPr>
          </w:p>
        </w:tc>
        <w:tc>
          <w:tcPr>
            <w:tcW w:w="1580" w:type="dxa"/>
            <w:vAlign w:val="bottom"/>
          </w:tcPr>
          <w:p>
            <w:pPr>
              <w:jc w:val="right"/>
              <w:ind w:right="454"/>
              <w:spacing w:after="0" w:line="257" w:lineRule="exact"/>
              <w:rPr>
                <w:sz w:val="20"/>
                <w:szCs w:val="20"/>
                <w:color w:val="auto"/>
              </w:rPr>
            </w:pPr>
            <w:r>
              <w:rPr>
                <w:rFonts w:ascii="Times New Roman" w:cs="Times New Roman" w:eastAsia="Times New Roman" w:hAnsi="Times New Roman"/>
                <w:sz w:val="16"/>
                <w:szCs w:val="16"/>
                <w:b w:val="1"/>
                <w:bCs w:val="1"/>
                <w:color w:val="auto"/>
              </w:rPr>
              <w:t>(MW)</w:t>
            </w:r>
            <w:r>
              <w:rPr>
                <w:rFonts w:ascii="Times New Roman" w:cs="Times New Roman" w:eastAsia="Times New Roman" w:hAnsi="Times New Roman"/>
                <w:sz w:val="27"/>
                <w:szCs w:val="27"/>
                <w:b w:val="1"/>
                <w:bCs w:val="1"/>
                <w:color w:val="auto"/>
                <w:vertAlign w:val="superscript"/>
              </w:rPr>
              <w:t>(a)</w:t>
            </w:r>
          </w:p>
        </w:tc>
        <w:tc>
          <w:tcPr>
            <w:tcW w:w="120" w:type="dxa"/>
            <w:vAlign w:val="bottom"/>
          </w:tcPr>
          <w:p>
            <w:pPr>
              <w:spacing w:after="0"/>
              <w:rPr>
                <w:sz w:val="22"/>
                <w:szCs w:val="22"/>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Offtake Counterparty</w:t>
            </w:r>
          </w:p>
        </w:tc>
        <w:tc>
          <w:tcPr>
            <w:tcW w:w="100" w:type="dxa"/>
            <w:vAlign w:val="bottom"/>
          </w:tcPr>
          <w:p>
            <w:pPr>
              <w:spacing w:after="0"/>
              <w:rPr>
                <w:sz w:val="22"/>
                <w:szCs w:val="22"/>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Conventional</w:t>
            </w:r>
          </w:p>
        </w:tc>
        <w:tc>
          <w:tcPr>
            <w:tcW w:w="1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 Segundo</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GenConn Devon</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Connecticut Light &amp; Power</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2040</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GenConn Middletown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Connecticut Light &amp; Power</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Marsh Landing</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Walnut Creek</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Utility Scale Solar</w:t>
            </w: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Agua Caliente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Alpine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Avenal</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Avra Valley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Tucson Electric Power</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Blythe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Borrego</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 Diego Gas and Electric</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2038</w:t>
            </w:r>
          </w:p>
        </w:tc>
      </w:tr>
      <w:tr>
        <w:trPr>
          <w:trHeight w:val="257"/>
        </w:trPr>
        <w:tc>
          <w:tcPr>
            <w:tcW w:w="20" w:type="dxa"/>
            <w:vAlign w:val="bottom"/>
          </w:tcPr>
          <w:p>
            <w:pPr>
              <w:spacing w:after="0"/>
              <w:rPr>
                <w:sz w:val="22"/>
                <w:szCs w:val="22"/>
                <w:color w:val="auto"/>
              </w:rPr>
            </w:pPr>
          </w:p>
        </w:tc>
        <w:tc>
          <w:tcPr>
            <w:tcW w:w="2860" w:type="dxa"/>
            <w:vAlign w:val="bottom"/>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Buckthorn Solar </w:t>
            </w:r>
            <w:r>
              <w:rPr>
                <w:rFonts w:ascii="Times New Roman" w:cs="Times New Roman" w:eastAsia="Times New Roman" w:hAnsi="Times New Roman"/>
                <w:sz w:val="29"/>
                <w:szCs w:val="29"/>
                <w:color w:val="auto"/>
                <w:vertAlign w:val="superscript"/>
              </w:rPr>
              <w:t>(b)</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2"/>
                <w:szCs w:val="22"/>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City of Georgetown, TX</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2043</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CVSR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2038</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Desert Sunlight 250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Desert Sunlight 300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Kansas South</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57"/>
        </w:trPr>
        <w:tc>
          <w:tcPr>
            <w:tcW w:w="20" w:type="dxa"/>
            <w:vAlign w:val="bottom"/>
          </w:tcPr>
          <w:p>
            <w:pPr>
              <w:spacing w:after="0"/>
              <w:rPr>
                <w:sz w:val="22"/>
                <w:szCs w:val="22"/>
                <w:color w:val="auto"/>
              </w:rPr>
            </w:pPr>
          </w:p>
        </w:tc>
        <w:tc>
          <w:tcPr>
            <w:tcW w:w="2860" w:type="dxa"/>
            <w:vAlign w:val="bottom"/>
          </w:tcPr>
          <w:p>
            <w:pPr>
              <w:ind w:left="320"/>
              <w:spacing w:after="0" w:line="256" w:lineRule="exact"/>
              <w:rPr>
                <w:sz w:val="20"/>
                <w:szCs w:val="20"/>
                <w:color w:val="auto"/>
              </w:rPr>
            </w:pPr>
            <w:r>
              <w:rPr>
                <w:rFonts w:ascii="Times New Roman" w:cs="Times New Roman" w:eastAsia="Times New Roman" w:hAnsi="Times New Roman"/>
                <w:sz w:val="18"/>
                <w:szCs w:val="18"/>
                <w:color w:val="auto"/>
              </w:rPr>
              <w:t>Oahu Solar Projects</w:t>
            </w:r>
            <w:r>
              <w:rPr>
                <w:rFonts w:ascii="Times New Roman" w:cs="Times New Roman" w:eastAsia="Times New Roman" w:hAnsi="Times New Roman"/>
                <w:sz w:val="29"/>
                <w:szCs w:val="29"/>
                <w:color w:val="auto"/>
                <w:vertAlign w:val="superscript"/>
              </w:rPr>
              <w:t>(b)</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2"/>
                <w:szCs w:val="22"/>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Hawaiian Electric Company, Inc.</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Roadrunner</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El Paso Electric</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 High Desert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43"/>
        </w:trPr>
        <w:tc>
          <w:tcPr>
            <w:tcW w:w="20" w:type="dxa"/>
            <w:vAlign w:val="bottom"/>
          </w:tcPr>
          <w:p>
            <w:pPr>
              <w:spacing w:after="0"/>
              <w:rPr>
                <w:sz w:val="21"/>
                <w:szCs w:val="21"/>
                <w:color w:val="auto"/>
              </w:rPr>
            </w:pPr>
          </w:p>
        </w:tc>
        <w:tc>
          <w:tcPr>
            <w:tcW w:w="2860" w:type="dxa"/>
            <w:vAlign w:val="bottom"/>
            <w:tcBorders>
              <w:bottom w:val="single" w:sz="8" w:color="CCEEFF"/>
            </w:tcBorders>
            <w:shd w:val="clear" w:color="auto" w:fill="CCEEFF"/>
          </w:tcPr>
          <w:p>
            <w:pPr>
              <w:ind w:left="320"/>
              <w:spacing w:after="0" w:line="243" w:lineRule="exact"/>
              <w:rPr>
                <w:sz w:val="20"/>
                <w:szCs w:val="20"/>
                <w:color w:val="auto"/>
              </w:rPr>
            </w:pPr>
            <w:r>
              <w:rPr>
                <w:rFonts w:ascii="Times New Roman" w:cs="Times New Roman" w:eastAsia="Times New Roman" w:hAnsi="Times New Roman"/>
                <w:sz w:val="17"/>
                <w:szCs w:val="17"/>
                <w:color w:val="auto"/>
              </w:rPr>
              <w:t xml:space="preserve">Utah Solar Portfolio </w:t>
            </w:r>
            <w:r>
              <w:rPr>
                <w:rFonts w:ascii="Times New Roman" w:cs="Times New Roman" w:eastAsia="Times New Roman" w:hAnsi="Times New Roman"/>
                <w:sz w:val="28"/>
                <w:szCs w:val="28"/>
                <w:color w:val="auto"/>
                <w:vertAlign w:val="superscript"/>
              </w:rPr>
              <w:t>(b) (e)</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PacifiCorp</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2036</w:t>
            </w: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Distributed Solar</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Apple I LLC Projects </w:t>
            </w:r>
            <w:r>
              <w:rPr>
                <w:rFonts w:ascii="Times New Roman" w:cs="Times New Roman" w:eastAsia="Times New Roman" w:hAnsi="Times New Roman"/>
                <w:sz w:val="29"/>
                <w:szCs w:val="29"/>
                <w:color w:val="auto"/>
                <w:vertAlign w:val="superscript"/>
              </w:rPr>
              <w:t>(h)</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AZ DG Solar Projects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2025 - 2033</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SPP Projects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2026 - 2037</w:t>
            </w: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DG Projects</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3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2023 - 2040</w:t>
            </w: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Wind</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Alta I</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Alta II</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Alta III</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Alta IV</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34"/>
        </w:trPr>
        <w:tc>
          <w:tcPr>
            <w:tcW w:w="20" w:type="dxa"/>
            <w:vAlign w:val="bottom"/>
          </w:tcPr>
          <w:p>
            <w:pPr>
              <w:spacing w:after="0"/>
              <w:rPr>
                <w:sz w:val="20"/>
                <w:szCs w:val="20"/>
                <w:color w:val="auto"/>
              </w:rPr>
            </w:pPr>
          </w:p>
        </w:tc>
        <w:tc>
          <w:tcPr>
            <w:tcW w:w="2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Alta V</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w:t>
            </w:r>
          </w:p>
        </w:tc>
      </w:tr>
    </w:tbl>
    <w:p>
      <w:pPr>
        <w:spacing w:after="0" w:line="179"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54" w:name="page55"/>
    <w:bookmarkEnd w:id="5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6"/>
                <w:szCs w:val="16"/>
                <w:color w:val="auto"/>
              </w:rPr>
            </w:pPr>
          </w:p>
        </w:tc>
        <w:tc>
          <w:tcPr>
            <w:tcW w:w="15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Net Capacity</w:t>
            </w:r>
          </w:p>
        </w:tc>
        <w:tc>
          <w:tcPr>
            <w:tcW w:w="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7"/>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Projects</w:t>
            </w: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453"/>
              <w:spacing w:after="0" w:line="257" w:lineRule="exact"/>
              <w:rPr>
                <w:sz w:val="20"/>
                <w:szCs w:val="20"/>
                <w:color w:val="auto"/>
              </w:rPr>
            </w:pPr>
            <w:r>
              <w:rPr>
                <w:rFonts w:ascii="Times New Roman" w:cs="Times New Roman" w:eastAsia="Times New Roman" w:hAnsi="Times New Roman"/>
                <w:sz w:val="16"/>
                <w:szCs w:val="16"/>
                <w:b w:val="1"/>
                <w:bCs w:val="1"/>
                <w:color w:val="auto"/>
              </w:rPr>
              <w:t>(MW)</w:t>
            </w:r>
            <w:r>
              <w:rPr>
                <w:rFonts w:ascii="Times New Roman" w:cs="Times New Roman" w:eastAsia="Times New Roman" w:hAnsi="Times New Roman"/>
                <w:sz w:val="27"/>
                <w:szCs w:val="27"/>
                <w:b w:val="1"/>
                <w:bCs w:val="1"/>
                <w:color w:val="auto"/>
                <w:vertAlign w:val="superscript"/>
              </w:rPr>
              <w:t>(a)</w:t>
            </w:r>
          </w:p>
        </w:tc>
        <w:tc>
          <w:tcPr>
            <w:tcW w:w="120" w:type="dxa"/>
            <w:vAlign w:val="bottom"/>
          </w:tcPr>
          <w:p>
            <w:pPr>
              <w:spacing w:after="0"/>
              <w:rPr>
                <w:sz w:val="22"/>
                <w:szCs w:val="22"/>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Offtake Counterparty</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50"/>
        </w:trPr>
        <w:tc>
          <w:tcPr>
            <w:tcW w:w="2880" w:type="dxa"/>
            <w:vAlign w:val="bottom"/>
            <w:shd w:val="clear" w:color="auto" w:fill="CCEEFF"/>
          </w:tcPr>
          <w:p>
            <w:pPr>
              <w:ind w:left="340"/>
              <w:spacing w:after="0" w:line="250" w:lineRule="exact"/>
              <w:rPr>
                <w:sz w:val="20"/>
                <w:szCs w:val="20"/>
                <w:color w:val="auto"/>
              </w:rPr>
            </w:pPr>
            <w:r>
              <w:rPr>
                <w:rFonts w:ascii="Times New Roman" w:cs="Times New Roman" w:eastAsia="Times New Roman" w:hAnsi="Times New Roman"/>
                <w:sz w:val="17"/>
                <w:szCs w:val="17"/>
                <w:color w:val="auto"/>
              </w:rPr>
              <w:t xml:space="preserve">Alta X </w:t>
            </w:r>
            <w:r>
              <w:rPr>
                <w:rFonts w:ascii="Times New Roman" w:cs="Times New Roman" w:eastAsia="Times New Roman" w:hAnsi="Times New Roman"/>
                <w:sz w:val="28"/>
                <w:szCs w:val="28"/>
                <w:color w:val="auto"/>
                <w:vertAlign w:val="superscript"/>
              </w:rPr>
              <w:t>(b)</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21"/>
                <w:szCs w:val="21"/>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2038</w:t>
            </w:r>
          </w:p>
        </w:tc>
      </w:tr>
      <w:tr>
        <w:trPr>
          <w:trHeight w:val="257"/>
        </w:trPr>
        <w:tc>
          <w:tcPr>
            <w:tcW w:w="28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Alta XI </w:t>
            </w:r>
            <w:r>
              <w:rPr>
                <w:rFonts w:ascii="Times New Roman" w:cs="Times New Roman" w:eastAsia="Times New Roman" w:hAnsi="Times New Roman"/>
                <w:sz w:val="29"/>
                <w:szCs w:val="29"/>
                <w:color w:val="auto"/>
                <w:vertAlign w:val="superscript"/>
              </w:rPr>
              <w:t>(b)</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2"/>
                <w:szCs w:val="22"/>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2038</w:t>
            </w:r>
          </w:p>
        </w:tc>
      </w:tr>
      <w:tr>
        <w:trPr>
          <w:trHeight w:val="216"/>
        </w:trPr>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Buffalo Bear</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Western Farmers Electric Co-operative</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Crosswinds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Corn Belt Power Cooperative</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57"/>
        </w:trPr>
        <w:tc>
          <w:tcPr>
            <w:tcW w:w="28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Elbow Creek </w:t>
            </w:r>
            <w:r>
              <w:rPr>
                <w:rFonts w:ascii="Times New Roman" w:cs="Times New Roman" w:eastAsia="Times New Roman" w:hAnsi="Times New Roman"/>
                <w:sz w:val="29"/>
                <w:szCs w:val="29"/>
                <w:color w:val="auto"/>
                <w:vertAlign w:val="superscript"/>
              </w:rPr>
              <w:t>(f) (g)</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22"/>
                <w:szCs w:val="22"/>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NRG Power Marketing LLC</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Elkhorn Ridge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Nebraska Public Power District</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Constellation NewEnergy, Inc.</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Goat Wind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Dow Pipeline Company</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Hardin</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Interstate Power and Light Company</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Laredo Ridge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Nebraska Public Power District</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Lookout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Southern Maryland Electric Cooperative</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2030</w:t>
            </w:r>
          </w:p>
        </w:tc>
      </w:tr>
      <w:tr>
        <w:trPr>
          <w:trHeight w:val="216"/>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Odin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Missouri River Energy Services</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198"/>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Maryland Department of General Services and</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Pinnacle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0"/>
                <w:szCs w:val="20"/>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University System of Maryland</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San Juan Mesa</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Southwestern Public Service Company</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Sleeping Bear</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Public Service Company of Oklahoma</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Trent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AEP Energy Partners</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57"/>
        </w:trPr>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Spanish Fork</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2"/>
                <w:szCs w:val="22"/>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PacifiCorp</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57"/>
        </w:trPr>
        <w:tc>
          <w:tcPr>
            <w:tcW w:w="28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Spring Canyon II </w:t>
            </w:r>
            <w:r>
              <w:rPr>
                <w:rFonts w:ascii="Times New Roman" w:cs="Times New Roman" w:eastAsia="Times New Roman" w:hAnsi="Times New Roman"/>
                <w:sz w:val="29"/>
                <w:szCs w:val="29"/>
                <w:color w:val="auto"/>
                <w:vertAlign w:val="superscript"/>
              </w:rPr>
              <w:t>(b)</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2"/>
                <w:szCs w:val="22"/>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Platte River Power Authority</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57"/>
        </w:trPr>
        <w:tc>
          <w:tcPr>
            <w:tcW w:w="28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Spring Canyon III </w:t>
            </w:r>
            <w:r>
              <w:rPr>
                <w:rFonts w:ascii="Times New Roman" w:cs="Times New Roman" w:eastAsia="Times New Roman" w:hAnsi="Times New Roman"/>
                <w:sz w:val="29"/>
                <w:szCs w:val="29"/>
                <w:color w:val="auto"/>
                <w:vertAlign w:val="superscript"/>
              </w:rPr>
              <w:t>(b)</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2"/>
                <w:szCs w:val="22"/>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Platte River Power Authority</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16"/>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Taloga</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Oklahoma Gas &amp; Electric</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43"/>
        </w:trPr>
        <w:tc>
          <w:tcPr>
            <w:tcW w:w="2880" w:type="dxa"/>
            <w:vAlign w:val="bottom"/>
            <w:tcBorders>
              <w:bottom w:val="single" w:sz="8" w:color="CCEEFF"/>
            </w:tcBorders>
            <w:shd w:val="clear" w:color="auto" w:fill="CCEEFF"/>
          </w:tcPr>
          <w:p>
            <w:pPr>
              <w:ind w:left="340"/>
              <w:spacing w:after="0" w:line="243" w:lineRule="exact"/>
              <w:rPr>
                <w:sz w:val="20"/>
                <w:szCs w:val="20"/>
                <w:color w:val="auto"/>
              </w:rPr>
            </w:pPr>
            <w:r>
              <w:rPr>
                <w:rFonts w:ascii="Times New Roman" w:cs="Times New Roman" w:eastAsia="Times New Roman" w:hAnsi="Times New Roman"/>
                <w:sz w:val="17"/>
                <w:szCs w:val="17"/>
                <w:color w:val="auto"/>
              </w:rPr>
              <w:t xml:space="preserve">Wildorado </w:t>
            </w:r>
            <w:r>
              <w:rPr>
                <w:rFonts w:ascii="Times New Roman" w:cs="Times New Roman" w:eastAsia="Times New Roman" w:hAnsi="Times New Roman"/>
                <w:sz w:val="28"/>
                <w:szCs w:val="28"/>
                <w:color w:val="auto"/>
                <w:vertAlign w:val="superscript"/>
              </w:rPr>
              <w:t>(f)</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Southwestern Public Service Company</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0"/>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Thermal</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28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Energy Center Dover LLC </w:t>
            </w:r>
            <w:r>
              <w:rPr>
                <w:rFonts w:ascii="Times New Roman" w:cs="Times New Roman" w:eastAsia="Times New Roman" w:hAnsi="Times New Roman"/>
                <w:sz w:val="29"/>
                <w:szCs w:val="29"/>
                <w:color w:val="auto"/>
                <w:vertAlign w:val="superscript"/>
              </w:rPr>
              <w:t>(h)</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2"/>
                <w:szCs w:val="22"/>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Power sold into PJM markets</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Thermal generation</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3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r>
      <w:tr>
        <w:trPr>
          <w:trHeight w:val="210"/>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28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Total net generation capacity</w:t>
            </w:r>
            <w:r>
              <w:rPr>
                <w:rFonts w:ascii="Times New Roman" w:cs="Times New Roman" w:eastAsia="Times New Roman" w:hAnsi="Times New Roman"/>
                <w:sz w:val="24"/>
                <w:szCs w:val="24"/>
                <w:color w:val="auto"/>
                <w:vertAlign w:val="superscript"/>
              </w:rPr>
              <w:t>(c)</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97"/>
        </w:trPr>
        <w:tc>
          <w:tcPr>
            <w:tcW w:w="2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r>
      <w:tr>
        <w:trPr>
          <w:trHeight w:val="250"/>
        </w:trPr>
        <w:tc>
          <w:tcPr>
            <w:tcW w:w="2880" w:type="dxa"/>
            <w:vAlign w:val="bottom"/>
            <w:tcBorders>
              <w:bottom w:val="single" w:sz="8" w:color="CCEEFF"/>
            </w:tcBorders>
            <w:shd w:val="clear" w:color="auto" w:fill="CCEEFF"/>
          </w:tcPr>
          <w:p>
            <w:pPr>
              <w:ind w:left="340"/>
              <w:spacing w:after="0" w:line="210" w:lineRule="exact"/>
              <w:rPr>
                <w:sz w:val="20"/>
                <w:szCs w:val="20"/>
                <w:color w:val="auto"/>
              </w:rPr>
            </w:pPr>
            <w:r>
              <w:rPr>
                <w:rFonts w:ascii="Times New Roman" w:cs="Times New Roman" w:eastAsia="Times New Roman" w:hAnsi="Times New Roman"/>
                <w:sz w:val="15"/>
                <w:szCs w:val="15"/>
                <w:color w:val="auto"/>
              </w:rPr>
              <w:t xml:space="preserve">Thermal equivalent MWt </w:t>
            </w:r>
            <w:r>
              <w:rPr>
                <w:rFonts w:ascii="Times New Roman" w:cs="Times New Roman" w:eastAsia="Times New Roman" w:hAnsi="Times New Roman"/>
                <w:sz w:val="24"/>
                <w:szCs w:val="24"/>
                <w:color w:val="auto"/>
                <w:vertAlign w:val="superscript"/>
              </w:rPr>
              <w:t>(d)</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r>
    </w:tbl>
    <w:p>
      <w:pPr>
        <w:spacing w:after="0" w:line="189" w:lineRule="exact"/>
        <w:rPr>
          <w:sz w:val="20"/>
          <w:szCs w:val="20"/>
          <w:color w:val="auto"/>
        </w:rPr>
      </w:pPr>
    </w:p>
    <w:p>
      <w:pPr>
        <w:ind w:left="820" w:hanging="326"/>
        <w:spacing w:after="0" w:line="200" w:lineRule="auto"/>
        <w:tabs>
          <w:tab w:leader="none" w:pos="82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Net capacity represents the maximum, or rated, generating capacity of the facility multiplied by the Company's percentage ownership in the facility as of September 30, 2019.</w:t>
      </w:r>
    </w:p>
    <w:p>
      <w:pPr>
        <w:ind w:left="820" w:hanging="326"/>
        <w:spacing w:after="0" w:line="183" w:lineRule="auto"/>
        <w:tabs>
          <w:tab w:leader="none" w:pos="8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Projects are part of tax equity arrangements.</w:t>
      </w:r>
    </w:p>
    <w:p>
      <w:pPr>
        <w:spacing w:after="0" w:line="11" w:lineRule="exact"/>
        <w:rPr>
          <w:rFonts w:ascii="Times New Roman" w:cs="Times New Roman" w:eastAsia="Times New Roman" w:hAnsi="Times New Roman"/>
          <w:sz w:val="23"/>
          <w:szCs w:val="23"/>
          <w:color w:val="auto"/>
          <w:vertAlign w:val="superscript"/>
        </w:rPr>
      </w:pPr>
    </w:p>
    <w:p>
      <w:pPr>
        <w:ind w:left="820" w:right="20" w:hanging="326"/>
        <w:spacing w:after="0" w:line="191" w:lineRule="auto"/>
        <w:tabs>
          <w:tab w:leader="none" w:pos="82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Company's total generation capacity is net of 6 MWs for noncontrolling interest for Spring Canyon II and III. The Company's generation capacity including this noncontrolling interest was 5,475 MWs.</w:t>
      </w:r>
    </w:p>
    <w:p>
      <w:pPr>
        <w:spacing w:after="0" w:line="1" w:lineRule="exact"/>
        <w:rPr>
          <w:rFonts w:ascii="Times New Roman" w:cs="Times New Roman" w:eastAsia="Times New Roman" w:hAnsi="Times New Roman"/>
          <w:sz w:val="27"/>
          <w:szCs w:val="27"/>
          <w:color w:val="auto"/>
          <w:vertAlign w:val="superscript"/>
        </w:rPr>
      </w:pPr>
    </w:p>
    <w:p>
      <w:pPr>
        <w:ind w:left="820" w:hanging="326"/>
        <w:spacing w:after="0" w:line="196" w:lineRule="auto"/>
        <w:tabs>
          <w:tab w:leader="none" w:pos="82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thermal energy, net capacity represents MWt for steam or chilled water and excludes 44 MWt available under the right-to-use provisions contained in agreements between two of the Company's thermal facilities and certain of its customers.</w:t>
      </w:r>
    </w:p>
    <w:p>
      <w:pPr>
        <w:spacing w:after="0" w:line="1" w:lineRule="exact"/>
        <w:rPr>
          <w:rFonts w:ascii="Times New Roman" w:cs="Times New Roman" w:eastAsia="Times New Roman" w:hAnsi="Times New Roman"/>
          <w:sz w:val="27"/>
          <w:szCs w:val="27"/>
          <w:color w:val="auto"/>
          <w:vertAlign w:val="superscript"/>
        </w:rPr>
      </w:pPr>
    </w:p>
    <w:p>
      <w:pPr>
        <w:ind w:left="820" w:right="20" w:hanging="326"/>
        <w:spacing w:after="0" w:line="196" w:lineRule="auto"/>
        <w:tabs>
          <w:tab w:leader="none" w:pos="82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interests in Four Brothers Solar, LLC, Granite Mountain Holdings, LLC, and Iron Springs Holdings, LLC, all acquired as part of the March 2017 Drop Down Assets (ownership percentage is based upon cash to be distributed).</w:t>
      </w:r>
    </w:p>
    <w:p>
      <w:pPr>
        <w:spacing w:after="0" w:line="1" w:lineRule="exact"/>
        <w:rPr>
          <w:rFonts w:ascii="Times New Roman" w:cs="Times New Roman" w:eastAsia="Times New Roman" w:hAnsi="Times New Roman"/>
          <w:sz w:val="27"/>
          <w:szCs w:val="27"/>
          <w:color w:val="auto"/>
          <w:vertAlign w:val="superscript"/>
        </w:rPr>
      </w:pPr>
    </w:p>
    <w:p>
      <w:pPr>
        <w:ind w:left="820" w:hanging="326"/>
        <w:spacing w:after="0" w:line="183" w:lineRule="auto"/>
        <w:tabs>
          <w:tab w:leader="none" w:pos="8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Projects are part of Repowering Partnership.</w:t>
      </w:r>
    </w:p>
    <w:p>
      <w:pPr>
        <w:spacing w:after="0" w:line="11" w:lineRule="exact"/>
        <w:rPr>
          <w:rFonts w:ascii="Times New Roman" w:cs="Times New Roman" w:eastAsia="Times New Roman" w:hAnsi="Times New Roman"/>
          <w:sz w:val="23"/>
          <w:szCs w:val="23"/>
          <w:color w:val="auto"/>
          <w:vertAlign w:val="superscript"/>
        </w:rPr>
      </w:pPr>
    </w:p>
    <w:p>
      <w:pPr>
        <w:ind w:left="820" w:hanging="326"/>
        <w:spacing w:after="0" w:line="191" w:lineRule="auto"/>
        <w:tabs>
          <w:tab w:leader="none" w:pos="82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addition, the Company will sell power under a market-based hedge contract provided by an investment grade bank counterparty, which is effective from November 1, 2022, through October 31, 2029.</w:t>
      </w:r>
    </w:p>
    <w:p>
      <w:pPr>
        <w:spacing w:after="0" w:line="1" w:lineRule="exact"/>
        <w:rPr>
          <w:rFonts w:ascii="Times New Roman" w:cs="Times New Roman" w:eastAsia="Times New Roman" w:hAnsi="Times New Roman"/>
          <w:sz w:val="27"/>
          <w:szCs w:val="27"/>
          <w:color w:val="auto"/>
          <w:vertAlign w:val="superscript"/>
        </w:rPr>
      </w:pPr>
    </w:p>
    <w:p>
      <w:pPr>
        <w:ind w:left="820" w:hanging="326"/>
        <w:spacing w:after="0" w:line="183" w:lineRule="auto"/>
        <w:tabs>
          <w:tab w:leader="none" w:pos="8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Includes assets recorded as held for sale as of September 30, 2019, as further described in Note 3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of this Form 10-Q.</w:t>
      </w:r>
    </w:p>
    <w:p>
      <w:pPr>
        <w:spacing w:after="0" w:line="19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facilities owned or leased in the table above, the Company is party to partnerships which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pursuant to the partnership agreements as of September 30, 2019. For further discussions, see Item 15,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of this Form 10-Q and Item 1, Note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Investments Accounted for by the Equity Method and Variable Interest Entities </w:t>
      </w:r>
      <w:r>
        <w:rPr>
          <w:rFonts w:ascii="Times New Roman" w:cs="Times New Roman" w:eastAsia="Times New Roman" w:hAnsi="Times New Roman"/>
          <w:sz w:val="18"/>
          <w:szCs w:val="18"/>
          <w:color w:val="auto"/>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2018 Form 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Pacific Gas and Electric Company Bankruptcy</w:t>
      </w:r>
    </w:p>
    <w:p>
      <w:pPr>
        <w:spacing w:after="0" w:line="227" w:lineRule="exact"/>
        <w:rPr>
          <w:sz w:val="20"/>
          <w:szCs w:val="20"/>
          <w:color w:val="auto"/>
        </w:rPr>
      </w:pPr>
    </w:p>
    <w:p>
      <w:pPr>
        <w:jc w:val="both"/>
        <w:ind w:left="660" w:hanging="328"/>
        <w:spacing w:after="0" w:line="25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29, 2019,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September 30, 2019, the Company had $147 million in restricted cash, $1.4 billion of property, plant and equipment, net, $370 million investments in unconsolidated affiliates and $1.3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has triggered defaults under the PPAs with PG&amp;E and such related financing agreements, as further discussed in Item 1,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a result, the Company recorded approximately $1.3 billion of principal, net of the related unamortized debt issuance costs, with final maturity dates ranging from 2023 - 2038, as short-term debt.</w:t>
      </w:r>
    </w:p>
    <w:p>
      <w:pPr>
        <w:sectPr>
          <w:pgSz w:w="11900" w:h="16838" w:orient="portrait"/>
          <w:cols w:equalWidth="0" w:num="1">
            <w:col w:w="11420"/>
          </w:cols>
          <w:pgMar w:left="240" w:top="112" w:right="239" w:bottom="0" w:gutter="0" w:footer="0" w:header="0"/>
        </w:sectPr>
      </w:pPr>
    </w:p>
    <w:bookmarkStart w:id="55" w:name="page56"/>
    <w:bookmarkEnd w:id="55"/>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As of November 6, 2019, the Company's contracts with PG&amp;E have operated in the normal course and the Company currently expects these contracts to continue as such. On September 23, 2019, PG&amp;E filed the </w:t>
      </w:r>
      <w:r>
        <w:rPr>
          <w:rFonts w:ascii="Times New Roman" w:cs="Times New Roman" w:eastAsia="Times New Roman" w:hAnsi="Times New Roman"/>
          <w:sz w:val="18"/>
          <w:szCs w:val="18"/>
          <w:i w:val="1"/>
          <w:iCs w:val="1"/>
          <w:color w:val="auto"/>
        </w:rPr>
        <w:t>Debtors' First Amended Joint Chapter 11 Plan of Reorganization,</w:t>
      </w:r>
      <w:r>
        <w:rPr>
          <w:rFonts w:ascii="Times New Roman" w:cs="Times New Roman" w:eastAsia="Times New Roman" w:hAnsi="Times New Roman"/>
          <w:sz w:val="18"/>
          <w:szCs w:val="18"/>
          <w:color w:val="auto"/>
        </w:rPr>
        <w:t xml:space="preserve"> or the PG&amp;E Plan, which would provide for PG&amp;E to assume all of its PPAs with the Company. The PG&amp;E Plan is not expected to be considered for confirmation by the Bankruptcy Court until the conclusion of a proceeding to estimate PG&amp;E’s liability for prior wildfires, now pending before the United States District Court for the Northern District of California, and scheduled for trial commencing on February 18, 2020. Additionally, on October 9, 2019, the Bankruptcy Court entered an order terminating the period in which PG&amp;E had the exclusive right to prosecute a plan of reorganization. On October 17, 2019, an ad hoc group of senior noteholders filed a competing plan of reorganization, which would also provide for PG&amp;E to assume all of its PPAs with the Company. As of November 6, 2019,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filing as events occur.</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Financing and Equity Activities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Carlsbad Energy Center Financing</w:t>
      </w:r>
    </w:p>
    <w:p>
      <w:pPr>
        <w:spacing w:after="0" w:line="227" w:lineRule="exact"/>
        <w:rPr>
          <w:sz w:val="20"/>
          <w:szCs w:val="20"/>
          <w:color w:val="auto"/>
        </w:rPr>
      </w:pPr>
    </w:p>
    <w:p>
      <w:pPr>
        <w:ind w:left="220" w:right="40" w:firstLine="68"/>
        <w:spacing w:after="0" w:line="258" w:lineRule="auto"/>
        <w:rPr>
          <w:sz w:val="20"/>
          <w:szCs w:val="20"/>
          <w:color w:val="auto"/>
        </w:rPr>
      </w:pPr>
      <w:r>
        <w:rPr>
          <w:rFonts w:ascii="Times New Roman" w:cs="Times New Roman" w:eastAsia="Times New Roman" w:hAnsi="Times New Roman"/>
          <w:sz w:val="18"/>
          <w:szCs w:val="18"/>
          <w:color w:val="auto"/>
        </w:rPr>
        <w:t>On November 4, 2019, Carlsbad Energy Holdings LLC, a subsidiary of GIP and owner of the 527 MW Carlsbad Energy Center, or Carlsbad, issued $216 million of senior secured, non-recourse notes. The notes bear an interest rate of 4.21%, and are fully amortizing over 19 years. The Company previously •executed an equity backstop agreement with GIP for the future acquisition of Carlsbad. Pursuant to the terms previously agreed by and between the Company and GIP, the Company maintains the option until August 2020 to acquire Carlsbad from GIP. Should the Company not exercise the call right to acquire the asset by August 2020, Carlsbad will become part of the Company's ROFO pipeline thereafter.</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Agua Caliente Borrower 2 debt Repayment</w:t>
      </w:r>
    </w:p>
    <w:p>
      <w:pPr>
        <w:spacing w:after="0" w:line="227" w:lineRule="exact"/>
        <w:rPr>
          <w:sz w:val="20"/>
          <w:szCs w:val="20"/>
          <w:color w:val="auto"/>
        </w:rPr>
      </w:pPr>
    </w:p>
    <w:p>
      <w:pPr>
        <w:jc w:val="both"/>
        <w:ind w:left="660" w:hanging="328"/>
        <w:spacing w:after="0" w:line="275" w:lineRule="auto"/>
        <w:tabs>
          <w:tab w:leader="none" w:pos="66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October 21, 2019, the Company, through Agua Caliente Borrower 2 LLC, repaid $40 million of the outstanding notes balance, including accrued interest and premiums, issued under the Agua Caliente Holdco Financing Agreement. The repayment was funded with Company's existing liquidity.</w:t>
      </w:r>
    </w:p>
    <w:p>
      <w:pPr>
        <w:spacing w:after="0" w:line="3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Thermal Activities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 of Energy Center Dover LLC and Energy Center Smyrna LLC assets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September 5, 2019, the Company entered into a purchase and sale agreement with DB Energy Assets, LLC to sell 100% of its interests in Energy Center Dover LLC and Energy Center Smyrna LLC, The transaction is subject to standard regulatory approvals and the completion of certain maintenance activities. The related assets and liabilities were recorded as held for sale as of September 30, 2019.</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Agreements with Cayo Largo</w:t>
      </w:r>
    </w:p>
    <w:p>
      <w:pPr>
        <w:spacing w:after="0" w:line="227" w:lineRule="exact"/>
        <w:rPr>
          <w:sz w:val="20"/>
          <w:szCs w:val="20"/>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September 29, 2019, the Company entered into a tolling agreement with Cayo Largo LLC to supply electricity, chilled water, hot water and natural gas to Cayo Largo LLC's customer through a dedicated combined heat and power facility to be constructed by the Company. The Company anticipates the project to total $13 million in capital expenditures and is expected to commence commercial operations in the fourth quarter of 2020. The Company incurred $3 million of capital expenditures recorded in the property, plant and equipment, net on the Company's consolidated balances sheet as of September 30, 2019.</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CEG ROFO Agreement Amendment</w:t>
      </w:r>
    </w:p>
    <w:p>
      <w:pPr>
        <w:spacing w:after="0" w:line="223" w:lineRule="exact"/>
        <w:rPr>
          <w:sz w:val="20"/>
          <w:szCs w:val="20"/>
          <w:color w:val="auto"/>
        </w:rPr>
      </w:pPr>
    </w:p>
    <w:p>
      <w:pPr>
        <w:jc w:val="both"/>
        <w:ind w:left="660" w:hanging="328"/>
        <w:spacing w:after="0" w:line="259" w:lineRule="auto"/>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August 1, 2019, the CEG ROFO Agreement was amended to grant the Company a right of first offer for four additional projects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Rattlesnake, a 144 MW utility scale wind facility located in Washington State with an expected COD in 2020; Black Rock, a 110 MW utility scale wind facility located in West Virginia with an expected COD in 2021; Repowering 2.0, which will consist of membership interests in one or more partnerships formed to repower Company wind assets using turbines provided by CEG; and Wildflower, a 100 MW utility scale solar facility located in Mississippi with an expected COD in 2021.</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Drop Down Offer</w:t>
      </w:r>
    </w:p>
    <w:p>
      <w:pPr>
        <w:spacing w:after="0" w:line="227" w:lineRule="exact"/>
        <w:rPr>
          <w:sz w:val="20"/>
          <w:szCs w:val="20"/>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2019, CEG offered the Company the opportunity to purchase 100% of CEG's interests in Mesquite Star Pledgor LLC, which owns the Mesquite Star wind project, a 419 MW utility scale wind facility expected to reach COD in 2020. On August 1, 2019, CEG and the Company agreed to extend the negotiation period for the Mesquite Star project. The Company elected not to pursue this investment.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and threatened and endangered species. Federal and state environmental laws have historically become more stringent over time, although this trend could change in the future.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June 2019, the EPA finalized the Affordable Clean Energy (ACE) rule which establishes emission guidelines for states to develop plans to address greenhouse gas emissions from existing power plants. The ACE rule also reinforces the state’s broad discretion in establishing and applying emissions standards to new emission sources. The ACE rule replaces the 2015 Clean Power Plan. The ACE rule is not expected to have a material impact on the Company’s conventional generation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ectPr>
          <w:pgSz w:w="11900" w:h="16838" w:orient="portrait"/>
          <w:cols w:equalWidth="0" w:num="1">
            <w:col w:w="11420"/>
          </w:cols>
          <w:pgMar w:left="240" w:top="121" w:right="239" w:bottom="0" w:gutter="0" w:footer="0" w:header="0"/>
        </w:sectPr>
      </w:pPr>
    </w:p>
    <w:bookmarkStart w:id="56" w:name="page57"/>
    <w:bookmarkEnd w:id="56"/>
    <w:p>
      <w:pPr>
        <w:spacing w:after="0" w:line="68"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2018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227"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Company’s trends are described in the Company’s 2018 Form 10-K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 Trends Affecting Results of Operations and Future Business Performance as well as below.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10"/>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10"/>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6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Mark-to-market economic hedging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fuels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losses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Less: (Loss) Income attributable to noncontrolling</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Attributable to Clearway</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6"/>
                <w:szCs w:val="16"/>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16"/>
                <w:szCs w:val="16"/>
                <w:color w:val="auto"/>
              </w:rPr>
            </w:pPr>
          </w:p>
        </w:tc>
        <w:tc>
          <w:tcPr>
            <w:tcW w:w="3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Energy LLC</w:t>
            </w:r>
          </w:p>
        </w:tc>
        <w:tc>
          <w:tcPr>
            <w:tcW w:w="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7"/>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6"/>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Business metrics: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Renewables MWh generated/sold (in thousands) </w:t>
            </w:r>
            <w:r>
              <w:rPr>
                <w:rFonts w:ascii="Times New Roman" w:cs="Times New Roman" w:eastAsia="Times New Roman" w:hAnsi="Times New Roman"/>
                <w:sz w:val="28"/>
                <w:szCs w:val="28"/>
                <w:color w:val="auto"/>
                <w:vertAlign w:val="superscript"/>
              </w:rPr>
              <w:t>(a)</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5,183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Thermal MWt sold (in thousands)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9"/>
                <w:szCs w:val="29"/>
                <w:color w:val="auto"/>
                <w:vertAlign w:val="superscript"/>
              </w:rPr>
              <w:t>(b)</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9"/>
                <w:szCs w:val="29"/>
                <w:color w:val="auto"/>
                <w:vertAlign w:val="superscript"/>
              </w:rPr>
              <w:t>(a)(c)</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Volumes do not include the MWh generated/sold by the Company's equity method investments.</w:t>
      </w:r>
    </w:p>
    <w:p>
      <w:pPr>
        <w:spacing w:after="0" w:line="42" w:lineRule="exact"/>
        <w:rPr>
          <w:rFonts w:ascii="Times New Roman" w:cs="Times New Roman" w:eastAsia="Times New Roman" w:hAnsi="Times New Roman"/>
          <w:sz w:val="28"/>
          <w:szCs w:val="28"/>
          <w:color w:val="auto"/>
          <w:vertAlign w:val="superscript"/>
        </w:rPr>
      </w:pPr>
    </w:p>
    <w:p>
      <w:pPr>
        <w:ind w:right="40" w:firstLine="8"/>
        <w:spacing w:after="0"/>
        <w:tabs>
          <w:tab w:leader="none" w:pos="212"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MWh sold do not include 56 MWh during the three months ended September 30, 2018 and 1 MWh and 85 MWh during the nine months ended September 30, 2019 and 2018, respectively, generated by Dover, a subsidiary of the Company, under the PPA with NRG Power Marketing, as further described in Note 9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w:t>
      </w:r>
    </w:p>
    <w:p>
      <w:pPr>
        <w:spacing w:after="0" w:line="163" w:lineRule="exact"/>
        <w:rPr>
          <w:rFonts w:ascii="Times New Roman" w:cs="Times New Roman" w:eastAsia="Times New Roman" w:hAnsi="Times New Roman"/>
          <w:sz w:val="26"/>
          <w:szCs w:val="26"/>
          <w:color w:val="auto"/>
          <w:vertAlign w:val="superscript"/>
        </w:rPr>
      </w:pPr>
    </w:p>
    <w:p>
      <w:pPr>
        <w:ind w:left="220" w:hanging="212"/>
        <w:spacing w:after="0" w:line="191" w:lineRule="auto"/>
        <w:tabs>
          <w:tab w:leader="none" w:pos="220" w:val="left"/>
        </w:tabs>
        <w:numPr>
          <w:ilvl w:val="0"/>
          <w:numId w:val="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Volumes generated are not sold by the Company as the Conventional facilities sell capacity rather than energy.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ectPr>
          <w:pgSz w:w="11900" w:h="16906" w:orient="portrait"/>
          <w:cols w:equalWidth="0" w:num="1">
            <w:col w:w="11420"/>
          </w:cols>
          <w:pgMar w:left="240" w:top="119" w:right="239" w:bottom="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fuels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fuels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Gross margin increased by $4 million primarily due to lower outages in 2019 compared to 2018 in the Conventional segment.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Depreciation and amortization expense increased by $28 million during the three months ended September 30, 2019, compared to the same period in 2018, primarily due to accelerated depreciation at Wildorado Wind and Elbow Creek projects in connection with the repowering activities. For further discussion, see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Integration Costs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Transaction and integration costs of $17 million during the three months ended September 30, 2018, primarily reflect fees paid to advisors and other costs associated with the GIP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Equity in earnings of unconsolidated affiliates increased by $6 million during the three months ended September 30, 2019, compared to the same period in 2018, primarily due to income allocated to the Company using the HLBV method of accounting in its distributed partnerships with CEG. The HLBV method of accounting generally allocates more losses to the TE investors in the first several years after fund formation, and conversely, more income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increased by $35 million during the three months ended September 30, 2019, compared to the same period in 2018, due to the following:</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9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218"/>
        </w:trPr>
        <w:tc>
          <w:tcPr>
            <w:tcW w:w="9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Lower interest expense in connection with lower project-level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9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the 2025 Senior Notes in October 2018, partially offset by lower interest expense on Long-term debt-affiliate, due</w:t>
            </w:r>
          </w:p>
        </w:tc>
        <w:tc>
          <w:tcPr>
            <w:tcW w:w="2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9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which was repaid in February 2019</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5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w:t>
      </w:r>
    </w:p>
    <w:p>
      <w:pPr>
        <w:sectPr>
          <w:pgSz w:w="11900" w:h="16838" w:orient="portrait"/>
          <w:cols w:equalWidth="0" w:num="1">
            <w:col w:w="11420"/>
          </w:cols>
          <w:pgMar w:left="240" w:top="333" w:right="239" w:bottom="0" w:gutter="0" w:footer="0" w:header="0"/>
        </w:sectPr>
      </w:pPr>
    </w:p>
    <w:bookmarkStart w:id="58" w:name="page59"/>
    <w:bookmarkEnd w:id="58"/>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2019, the Company had a loss of $9 million attributable to CEG's interests in Kawailoa, Oahu and Repowering partnership, with no offset of income or loss attributable to noncontrolling interests with respect to its tax equity financing arrangements and the application of the HLBV method. For the three months ended September 30, 2018, the Company had a loss of $2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Nine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8"/>
        </w:trPr>
        <w:tc>
          <w:tcPr>
            <w:tcW w:w="4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4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743</w:t>
            </w:r>
          </w:p>
        </w:tc>
      </w:tr>
      <w:tr>
        <w:trPr>
          <w:trHeight w:val="21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4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r>
      <w:tr>
        <w:trPr>
          <w:trHeight w:val="21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819</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Gross margin decreased by $24 million during the nine months ended September 30, 2019, compared to the same period in 2018 primarily due to a combination of the following:</w:t>
      </w:r>
    </w:p>
    <w:p>
      <w:pPr>
        <w:sectPr>
          <w:pgSz w:w="11900" w:h="16838" w:orient="portrait"/>
          <w:cols w:equalWidth="0" w:num="1">
            <w:col w:w="11420"/>
          </w:cols>
          <w:pgMar w:left="240" w:top="337" w:right="239" w:bottom="40" w:gutter="0" w:footer="0" w:header="0"/>
        </w:sectPr>
      </w:pPr>
    </w:p>
    <w:p>
      <w:pPr>
        <w:spacing w:after="0" w:line="1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Segment </w:t>
      </w:r>
      <w:r>
        <w:rPr>
          <w:rFonts w:ascii="Times New Roman" w:cs="Times New Roman" w:eastAsia="Times New Roman" w:hAnsi="Times New Roman"/>
          <w:sz w:val="18"/>
          <w:szCs w:val="18"/>
          <w:b w:val="1"/>
          <w:bCs w:val="1"/>
          <w:color w:val="auto"/>
        </w:rPr>
        <w:t>Renewables: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Reason for (Decrease) Increase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of $25 million related to unfavorable wind and solar resources across the portfolio, as well as $8 million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-127000</wp:posOffset>
            </wp:positionV>
            <wp:extent cx="7246620" cy="548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at CVSR primarily related to the June 2019 outage. This was partially offset by revenue generated at the Buckthorn Solar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project which reached COD in July 2018. The Company also recorded a $9 million mark-to-market loss on the Elbow Creek</w:t>
      </w:r>
    </w:p>
    <w:p>
      <w:pPr>
        <w:spacing w:after="0" w:line="21" w:lineRule="exact"/>
        <w:rPr>
          <w:sz w:val="20"/>
          <w:szCs w:val="20"/>
          <w:color w:val="auto"/>
        </w:rPr>
      </w:pPr>
    </w:p>
    <w:p>
      <w:pPr>
        <w:sectPr>
          <w:pgSz w:w="11900" w:h="16838" w:orient="portrait"/>
          <w:cols w:equalWidth="0" w:num="3">
            <w:col w:w="980" w:space="260"/>
            <w:col w:w="900" w:space="280"/>
            <w:col w:w="9000"/>
          </w:cols>
          <w:pgMar w:left="240" w:top="337" w:right="239" w:bottom="40" w:gutter="0" w:footer="0" w:header="0"/>
          <w:type w:val="continuous"/>
        </w:sectPr>
      </w:pPr>
    </w:p>
    <w:p>
      <w:pPr>
        <w:ind w:left="1900" w:hanging="771"/>
        <w:spacing w:after="0"/>
        <w:tabs>
          <w:tab w:leader="none" w:pos="1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forward power sale contract entered into during the first quarter of 2019.</w:t>
      </w:r>
    </w:p>
    <w:p>
      <w:pPr>
        <w:spacing w:after="0" w:line="9"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17"/>
          <w:szCs w:val="17"/>
          <w:b w:val="1"/>
          <w:bCs w:val="1"/>
          <w:color w:val="auto"/>
        </w:rPr>
        <w:t>Thermal:</w:t>
      </w:r>
      <w:r>
        <w:rPr>
          <w:sz w:val="20"/>
          <w:szCs w:val="20"/>
          <w:color w:val="auto"/>
        </w:rPr>
        <w:tab/>
      </w:r>
      <w:r>
        <w:rPr>
          <w:rFonts w:ascii="Times New Roman" w:cs="Times New Roman" w:eastAsia="Times New Roman" w:hAnsi="Times New Roman"/>
          <w:sz w:val="17"/>
          <w:szCs w:val="17"/>
          <w:color w:val="auto"/>
        </w:rPr>
        <w:t>Revenue generated at the UPMC Thermal Project, which was completed in the second quarter of 2018, as well as the</w:t>
      </w:r>
    </w:p>
    <w:p>
      <w:pPr>
        <w:spacing w:after="0" w:line="21" w:lineRule="exact"/>
        <w:rPr>
          <w:sz w:val="20"/>
          <w:szCs w:val="20"/>
          <w:color w:val="auto"/>
        </w:rPr>
      </w:pPr>
    </w:p>
    <w:p>
      <w:pPr>
        <w:ind w:left="2420" w:hanging="368"/>
        <w:spacing w:after="0"/>
        <w:tabs>
          <w:tab w:leader="none" w:pos="2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the Duquesne University district energy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ind w:left="1900" w:hanging="771"/>
        <w:spacing w:after="0"/>
        <w:tabs>
          <w:tab w:leader="none" w:pos="1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17145</wp:posOffset>
            </wp:positionV>
            <wp:extent cx="711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34290</wp:posOffset>
            </wp:positionV>
            <wp:extent cx="711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ectPr>
          <w:pgSz w:w="11900" w:h="16838" w:orient="portrait"/>
          <w:cols w:equalWidth="0" w:num="1">
            <w:col w:w="11420"/>
          </w:cols>
          <w:pgMar w:left="240" w:top="337" w:right="239" w:bottom="40" w:gutter="0" w:footer="0" w:header="0"/>
          <w:type w:val="continuous"/>
        </w:sectPr>
      </w:pPr>
    </w:p>
    <w:bookmarkStart w:id="59" w:name="page60"/>
    <w:bookmarkEnd w:id="59"/>
    <w:p>
      <w:pPr>
        <w:spacing w:after="0" w:line="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Depreciation and amortization expense increased by $38 million during the nine months ended September 30, 2019, compared to the same period in 2018, primarily due primarily due to accelerated depreciation at Wildorado Wind and Elbow Creek projects in connection with the repowering activities. For further discussion, see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Impairment losses of $19 million during the nine months ended September 30, 2019, relate to a facility within the Company's Thermal segment, as further described in Note 13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Impairments.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Costs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Development costs of $4 million during the nine months ended September 30, 2019 relate primarily to business development, personnel and benefits costs within the Company's Thermal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$13 million during the nine months ended September 30, 2019, compared to the same period in 2018, primarily driven by lower income allocated to the Company's interests in distributed partnerships with CEG partially offset by lower losses allocated to the Company's interests in RPV Holdco and Desert Sunlight.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increased by $146 million during the nine months ended September 30, 2019, compared to the same period in 2018, primarily due to the following:</w:t>
      </w:r>
    </w:p>
    <w:p>
      <w:pPr>
        <w:sectPr>
          <w:pgSz w:w="11900" w:h="16900" w:orient="portrait"/>
          <w:cols w:equalWidth="0" w:num="1">
            <w:col w:w="11420"/>
          </w:cols>
          <w:pgMar w:left="240" w:top="121" w:right="239" w:bottom="0" w:gutter="0" w:footer="0" w:header="0"/>
        </w:sectPr>
      </w:pP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8" w:lineRule="exact"/>
        <w:rPr>
          <w:sz w:val="20"/>
          <w:szCs w:val="20"/>
          <w:color w:val="auto"/>
        </w:rPr>
      </w:pPr>
    </w:p>
    <w:p>
      <w:pPr>
        <w:ind w:left="300" w:right="160"/>
        <w:spacing w:after="0" w:line="254" w:lineRule="auto"/>
        <w:rPr>
          <w:sz w:val="20"/>
          <w:szCs w:val="20"/>
          <w:color w:val="auto"/>
        </w:rPr>
      </w:pPr>
      <w:r>
        <w:rPr>
          <w:rFonts w:ascii="Times New Roman" w:cs="Times New Roman" w:eastAsia="Times New Roman" w:hAnsi="Times New Roman"/>
          <w:sz w:val="18"/>
          <w:szCs w:val="18"/>
          <w:color w:val="auto"/>
        </w:rPr>
        <w:t>Change in fair value of interest rate swaps as well as reclassification of losses previously deferred in AOCI to the statement of operations in connection with project-level debt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-273685</wp:posOffset>
            </wp:positionV>
            <wp:extent cx="6877685"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ind w:left="300" w:right="180"/>
        <w:spacing w:after="0" w:line="250" w:lineRule="auto"/>
        <w:rPr>
          <w:sz w:val="20"/>
          <w:szCs w:val="20"/>
          <w:color w:val="auto"/>
        </w:rPr>
      </w:pPr>
      <w:r>
        <w:rPr>
          <w:rFonts w:ascii="Times New Roman" w:cs="Times New Roman" w:eastAsia="Times New Roman" w:hAnsi="Times New Roman"/>
          <w:sz w:val="18"/>
          <w:szCs w:val="18"/>
          <w:color w:val="auto"/>
        </w:rPr>
        <w:t>Issuance of the 2025 Senior Notes in October 2018, partially offset by lower interest expense on Long-term debt-affiliate, due 2019, which was repaid in February 2019</w:t>
      </w:r>
    </w:p>
    <w:p>
      <w:pPr>
        <w:spacing w:after="0" w:line="1" w:lineRule="exact"/>
        <w:rPr>
          <w:sz w:val="20"/>
          <w:szCs w:val="20"/>
          <w:color w:val="auto"/>
        </w:rPr>
      </w:pPr>
    </w:p>
    <w:p>
      <w:pPr>
        <w:ind w:left="300"/>
        <w:spacing w:after="0" w:line="250" w:lineRule="auto"/>
        <w:rPr>
          <w:sz w:val="20"/>
          <w:szCs w:val="20"/>
          <w:color w:val="auto"/>
        </w:rPr>
      </w:pPr>
      <w:r>
        <w:rPr>
          <w:rFonts w:ascii="Times New Roman" w:cs="Times New Roman" w:eastAsia="Times New Roman" w:hAnsi="Times New Roman"/>
          <w:sz w:val="18"/>
          <w:szCs w:val="18"/>
          <w:color w:val="auto"/>
        </w:rPr>
        <w:t>Higher interest expense due to Buckthorn Solar facility which went COD in July 2018, additional interest expense in connection with Repowering Partnership borrowings in June of 2019,partially offset by normal amortization of other project level debt Lower interest expense due to lower balances principal balances in the Conventional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-410210</wp:posOffset>
            </wp:positionV>
            <wp:extent cx="6877685"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ind w:left="300" w:right="320"/>
        <w:spacing w:after="0" w:line="261" w:lineRule="auto"/>
        <w:rPr>
          <w:sz w:val="20"/>
          <w:szCs w:val="20"/>
          <w:color w:val="auto"/>
        </w:rPr>
      </w:pPr>
      <w:r>
        <w:rPr>
          <w:rFonts w:ascii="Times New Roman" w:cs="Times New Roman" w:eastAsia="Times New Roman" w:hAnsi="Times New Roman"/>
          <w:sz w:val="18"/>
          <w:szCs w:val="18"/>
          <w:color w:val="auto"/>
        </w:rPr>
        <w:t>Issuance of Energy Center Minneapolis Series E, F, G, H Notes in June 2018 partially offset by lower debt balances at other projects within Thermal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-285115</wp:posOffset>
            </wp:positionV>
            <wp:extent cx="6877685"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Increase</w:t>
      </w:r>
    </w:p>
    <w:p>
      <w:pPr>
        <w:spacing w:after="0" w:line="2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8235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16" w:lineRule="exact"/>
        <w:rPr>
          <w:sz w:val="20"/>
          <w:szCs w:val="20"/>
          <w:color w:val="auto"/>
        </w:rPr>
      </w:pPr>
    </w:p>
    <w:p>
      <w:pPr>
        <w:ind w:left="920" w:hanging="912"/>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w:t>
      </w:r>
    </w:p>
    <w:p>
      <w:pPr>
        <w:spacing w:after="0" w:line="22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(6)</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920" w:hanging="912"/>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8235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8235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663" w:lineRule="exact"/>
        <w:rPr>
          <w:sz w:val="20"/>
          <w:szCs w:val="20"/>
          <w:color w:val="auto"/>
        </w:rPr>
      </w:pPr>
    </w:p>
    <w:p>
      <w:pPr>
        <w:sectPr>
          <w:pgSz w:w="11900" w:h="16900" w:orient="portrait"/>
          <w:cols w:equalWidth="0" w:num="2">
            <w:col w:w="9540" w:space="280"/>
            <w:col w:w="1600"/>
          </w:cols>
          <w:pgMar w:left="240" w:top="121" w:right="239" w:bottom="0" w:gutter="0" w:footer="0" w:header="0"/>
          <w:type w:val="continuous"/>
        </w:sectPr>
      </w:pPr>
    </w:p>
    <w:p>
      <w:pPr>
        <w:spacing w:after="0" w:line="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2019, the Company had a loss of $14 million attributable to CEG's interest in the Oahu, Kawailoa and Repowering partnerships, partially offset by income of $2 million attributable to noncontrolling interests with respect to its tax equity financing arrangements and the application of the HLBV method. For the nine months ended September 30, 2018, the Company had a loss of $95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principal liquidity requirements are to meet its financial commitments, finance current operations, fund capital expenditures, including acquisitions from time to time, service debt and pay distributions.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 Position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$443 million of available borrowings under its revolving credit facility. As of September 30, 2019, and December 31, 2018, the Company's liquidity was $837 million and $1.04 billion respectively, comprised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0" w:type="dxa"/>
            <w:vAlign w:val="bottom"/>
          </w:tcPr>
          <w:p>
            <w:pPr>
              <w:spacing w:after="0"/>
              <w:rPr>
                <w:sz w:val="19"/>
                <w:szCs w:val="19"/>
                <w:color w:val="auto"/>
              </w:rPr>
            </w:pP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0" w:type="dxa"/>
            <w:vAlign w:val="bottom"/>
          </w:tcPr>
          <w:p>
            <w:pPr>
              <w:spacing w:after="0"/>
              <w:rPr>
                <w:sz w:val="19"/>
                <w:szCs w:val="19"/>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8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LLC, excluding subsidiaries</w:t>
            </w:r>
          </w:p>
        </w:tc>
        <w:tc>
          <w:tcPr>
            <w:tcW w:w="1460" w:type="dxa"/>
            <w:vAlign w:val="bottom"/>
            <w:gridSpan w:val="2"/>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accounts</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74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type w:val="continuous"/>
        </w:sectPr>
      </w:pPr>
    </w:p>
    <w:bookmarkStart w:id="60" w:name="page61"/>
    <w:bookmarkEnd w:id="60"/>
    <w:p>
      <w:pPr>
        <w:spacing w:after="0" w:line="29" w:lineRule="exact"/>
        <w:rPr>
          <w:sz w:val="20"/>
          <w:szCs w:val="20"/>
          <w:color w:val="auto"/>
        </w:rPr>
      </w:pPr>
    </w:p>
    <w:p>
      <w:pPr>
        <w:spacing w:after="0"/>
        <w:tabs>
          <w:tab w:leader="none" w:pos="8100" w:val="left"/>
          <w:tab w:leader="none" w:pos="9340" w:val="left"/>
          <w:tab w:leader="none" w:pos="9820" w:val="left"/>
          <w:tab w:leader="none" w:pos="10880" w:val="left"/>
        </w:tabs>
        <w:rPr>
          <w:sz w:val="20"/>
          <w:szCs w:val="20"/>
          <w:color w:val="auto"/>
        </w:rPr>
      </w:pPr>
      <w:r>
        <w:rPr>
          <w:rFonts w:ascii="Times New Roman" w:cs="Times New Roman" w:eastAsia="Times New Roman" w:hAnsi="Times New Roman"/>
          <w:sz w:val="18"/>
          <w:szCs w:val="18"/>
          <w:b w:val="1"/>
          <w:bCs w:val="1"/>
          <w:color w:val="auto"/>
        </w:rPr>
        <w:t>Total liquidity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837</w:t>
        <w:tab/>
        <w:t>$</w:t>
      </w:r>
      <w:r>
        <w:rPr>
          <w:sz w:val="20"/>
          <w:szCs w:val="20"/>
          <w:color w:val="auto"/>
        </w:rPr>
        <w:tab/>
      </w:r>
      <w:r>
        <w:rPr>
          <w:rFonts w:ascii="Times New Roman" w:cs="Times New Roman" w:eastAsia="Times New Roman" w:hAnsi="Times New Roman"/>
          <w:sz w:val="18"/>
          <w:szCs w:val="18"/>
          <w:color w:val="auto"/>
        </w:rPr>
        <w:t>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liquidity includes $249 million and $176 million of restricted cash balances as of September 30, 2019 and December 31, 2018, respectively. Restricted cash consists primarily of funds to satisfy the requirements of certain debt arrangements and funds held within the Company's projects that are restricted in their use. As of September 30, 2019, these restricted funds were comprised of $78 million designated to fund operating expenses, $70 million designated for current debt service payments, and $53 million restricted for reserves including debt service, performance obligations and other reserves, as well as capital expenditures. The remaining $48 million is held in distribution reserve accounts, of which $36 million related to subsidiaries affected by the PG&amp;E Bankruptcy as discussed further below and may not be distributed during the pendency of the PG&amp;E Bankruptcy. The Company had a total of $147 million in restricted cash held by the subsidiaries affected by the PG&amp;E Bankruptcy at September 30, 2019.</w:t>
      </w:r>
    </w:p>
    <w:p>
      <w:pPr>
        <w:spacing w:after="0" w:line="18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2019, there were no outstanding borrowings and $52 million of letters of credit outstanding under the Company's revolving credit facility. The Company had $40 million outstanding under the revolving credit facility and a total of $71 million in letters of credit outstanding as of November 6, 2019.</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triggered defaults under the related financing agreements which caused uncertainty around the timing of when certain project-level cash distributions will be available to the Company. As of September 30, 2019, all project level cash balances for these subsidiaries were classified as restricted cash.</w:t>
      </w:r>
    </w:p>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29"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September 30, 2019:</w:t>
      </w:r>
    </w:p>
    <w:p>
      <w:pPr>
        <w:spacing w:after="0" w:line="221" w:lineRule="exact"/>
        <w:rPr>
          <w:sz w:val="20"/>
          <w:szCs w:val="20"/>
          <w:color w:val="auto"/>
        </w:rPr>
      </w:pPr>
    </w:p>
    <w:tbl>
      <w:tblPr>
        <w:tblLayout w:type="fixed"/>
        <w:tblInd w:w="350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Moody's</w:t>
            </w: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Clearway Energy, Inc.</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5.375% Senior Notes, due 2024</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5.750% Senior Notes, due 2025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5.000% Senior Notes, due 2026</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bl>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this Form 10-Q and Note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Long-term Debt</w:t>
      </w:r>
      <w:r>
        <w:rPr>
          <w:rFonts w:ascii="Times New Roman" w:cs="Times New Roman" w:eastAsia="Times New Roman" w:hAnsi="Times New Roman"/>
          <w:sz w:val="18"/>
          <w:szCs w:val="18"/>
          <w:color w:val="auto"/>
        </w:rPr>
        <w:t>, to the consolidated financial statements included in the Company's 2018 Form 10-K,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financing arrangements consist of corporate level debt, which includes Senior Notes, 2020 Convertible Notes, and the revolving credit facility; the ATM Program; and project-level financings.</w:t>
      </w:r>
    </w:p>
    <w:p>
      <w:pPr>
        <w:spacing w:after="0" w:line="182"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ATM Sales </w:t>
      </w:r>
      <w:r>
        <w:rPr>
          <w:rFonts w:ascii="Times New Roman" w:cs="Times New Roman" w:eastAsia="Times New Roman" w:hAnsi="Times New Roman"/>
          <w:sz w:val="18"/>
          <w:szCs w:val="18"/>
          <w:color w:val="auto"/>
        </w:rPr>
        <w:t>— Clearway Energy, Inc. did not sell any shares of Class C common stock during the nine months ended September 30, 2019.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approximately $36 million of Class C common stock remains available for issuance under the ATM Program.</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Uses of Liquidity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The Company's requirements for liquidity and capital resources, other than for operating its facilities, are categorized as: (i) debt service obligations, as described more fully in Item 1,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(ii) capital expenditures; (iii) acquisitions and investments; and (iv) distributions.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Agua Caliente Borrower 2 Debt Repayment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21, 2019, the Company, through Agua Caliente Borrower 2 LLC, repaid $40 million of the outstanding notes balance, including accrued interest and premiums, issued under the Agua Caliente Holdco Financing Agreement. The repayment was funded with existing liquidity.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7"/>
          <w:szCs w:val="17"/>
          <w:color w:val="auto"/>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nine months ended September 30, 2019, the Company used $200 million to fund capital expenditures, including growth expenditures of $188 million, $168 million of which were in the Renewables segment in connection with the Repowering Partnership entered by the Company in August 2018, as well as the Oahu Partnership and the Kawailoa Partnership, as further described in Note 4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Investments Accounted for by the Equity Method and Variable Interest Entities.</w:t>
      </w:r>
      <w:r>
        <w:rPr>
          <w:rFonts w:ascii="Times New Roman" w:cs="Times New Roman" w:eastAsia="Times New Roman" w:hAnsi="Times New Roman"/>
          <w:sz w:val="17"/>
          <w:szCs w:val="17"/>
          <w:color w:val="auto"/>
        </w:rPr>
        <w:t xml:space="preserve"> The source for these capital expenditures was financing obtained in connection with the Repowering Partnership, as well as tax equity investors contributions. The Company also incurred $16 million of growth capital expenditures in the Thermal segment in connection with various development projects. For the nine months ended September 30, 2018, the Company used approximately $62 million to fund capital expenditures, of which $33 million related to growth expenditures in the</w:t>
      </w:r>
    </w:p>
    <w:p>
      <w:pPr>
        <w:sectPr>
          <w:pgSz w:w="11900" w:h="16867" w:orient="portrait"/>
          <w:cols w:equalWidth="0" w:num="1">
            <w:col w:w="11420"/>
          </w:cols>
          <w:pgMar w:left="240" w:top="117" w:right="239" w:bottom="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Renewables segment in connection with the construction of Buckthorn Solar. The $33 million includes $10 million incurred by NRG during the construction of the Buckthorn Solar project prior to its acquisition by the Company on March 30, 2018. The Company estimates $30 million of maintenance expenditures for 2019. These estimates are subject to continuing review and adjustment and actual capital expenditures may vary from these estimates.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Acquisitions and Investments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Agreements with Cayo Largo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2019 the Company entered into a tolling agreement with Cayo Largo LLC to supply electricity,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chilled water, hot water and natural gas to Cayo Largo LLC's customer through a dedicated combined heat and power facility to be constructed by the Company. The Company anticipates the project to total $13 million in capital expenditures and is expected to commence commercial operations in the fourth quarter of 2020.</w:t>
      </w:r>
    </w:p>
    <w:p>
      <w:pPr>
        <w:spacing w:after="0" w:line="17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Repowering Transaction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14, 2019, the Company, through an indirect subsidiary, entered into binding equity commitment agreements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announced partnership with CEG to enable the repowering of two of its existing wind assets, Wildorado and Elbow Creek.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Kawailoa Solar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2019, the Company entered into a partnership with Clearway Renew LLC, a subsidiary of CEG, to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finance, operate, and maintain the Kawailoa Solar Partnership. The Company made an original capital contribution in the amount of $2 million and recorded a payable in the amount of $7 million due to Clearway Renew LLC in the accounts payable - affiliate on the Company's consolidated balance sheets as of September 30, 2019. For further discussion, see Item 1,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7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Duquesne Thermal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2019, the Company, through its indirect subsidiary ECP Uptown Campus LLC, acquired the Duquesne University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district energy system, totaling 82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further discussed in Note 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well as cash on hand.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83"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8, 2019, the Company entered into a partnership with Clearway Renew LLC, a subsidiary of CEG, to own,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operate, and maintain the Oahu Solar projects. The Company made an original capital contribution in the amount of $4 million and recorded a payable in the amount of $16 million due to Clearway Renew LLC in the accounts payable - affiliate on the Company's consolidated balance sheets as of September 30, 2019. For further discussion, see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77"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 2019, the Company bought out 100% of Class A membership interest from the TE Investor,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of $19 million, as further described in Item 1,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 Partnership with CEG</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September 30, 2019, the Company invested $14 million in distributed generation partnerships with CEG.</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Open Market Repurchases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2019, Clearway Energy, Inc. repurchased an aggregate principal amount of $50 million of the 2019 Convertible Notes in open market transactions. The repurchases were funded through a partial repayment of the intercompany note between Clearway Operating LLC and Clearway Energy, Inc.</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Distributions to Clearway Energy, Inc. and CEG</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units are subject to available capital, market conditions, and compliance with associated laws, regulations and other contractual obligations. The Company expects that, based on current circumstances, comparable cash distributions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B, C and D units during the nine months ended September 30, 2019:</w:t>
      </w:r>
    </w:p>
    <w:p>
      <w:pPr>
        <w:spacing w:after="0" w:line="241"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Third Quarter 2019</w:t>
            </w:r>
          </w:p>
        </w:tc>
        <w:tc>
          <w:tcPr>
            <w:tcW w:w="100" w:type="dxa"/>
            <w:vAlign w:val="bottom"/>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Second Quarter 2019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First Quarter 2019</w:t>
            </w:r>
          </w:p>
        </w:tc>
      </w:tr>
      <w:tr>
        <w:trPr>
          <w:trHeight w:val="21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per Class A, B, C and D unit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c>
          <w:tcPr>
            <w:tcW w:w="76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October 29, 2019, the Company declared quarterly dividends on its Class A common stock and Class C common stock of $0.20 per share payable on December 16, 2019, to stockholders of record as of December 2,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cash flows for the nine months ended September 30, 2019, compared to the nine months ended September 30,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5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5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96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96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420"/>
          </w:cols>
          <w:pgMar w:left="240" w:top="360" w:right="239" w:bottom="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Lower distributions from unconsolidated affiliates affected by the PG&amp;E Bankruptcy, partially offset by higher distributions from the distributed generation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500"/>
        <w:spacing w:after="0" w:line="276" w:lineRule="auto"/>
        <w:rPr>
          <w:sz w:val="20"/>
          <w:szCs w:val="20"/>
          <w:color w:val="auto"/>
        </w:rPr>
      </w:pPr>
      <w:r>
        <w:rPr>
          <w:rFonts w:ascii="Times New Roman" w:cs="Times New Roman" w:eastAsia="Times New Roman" w:hAnsi="Times New Roman"/>
          <w:sz w:val="18"/>
          <w:szCs w:val="18"/>
          <w:color w:val="auto"/>
        </w:rPr>
        <w:t>Increase in working capital driven primarily by the timing of accounts receivable collections and payment of accounts payable Decrease in operating income adjusted for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32" w:lineRule="exact"/>
        <w:rPr>
          <w:sz w:val="20"/>
          <w:szCs w:val="20"/>
          <w:color w:val="auto"/>
        </w:rPr>
      </w:pPr>
    </w:p>
    <w:p>
      <w:pPr>
        <w:ind w:left="1020" w:hanging="1011"/>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ind w:left="1020" w:hanging="1011"/>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578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8578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9600" w:space="460"/>
            <w:col w:w="1360"/>
          </w:cols>
          <w:pgMar w:left="240" w:top="360" w:right="239" w:bottom="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Increase in capital expenditures driven by the Company investment in the Repowering Partnership and development projects in the Thermal segment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1540"/>
        <w:spacing w:after="0" w:line="250" w:lineRule="auto"/>
        <w:rPr>
          <w:sz w:val="20"/>
          <w:szCs w:val="20"/>
          <w:color w:val="auto"/>
        </w:rPr>
      </w:pPr>
      <w:r>
        <w:rPr>
          <w:rFonts w:ascii="Times New Roman" w:cs="Times New Roman" w:eastAsia="Times New Roman" w:hAnsi="Times New Roman"/>
          <w:sz w:val="18"/>
          <w:szCs w:val="18"/>
          <w:color w:val="auto"/>
        </w:rPr>
        <w:t>Higher payment due to the Drop Down Assets and other acquisitions that occurred in 2018 compared to 2019 Payment to buy out an existing tax equity partner of Wind TE Holdco on January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000"/>
        <w:spacing w:after="0" w:line="250" w:lineRule="auto"/>
        <w:rPr>
          <w:sz w:val="20"/>
          <w:szCs w:val="20"/>
          <w:color w:val="auto"/>
        </w:rPr>
      </w:pPr>
      <w:r>
        <w:rPr>
          <w:rFonts w:ascii="Times New Roman" w:cs="Times New Roman" w:eastAsia="Times New Roman" w:hAnsi="Times New Roman"/>
          <w:sz w:val="18"/>
          <w:szCs w:val="18"/>
          <w:color w:val="auto"/>
        </w:rPr>
        <w:t>Lower net investment in unconsolidated affiliates in the distributed partnerships with CEG during 2019 Cash receipts from network upgrades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280"/>
        <w:spacing w:after="0" w:line="276" w:lineRule="auto"/>
        <w:rPr>
          <w:sz w:val="20"/>
          <w:szCs w:val="20"/>
          <w:color w:val="auto"/>
        </w:rPr>
      </w:pPr>
      <w:r>
        <w:rPr>
          <w:rFonts w:ascii="Times New Roman" w:cs="Times New Roman" w:eastAsia="Times New Roman" w:hAnsi="Times New Roman"/>
          <w:sz w:val="18"/>
          <w:szCs w:val="18"/>
          <w:color w:val="auto"/>
        </w:rPr>
        <w:t>Payment to acquire the Class A interests in the Oahu Partnership and Kawailoa Partnership in 2019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32" w:lineRule="exact"/>
        <w:rPr>
          <w:sz w:val="20"/>
          <w:szCs w:val="20"/>
          <w:color w:val="auto"/>
        </w:rPr>
      </w:pPr>
    </w:p>
    <w:p>
      <w:pPr>
        <w:ind w:left="920" w:hanging="911"/>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ind w:left="920" w:hanging="911"/>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578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8578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620"/>
            <w:col w:w="1360"/>
          </w:cols>
          <w:pgMar w:left="240" w:top="360" w:right="239" w:bottom="0" w:gutter="0" w:footer="0" w:header="0"/>
          <w:type w:val="continuous"/>
        </w:sectPr>
      </w:pP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i w:val="1"/>
          <w:iCs w:val="1"/>
          <w:color w:val="auto"/>
        </w:rPr>
        <w:t>Net Cash Used in Financing Activities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p>
      <w:pPr>
        <w:spacing w:after="0" w:line="2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Lower net contributions from noncontrolling interests in 2019 compared to 2018, primarily from Buckthorn Holdings, LLC's Class A member in 2018, as described in Note 3,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40"/>
        <w:spacing w:after="0" w:line="250" w:lineRule="auto"/>
        <w:rPr>
          <w:sz w:val="20"/>
          <w:szCs w:val="20"/>
          <w:color w:val="auto"/>
        </w:rPr>
      </w:pPr>
      <w:r>
        <w:rPr>
          <w:rFonts w:ascii="Times New Roman" w:cs="Times New Roman" w:eastAsia="Times New Roman" w:hAnsi="Times New Roman"/>
          <w:sz w:val="18"/>
          <w:szCs w:val="18"/>
          <w:color w:val="auto"/>
        </w:rPr>
        <w:t>Net proceeds from the issuance of Class C units as a result of Clearway Energy, Inc,'s common stock offering under the ATM Program in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distributions paid to Class B and Class 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payments under the revolving credit facility in 2018</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Increase in proceeds from long-term debt in 2019 compared to 2018, in connection with new borrowings in the Renewables segment, partially offset by the maturity and repayment of the 2019 Convertible Notes in the first quarter of 2019the maturity and repayment of the intercompany note - due 2019 between Clearway Energy, Inc. and Clearway Operating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271"/>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32" w:lineRule="exact"/>
        <w:rPr>
          <w:sz w:val="20"/>
          <w:szCs w:val="20"/>
          <w:color w:val="auto"/>
        </w:rPr>
      </w:pPr>
    </w:p>
    <w:p>
      <w:pPr>
        <w:ind w:left="911" w:hanging="911"/>
        <w:spacing w:after="0"/>
        <w:tabs>
          <w:tab w:leader="none" w:pos="9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w:t>
      </w:r>
    </w:p>
    <w:p>
      <w:pPr>
        <w:spacing w:after="0" w:line="225" w:lineRule="exact"/>
        <w:rPr>
          <w:rFonts w:ascii="Times New Roman" w:cs="Times New Roman" w:eastAsia="Times New Roman" w:hAnsi="Times New Roman"/>
          <w:sz w:val="18"/>
          <w:szCs w:val="18"/>
          <w:color w:val="auto"/>
        </w:rPr>
      </w:pPr>
    </w:p>
    <w:p>
      <w:pPr>
        <w:ind w:left="9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w:t>
      </w:r>
    </w:p>
    <w:p>
      <w:pPr>
        <w:spacing w:after="0" w:line="27" w:lineRule="exact"/>
        <w:rPr>
          <w:rFonts w:ascii="Times New Roman" w:cs="Times New Roman" w:eastAsia="Times New Roman" w:hAnsi="Times New Roman"/>
          <w:sz w:val="18"/>
          <w:szCs w:val="18"/>
          <w:color w:val="auto"/>
        </w:rPr>
      </w:pPr>
    </w:p>
    <w:p>
      <w:pPr>
        <w:ind w:left="107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p>
    <w:p>
      <w:pPr>
        <w:spacing w:after="0" w:line="22" w:lineRule="exact"/>
        <w:rPr>
          <w:rFonts w:ascii="Times New Roman" w:cs="Times New Roman" w:eastAsia="Times New Roman" w:hAnsi="Times New Roman"/>
          <w:sz w:val="18"/>
          <w:szCs w:val="18"/>
          <w:color w:val="auto"/>
        </w:rPr>
      </w:pPr>
    </w:p>
    <w:p>
      <w:pPr>
        <w:ind w:left="107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ind w:left="1071"/>
        <w:spacing w:after="0"/>
        <w:rPr>
          <w:sz w:val="20"/>
          <w:szCs w:val="20"/>
          <w:color w:val="auto"/>
        </w:rPr>
      </w:pPr>
      <w:r>
        <w:rPr>
          <w:rFonts w:ascii="Times New Roman" w:cs="Times New Roman" w:eastAsia="Times New Roman" w:hAnsi="Times New Roman"/>
          <w:sz w:val="18"/>
          <w:szCs w:val="18"/>
          <w:color w:val="auto"/>
        </w:rPr>
        <w:t>32</w:t>
      </w:r>
    </w:p>
    <w:p>
      <w:pPr>
        <w:spacing w:after="0" w:line="27" w:lineRule="exact"/>
        <w:rPr>
          <w:sz w:val="20"/>
          <w:szCs w:val="20"/>
          <w:color w:val="auto"/>
        </w:rPr>
      </w:pPr>
    </w:p>
    <w:p>
      <w:pPr>
        <w:ind w:left="911" w:hanging="911"/>
        <w:spacing w:after="0"/>
        <w:tabs>
          <w:tab w:leader="none" w:pos="9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578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578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9920" w:space="149"/>
            <w:col w:w="1351"/>
          </w:cols>
          <w:pgMar w:left="240" w:top="360" w:right="239" w:bottom="0" w:gutter="0" w:footer="0" w:header="0"/>
          <w:type w:val="continuous"/>
        </w:sectPr>
      </w:pPr>
    </w:p>
    <w:p>
      <w:pPr>
        <w:spacing w:after="0" w:line="4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may enter into guarantee arrangements in the normal course of business to facilitate commercial transactions with third parties.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September 30, 2019, the Company has several investments with an ownership interest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or 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pro-rata share of non-recourse debt held by unconsolidated affiliates was approximately $927 million as of September 30, 2019. The Company's pro-rata share of non-recourse debt held by unconsolidated affiliates as it related to the projects affected by PG&amp;E bankruptcy was $422 million as of September 30, 2019. This indebtedness may restrict the ability of these subsidiaries to issue dividends or distributions to the Company.</w:t>
      </w:r>
    </w:p>
    <w:p>
      <w:pPr>
        <w:sectPr>
          <w:pgSz w:w="11900" w:h="16838" w:orient="portrait"/>
          <w:cols w:equalWidth="0" w:num="1">
            <w:col w:w="11420"/>
          </w:cols>
          <w:pgMar w:left="240" w:top="360" w:right="239" w:bottom="0" w:gutter="0" w:footer="0" w:header="0"/>
          <w:type w:val="continuous"/>
        </w:sectPr>
      </w:pPr>
    </w:p>
    <w:bookmarkStart w:id="63" w:name="page64"/>
    <w:bookmarkEnd w:id="63"/>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2018 Form 10-K. See also Note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to this Form 10-Q for a discussion of additional contingencies that occurred during 2018.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tables below disclose the activities of non-exchange traded contracts accounted for at fair value in accordance with ASC 820. Specifically, these tables disaggregate realized and unrealized changes in fair value; disaggregate estimated fair values at September 30, 2019, based on their level within the fair value hierarchy defined in ASC 820; and indicate the maturities of contracts at September 30, 2019. For a full discussion of the Company's valuation methodology of its contracts, see </w:t>
      </w:r>
      <w:r>
        <w:rPr>
          <w:rFonts w:ascii="Times New Roman" w:cs="Times New Roman" w:eastAsia="Times New Roman" w:hAnsi="Times New Roman"/>
          <w:sz w:val="18"/>
          <w:szCs w:val="18"/>
          <w:i w:val="1"/>
          <w:iCs w:val="1"/>
          <w:color w:val="auto"/>
        </w:rPr>
        <w:t>Derivative Fair Value Measurements</w:t>
      </w:r>
      <w:r>
        <w:rPr>
          <w:rFonts w:ascii="Times New Roman" w:cs="Times New Roman" w:eastAsia="Times New Roman" w:hAnsi="Times New Roman"/>
          <w:sz w:val="18"/>
          <w:szCs w:val="18"/>
          <w:color w:val="auto"/>
        </w:rPr>
        <w:t xml:space="preserve"> in Item 1,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Activity (Losses) Gains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contracts as of December 31, 2018</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Contracts realized or otherwise settled during the period</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Contracts added during the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contracts as of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Fair Value Hierarchy (Losses) Gains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92"/>
              <w:spacing w:after="0"/>
              <w:rPr>
                <w:sz w:val="20"/>
                <w:szCs w:val="20"/>
                <w:color w:val="auto"/>
              </w:rPr>
            </w:pPr>
            <w:r>
              <w:rPr>
                <w:rFonts w:ascii="Times New Roman" w:cs="Times New Roman" w:eastAsia="Times New Roman" w:hAnsi="Times New Roman"/>
                <w:sz w:val="16"/>
                <w:szCs w:val="16"/>
                <w:i w:val="1"/>
                <w:iCs w:val="1"/>
                <w:color w:val="auto"/>
              </w:rPr>
              <w:t>(In millions)</w:t>
            </w: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Fair value of contracts as of September 30, 2019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Greater Than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Greater Than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Greater Than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 Fair</w:t>
            </w:r>
          </w:p>
        </w:tc>
      </w:tr>
      <w:tr>
        <w:trPr>
          <w:trHeight w:val="215"/>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1 Year or Less</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 Year to 3 Years</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3 Years to 5 Years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-1997710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-1723390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-1440180</wp:posOffset>
            </wp:positionV>
            <wp:extent cx="72466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-445135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-162560</wp:posOffset>
            </wp:positionV>
            <wp:extent cx="72466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20" w:space="480"/>
            <w:col w:w="6720"/>
          </w:cols>
          <w:pgMar w:left="240" w:top="117" w:right="239" w:bottom="0" w:gutter="0" w:footer="0" w:header="0"/>
          <w:type w:val="continuous"/>
        </w:sect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elected to disclose derivative assets and liabilities on a trade-by-trade basis and does not offset amounts at the counterparty master agreement level. As discussed below in Quantitative and Qualitative Disclosures about Market Risk - Commodity Price Risk, the Company measures the 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Item 1,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ectPr>
          <w:pgSz w:w="11900" w:h="16838" w:orient="portrait"/>
          <w:cols w:equalWidth="0" w:num="1">
            <w:col w:w="11420"/>
          </w:cols>
          <w:pgMar w:left="240" w:top="117" w:right="23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ectPr>
          <w:pgSz w:w="11900" w:h="16838" w:orient="portrait"/>
          <w:cols w:equalWidth="0" w:num="1">
            <w:col w:w="11420"/>
          </w:cols>
          <w:pgMar w:left="240" w:top="117" w:right="239" w:bottom="0" w:gutter="0" w:footer="0" w:header="0"/>
          <w:type w:val="continuous"/>
        </w:sectPr>
      </w:pPr>
    </w:p>
    <w:bookmarkStart w:id="64" w:name="page65"/>
    <w:bookmarkEnd w:id="64"/>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The following disclosures about market risk provide an update to, and should be read in conjunction with, Item 7A —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the Company's 2018 Form 10-K.</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for more information.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Most of the Company's project subsidiaries enter into interest rate swaps, intended to hedge the risks associated with interest rates on non-recourse project level debt. See Note 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Company's audited consolidated financial statements for the year ended December 31, 2018 included in the 2018 Form 10-K for more information about interest rate swaps of the Company's project subsidiaries.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all of the interest rate swaps had been discontinued on September 30, 2019, the Company would have owed the counterparties $110 million. Based on the credit ratings of the counterparties, the Company believes its exposure to credit risk due to nonperformance by counterparties to its hedge contracts to be insignificant.</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long-term debt instruments that subject it to the risk of loss associated with movements in market interest rates. As of September 30, 2019, a 1% change in interest rates would result in an approximately $3.3 million change in market interest expense on a rolling twelve-month basis.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2019, the fair value of the Company's debt was $6,173 million and the carrying value was $6,179 million. The Company estimates that a 1% decrease in market interest rates would have increased the fair value of its long-term debt by approximately $250 million.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Liquidity risk arises from the general funding needs of the Company's activities and in the management of the Company's assets and liabilities.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Based on a sensitivity analysis using simplified assumptions, the impact of a $0.50 per MMBtu decrease in natural gas prices across the term of the derivative contracts would cause a decrease of approximately $1 million to the net value of gas derivatives, and an increase of $0.50 per MMBtu in natural gas prices across the term of the derivative contracts would cause an increase of approximately $2 million to the net value of gas derivatives as of September 30, 2019. The impact of a $0.50 per MWh increase or decrease in power prices across the term of the derivative contracts would cause a change of approximately $1 million to the net value of power derivatives as of September 30, 2019.</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to the Consolidated Financial Statements for more information about concentration of credit risk.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GIP Transaction, the Company entered into a TSA pursuant to which NRG Energy, Inc. provided information technology, systems, applications, and business processes to the Company. A material portion of these processes terminated during the second quarter of 2019 and such services were subsequently provided by both the Company and by CEG pursuant to the CEG Master Services Agreements. Under the CEG Master Services Agreements, the Company continues to review, document and evaluate the existing internal controls over financial reporting. There were no other changes in the Company’s internal control over financial reporting (as such term is defined in Rule 13a-15(f) under the Exchange Act) during the quarter ended September 30, 2019 that materially affected, or are reasonably likely to materially affect, the Company’s internal control over financial reporting.</w:t>
      </w:r>
    </w:p>
    <w:p>
      <w:pPr>
        <w:sectPr>
          <w:pgSz w:w="11900" w:h="16838" w:orient="portrait"/>
          <w:cols w:equalWidth="0" w:num="1">
            <w:col w:w="11420"/>
          </w:cols>
          <w:pgMar w:left="240" w:top="337" w:right="239" w:bottom="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2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September 30, 2019, see Note 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 10-Q.</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2018 Form 10-K. There have been no material changes in the Company's risk factors since those reported in its 2018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58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82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5820" w:type="dxa"/>
            <w:vAlign w:val="bottom"/>
            <w:gridSpan w:val="14"/>
          </w:tcPr>
          <w:p>
            <w:pPr>
              <w:spacing w:after="0" w:line="170"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Second Amendment to Right of First Offer Agreement, dated August 1, 2019,</w:t>
              </w:r>
            </w:hyperlink>
          </w:p>
        </w:tc>
        <w:tc>
          <w:tcPr>
            <w:tcW w:w="220" w:type="dxa"/>
            <w:vAlign w:val="bottom"/>
          </w:tcPr>
          <w:p>
            <w:pPr>
              <w:spacing w:after="0"/>
              <w:rPr>
                <w:sz w:val="14"/>
                <w:szCs w:val="14"/>
                <w:color w:val="auto"/>
              </w:rPr>
            </w:pPr>
          </w:p>
        </w:tc>
        <w:tc>
          <w:tcPr>
            <w:tcW w:w="43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Incorporated herein by reference to Exhibit 10.1 to the</w:t>
            </w: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by and between Clearway Energy Group LLC and Clearway Energy, Inc.</w:t>
              </w:r>
            </w:hyperlink>
          </w:p>
        </w:tc>
        <w:tc>
          <w:tcPr>
            <w:tcW w:w="2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Company's Quarterly Report on Form 10-Q filed on August</w:t>
            </w:r>
          </w:p>
        </w:tc>
      </w:tr>
      <w:tr>
        <w:trPr>
          <w:trHeight w:val="218"/>
        </w:trPr>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6, 2019.</w:t>
            </w:r>
          </w:p>
        </w:tc>
      </w:tr>
      <w:tr>
        <w:trPr>
          <w:trHeight w:val="194"/>
        </w:trPr>
        <w:tc>
          <w:tcPr>
            <w:tcW w:w="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6"/>
                <w:szCs w:val="16"/>
                <w:color w:val="auto"/>
              </w:rPr>
            </w:pPr>
          </w:p>
        </w:tc>
        <w:tc>
          <w:tcPr>
            <w:tcW w:w="5820" w:type="dxa"/>
            <w:vAlign w:val="bottom"/>
            <w:gridSpan w:val="14"/>
          </w:tcPr>
          <w:p>
            <w:pPr>
              <w:spacing w:after="0" w:line="194"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Eleventh Supplemental Indenture, dated as of September 6, 2019, among</w:t>
              </w:r>
            </w:hyperlink>
          </w:p>
        </w:tc>
        <w:tc>
          <w:tcPr>
            <w:tcW w:w="220" w:type="dxa"/>
            <w:vAlign w:val="bottom"/>
          </w:tcPr>
          <w:p>
            <w:pPr>
              <w:spacing w:after="0"/>
              <w:rPr>
                <w:sz w:val="16"/>
                <w:szCs w:val="16"/>
                <w:color w:val="auto"/>
              </w:rPr>
            </w:pPr>
          </w:p>
        </w:tc>
        <w:tc>
          <w:tcPr>
            <w:tcW w:w="4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Incorporated herein by reference to Exhibit 4.1 to Clearway</w:t>
            </w:r>
          </w:p>
        </w:tc>
      </w:tr>
      <w:tr>
        <w:trPr>
          <w:trHeight w:val="20"/>
        </w:trPr>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Clearway Energy Operating LLC, the guarantors named therein and Delaware</w:t>
              </w:r>
            </w:hyperlink>
          </w:p>
        </w:tc>
        <w:tc>
          <w:tcPr>
            <w:tcW w:w="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Energy, Inc.'s Current Report on Form 8-K filed on</w:t>
            </w: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Trust Company (as successor in interest to Law Debenture Trust Company of</w:t>
              </w:r>
            </w:hyperlink>
          </w:p>
        </w:tc>
        <w:tc>
          <w:tcPr>
            <w:tcW w:w="2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September 12, 2019.</w:t>
            </w: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1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New York).</w:t>
              </w:r>
            </w:hyperlink>
          </w:p>
        </w:tc>
        <w:tc>
          <w:tcPr>
            <w:tcW w:w="2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5820" w:type="dxa"/>
            <w:vAlign w:val="bottom"/>
            <w:gridSpan w:val="1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Seventh Supplemental Indenture, dated as of September 6, 2019, among</w:t>
              </w:r>
            </w:hyperlink>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Incorporated herein by reference to Exhibit 4.2 to Clearway</w:t>
            </w:r>
          </w:p>
        </w:tc>
      </w:tr>
      <w:tr>
        <w:trPr>
          <w:trHeight w:val="20"/>
        </w:trPr>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Clearway Energy Operating LLC, the guarantors named therein and Delaware</w:t>
              </w:r>
            </w:hyperlink>
          </w:p>
        </w:tc>
        <w:tc>
          <w:tcPr>
            <w:tcW w:w="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Energy, Inc.'s Current Report on Form 8-K filed on</w:t>
            </w: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Trust Company (as successor in interest to Law Debenture Trust Company of</w:t>
              </w:r>
            </w:hyperlink>
          </w:p>
        </w:tc>
        <w:tc>
          <w:tcPr>
            <w:tcW w:w="2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September 12, 2019.</w:t>
            </w: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1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New York).</w:t>
              </w:r>
            </w:hyperlink>
          </w:p>
        </w:tc>
        <w:tc>
          <w:tcPr>
            <w:tcW w:w="2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5820" w:type="dxa"/>
            <w:vAlign w:val="bottom"/>
            <w:gridSpan w:val="1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Third Supplemental Indenture, dated as of September 6, 2019, among Clearway</w:t>
              </w:r>
            </w:hyperlink>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Incorporated herein by reference to Exhibit 4.3 to Clearway</w:t>
            </w: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Energy Operating LLC, the guarantors named therein and Delaware Trust</w:t>
              </w:r>
            </w:hyperlink>
          </w:p>
        </w:tc>
        <w:tc>
          <w:tcPr>
            <w:tcW w:w="44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Energy, Inc.'s Current Report on Form 8-K filed on</w:t>
            </w:r>
          </w:p>
        </w:tc>
      </w:tr>
      <w:tr>
        <w:trPr>
          <w:trHeight w:val="196"/>
        </w:trPr>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1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Company.</w:t>
              </w:r>
            </w:hyperlink>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September 12, 2019.</w:t>
            </w: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Rule 13a-14(a)/15d-14(a) certification of Christopher S. Sotos.</w:t>
              </w:r>
            </w:hyperlink>
          </w:p>
        </w:tc>
        <w:tc>
          <w:tcPr>
            <w:tcW w:w="12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4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Rule 13a-14(a)/15d-14(a) certification of Chad Plotkin.</w:t>
              </w:r>
            </w:hyperlink>
          </w:p>
        </w:tc>
        <w:tc>
          <w:tcPr>
            <w:tcW w:w="182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7"/>
                <w:szCs w:val="17"/>
                <w:color w:val="auto"/>
              </w:rPr>
            </w:pPr>
          </w:p>
        </w:tc>
        <w:tc>
          <w:tcPr>
            <w:tcW w:w="5820" w:type="dxa"/>
            <w:vAlign w:val="bottom"/>
            <w:gridSpan w:val="14"/>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Rule 13a-14(a)/15d-14(a) certification of Mary-Lee Stillwell.</w:t>
              </w:r>
            </w:hyperlink>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Section 1350 Certification.</w:t>
              </w:r>
            </w:hyperlink>
          </w:p>
        </w:tc>
        <w:tc>
          <w:tcPr>
            <w:tcW w:w="2460" w:type="dxa"/>
            <w:vAlign w:val="bottom"/>
            <w:tcBorders>
              <w:top w:val="single" w:sz="8" w:color="0000EE"/>
            </w:tcBorders>
            <w:gridSpan w:val="2"/>
          </w:tcPr>
          <w:p>
            <w:pPr>
              <w:spacing w:after="0"/>
              <w:rPr>
                <w:sz w:val="17"/>
                <w:szCs w:val="17"/>
                <w:color w:val="auto"/>
              </w:rPr>
            </w:pPr>
          </w:p>
        </w:tc>
        <w:tc>
          <w:tcPr>
            <w:tcW w:w="14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1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220" w:type="dxa"/>
            <w:vAlign w:val="bottom"/>
          </w:tcPr>
          <w:p>
            <w:pPr>
              <w:spacing w:after="0"/>
              <w:rPr>
                <w:sz w:val="18"/>
                <w:szCs w:val="18"/>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w:t>
            </w:r>
          </w:p>
        </w:tc>
        <w:tc>
          <w:tcPr>
            <w:tcW w:w="220" w:type="dxa"/>
            <w:vAlign w:val="bottom"/>
          </w:tcPr>
          <w:p>
            <w:pPr>
              <w:spacing w:after="0"/>
              <w:rPr>
                <w:sz w:val="18"/>
                <w:szCs w:val="18"/>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220" w:type="dxa"/>
            <w:vAlign w:val="bottom"/>
          </w:tcPr>
          <w:p>
            <w:pPr>
              <w:spacing w:after="0"/>
              <w:rPr>
                <w:sz w:val="18"/>
                <w:szCs w:val="18"/>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220" w:type="dxa"/>
            <w:vAlign w:val="bottom"/>
          </w:tcPr>
          <w:p>
            <w:pPr>
              <w:spacing w:after="0"/>
              <w:rPr>
                <w:sz w:val="18"/>
                <w:szCs w:val="18"/>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220" w:type="dxa"/>
            <w:vAlign w:val="bottom"/>
          </w:tcPr>
          <w:p>
            <w:pPr>
              <w:spacing w:after="0"/>
              <w:rPr>
                <w:sz w:val="18"/>
                <w:szCs w:val="18"/>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220" w:type="dxa"/>
            <w:vAlign w:val="bottom"/>
          </w:tcPr>
          <w:p>
            <w:pPr>
              <w:spacing w:after="0"/>
              <w:rPr>
                <w:sz w:val="18"/>
                <w:szCs w:val="18"/>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does not</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appear in Exhibit 104 because its Inline XBRL tags are embedded within the</w:t>
            </w:r>
          </w:p>
        </w:tc>
        <w:tc>
          <w:tcPr>
            <w:tcW w:w="22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20" w:type="dxa"/>
            <w:vAlign w:val="bottom"/>
            <w:gridSpan w:val="8"/>
          </w:tcPr>
          <w:p>
            <w:pPr>
              <w:jc w:val="right"/>
              <w:ind w:right="4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LLC</w:t>
            </w:r>
          </w:p>
        </w:tc>
      </w:tr>
      <w:tr>
        <w:trPr>
          <w:trHeight w:val="234"/>
        </w:trPr>
        <w:tc>
          <w:tcPr>
            <w:tcW w:w="3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SOTOS</w:t>
            </w:r>
          </w:p>
        </w:tc>
      </w:tr>
      <w:tr>
        <w:trPr>
          <w:trHeight w:val="189"/>
        </w:trPr>
        <w:tc>
          <w:tcPr>
            <w:tcW w:w="3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Christopher S. Sotos</w:t>
            </w:r>
          </w:p>
        </w:tc>
      </w:tr>
      <w:tr>
        <w:trPr>
          <w:trHeight w:val="216"/>
        </w:trPr>
        <w:tc>
          <w:tcPr>
            <w:tcW w:w="3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89"/>
        </w:trPr>
        <w:tc>
          <w:tcPr>
            <w:tcW w:w="3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Chad Plotkin</w:t>
            </w:r>
          </w:p>
        </w:tc>
      </w:tr>
      <w:tr>
        <w:trPr>
          <w:trHeight w:val="216"/>
        </w:trPr>
        <w:tc>
          <w:tcPr>
            <w:tcW w:w="3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48"/>
        </w:trPr>
        <w:tc>
          <w:tcPr>
            <w:tcW w:w="3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MARY-LEE STILLWELL</w:t>
            </w:r>
          </w:p>
        </w:tc>
      </w:tr>
      <w:tr>
        <w:trPr>
          <w:trHeight w:val="189"/>
        </w:trPr>
        <w:tc>
          <w:tcPr>
            <w:tcW w:w="3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Mary-Lee Stillwell</w:t>
            </w:r>
          </w:p>
        </w:tc>
      </w:tr>
      <w:tr>
        <w:trPr>
          <w:trHeight w:val="216"/>
        </w:trPr>
        <w:tc>
          <w:tcPr>
            <w:tcW w:w="3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2019</w:t>
            </w:r>
          </w:p>
        </w:tc>
        <w:tc>
          <w:tcPr>
            <w:tcW w:w="19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432"/>
        </w:trPr>
        <w:tc>
          <w:tcPr>
            <w:tcW w:w="3700" w:type="dxa"/>
            <w:vAlign w:val="bottom"/>
          </w:tcPr>
          <w:p>
            <w:pPr>
              <w:spacing w:after="0"/>
              <w:rPr>
                <w:sz w:val="24"/>
                <w:szCs w:val="24"/>
                <w:color w:val="auto"/>
              </w:rPr>
            </w:pPr>
          </w:p>
        </w:tc>
        <w:tc>
          <w:tcPr>
            <w:tcW w:w="7660" w:type="dxa"/>
            <w:vAlign w:val="bottom"/>
            <w:gridSpan w:val="2"/>
          </w:tcPr>
          <w:p>
            <w:pPr>
              <w:jc w:val="right"/>
              <w:ind w:right="5470"/>
              <w:spacing w:after="0"/>
              <w:rPr>
                <w:sz w:val="20"/>
                <w:szCs w:val="20"/>
                <w:color w:val="auto"/>
              </w:rPr>
            </w:pPr>
            <w:r>
              <w:rPr>
                <w:rFonts w:ascii="Times New Roman" w:cs="Times New Roman" w:eastAsia="Times New Roman" w:hAnsi="Times New Roman"/>
                <w:sz w:val="18"/>
                <w:szCs w:val="18"/>
                <w:color w:val="auto"/>
              </w:rPr>
              <w:t>73</w:t>
            </w:r>
          </w:p>
        </w:tc>
      </w:tr>
    </w:tbl>
    <w:p>
      <w:pPr>
        <w:sectPr>
          <w:pgSz w:w="11900" w:h="16838" w:orient="portrait"/>
          <w:cols w:equalWidth="0" w:num="1">
            <w:col w:w="11360"/>
          </w:cols>
          <w:pgMar w:left="240" w:top="337" w:right="299" w:bottom="1440" w:gutter="0" w:footer="0" w:header="0"/>
        </w:sectPr>
      </w:pPr>
    </w:p>
    <w:bookmarkStart w:id="67" w:name="page68"/>
    <w:bookmarkEnd w:id="67"/>
    <w:p>
      <w:pPr>
        <w:ind w:left="102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ectPr>
          <w:pgSz w:w="11900" w:h="16838" w:orient="portrait"/>
          <w:cols w:equalWidth="0" w:num="1">
            <w:col w:w="11420"/>
          </w:cols>
          <w:pgMar w:left="240" w:top="117" w:right="239" w:bottom="1440" w:gutter="0" w:footer="0" w:header="0"/>
        </w:sectPr>
      </w:pPr>
    </w:p>
    <w:bookmarkStart w:id="68" w:name="page69"/>
    <w:bookmarkEnd w:id="68"/>
    <w:p>
      <w:pPr>
        <w:ind w:left="102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22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ectPr>
          <w:pgSz w:w="11900" w:h="16838" w:orient="portrait"/>
          <w:cols w:equalWidth="0" w:num="1">
            <w:col w:w="11420"/>
          </w:cols>
          <w:pgMar w:left="240" w:top="117" w:right="239" w:bottom="1440" w:gutter="0" w:footer="0" w:header="0"/>
        </w:sectPr>
      </w:pPr>
    </w:p>
    <w:bookmarkStart w:id="69" w:name="page70"/>
    <w:bookmarkEnd w:id="69"/>
    <w:p>
      <w:pPr>
        <w:ind w:left="1028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Mary-Lee Stillwell,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ectPr>
          <w:pgSz w:w="11900" w:h="16838" w:orient="portrait"/>
          <w:cols w:equalWidth="0" w:num="1">
            <w:col w:w="11420"/>
          </w:cols>
          <w:pgMar w:left="240" w:top="117"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LLC on Form 10-Q for the quarter ended September 30, 2019,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lowerLetter"/>
      <w:start w:val="1"/>
    </w:lvl>
  </w:abstractNum>
  <w:abstractNum w:abstractNumId="11">
    <w:nsid w:val="3006C83E"/>
    <w:multiLevelType w:val="hybridMultilevel"/>
    <w:lvl w:ilvl="0">
      <w:lvlJc w:val="left"/>
      <w:lvlText w:val="(%1)"/>
      <w:numFmt w:val="lowerRoman"/>
      <w:start w:val="3"/>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amp;"/>
      <w:numFmt w:val="bullet"/>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upperLetter"/>
      <w:start w:val="6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7"/>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26" Type="http://schemas.openxmlformats.org/officeDocument/2006/relationships/hyperlink" Target="http://www.sec.gov/Archives/edgar/data/1637757/000163775719000012/clearwayincex1012019q2.htm" TargetMode="External"/><Relationship Id="rId127" Type="http://schemas.openxmlformats.org/officeDocument/2006/relationships/hyperlink" Target="http://www.sec.gov/Archives/edgar/data/1567683/000141057819001211/tv529122_ex4-1.htm" TargetMode="External"/><Relationship Id="rId128" Type="http://schemas.openxmlformats.org/officeDocument/2006/relationships/hyperlink" Target="http://www.sec.gov/Archives/edgar/data/1567683/000141057819001211/tv529122_ex4-2.htm" TargetMode="External"/><Relationship Id="rId129" Type="http://schemas.openxmlformats.org/officeDocument/2006/relationships/hyperlink" Target="http://www.sec.gov/Archives/edgar/data/1567683/000141057819001211/tv529122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2019-12-28T02:25:55Z</dcterms:created>
  <dcterms:modified xsi:type="dcterms:W3CDTF">2019-12-28T02:25:55Z</dcterms:modified>
</cp:coreProperties>
</file>