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2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Ford Brian R.</w:t>
              </w:r>
            </w:hyperlink>
          </w:p>
        </w:tc>
        <w:tc>
          <w:tcPr>
            <w:tcW w:w="10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Clearway Energy,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CWEN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0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00" w:type="dxa"/>
            <w:vAlign w:val="bottom"/>
            <w:tcBorders>
              <w:bottom w:val="single" w:sz="8" w:color="0000EE"/>
            </w:tcBorders>
          </w:tcPr>
          <w:p>
            <w:pPr>
              <w:spacing w:after="0"/>
              <w:rPr>
                <w:sz w:val="6"/>
                <w:szCs w:val="6"/>
                <w:color w:val="auto"/>
              </w:rPr>
            </w:pPr>
          </w:p>
        </w:tc>
        <w:tc>
          <w:tcPr>
            <w:tcW w:w="18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0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13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080" w:type="dxa"/>
            <w:vAlign w:val="bottom"/>
            <w:vMerge w:val="restart"/>
          </w:tcPr>
          <w:p>
            <w:pPr>
              <w:ind w:left="20"/>
              <w:spacing w:after="0"/>
              <w:rPr>
                <w:sz w:val="20"/>
                <w:szCs w:val="20"/>
                <w:color w:val="auto"/>
              </w:rPr>
            </w:pPr>
            <w:r>
              <w:rPr>
                <w:rFonts w:ascii="Arial" w:cs="Arial" w:eastAsia="Arial" w:hAnsi="Arial"/>
                <w:sz w:val="13"/>
                <w:szCs w:val="13"/>
                <w:color w:val="auto"/>
              </w:rPr>
              <w:t>(First)</w:t>
            </w:r>
          </w:p>
        </w:tc>
        <w:tc>
          <w:tcPr>
            <w:tcW w:w="1360" w:type="dxa"/>
            <w:vAlign w:val="bottom"/>
            <w:vMerge w:val="restart"/>
          </w:tcPr>
          <w:p>
            <w:pPr>
              <w:ind w:left="1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20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03/02/2026</w:t>
            </w:r>
          </w:p>
        </w:tc>
        <w:tc>
          <w:tcPr>
            <w:tcW w:w="18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CLEARWAY ENERGY, INC.</w:t>
            </w:r>
          </w:p>
        </w:tc>
        <w:tc>
          <w:tcPr>
            <w:tcW w:w="136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18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80" w:type="dxa"/>
            <w:vAlign w:val="bottom"/>
            <w:gridSpan w:val="3"/>
            <w:vMerge w:val="continue"/>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300 CARNEGIE CENTER, SUITE 300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90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PRINCETON</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08540</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 par value $.01 per</w:t>
            </w:r>
          </w:p>
        </w:tc>
        <w:tc>
          <w:tcPr>
            <w:tcW w:w="1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0000FF"/>
              </w:rPr>
              <w:t>03/02/2026</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jc w:val="right"/>
              <w:ind w:right="73"/>
              <w:spacing w:after="0"/>
              <w:rPr>
                <w:sz w:val="20"/>
                <w:szCs w:val="20"/>
                <w:color w:val="auto"/>
              </w:rPr>
            </w:pPr>
            <w:r>
              <w:rPr>
                <w:rFonts w:ascii="Times New Roman" w:cs="Times New Roman" w:eastAsia="Times New Roman" w:hAnsi="Times New Roman"/>
                <w:sz w:val="17"/>
                <w:szCs w:val="17"/>
                <w:color w:val="0000FF"/>
              </w:rPr>
              <w:t>111</w:t>
            </w:r>
          </w:p>
        </w:tc>
        <w:tc>
          <w:tcPr>
            <w:tcW w:w="4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7"/>
                <w:szCs w:val="17"/>
                <w:color w:val="0000FF"/>
              </w:rPr>
              <w:t>8,785</w:t>
            </w:r>
            <w:r>
              <w:rPr>
                <w:rFonts w:ascii="Times New Roman" w:cs="Times New Roman" w:eastAsia="Times New Roman" w:hAnsi="Times New Roman"/>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100" w:type="dxa"/>
            <w:vAlign w:val="bottom"/>
            <w:tcBorders>
              <w:bottom w:val="single" w:sz="8" w:color="2C2C2C"/>
            </w:tcBorders>
            <w:gridSpan w:val="4"/>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0000FF"/>
              </w:rPr>
              <w:t>03/02/2026</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1,064</w:t>
            </w:r>
          </w:p>
        </w:tc>
        <w:tc>
          <w:tcPr>
            <w:tcW w:w="4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7"/>
                <w:szCs w:val="17"/>
                <w:color w:val="0000FF"/>
              </w:rPr>
              <w:t>89,131</w:t>
            </w:r>
            <w:r>
              <w:rPr>
                <w:rFonts w:ascii="Times New Roman" w:cs="Times New Roman" w:eastAsia="Times New Roman" w:hAnsi="Times New Roman"/>
                <w:sz w:val="22"/>
                <w:szCs w:val="22"/>
                <w:color w:val="008000"/>
                <w:vertAlign w:val="superscript"/>
              </w:rPr>
              <w:t>(3)</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7"/>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6"/>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accrued on the Reporting Person's Deferred Stock Units, which become exercisable proportionately with the Deferred Stock Units to which they relate and may only be settled in Class A or Class C Common Stock of Clearway Energy, Inc. as determined by the Deferred Stock Units to which they relate.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4,238 dividend equivalent rights that may only be settled in Class A Common Stock.</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26,339 dividend equivalent rights that may only be settled in Class C Common Stock.</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9"/>
              </w:rPr>
              <w:t>/s/ Kevin P. Malcarney,</w:t>
            </w:r>
          </w:p>
        </w:tc>
        <w:tc>
          <w:tcPr>
            <w:tcW w:w="46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03/04/2026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58874" TargetMode="External"/><Relationship Id="rId14"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2026-03-04T16:04:50Z</dcterms:created>
  <dcterms:modified xsi:type="dcterms:W3CDTF">2026-03-04T16:04:50Z</dcterms:modified>
</cp:coreProperties>
</file>