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840740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798830</wp:posOffset>
            </wp:positionV>
            <wp:extent cx="71189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7" w:lineRule="exact"/>
        <w:rPr>
          <w:sz w:val="24"/>
          <w:szCs w:val="24"/>
          <w:color w:val="auto"/>
        </w:rPr>
      </w:pPr>
    </w:p>
    <w:p>
      <w:pPr>
        <w:ind w:left="560" w:hanging="357"/>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3"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7180" w:type="dxa"/>
            <w:vAlign w:val="bottom"/>
            <w:gridSpan w:val="3"/>
          </w:tcPr>
          <w:p>
            <w:pPr>
              <w:jc w:val="center"/>
              <w:ind w:right="3012"/>
              <w:spacing w:after="0"/>
              <w:rPr>
                <w:sz w:val="20"/>
                <w:szCs w:val="20"/>
                <w:color w:val="auto"/>
              </w:rPr>
            </w:pPr>
            <w:r>
              <w:rPr>
                <w:rFonts w:ascii="Times New Roman" w:cs="Times New Roman" w:eastAsia="Times New Roman" w:hAnsi="Times New Roman"/>
                <w:sz w:val="18"/>
                <w:szCs w:val="18"/>
                <w:b w:val="1"/>
                <w:bCs w:val="1"/>
                <w:color w:val="auto"/>
                <w:w w:val="97"/>
              </w:rPr>
              <w:t>For the quarterly period ended September 30, 2022</w:t>
            </w:r>
          </w:p>
        </w:tc>
      </w:tr>
      <w:tr>
        <w:trPr>
          <w:trHeight w:val="275"/>
        </w:trPr>
        <w:tc>
          <w:tcPr>
            <w:tcW w:w="72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tc>
        <w:tc>
          <w:tcPr>
            <w:tcW w:w="3280" w:type="dxa"/>
            <w:vAlign w:val="bottom"/>
          </w:tcPr>
          <w:p>
            <w:pPr>
              <w:spacing w:after="0"/>
              <w:rPr>
                <w:sz w:val="23"/>
                <w:szCs w:val="23"/>
                <w:color w:val="auto"/>
              </w:rPr>
            </w:pPr>
          </w:p>
        </w:tc>
      </w:tr>
      <w:tr>
        <w:trPr>
          <w:trHeight w:val="572"/>
        </w:trPr>
        <w:tc>
          <w:tcPr>
            <w:tcW w:w="3380" w:type="dxa"/>
            <w:vAlign w:val="bottom"/>
          </w:tcPr>
          <w:p>
            <w:pPr>
              <w:spacing w:after="0"/>
              <w:rPr>
                <w:sz w:val="24"/>
                <w:szCs w:val="24"/>
                <w:color w:val="auto"/>
              </w:rPr>
            </w:pPr>
          </w:p>
        </w:tc>
        <w:tc>
          <w:tcPr>
            <w:tcW w:w="390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001-36002</w:t>
            </w:r>
          </w:p>
        </w:tc>
        <w:tc>
          <w:tcPr>
            <w:tcW w:w="3280" w:type="dxa"/>
            <w:vAlign w:val="bottom"/>
          </w:tcPr>
          <w:p>
            <w:pPr>
              <w:spacing w:after="0"/>
              <w:rPr>
                <w:sz w:val="24"/>
                <w:szCs w:val="24"/>
                <w:color w:val="auto"/>
              </w:rPr>
            </w:pPr>
          </w:p>
        </w:tc>
      </w:tr>
      <w:tr>
        <w:trPr>
          <w:trHeight w:val="693"/>
        </w:trPr>
        <w:tc>
          <w:tcPr>
            <w:tcW w:w="3380" w:type="dxa"/>
            <w:vAlign w:val="bottom"/>
          </w:tcPr>
          <w:p>
            <w:pPr>
              <w:spacing w:after="0"/>
              <w:rPr>
                <w:sz w:val="24"/>
                <w:szCs w:val="24"/>
                <w:color w:val="auto"/>
              </w:rPr>
            </w:pPr>
          </w:p>
        </w:tc>
        <w:tc>
          <w:tcPr>
            <w:tcW w:w="7180" w:type="dxa"/>
            <w:vAlign w:val="bottom"/>
            <w:gridSpan w:val="3"/>
          </w:tcPr>
          <w:p>
            <w:pPr>
              <w:jc w:val="center"/>
              <w:ind w:right="2992"/>
              <w:spacing w:after="0"/>
              <w:rPr>
                <w:sz w:val="20"/>
                <w:szCs w:val="20"/>
                <w:color w:val="auto"/>
              </w:rPr>
            </w:pPr>
            <w:r>
              <w:rPr>
                <w:rFonts w:ascii="Times New Roman" w:cs="Times New Roman" w:eastAsia="Times New Roman" w:hAnsi="Times New Roman"/>
                <w:sz w:val="42"/>
                <w:szCs w:val="42"/>
                <w:b w:val="1"/>
                <w:bCs w:val="1"/>
                <w:color w:val="auto"/>
                <w:w w:val="99"/>
              </w:rPr>
              <w:t>Clearway Energy, Inc.</w:t>
            </w:r>
          </w:p>
        </w:tc>
      </w:tr>
      <w:tr>
        <w:trPr>
          <w:trHeight w:val="228"/>
        </w:trPr>
        <w:tc>
          <w:tcPr>
            <w:tcW w:w="3380" w:type="dxa"/>
            <w:vAlign w:val="bottom"/>
          </w:tcPr>
          <w:p>
            <w:pPr>
              <w:spacing w:after="0"/>
              <w:rPr>
                <w:sz w:val="19"/>
                <w:szCs w:val="19"/>
                <w:color w:val="auto"/>
              </w:rPr>
            </w:pPr>
          </w:p>
        </w:tc>
        <w:tc>
          <w:tcPr>
            <w:tcW w:w="390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3280" w:type="dxa"/>
            <w:vAlign w:val="bottom"/>
          </w:tcPr>
          <w:p>
            <w:pPr>
              <w:spacing w:after="0"/>
              <w:rPr>
                <w:sz w:val="19"/>
                <w:szCs w:val="19"/>
                <w:color w:val="auto"/>
              </w:rPr>
            </w:pPr>
          </w:p>
        </w:tc>
      </w:tr>
      <w:tr>
        <w:trPr>
          <w:trHeight w:val="24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3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8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46-1777204</w:t>
            </w:r>
          </w:p>
        </w:tc>
      </w:tr>
      <w:tr>
        <w:trPr>
          <w:trHeight w:val="184"/>
        </w:trPr>
        <w:tc>
          <w:tcPr>
            <w:tcW w:w="3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(State or other jurisdiction</w:t>
            </w:r>
          </w:p>
        </w:tc>
        <w:tc>
          <w:tcPr>
            <w:tcW w:w="1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incorporation or organization)</w:t>
            </w:r>
          </w:p>
        </w:tc>
        <w:tc>
          <w:tcPr>
            <w:tcW w:w="1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27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300 Carnegie Center, Suite 300</w:t>
            </w: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3"/>
              </w:rPr>
              <w:t>Princeton</w:t>
            </w:r>
          </w:p>
        </w:tc>
        <w:tc>
          <w:tcPr>
            <w:tcW w:w="2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3280" w:type="dxa"/>
            <w:vAlign w:val="bottom"/>
          </w:tcPr>
          <w:p>
            <w:pPr>
              <w:jc w:val="right"/>
              <w:ind w:right="1312"/>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228"/>
        </w:trPr>
        <w:tc>
          <w:tcPr>
            <w:tcW w:w="72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95"/>
        </w:trPr>
        <w:tc>
          <w:tcPr>
            <w:tcW w:w="3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jc w:val="center"/>
              <w:ind w:right="1052"/>
              <w:spacing w:after="0"/>
              <w:rPr>
                <w:sz w:val="20"/>
                <w:szCs w:val="20"/>
                <w:color w:val="auto"/>
              </w:rPr>
            </w:pPr>
            <w:r>
              <w:rPr>
                <w:rFonts w:ascii="Times New Roman" w:cs="Times New Roman" w:eastAsia="Times New Roman" w:hAnsi="Times New Roman"/>
                <w:sz w:val="18"/>
                <w:szCs w:val="18"/>
                <w:b w:val="1"/>
                <w:bCs w:val="1"/>
                <w:color w:val="auto"/>
                <w:w w:val="97"/>
              </w:rPr>
              <w:t>(609) 608-1525</w:t>
            </w:r>
          </w:p>
        </w:tc>
        <w:tc>
          <w:tcPr>
            <w:tcW w:w="3280" w:type="dxa"/>
            <w:vAlign w:val="bottom"/>
          </w:tcPr>
          <w:p>
            <w:pPr>
              <w:spacing w:after="0"/>
              <w:rPr>
                <w:sz w:val="24"/>
                <w:szCs w:val="24"/>
                <w:color w:val="auto"/>
              </w:rPr>
            </w:pPr>
          </w:p>
        </w:tc>
      </w:tr>
      <w:tr>
        <w:trPr>
          <w:trHeight w:val="228"/>
        </w:trPr>
        <w:tc>
          <w:tcPr>
            <w:tcW w:w="3380" w:type="dxa"/>
            <w:vAlign w:val="bottom"/>
          </w:tcPr>
          <w:p>
            <w:pPr>
              <w:spacing w:after="0"/>
              <w:rPr>
                <w:sz w:val="19"/>
                <w:szCs w:val="19"/>
                <w:color w:val="auto"/>
              </w:rPr>
            </w:pPr>
          </w:p>
        </w:tc>
        <w:tc>
          <w:tcPr>
            <w:tcW w:w="390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280" w:type="dxa"/>
            <w:vAlign w:val="bottom"/>
          </w:tcPr>
          <w:p>
            <w:pPr>
              <w:spacing w:after="0"/>
              <w:rPr>
                <w:sz w:val="19"/>
                <w:szCs w:val="19"/>
                <w:color w:val="auto"/>
              </w:rPr>
            </w:pPr>
          </w:p>
        </w:tc>
      </w:tr>
      <w:tr>
        <w:trPr>
          <w:trHeight w:val="316"/>
        </w:trPr>
        <w:tc>
          <w:tcPr>
            <w:tcW w:w="3380" w:type="dxa"/>
            <w:vAlign w:val="bottom"/>
          </w:tcPr>
          <w:p>
            <w:pPr>
              <w:spacing w:after="0"/>
              <w:rPr>
                <w:sz w:val="24"/>
                <w:szCs w:val="24"/>
                <w:color w:val="auto"/>
              </w:rPr>
            </w:pPr>
          </w:p>
        </w:tc>
        <w:tc>
          <w:tcPr>
            <w:tcW w:w="7180" w:type="dxa"/>
            <w:vAlign w:val="bottom"/>
            <w:gridSpan w:val="3"/>
          </w:tcPr>
          <w:p>
            <w:pPr>
              <w:jc w:val="center"/>
              <w:ind w:right="3012"/>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r>
      <w:tr>
        <w:trPr>
          <w:trHeight w:val="245"/>
        </w:trPr>
        <w:tc>
          <w:tcPr>
            <w:tcW w:w="338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340" w:type="dxa"/>
            <w:vAlign w:val="bottom"/>
          </w:tcPr>
          <w:p>
            <w:pPr>
              <w:spacing w:after="0"/>
              <w:rPr>
                <w:sz w:val="21"/>
                <w:szCs w:val="21"/>
                <w:color w:val="auto"/>
              </w:rPr>
            </w:pPr>
          </w:p>
        </w:tc>
        <w:tc>
          <w:tcPr>
            <w:tcW w:w="2560" w:type="dxa"/>
            <w:vAlign w:val="bottom"/>
          </w:tcPr>
          <w:p>
            <w:pPr>
              <w:jc w:val="center"/>
              <w:ind w:right="107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4"/>
        </w:trPr>
        <w:tc>
          <w:tcPr>
            <w:tcW w:w="33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Class A Common Stock, par value $0.01</w:t>
            </w:r>
          </w:p>
        </w:tc>
        <w:tc>
          <w:tcPr>
            <w:tcW w:w="1340" w:type="dxa"/>
            <w:vAlign w:val="bottom"/>
          </w:tcPr>
          <w:p>
            <w:pPr>
              <w:spacing w:after="0"/>
              <w:rPr>
                <w:sz w:val="19"/>
                <w:szCs w:val="19"/>
                <w:color w:val="auto"/>
              </w:rPr>
            </w:pPr>
          </w:p>
        </w:tc>
        <w:tc>
          <w:tcPr>
            <w:tcW w:w="2560" w:type="dxa"/>
            <w:vAlign w:val="bottom"/>
          </w:tcPr>
          <w:p>
            <w:pPr>
              <w:jc w:val="center"/>
              <w:ind w:right="1072"/>
              <w:spacing w:after="0"/>
              <w:rPr>
                <w:sz w:val="20"/>
                <w:szCs w:val="20"/>
                <w:color w:val="auto"/>
              </w:rPr>
            </w:pPr>
            <w:r>
              <w:rPr>
                <w:rFonts w:ascii="Times New Roman" w:cs="Times New Roman" w:eastAsia="Times New Roman" w:hAnsi="Times New Roman"/>
                <w:sz w:val="18"/>
                <w:szCs w:val="18"/>
                <w:color w:val="auto"/>
                <w:w w:val="96"/>
              </w:rPr>
              <w:t>CWEN.A</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r>
        <w:trPr>
          <w:trHeight w:val="228"/>
        </w:trPr>
        <w:tc>
          <w:tcPr>
            <w:tcW w:w="33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Class C Common Stock, par value $0.01</w:t>
            </w:r>
          </w:p>
        </w:tc>
        <w:tc>
          <w:tcPr>
            <w:tcW w:w="1340" w:type="dxa"/>
            <w:vAlign w:val="bottom"/>
          </w:tcPr>
          <w:p>
            <w:pPr>
              <w:spacing w:after="0"/>
              <w:rPr>
                <w:sz w:val="19"/>
                <w:szCs w:val="19"/>
                <w:color w:val="auto"/>
              </w:rPr>
            </w:pPr>
          </w:p>
        </w:tc>
        <w:tc>
          <w:tcPr>
            <w:tcW w:w="2560" w:type="dxa"/>
            <w:vAlign w:val="bottom"/>
          </w:tcPr>
          <w:p>
            <w:pPr>
              <w:jc w:val="center"/>
              <w:ind w:right="1072"/>
              <w:spacing w:after="0"/>
              <w:rPr>
                <w:sz w:val="20"/>
                <w:szCs w:val="20"/>
                <w:color w:val="auto"/>
              </w:rPr>
            </w:pPr>
            <w:r>
              <w:rPr>
                <w:rFonts w:ascii="Times New Roman" w:cs="Times New Roman" w:eastAsia="Times New Roman" w:hAnsi="Times New Roman"/>
                <w:sz w:val="18"/>
                <w:szCs w:val="18"/>
                <w:color w:val="auto"/>
                <w:w w:val="98"/>
              </w:rPr>
              <w:t>CWEN</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171" w:lineRule="exact"/>
        <w:rPr>
          <w:sz w:val="24"/>
          <w:szCs w:val="24"/>
          <w:color w:val="auto"/>
        </w:rPr>
      </w:pPr>
    </w:p>
    <w:p>
      <w:pPr>
        <w:jc w:val="both"/>
        <w:ind w:firstLine="276"/>
        <w:spacing w:after="0" w:line="23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4" w:lineRule="exact"/>
        <w:rPr>
          <w:sz w:val="24"/>
          <w:szCs w:val="24"/>
          <w:color w:val="auto"/>
        </w:rPr>
      </w:pPr>
    </w:p>
    <w:p>
      <w:pPr>
        <w:jc w:val="center"/>
        <w:ind w:right="-19"/>
        <w:spacing w:after="0" w:line="184" w:lineRule="exact"/>
        <w:tabs>
          <w:tab w:leader="none" w:pos="2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03" w:lineRule="exact"/>
        <w:rPr>
          <w:sz w:val="24"/>
          <w:szCs w:val="24"/>
          <w:color w:val="auto"/>
        </w:rPr>
      </w:pPr>
    </w:p>
    <w:p>
      <w:pPr>
        <w:jc w:val="both"/>
        <w:ind w:firstLine="276"/>
        <w:spacing w:after="0" w:line="23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4"/>
          <w:szCs w:val="24"/>
          <w:color w:val="auto"/>
        </w:rPr>
      </w:pPr>
    </w:p>
    <w:p>
      <w:pPr>
        <w:jc w:val="center"/>
        <w:ind w:right="-19"/>
        <w:spacing w:after="0" w:line="184" w:lineRule="exact"/>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03" w:lineRule="exact"/>
        <w:rPr>
          <w:sz w:val="24"/>
          <w:szCs w:val="24"/>
          <w:color w:val="auto"/>
        </w:rPr>
      </w:pPr>
    </w:p>
    <w:p>
      <w:pPr>
        <w:jc w:val="both"/>
        <w:ind w:firstLine="276"/>
        <w:spacing w:after="0" w:line="26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1200" w:type="dxa"/>
        <w:tblCellMar>
          <w:top w:w="0" w:type="dxa"/>
          <w:left w:w="0" w:type="dxa"/>
          <w:bottom w:w="0" w:type="dxa"/>
          <w:right w:w="0" w:type="dxa"/>
        </w:tblCellMar>
      </w:tblPr>
      <w:tr>
        <w:trPr>
          <w:trHeight w:val="250"/>
        </w:trPr>
        <w:tc>
          <w:tcPr>
            <w:tcW w:w="2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6"/>
              </w:rPr>
              <w:t>Large accelerated filer</w:t>
            </w:r>
          </w:p>
        </w:tc>
        <w:tc>
          <w:tcPr>
            <w:tcW w:w="14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2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7"/>
              </w:rPr>
              <w:t>Non-accelerated filer</w:t>
            </w:r>
          </w:p>
        </w:tc>
        <w:tc>
          <w:tcPr>
            <w:tcW w:w="14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jc w:val="both"/>
        <w:ind w:firstLine="316"/>
        <w:spacing w:after="0" w:line="19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82" w:lineRule="exact"/>
        <w:rPr>
          <w:sz w:val="24"/>
          <w:szCs w:val="24"/>
          <w:color w:val="auto"/>
        </w:rPr>
      </w:pPr>
    </w:p>
    <w:p>
      <w:pPr>
        <w:ind w:left="5100"/>
        <w:spacing w:after="0" w:line="184" w:lineRule="exact"/>
        <w:tabs>
          <w:tab w:leader="none" w:pos="57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03" w:lineRule="exact"/>
        <w:rPr>
          <w:sz w:val="24"/>
          <w:szCs w:val="24"/>
          <w:color w:val="auto"/>
        </w:rPr>
      </w:pPr>
    </w:p>
    <w:p>
      <w:pPr>
        <w:jc w:val="both"/>
        <w:ind w:firstLine="276"/>
        <w:spacing w:after="0" w:line="227" w:lineRule="auto"/>
        <w:rPr>
          <w:sz w:val="20"/>
          <w:szCs w:val="20"/>
          <w:color w:val="auto"/>
        </w:rPr>
      </w:pPr>
      <w:r>
        <w:rPr>
          <w:rFonts w:ascii="Times New Roman" w:cs="Times New Roman" w:eastAsia="Times New Roman" w:hAnsi="Times New Roman"/>
          <w:sz w:val="16"/>
          <w:szCs w:val="16"/>
          <w:color w:val="auto"/>
        </w:rPr>
        <w:t>As of October 31, 2022, there were 34,599,645 shares of Class A common stock outstanding, par value $0.01 per share, 42,738,750 shares of Class B common stock outstanding, par value $0.01 per share, 82,204,753 shares of Class C common stock outstanding, par value $0.01 per share, and 42,336,750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775970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178435</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153670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7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CAUTIONARY STATEMENT REGARDING FORWARD LOOKING INFORMATION</w:t>
            </w: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92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GLOSSARY OF TERMS</w:t>
            </w:r>
          </w:p>
        </w:tc>
        <w:tc>
          <w:tcPr>
            <w:tcW w:w="4720" w:type="dxa"/>
            <w:vAlign w:val="bottom"/>
            <w:gridSpan w:val="8"/>
          </w:tcPr>
          <w:p>
            <w:pPr>
              <w:spacing w:after="0"/>
              <w:rPr>
                <w:sz w:val="17"/>
                <w:szCs w:val="17"/>
                <w:color w:val="auto"/>
              </w:rPr>
            </w:pPr>
          </w:p>
        </w:tc>
        <w:tc>
          <w:tcPr>
            <w:tcW w:w="3080" w:type="dxa"/>
            <w:vAlign w:val="bottom"/>
            <w:gridSpan w:val="2"/>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9720" w:type="dxa"/>
            <w:vAlign w:val="bottom"/>
            <w:gridSpan w:val="15"/>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0000FF"/>
                <w:w w:val="94"/>
              </w:rPr>
              <w:t>ITEM 1 — FINANCIAL STATEMENTS AND NOTES</w:t>
            </w:r>
          </w:p>
        </w:tc>
        <w:tc>
          <w:tcPr>
            <w:tcW w:w="5600" w:type="dxa"/>
            <w:vAlign w:val="bottom"/>
            <w:gridSpan w:val="3"/>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w w:val="96"/>
              </w:rPr>
              <w:t>ITEM 2 — MANAGEMENT’S DISCUSSION AND ANALYSIS OF FINANCIAL CONDITION AND RESULTS OF OPERATIONS</w:t>
            </w: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36</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000FF"/>
                <w:w w:val="96"/>
              </w:rPr>
              <w:t>ITEM 4 — CONTROLS AND PROCEDURES</w:t>
            </w:r>
          </w:p>
        </w:tc>
        <w:tc>
          <w:tcPr>
            <w:tcW w:w="3380" w:type="dxa"/>
            <w:vAlign w:val="bottom"/>
            <w:gridSpan w:val="3"/>
          </w:tcPr>
          <w:p>
            <w:pPr>
              <w:spacing w:after="0"/>
              <w:rPr>
                <w:sz w:val="17"/>
                <w:szCs w:val="17"/>
                <w:color w:val="auto"/>
              </w:rPr>
            </w:pP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56</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8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4"/>
              </w:rPr>
              <w:t>PART II — OTHER INFORMATION</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6"/>
              </w:rPr>
              <w:t>ITEM 1 — LEGAL PROCEEDINGS</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rPr>
              <w:t>ITEM 1A — RISK FACTORS</w:t>
            </w:r>
          </w:p>
        </w:tc>
        <w:tc>
          <w:tcPr>
            <w:tcW w:w="6880" w:type="dxa"/>
            <w:vAlign w:val="bottom"/>
            <w:gridSpan w:val="8"/>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6"/>
              </w:rPr>
              <w:t>ITEM 2 — UNREGISTERED SALES OF EQUITY SECURITIES AND USE OF PROCEEDS</w:t>
            </w: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3</w:t>
            </w:r>
          </w:p>
        </w:tc>
        <w:tc>
          <w:tcPr>
            <w:tcW w:w="6160" w:type="dxa"/>
            <w:vAlign w:val="bottom"/>
            <w:gridSpan w:val="12"/>
          </w:tcPr>
          <w:p>
            <w:pPr>
              <w:ind w:left="20"/>
              <w:spacing w:after="0" w:line="204" w:lineRule="exact"/>
              <w:rPr>
                <w:sz w:val="20"/>
                <w:szCs w:val="20"/>
                <w:color w:val="auto"/>
              </w:rPr>
            </w:pPr>
            <w:r>
              <w:rPr>
                <w:rFonts w:ascii="Times New Roman" w:cs="Times New Roman" w:eastAsia="Times New Roman" w:hAnsi="Times New Roman"/>
                <w:sz w:val="18"/>
                <w:szCs w:val="18"/>
                <w:color w:val="0000FF"/>
              </w:rPr>
              <w:t>— DEFAULTS UPON SENIOR SECURITIES</w:t>
            </w: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4</w:t>
            </w:r>
          </w:p>
        </w:tc>
        <w:tc>
          <w:tcPr>
            <w:tcW w:w="3340" w:type="dxa"/>
            <w:vAlign w:val="bottom"/>
            <w:gridSpan w:val="10"/>
          </w:tcPr>
          <w:p>
            <w:pPr>
              <w:ind w:left="20"/>
              <w:spacing w:after="0" w:line="204" w:lineRule="exact"/>
              <w:rPr>
                <w:sz w:val="20"/>
                <w:szCs w:val="20"/>
                <w:color w:val="auto"/>
              </w:rPr>
            </w:pPr>
            <w:r>
              <w:rPr>
                <w:rFonts w:ascii="Times New Roman" w:cs="Times New Roman" w:eastAsia="Times New Roman" w:hAnsi="Times New Roman"/>
                <w:sz w:val="18"/>
                <w:szCs w:val="18"/>
                <w:color w:val="0000FF"/>
              </w:rPr>
              <w:t>— MINE SAFETY DISCLOSURES</w:t>
            </w:r>
          </w:p>
        </w:tc>
        <w:tc>
          <w:tcPr>
            <w:tcW w:w="5600" w:type="dxa"/>
            <w:vAlign w:val="bottom"/>
            <w:gridSpan w:val="3"/>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5</w:t>
            </w:r>
          </w:p>
        </w:tc>
        <w:tc>
          <w:tcPr>
            <w:tcW w:w="2080" w:type="dxa"/>
            <w:vAlign w:val="bottom"/>
            <w:gridSpan w:val="6"/>
          </w:tcPr>
          <w:p>
            <w:pPr>
              <w:ind w:left="20"/>
              <w:spacing w:after="0" w:line="204" w:lineRule="exact"/>
              <w:rPr>
                <w:sz w:val="20"/>
                <w:szCs w:val="20"/>
                <w:color w:val="auto"/>
              </w:rPr>
            </w:pPr>
            <w:r>
              <w:rPr>
                <w:rFonts w:ascii="Times New Roman" w:cs="Times New Roman" w:eastAsia="Times New Roman" w:hAnsi="Times New Roman"/>
                <w:sz w:val="18"/>
                <w:szCs w:val="18"/>
                <w:color w:val="0000FF"/>
                <w:w w:val="94"/>
              </w:rPr>
              <w:t>— OTHER INFORMATION</w:t>
            </w:r>
          </w:p>
        </w:tc>
        <w:tc>
          <w:tcPr>
            <w:tcW w:w="540" w:type="dxa"/>
            <w:vAlign w:val="bottom"/>
            <w:gridSpan w:val="2"/>
          </w:tcPr>
          <w:p>
            <w:pPr>
              <w:spacing w:after="0"/>
              <w:rPr>
                <w:sz w:val="17"/>
                <w:szCs w:val="17"/>
                <w:color w:val="auto"/>
              </w:rPr>
            </w:pPr>
          </w:p>
        </w:tc>
        <w:tc>
          <w:tcPr>
            <w:tcW w:w="6320" w:type="dxa"/>
            <w:vAlign w:val="bottom"/>
            <w:gridSpan w:val="5"/>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6</w:t>
            </w:r>
          </w:p>
        </w:tc>
        <w:tc>
          <w:tcPr>
            <w:tcW w:w="2080" w:type="dxa"/>
            <w:vAlign w:val="bottom"/>
            <w:gridSpan w:val="6"/>
          </w:tcPr>
          <w:p>
            <w:pPr>
              <w:ind w:left="20"/>
              <w:spacing w:after="0" w:line="204" w:lineRule="exact"/>
              <w:rPr>
                <w:sz w:val="20"/>
                <w:szCs w:val="20"/>
                <w:color w:val="auto"/>
              </w:rPr>
            </w:pPr>
            <w:r>
              <w:rPr>
                <w:rFonts w:ascii="Times New Roman" w:cs="Times New Roman" w:eastAsia="Times New Roman" w:hAnsi="Times New Roman"/>
                <w:sz w:val="18"/>
                <w:szCs w:val="18"/>
                <w:color w:val="0000FF"/>
              </w:rPr>
              <w:t>— EXHIBITS</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58</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900" w:type="dxa"/>
            <w:vAlign w:val="bottom"/>
            <w:gridSpan w:val="11"/>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59</w:t>
            </w:r>
          </w:p>
        </w:tc>
      </w:tr>
      <w:tr>
        <w:trPr>
          <w:trHeight w:val="953"/>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320" w:type="dxa"/>
            <w:vAlign w:val="bottom"/>
            <w:gridSpan w:val="10"/>
          </w:tcPr>
          <w:p>
            <w:pPr>
              <w:jc w:val="right"/>
              <w:ind w:right="1020"/>
              <w:spacing w:after="0"/>
              <w:rPr>
                <w:sz w:val="20"/>
                <w:szCs w:val="20"/>
                <w:color w:val="auto"/>
              </w:rPr>
            </w:pPr>
            <w:r>
              <w:rPr>
                <w:rFonts w:ascii="Times New Roman" w:cs="Times New Roman" w:eastAsia="Times New Roman" w:hAnsi="Times New Roman"/>
                <w:sz w:val="18"/>
                <w:szCs w:val="18"/>
                <w:color w:val="231F20"/>
              </w:rPr>
              <w:t>2</w:t>
            </w: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49"/>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11"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Part I of the Company’s Annual Report on Form 10-K for the year ended December 31, 2021, as well as the following:</w:t>
      </w:r>
    </w:p>
    <w:p>
      <w:pPr>
        <w:spacing w:after="0" w:line="2" w:lineRule="exact"/>
        <w:rPr>
          <w:sz w:val="20"/>
          <w:szCs w:val="20"/>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COVID-19 (including any variant of the virus) or any other pandemic;</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TotalEnergies and CEG;</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and dispositions to, third parties;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TotalEnergies or CEG;</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56" w:lineRule="exact"/>
        <w:rPr>
          <w:rFonts w:ascii="Times New Roman" w:cs="Times New Roman" w:eastAsia="Times New Roman" w:hAnsi="Times New Roman"/>
          <w:sz w:val="18"/>
          <w:szCs w:val="18"/>
          <w:color w:val="auto"/>
        </w:rPr>
      </w:pPr>
    </w:p>
    <w:p>
      <w:pPr>
        <w:jc w:val="both"/>
        <w:ind w:left="640" w:hanging="319"/>
        <w:spacing w:after="0" w:line="250"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56"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862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68"/>
        </w:trPr>
        <w:tc>
          <w:tcPr>
            <w:tcW w:w="11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2025 Senior Notes</w:t>
            </w:r>
          </w:p>
        </w:tc>
        <w:tc>
          <w:tcPr>
            <w:tcW w:w="86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 which were repurchased and redeemed in March 2021</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2028 Senior Notes</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$850 million aggregate principal amount of 4.750% unsecured senior notes due 2028, issued by Clearway Energy</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2031 Senior Notes</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$925 million aggregate principal amount of 3.750% unsecured senior notes due 2031, issued by Clearway Energy</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2032 Senior Notes</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$350 million aggregate principal amount of 3.750% unsecured senior notes due 2032, issued by Clearway Energy</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1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 non-GAAP measure, represents earnings before interest (including loss on debt extinguishment), tax, depreciation</w:t>
            </w:r>
          </w:p>
        </w:tc>
      </w:tr>
      <w:tr>
        <w:trPr>
          <w:trHeight w:val="211"/>
        </w:trPr>
        <w:tc>
          <w:tcPr>
            <w:tcW w:w="2620" w:type="dxa"/>
            <w:vAlign w:val="bottom"/>
          </w:tcPr>
          <w:p>
            <w:pPr>
              <w:spacing w:after="0"/>
              <w:rPr>
                <w:sz w:val="18"/>
                <w:szCs w:val="18"/>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and amortization adjusted for mark-to-market gains or losses, asset write offs and impairments; and factors which the</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does not consider indicative of future operating performance</w:t>
            </w:r>
          </w:p>
        </w:tc>
      </w:tr>
      <w:tr>
        <w:trPr>
          <w:trHeight w:val="185"/>
        </w:trPr>
        <w:tc>
          <w:tcPr>
            <w:tcW w:w="26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ASC</w:t>
            </w:r>
          </w:p>
        </w:tc>
        <w:tc>
          <w:tcPr>
            <w:tcW w:w="8620" w:type="dxa"/>
            <w:vAlign w:val="bottom"/>
          </w:tcPr>
          <w:p>
            <w:pPr>
              <w:ind w:left="280"/>
              <w:spacing w:after="0" w:line="185" w:lineRule="exact"/>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authoritative GAAP</w:t>
            </w: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Programs</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At-The-Market Equity Offering Programs</w:t>
            </w: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Bridge Loan Agreement</w:t>
            </w: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Senior secured bridge credit agreement entered into by Clearway Energy Operating LLC that provided a term loan</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facility in an aggregate principal amount of $335 million and was repaid on May 3, 2022</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CAFD</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September 30, 2022 as Adjusted EBITDA</w:t>
            </w:r>
          </w:p>
        </w:tc>
      </w:tr>
      <w:tr>
        <w:trPr>
          <w:trHeight w:val="179"/>
        </w:trPr>
        <w:tc>
          <w:tcPr>
            <w:tcW w:w="2620" w:type="dxa"/>
            <w:vAlign w:val="bottom"/>
          </w:tcPr>
          <w:p>
            <w:pPr>
              <w:spacing w:after="0"/>
              <w:rPr>
                <w:sz w:val="15"/>
                <w:szCs w:val="15"/>
                <w:color w:val="auto"/>
              </w:rPr>
            </w:pPr>
          </w:p>
        </w:tc>
        <w:tc>
          <w:tcPr>
            <w:tcW w:w="8620" w:type="dxa"/>
            <w:vAlign w:val="bottom"/>
          </w:tcPr>
          <w:p>
            <w:pPr>
              <w:ind w:left="280"/>
              <w:spacing w:after="0" w:line="179" w:lineRule="exact"/>
              <w:rPr>
                <w:sz w:val="20"/>
                <w:szCs w:val="20"/>
                <w:color w:val="auto"/>
              </w:rPr>
            </w:pPr>
            <w:r>
              <w:rPr>
                <w:rFonts w:ascii="Times New Roman" w:cs="Times New Roman" w:eastAsia="Times New Roman" w:hAnsi="Times New Roman"/>
                <w:sz w:val="18"/>
                <w:szCs w:val="18"/>
                <w:color w:val="auto"/>
                <w:w w:val="99"/>
              </w:rPr>
              <w:t>plus cash distributions/return of investment from unconsolidated affiliates, cash receipts from notes receivable, cash</w:t>
            </w:r>
          </w:p>
        </w:tc>
      </w:tr>
      <w:tr>
        <w:trPr>
          <w:trHeight w:val="176"/>
        </w:trPr>
        <w:tc>
          <w:tcPr>
            <w:tcW w:w="2620" w:type="dxa"/>
            <w:vAlign w:val="bottom"/>
          </w:tcPr>
          <w:p>
            <w:pPr>
              <w:spacing w:after="0"/>
              <w:rPr>
                <w:sz w:val="15"/>
                <w:szCs w:val="15"/>
                <w:color w:val="auto"/>
              </w:rPr>
            </w:pP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distributions from noncontrolling interests, adjustments to reflect sales-type lease cash payments and payments for</w:t>
            </w:r>
          </w:p>
        </w:tc>
      </w:tr>
      <w:tr>
        <w:trPr>
          <w:trHeight w:val="171"/>
        </w:trPr>
        <w:tc>
          <w:tcPr>
            <w:tcW w:w="2620" w:type="dxa"/>
            <w:vAlign w:val="bottom"/>
          </w:tcPr>
          <w:p>
            <w:pPr>
              <w:spacing w:after="0"/>
              <w:rPr>
                <w:sz w:val="14"/>
                <w:szCs w:val="14"/>
                <w:color w:val="auto"/>
              </w:rPr>
            </w:pPr>
          </w:p>
        </w:tc>
        <w:tc>
          <w:tcPr>
            <w:tcW w:w="8620" w:type="dxa"/>
            <w:vAlign w:val="bottom"/>
          </w:tcPr>
          <w:p>
            <w:pPr>
              <w:ind w:left="280"/>
              <w:spacing w:after="0" w:line="171" w:lineRule="exact"/>
              <w:rPr>
                <w:sz w:val="20"/>
                <w:szCs w:val="20"/>
                <w:color w:val="auto"/>
              </w:rPr>
            </w:pPr>
            <w:r>
              <w:rPr>
                <w:rFonts w:ascii="Times New Roman" w:cs="Times New Roman" w:eastAsia="Times New Roman" w:hAnsi="Times New Roman"/>
                <w:sz w:val="18"/>
                <w:szCs w:val="18"/>
                <w:color w:val="auto"/>
                <w:w w:val="97"/>
              </w:rPr>
              <w:t>lease expenses, less cash distributions to noncontrolling interests, maintenance capital expenditures, pro-rata Adjusted</w:t>
            </w:r>
          </w:p>
        </w:tc>
      </w:tr>
      <w:tr>
        <w:trPr>
          <w:trHeight w:val="179"/>
        </w:trPr>
        <w:tc>
          <w:tcPr>
            <w:tcW w:w="2620" w:type="dxa"/>
            <w:vAlign w:val="bottom"/>
          </w:tcPr>
          <w:p>
            <w:pPr>
              <w:spacing w:after="0"/>
              <w:rPr>
                <w:sz w:val="15"/>
                <w:szCs w:val="15"/>
                <w:color w:val="auto"/>
              </w:rPr>
            </w:pPr>
          </w:p>
        </w:tc>
        <w:tc>
          <w:tcPr>
            <w:tcW w:w="8620" w:type="dxa"/>
            <w:vAlign w:val="bottom"/>
          </w:tcPr>
          <w:p>
            <w:pPr>
              <w:ind w:left="280"/>
              <w:spacing w:after="0" w:line="179" w:lineRule="exact"/>
              <w:rPr>
                <w:sz w:val="20"/>
                <w:szCs w:val="20"/>
                <w:color w:val="auto"/>
              </w:rPr>
            </w:pPr>
            <w:r>
              <w:rPr>
                <w:rFonts w:ascii="Times New Roman" w:cs="Times New Roman" w:eastAsia="Times New Roman" w:hAnsi="Times New Roman"/>
                <w:sz w:val="18"/>
                <w:szCs w:val="18"/>
                <w:color w:val="auto"/>
                <w:w w:val="97"/>
              </w:rPr>
              <w:t>EBITDA from unconsolidated affiliates, cash interest paid, income taxes paid, principal amortization of indebtedness,</w:t>
            </w:r>
          </w:p>
        </w:tc>
      </w:tr>
      <w:tr>
        <w:trPr>
          <w:trHeight w:val="224"/>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prepaid and accrued capacity payments and adjusted for development expenses</w:t>
            </w: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Capistrano Wind Portfolio</w:t>
            </w: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Five wind projects representing 413 MW of capacity, which includes Broken Bow and Crofton Bluffs located in</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Nebraska, Cedro Hill located in Texas and Mountain Wind Power I and II located in Wyoming</w:t>
            </w: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Energy LLC and</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Operating LLC, and CEG</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Clearway Energy LLC</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w w:val="99"/>
              </w:rPr>
              <w:t>The holding company through which the projects are owned by Clearway Energy Group LLC, the holder of Class B</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Class D units, and Clearway Energy, Inc., the holder of the Class A and Class C units</w:t>
            </w: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Clearway Energy Group LLC</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The holder of all of the Company’s Class B and Class D common shares and Clearway Energy LLC’s Class B and</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Class D units and from time to time, possibly shares of the Company’s Class A and/or Class C common stock</w:t>
            </w: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holder of the project assets that are owned by Clearway Energy LLC</w:t>
            </w: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 Holdco</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Distributed Solar</w:t>
            </w: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Solar power projects, typically less than 20 MW in size (on an alternating current, or AC, basis), that primarily sell</w:t>
            </w: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produced to customers for usage on site, or are interconnected to sell power into the local distribution grid</w:t>
            </w: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FWS</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Fish &amp; Wildlife Service</w:t>
            </w:r>
          </w:p>
        </w:tc>
      </w:tr>
      <w:tr>
        <w:trPr>
          <w:trHeight w:val="22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605"/>
        </w:trPr>
        <w:tc>
          <w:tcPr>
            <w:tcW w:w="2620" w:type="dxa"/>
            <w:vAlign w:val="bottom"/>
          </w:tcPr>
          <w:p>
            <w:pPr>
              <w:spacing w:after="0"/>
              <w:rPr>
                <w:sz w:val="24"/>
                <w:szCs w:val="24"/>
                <w:color w:val="auto"/>
              </w:rPr>
            </w:pPr>
          </w:p>
        </w:tc>
        <w:tc>
          <w:tcPr>
            <w:tcW w:w="8620" w:type="dxa"/>
            <w:vAlign w:val="bottom"/>
          </w:tcPr>
          <w:p>
            <w:pPr>
              <w:ind w:left="2960"/>
              <w:spacing w:after="0"/>
              <w:rPr>
                <w:sz w:val="20"/>
                <w:szCs w:val="20"/>
                <w:color w:val="auto"/>
              </w:rPr>
            </w:pPr>
            <w:r>
              <w:rPr>
                <w:rFonts w:ascii="Times New Roman" w:cs="Times New Roman" w:eastAsia="Times New Roman" w:hAnsi="Times New Roman"/>
                <w:sz w:val="18"/>
                <w:szCs w:val="18"/>
                <w:color w:val="231F20"/>
              </w:rPr>
              <w:t>4</w:t>
            </w:r>
          </w:p>
        </w:tc>
      </w:tr>
      <w:tr>
        <w:trPr>
          <w:trHeight w:val="349"/>
        </w:trPr>
        <w:tc>
          <w:tcPr>
            <w:tcW w:w="262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GenConn Energy LLC</w:t>
            </w:r>
          </w:p>
        </w:tc>
        <w:tc>
          <w:tcPr>
            <w:tcW w:w="0" w:type="dxa"/>
            <w:vAlign w:val="bottom"/>
          </w:tcPr>
          <w:p>
            <w:pPr>
              <w:spacing w:after="0"/>
              <w:rPr>
                <w:sz w:val="1"/>
                <w:szCs w:val="1"/>
                <w:color w:val="auto"/>
              </w:rPr>
            </w:pP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GIP</w:t>
            </w:r>
          </w:p>
        </w:tc>
        <w:tc>
          <w:tcPr>
            <w:tcW w:w="90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Global Infrastructure Partners</w:t>
            </w:r>
          </w:p>
        </w:tc>
        <w:tc>
          <w:tcPr>
            <w:tcW w:w="0" w:type="dxa"/>
            <w:vAlign w:val="bottom"/>
          </w:tcPr>
          <w:p>
            <w:pPr>
              <w:spacing w:after="0"/>
              <w:rPr>
                <w:sz w:val="1"/>
                <w:szCs w:val="1"/>
                <w:color w:val="auto"/>
              </w:rPr>
            </w:pPr>
          </w:p>
        </w:tc>
      </w:tr>
      <w:tr>
        <w:trPr>
          <w:trHeight w:val="92"/>
        </w:trPr>
        <w:tc>
          <w:tcPr>
            <w:tcW w:w="2180" w:type="dxa"/>
            <w:vAlign w:val="bottom"/>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HLBV</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Hypothetical Liquidation at Book Value</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Inflation Reduction Act of 2022</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KKR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KKR Thor Bidco, LLC, an affiliate of Kohlberg Kravis Roberts &amp; Co. L.P.</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Mesquite Star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Mesquite Star Special LLC</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Million British Thermal Units</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Mt. Storm</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NedPower Mount Storm LLC</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Megawatt</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MWh</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MWt</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Megawatts Thermal Equivalent</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Exposure</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Operating Losses</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NPNS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Normal Purchases and Normal Sales</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OCL</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O&amp;M</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PG&amp;E</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Pacific Gas and Electric Company</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PPA</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Purchase Agreement</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RENOM</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Clearway Renewable Operation &amp; Maintenance LLC</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SCE</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Collectively, the 2028 Senior Notes, the 2031 Senior Notes and the 2032 Senior Notes</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SPP</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Solar Power Partners</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SREC</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Solar Renewable Energy Credit</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Act</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Tax Cuts and Jobs Act of 2017</w:t>
            </w:r>
          </w:p>
        </w:tc>
        <w:tc>
          <w:tcPr>
            <w:tcW w:w="0" w:type="dxa"/>
            <w:vAlign w:val="bottom"/>
          </w:tcPr>
          <w:p>
            <w:pPr>
              <w:spacing w:after="0"/>
              <w:rPr>
                <w:sz w:val="1"/>
                <w:szCs w:val="1"/>
                <w:color w:val="auto"/>
              </w:rPr>
            </w:pPr>
          </w:p>
        </w:tc>
      </w:tr>
      <w:tr>
        <w:trPr>
          <w:trHeight w:val="176"/>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Thermal Business</w:t>
            </w:r>
          </w:p>
        </w:tc>
        <w:tc>
          <w:tcPr>
            <w:tcW w:w="9060" w:type="dxa"/>
            <w:vAlign w:val="bottom"/>
          </w:tcPr>
          <w:p>
            <w:pPr>
              <w:ind w:left="720"/>
              <w:spacing w:after="0" w:line="176" w:lineRule="exact"/>
              <w:rPr>
                <w:sz w:val="20"/>
                <w:szCs w:val="20"/>
                <w:color w:val="auto"/>
              </w:rPr>
            </w:pPr>
            <w:r>
              <w:rPr>
                <w:rFonts w:ascii="Times New Roman" w:cs="Times New Roman" w:eastAsia="Times New Roman" w:hAnsi="Times New Roman"/>
                <w:sz w:val="18"/>
                <w:szCs w:val="18"/>
                <w:color w:val="auto"/>
                <w:w w:val="98"/>
              </w:rPr>
              <w:t>The Company’s thermal business, which consists of thermal infrastructure assets that provide steam, hot water and/or</w:t>
            </w:r>
          </w:p>
        </w:tc>
        <w:tc>
          <w:tcPr>
            <w:tcW w:w="0" w:type="dxa"/>
            <w:vAlign w:val="bottom"/>
          </w:tcPr>
          <w:p>
            <w:pPr>
              <w:spacing w:after="0"/>
              <w:rPr>
                <w:sz w:val="1"/>
                <w:szCs w:val="1"/>
                <w:color w:val="auto"/>
              </w:rPr>
            </w:pPr>
          </w:p>
        </w:tc>
      </w:tr>
      <w:tr>
        <w:trPr>
          <w:trHeight w:val="179"/>
        </w:trPr>
        <w:tc>
          <w:tcPr>
            <w:tcW w:w="2180" w:type="dxa"/>
            <w:vAlign w:val="bottom"/>
          </w:tcPr>
          <w:p>
            <w:pPr>
              <w:spacing w:after="0"/>
              <w:rPr>
                <w:sz w:val="15"/>
                <w:szCs w:val="15"/>
                <w:color w:val="auto"/>
              </w:rPr>
            </w:pPr>
          </w:p>
        </w:tc>
        <w:tc>
          <w:tcPr>
            <w:tcW w:w="9060" w:type="dxa"/>
            <w:vAlign w:val="bottom"/>
          </w:tcPr>
          <w:p>
            <w:pPr>
              <w:ind w:left="720"/>
              <w:spacing w:after="0" w:line="179" w:lineRule="exact"/>
              <w:rPr>
                <w:sz w:val="20"/>
                <w:szCs w:val="20"/>
                <w:color w:val="auto"/>
              </w:rPr>
            </w:pPr>
            <w:r>
              <w:rPr>
                <w:rFonts w:ascii="Times New Roman" w:cs="Times New Roman" w:eastAsia="Times New Roman" w:hAnsi="Times New Roman"/>
                <w:sz w:val="18"/>
                <w:szCs w:val="18"/>
                <w:color w:val="auto"/>
              </w:rPr>
              <w:t>chilled water, and in some instances electricity, to commercial businesses, universities, hospitals and governmental</w:t>
            </w:r>
          </w:p>
        </w:tc>
        <w:tc>
          <w:tcPr>
            <w:tcW w:w="0" w:type="dxa"/>
            <w:vAlign w:val="bottom"/>
          </w:tcPr>
          <w:p>
            <w:pPr>
              <w:spacing w:after="0"/>
              <w:rPr>
                <w:sz w:val="1"/>
                <w:szCs w:val="1"/>
                <w:color w:val="auto"/>
              </w:rPr>
            </w:pPr>
          </w:p>
        </w:tc>
      </w:tr>
      <w:tr>
        <w:trPr>
          <w:trHeight w:val="224"/>
        </w:trPr>
        <w:tc>
          <w:tcPr>
            <w:tcW w:w="2180" w:type="dxa"/>
            <w:vAlign w:val="bottom"/>
          </w:tcPr>
          <w:p>
            <w:pPr>
              <w:spacing w:after="0"/>
              <w:rPr>
                <w:sz w:val="19"/>
                <w:szCs w:val="19"/>
                <w:color w:val="auto"/>
              </w:rPr>
            </w:pP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units</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Thermal Disposition</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On May 1, 2022, the Company completed the sale of 100% of its interests in the Thermal Business to KKR</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TotalEnergies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TotalEnergies SE</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Solar Portfolio</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Seven utility-scale solar farms located in Utah, representing 530 MW of capacity</w:t>
            </w:r>
          </w:p>
        </w:tc>
        <w:tc>
          <w:tcPr>
            <w:tcW w:w="0" w:type="dxa"/>
            <w:vAlign w:val="bottom"/>
          </w:tcPr>
          <w:p>
            <w:pPr>
              <w:spacing w:after="0"/>
              <w:rPr>
                <w:sz w:val="1"/>
                <w:szCs w:val="1"/>
                <w:color w:val="auto"/>
              </w:rPr>
            </w:pPr>
          </w:p>
        </w:tc>
      </w:tr>
      <w:tr>
        <w:trPr>
          <w:trHeight w:val="176"/>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Utility Scale Solar</w:t>
            </w:r>
          </w:p>
        </w:tc>
        <w:tc>
          <w:tcPr>
            <w:tcW w:w="9060" w:type="dxa"/>
            <w:vAlign w:val="bottom"/>
          </w:tcPr>
          <w:p>
            <w:pPr>
              <w:ind w:left="720"/>
              <w:spacing w:after="0" w:line="176" w:lineRule="exact"/>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2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Value at Risk</w:t>
            </w:r>
          </w:p>
        </w:tc>
        <w:tc>
          <w:tcPr>
            <w:tcW w:w="0" w:type="dxa"/>
            <w:vAlign w:val="bottom"/>
          </w:tcPr>
          <w:p>
            <w:pPr>
              <w:spacing w:after="0"/>
              <w:rPr>
                <w:sz w:val="1"/>
                <w:szCs w:val="1"/>
                <w:color w:val="auto"/>
              </w:rPr>
            </w:pP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Variable Interest Entity</w:t>
            </w:r>
          </w:p>
        </w:tc>
        <w:tc>
          <w:tcPr>
            <w:tcW w:w="0" w:type="dxa"/>
            <w:vAlign w:val="bottom"/>
          </w:tcPr>
          <w:p>
            <w:pPr>
              <w:spacing w:after="0"/>
              <w:rPr>
                <w:sz w:val="1"/>
                <w:szCs w:val="1"/>
                <w:color w:val="auto"/>
              </w:rPr>
            </w:pPr>
          </w:p>
        </w:tc>
      </w:tr>
      <w:tr>
        <w:trPr>
          <w:trHeight w:val="842"/>
        </w:trPr>
        <w:tc>
          <w:tcPr>
            <w:tcW w:w="2180" w:type="dxa"/>
            <w:vAlign w:val="bottom"/>
          </w:tcPr>
          <w:p>
            <w:pPr>
              <w:spacing w:after="0"/>
              <w:rPr>
                <w:sz w:val="24"/>
                <w:szCs w:val="24"/>
                <w:color w:val="auto"/>
              </w:rPr>
            </w:pPr>
          </w:p>
        </w:tc>
        <w:tc>
          <w:tcPr>
            <w:tcW w:w="9060" w:type="dxa"/>
            <w:vAlign w:val="bottom"/>
          </w:tcPr>
          <w:p>
            <w:pPr>
              <w:ind w:left="3400"/>
              <w:spacing w:after="0"/>
              <w:rPr>
                <w:sz w:val="20"/>
                <w:szCs w:val="20"/>
                <w:color w:val="auto"/>
              </w:rPr>
            </w:pPr>
            <w:r>
              <w:rPr>
                <w:rFonts w:ascii="Times New Roman" w:cs="Times New Roman" w:eastAsia="Times New Roman" w:hAnsi="Times New Roman"/>
                <w:sz w:val="18"/>
                <w:szCs w:val="18"/>
                <w:color w:val="231F20"/>
              </w:rPr>
              <w:t>5</w:t>
            </w:r>
          </w:p>
        </w:tc>
        <w:tc>
          <w:tcPr>
            <w:tcW w:w="0" w:type="dxa"/>
            <w:vAlign w:val="bottom"/>
          </w:tcPr>
          <w:p>
            <w:pPr>
              <w:spacing w:after="0"/>
              <w:rPr>
                <w:sz w:val="1"/>
                <w:szCs w:val="1"/>
                <w:color w:val="auto"/>
              </w:rPr>
            </w:pPr>
          </w:p>
        </w:tc>
      </w:tr>
      <w:tr>
        <w:trPr>
          <w:trHeight w:val="349"/>
        </w:trPr>
        <w:tc>
          <w:tcPr>
            <w:tcW w:w="2180" w:type="dxa"/>
            <w:vAlign w:val="bottom"/>
            <w:tcBorders>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44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04"/>
        </w:trPr>
        <w:tc>
          <w:tcPr>
            <w:tcW w:w="57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76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w w:val="97"/>
              </w:rPr>
              <w:t>Cost of operations, exclusive of depreciation, amortization and accretion shown</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4"/>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costs</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57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4"/>
        </w:trPr>
        <w:tc>
          <w:tcPr>
            <w:tcW w:w="57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4"/>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Less: Income (loss) attributable to noncontrolling interests and redeemable</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7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b w:val="1"/>
                <w:bCs w:val="1"/>
                <w:color w:val="auto"/>
              </w:rPr>
              <w:t>Earnings Per Share Attributable to Clearway Energy, Inc. Class A and</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Class C Common Stockholders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76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Weighted average number of Class A common shares outstanding - basic and</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Weighted average number of Class C common shares outstanding - basic and</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71"/>
        </w:trPr>
        <w:tc>
          <w:tcPr>
            <w:tcW w:w="57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Earnings per Weighted Average Class A and Class C Common Share -</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0.9875</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0.3604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0.3345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1.0608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0.9875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60" w:top="869"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46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tcBorders>
              <w:bottom w:val="single" w:sz="8" w:color="BFE4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BFE4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BFE4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BFE4FF"/>
          </w:tcPr>
          <w:p>
            <w:pPr>
              <w:spacing w:after="0"/>
              <w:rPr>
                <w:sz w:val="19"/>
                <w:szCs w:val="19"/>
                <w:color w:val="auto"/>
              </w:rPr>
            </w:pPr>
          </w:p>
        </w:tc>
        <w:tc>
          <w:tcPr>
            <w:tcW w:w="280" w:type="dxa"/>
            <w:vAlign w:val="bottom"/>
            <w:shd w:val="clear" w:color="auto" w:fill="BFE4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shd w:val="clear" w:color="auto" w:fill="BFE4FF"/>
          </w:tcPr>
          <w:p>
            <w:pPr>
              <w:spacing w:after="0"/>
              <w:rPr>
                <w:sz w:val="19"/>
                <w:szCs w:val="19"/>
                <w:color w:val="auto"/>
              </w:rPr>
            </w:pPr>
          </w:p>
        </w:tc>
        <w:tc>
          <w:tcPr>
            <w:tcW w:w="300" w:type="dxa"/>
            <w:vAlign w:val="bottom"/>
            <w:shd w:val="clear" w:color="auto" w:fill="BFE4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720" w:type="dxa"/>
            <w:vAlign w:val="bottom"/>
            <w:shd w:val="clear" w:color="auto" w:fill="BFE4FF"/>
          </w:tcPr>
          <w:p>
            <w:pPr>
              <w:ind w:left="240"/>
              <w:spacing w:after="0" w:line="171" w:lineRule="exact"/>
              <w:rPr>
                <w:sz w:val="20"/>
                <w:szCs w:val="20"/>
                <w:color w:val="auto"/>
              </w:rPr>
            </w:pPr>
            <w:r>
              <w:rPr>
                <w:rFonts w:ascii="Times New Roman" w:cs="Times New Roman" w:eastAsia="Times New Roman" w:hAnsi="Times New Roman"/>
                <w:sz w:val="18"/>
                <w:szCs w:val="18"/>
                <w:color w:val="auto"/>
                <w:w w:val="98"/>
              </w:rPr>
              <w:t>Unrealized gain on derivatives and changes in accumulated OCI/OCL, net of</w:t>
            </w:r>
          </w:p>
        </w:tc>
        <w:tc>
          <w:tcPr>
            <w:tcW w:w="16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60" w:type="dxa"/>
            <w:vAlign w:val="bottom"/>
            <w:shd w:val="clear" w:color="auto" w:fill="BFE4FF"/>
          </w:tcPr>
          <w:p>
            <w:pPr>
              <w:spacing w:after="0"/>
              <w:rPr>
                <w:sz w:val="14"/>
                <w:szCs w:val="14"/>
                <w:color w:val="auto"/>
              </w:rPr>
            </w:pPr>
          </w:p>
        </w:tc>
        <w:tc>
          <w:tcPr>
            <w:tcW w:w="160" w:type="dxa"/>
            <w:vAlign w:val="bottom"/>
            <w:shd w:val="clear" w:color="auto" w:fill="BFE4FF"/>
          </w:tcPr>
          <w:p>
            <w:pPr>
              <w:spacing w:after="0"/>
              <w:rPr>
                <w:sz w:val="14"/>
                <w:szCs w:val="14"/>
                <w:color w:val="auto"/>
              </w:rPr>
            </w:pPr>
          </w:p>
        </w:tc>
        <w:tc>
          <w:tcPr>
            <w:tcW w:w="220" w:type="dxa"/>
            <w:vAlign w:val="bottom"/>
            <w:shd w:val="clear" w:color="auto" w:fill="BFE4FF"/>
          </w:tcPr>
          <w:p>
            <w:pPr>
              <w:spacing w:after="0"/>
              <w:rPr>
                <w:sz w:val="14"/>
                <w:szCs w:val="14"/>
                <w:color w:val="auto"/>
              </w:rPr>
            </w:pPr>
          </w:p>
        </w:tc>
        <w:tc>
          <w:tcPr>
            <w:tcW w:w="1040" w:type="dxa"/>
            <w:vAlign w:val="bottom"/>
            <w:shd w:val="clear" w:color="auto" w:fill="BFE4FF"/>
          </w:tcPr>
          <w:p>
            <w:pPr>
              <w:spacing w:after="0"/>
              <w:rPr>
                <w:sz w:val="14"/>
                <w:szCs w:val="14"/>
                <w:color w:val="auto"/>
              </w:rPr>
            </w:pPr>
          </w:p>
        </w:tc>
        <w:tc>
          <w:tcPr>
            <w:tcW w:w="160" w:type="dxa"/>
            <w:vAlign w:val="bottom"/>
            <w:shd w:val="clear" w:color="auto" w:fill="BFE4FF"/>
          </w:tcPr>
          <w:p>
            <w:pPr>
              <w:spacing w:after="0"/>
              <w:rPr>
                <w:sz w:val="14"/>
                <w:szCs w:val="14"/>
                <w:color w:val="auto"/>
              </w:rPr>
            </w:pPr>
          </w:p>
        </w:tc>
        <w:tc>
          <w:tcPr>
            <w:tcW w:w="300" w:type="dxa"/>
            <w:vAlign w:val="bottom"/>
            <w:shd w:val="clear" w:color="auto" w:fill="BFE4FF"/>
          </w:tcPr>
          <w:p>
            <w:pPr>
              <w:spacing w:after="0"/>
              <w:rPr>
                <w:sz w:val="14"/>
                <w:szCs w:val="14"/>
                <w:color w:val="auto"/>
              </w:rPr>
            </w:pPr>
          </w:p>
        </w:tc>
        <w:tc>
          <w:tcPr>
            <w:tcW w:w="96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 of $3, $(2), $6 and $(3)</w:t>
            </w:r>
          </w:p>
        </w:tc>
        <w:tc>
          <w:tcPr>
            <w:tcW w:w="160" w:type="dxa"/>
            <w:vAlign w:val="bottom"/>
            <w:tcBorders>
              <w:bottom w:val="single" w:sz="8" w:color="auto"/>
            </w:tcBorders>
            <w:shd w:val="clear" w:color="auto" w:fill="BFE4FF"/>
          </w:tcPr>
          <w:p>
            <w:pPr>
              <w:spacing w:after="0"/>
              <w:rPr>
                <w:sz w:val="20"/>
                <w:szCs w:val="20"/>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BFE4FF"/>
          </w:tcPr>
          <w:p>
            <w:pPr>
              <w:spacing w:after="0"/>
              <w:rPr>
                <w:sz w:val="20"/>
                <w:szCs w:val="20"/>
                <w:color w:val="auto"/>
              </w:rPr>
            </w:pPr>
          </w:p>
        </w:tc>
        <w:tc>
          <w:tcPr>
            <w:tcW w:w="280" w:type="dxa"/>
            <w:vAlign w:val="bottom"/>
            <w:tcBorders>
              <w:bottom w:val="single" w:sz="8" w:color="auto"/>
            </w:tcBorders>
            <w:shd w:val="clear" w:color="auto" w:fill="BFE4FF"/>
          </w:tcPr>
          <w:p>
            <w:pPr>
              <w:spacing w:after="0"/>
              <w:rPr>
                <w:sz w:val="20"/>
                <w:szCs w:val="20"/>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BFE4FF"/>
          </w:tcPr>
          <w:p>
            <w:pPr>
              <w:spacing w:after="0"/>
              <w:rPr>
                <w:sz w:val="20"/>
                <w:szCs w:val="20"/>
                <w:color w:val="auto"/>
              </w:rPr>
            </w:pPr>
          </w:p>
        </w:tc>
        <w:tc>
          <w:tcPr>
            <w:tcW w:w="220" w:type="dxa"/>
            <w:vAlign w:val="bottom"/>
            <w:tcBorders>
              <w:bottom w:val="single" w:sz="8" w:color="auto"/>
            </w:tcBorders>
            <w:shd w:val="clear" w:color="auto" w:fill="BFE4FF"/>
          </w:tcPr>
          <w:p>
            <w:pPr>
              <w:spacing w:after="0"/>
              <w:rPr>
                <w:sz w:val="20"/>
                <w:szCs w:val="20"/>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spacing w:after="0"/>
              <w:rPr>
                <w:sz w:val="20"/>
                <w:szCs w:val="20"/>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BFE4FF"/>
            </w:tcBorders>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BFE4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BFE4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7"/>
        </w:trPr>
        <w:tc>
          <w:tcPr>
            <w:tcW w:w="5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BFE4FF"/>
          </w:tcPr>
          <w:p>
            <w:pPr>
              <w:spacing w:after="0"/>
              <w:rPr>
                <w:sz w:val="18"/>
                <w:szCs w:val="18"/>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1"/>
        </w:trPr>
        <w:tc>
          <w:tcPr>
            <w:tcW w:w="572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BFE4FF"/>
            </w:tcBorders>
          </w:tcPr>
          <w:p>
            <w:pPr>
              <w:ind w:left="240"/>
              <w:spacing w:after="0"/>
              <w:rPr>
                <w:sz w:val="20"/>
                <w:szCs w:val="20"/>
                <w:color w:val="auto"/>
              </w:rPr>
            </w:pPr>
            <w:r>
              <w:rPr>
                <w:rFonts w:ascii="Times New Roman" w:cs="Times New Roman" w:eastAsia="Times New Roman" w:hAnsi="Times New Roman"/>
                <w:sz w:val="18"/>
                <w:szCs w:val="18"/>
                <w:color w:val="auto"/>
              </w:rPr>
              <w:t>and redeemable noncontrolling interests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BFE4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BFE4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tcBorders>
              <w:bottom w:val="single" w:sz="8" w:color="BFE4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2"/>
        </w:trPr>
        <w:tc>
          <w:tcPr>
            <w:tcW w:w="57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Clearway Energy, Inc.</w:t>
            </w:r>
          </w:p>
        </w:tc>
        <w:tc>
          <w:tcPr>
            <w:tcW w:w="1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auto"/>
            </w:tcBorders>
            <w:shd w:val="clear" w:color="auto" w:fill="BFE4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auto"/>
            </w:tcBorders>
            <w:shd w:val="clear" w:color="auto" w:fill="BFE4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7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60" w:top="869" w:right="3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6"/>
                <w:szCs w:val="16"/>
                <w:color w:val="auto"/>
              </w:rPr>
            </w:pP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700" w:type="dxa"/>
            <w:vAlign w:val="bottom"/>
            <w:vMerge w:val="restart"/>
          </w:tcPr>
          <w:p>
            <w:pPr>
              <w:ind w:left="3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assets held-for-sale</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assets,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0" w:type="dxa"/>
            <w:vAlign w:val="bottom"/>
          </w:tcPr>
          <w:p>
            <w:pPr>
              <w:spacing w:after="0"/>
              <w:rPr>
                <w:sz w:val="1"/>
                <w:szCs w:val="1"/>
                <w:color w:val="auto"/>
              </w:rPr>
            </w:pPr>
          </w:p>
        </w:tc>
      </w:tr>
      <w:tr>
        <w:trPr>
          <w:trHeight w:val="206"/>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shd w:val="clear" w:color="auto" w:fill="CCEEFF"/>
          </w:tcPr>
          <w:p>
            <w:pPr>
              <w:ind w:left="21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liabilities held-for-sale</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2"/>
        </w:trPr>
        <w:tc>
          <w:tcPr>
            <w:tcW w:w="7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other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0" w:type="dxa"/>
            <w:vAlign w:val="bottom"/>
          </w:tcPr>
          <w:p>
            <w:pPr>
              <w:spacing w:after="0"/>
              <w:rPr>
                <w:sz w:val="1"/>
                <w:szCs w:val="1"/>
                <w:color w:val="auto"/>
              </w:rPr>
            </w:pPr>
          </w:p>
        </w:tc>
      </w:tr>
      <w:tr>
        <w:trPr>
          <w:trHeight w:val="202"/>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9,513</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770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201,872,521 shares issued and</w:t>
            </w: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w w:val="98"/>
              </w:rPr>
              <w:t>outstanding (Class A 34,599,645, Class B 42,738,750, Class C 82,197,376, Class D 42,336,750) at September 30, 2022</w:t>
            </w: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w w:val="99"/>
              </w:rPr>
              <w:t>and 201,856,166 shares issued and outstanding (Class A 34,599,645, Class B 42,738,750, Class C 81,779,021, Class D</w:t>
            </w:r>
          </w:p>
        </w:tc>
        <w:tc>
          <w:tcPr>
            <w:tcW w:w="18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42,738,750) at December 31, 2021</w:t>
            </w:r>
          </w:p>
        </w:tc>
        <w:tc>
          <w:tcPr>
            <w:tcW w:w="18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202"/>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31"/>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40" w:top="751" w:right="339" w:bottom="1440" w:gutter="0" w:footer="0" w:header="0"/>
        </w:sectPr>
      </w:pP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233045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751" w:right="3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8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OCI/OCL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changes in other working capital:</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8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4"/>
        </w:trPr>
        <w:tc>
          <w:tcPr>
            <w:tcW w:w="856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 of Drop Down Assets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 of Capistrano Wind Portfolio, net of cash acquired</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 purchase from affiliate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7"/>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4"/>
        </w:trPr>
        <w:tc>
          <w:tcPr>
            <w:tcW w:w="856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to) contributions from noncontrolling interests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to CEG of escrowed amounts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Tax-related distributions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for short-term and long-term debt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24"/>
        </w:trPr>
        <w:tc>
          <w:tcPr>
            <w:tcW w:w="8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7"/>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8"/>
        </w:trPr>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8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rPr>
              <w:t>Deficit) Retained</w:t>
            </w: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60" w:type="dxa"/>
            <w:vAlign w:val="bottom"/>
          </w:tcPr>
          <w:p>
            <w:pPr>
              <w:jc w:val="center"/>
              <w:ind w:right="23"/>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4"/>
                <w:szCs w:val="14"/>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60"/>
        </w:trPr>
        <w:tc>
          <w:tcPr>
            <w:tcW w:w="4280" w:type="dxa"/>
            <w:vAlign w:val="bottom"/>
            <w:shd w:val="clear" w:color="auto" w:fill="CCEEFF"/>
          </w:tcPr>
          <w:p>
            <w:pPr>
              <w:ind w:left="200"/>
              <w:spacing w:after="0" w:line="160" w:lineRule="exact"/>
              <w:rPr>
                <w:sz w:val="20"/>
                <w:szCs w:val="20"/>
                <w:color w:val="auto"/>
              </w:rPr>
            </w:pPr>
            <w:r>
              <w:rPr>
                <w:rFonts w:ascii="Times New Roman" w:cs="Times New Roman" w:eastAsia="Times New Roman" w:hAnsi="Times New Roman"/>
                <w:sz w:val="16"/>
                <w:szCs w:val="16"/>
                <w:color w:val="auto"/>
              </w:rPr>
              <w:t>Unrealized gain on derivatives and changes in accumulated</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OCL, net of tax</w:t>
            </w: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4280" w:type="dxa"/>
            <w:vAlign w:val="bottom"/>
            <w:shd w:val="clear" w:color="auto" w:fill="CCEEFF"/>
          </w:tcPr>
          <w:p>
            <w:pPr>
              <w:ind w:left="200"/>
              <w:spacing w:after="0" w:line="160"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cash</w:t>
            </w: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Mesquite Sky Drop Down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Black Rock Drop Down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Mililani I Drop Down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Common stock dividends and distributions to CEG unit holders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4"/>
        </w:trPr>
        <w:tc>
          <w:tcPr>
            <w:tcW w:w="428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158"/>
        </w:trPr>
        <w:tc>
          <w:tcPr>
            <w:tcW w:w="428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Unrealized gain on derivatives and changes in accumulated</w:t>
            </w:r>
          </w:p>
        </w:tc>
        <w:tc>
          <w:tcPr>
            <w:tcW w:w="100" w:type="dxa"/>
            <w:vAlign w:val="bottom"/>
          </w:tcPr>
          <w:p>
            <w:pPr>
              <w:spacing w:after="0"/>
              <w:rPr>
                <w:sz w:val="13"/>
                <w:szCs w:val="13"/>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net of tax</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58"/>
        </w:trPr>
        <w:tc>
          <w:tcPr>
            <w:tcW w:w="428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Distributions to noncontrolling interests, net of contributions,</w:t>
            </w:r>
          </w:p>
        </w:tc>
        <w:tc>
          <w:tcPr>
            <w:tcW w:w="100" w:type="dxa"/>
            <w:vAlign w:val="bottom"/>
          </w:tcPr>
          <w:p>
            <w:pPr>
              <w:spacing w:after="0"/>
              <w:rPr>
                <w:sz w:val="13"/>
                <w:szCs w:val="13"/>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Common stock dividends and distributions to CEG unit holders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4"/>
        </w:trPr>
        <w:tc>
          <w:tcPr>
            <w:tcW w:w="428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58"/>
        </w:trPr>
        <w:tc>
          <w:tcPr>
            <w:tcW w:w="428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Unrealized gain on derivatives and changes in accumulated</w:t>
            </w:r>
          </w:p>
        </w:tc>
        <w:tc>
          <w:tcPr>
            <w:tcW w:w="100" w:type="dxa"/>
            <w:vAlign w:val="bottom"/>
          </w:tcPr>
          <w:p>
            <w:pPr>
              <w:spacing w:after="0"/>
              <w:rPr>
                <w:sz w:val="13"/>
                <w:szCs w:val="13"/>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net of tax</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CEG, non-cash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CEG, net of distributions, 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Tax-related distributions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58"/>
        </w:trPr>
        <w:tc>
          <w:tcPr>
            <w:tcW w:w="428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Distributions to noncontrolling interests, net of contributions,</w:t>
            </w:r>
          </w:p>
        </w:tc>
        <w:tc>
          <w:tcPr>
            <w:tcW w:w="100" w:type="dxa"/>
            <w:vAlign w:val="bottom"/>
          </w:tcPr>
          <w:p>
            <w:pPr>
              <w:spacing w:after="0"/>
              <w:rPr>
                <w:sz w:val="13"/>
                <w:szCs w:val="13"/>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Capistrano Wind Portfolio Acquisition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Kawailoa Sale to Clearway Renew LLC</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Common stock dividends and distributions to CEG unit holders</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1"/>
        </w:trPr>
        <w:tc>
          <w:tcPr>
            <w:tcW w:w="4280" w:type="dxa"/>
            <w:vAlign w:val="bottom"/>
            <w:tcBorders>
              <w:top w:val="single" w:sz="8" w:color="CCEEFF"/>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Balances at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10" w:name="page11"/>
    <w:bookmarkEnd w:id="10"/>
    <w:p>
      <w:pPr>
        <w:ind w:left="43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0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p>
      <w:pPr>
        <w:spacing w:after="0" w:line="1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8"/>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74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60" w:type="dxa"/>
            <w:vAlign w:val="bottom"/>
          </w:tcPr>
          <w:p>
            <w:pPr>
              <w:jc w:val="center"/>
              <w:ind w:right="23"/>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4"/>
                <w:szCs w:val="14"/>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60"/>
        </w:trPr>
        <w:tc>
          <w:tcPr>
            <w:tcW w:w="4320" w:type="dxa"/>
            <w:vAlign w:val="bottom"/>
            <w:shd w:val="clear" w:color="auto" w:fill="CCEEFF"/>
          </w:tcPr>
          <w:p>
            <w:pPr>
              <w:ind w:left="200"/>
              <w:spacing w:after="0" w:line="160" w:lineRule="exact"/>
              <w:rPr>
                <w:sz w:val="20"/>
                <w:szCs w:val="20"/>
                <w:color w:val="auto"/>
              </w:rPr>
            </w:pPr>
            <w:r>
              <w:rPr>
                <w:rFonts w:ascii="Times New Roman" w:cs="Times New Roman" w:eastAsia="Times New Roman" w:hAnsi="Times New Roman"/>
                <w:sz w:val="16"/>
                <w:szCs w:val="16"/>
                <w:color w:val="auto"/>
              </w:rPr>
              <w:t>Unrealized gain on derivatives and changes in accumulated</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OCL, net of tax</w:t>
            </w: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CEG, non-cash</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58"/>
        </w:trPr>
        <w:tc>
          <w:tcPr>
            <w:tcW w:w="432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w w:val="99"/>
              </w:rPr>
              <w:t>Contributions from noncontrolling interests, net of distributions,</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Agua Caliente acquisition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Rattlesnake Drop Down</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dividends and distributions to CEG unit holders</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6"/>
        </w:trPr>
        <w:tc>
          <w:tcPr>
            <w:tcW w:w="43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60"/>
        </w:trPr>
        <w:tc>
          <w:tcPr>
            <w:tcW w:w="4320" w:type="dxa"/>
            <w:vAlign w:val="bottom"/>
            <w:shd w:val="clear" w:color="auto" w:fill="CCEEFF"/>
          </w:tcPr>
          <w:p>
            <w:pPr>
              <w:ind w:left="200"/>
              <w:spacing w:after="0" w:line="160" w:lineRule="exact"/>
              <w:rPr>
                <w:sz w:val="20"/>
                <w:szCs w:val="20"/>
                <w:color w:val="auto"/>
              </w:rPr>
            </w:pPr>
            <w:r>
              <w:rPr>
                <w:rFonts w:ascii="Times New Roman" w:cs="Times New Roman" w:eastAsia="Times New Roman" w:hAnsi="Times New Roman"/>
                <w:sz w:val="16"/>
                <w:szCs w:val="16"/>
                <w:color w:val="auto"/>
              </w:rPr>
              <w:t>Unrealized gain (loss) on derivatives and changes in</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OCL, net of tax</w:t>
            </w: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CEG, non-cash</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58"/>
        </w:trPr>
        <w:tc>
          <w:tcPr>
            <w:tcW w:w="432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w w:val="99"/>
              </w:rPr>
              <w:t>Contributions from noncontrolling interests, net of distributions,</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Rattlesnake Drop Down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 for change in tax basis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dividends and distributions to CEG unit holders</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6"/>
        </w:trPr>
        <w:tc>
          <w:tcPr>
            <w:tcW w:w="43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Changes in accumulated OCL, net of 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CEG, non-cash</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0"/>
        </w:trPr>
        <w:tc>
          <w:tcPr>
            <w:tcW w:w="4320" w:type="dxa"/>
            <w:vAlign w:val="bottom"/>
            <w:shd w:val="clear" w:color="auto" w:fill="CCEEFF"/>
          </w:tcPr>
          <w:p>
            <w:pPr>
              <w:ind w:left="200"/>
              <w:spacing w:after="0" w:line="160" w:lineRule="exact"/>
              <w:rPr>
                <w:sz w:val="20"/>
                <w:szCs w:val="20"/>
                <w:color w:val="auto"/>
              </w:rPr>
            </w:pPr>
            <w:r>
              <w:rPr>
                <w:rFonts w:ascii="Times New Roman" w:cs="Times New Roman" w:eastAsia="Times New Roman" w:hAnsi="Times New Roman"/>
                <w:sz w:val="16"/>
                <w:szCs w:val="16"/>
                <w:color w:val="auto"/>
              </w:rPr>
              <w:t>Distributions to noncontrolling interests, net of contributions,</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Common stock dividends and distributions to CEG unit holders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4"/>
        </w:trPr>
        <w:tc>
          <w:tcPr>
            <w:tcW w:w="432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Balances at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6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8"/>
          <w:szCs w:val="18"/>
          <w:color w:val="000000"/>
        </w:rPr>
        <w:t>From time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time, CEG may also hold shares of the Company’s Class A and/or Class C common stock.</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2022, the Company owned 57.86% of the economic interests of Clearway Energy LLC, with CEG owning 42.14% of the economic interests of Clearway Energy LLC.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color w:val="auto"/>
        </w:rPr>
        <w:t>The following table represents a summarized structure of the Company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5715000" cy="4227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00"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2021 Form 10-K. Interim results are not necessarily indicative of results for a full year.</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2022, and results of operations, comprehensive income and cash flows for the three and nine months ended September 30, 2022 and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5"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$168 million and $146 million as of September 30, 2022 and December 31, 2021, respectively.</w:t>
      </w:r>
    </w:p>
    <w:p>
      <w:pPr>
        <w:spacing w:after="0" w:line="1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gridSpan w:val="4"/>
          </w:tcPr>
          <w:p>
            <w:pPr>
              <w:jc w:val="right"/>
              <w:ind w:right="141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42"/>
        </w:trPr>
        <w:tc>
          <w:tcPr>
            <w:tcW w:w="7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projects that are restricted in their use. As of September 30, 2022, these restricted funds were comprised of $144 million designated to fund operating expenses, $66 million designated for current debt service payments and $124 million restricted for reserves including debt service, performance obligations and other reserves as well as capital expenditures. The remaining $29 million is held in distributions reserve accounts.</w:t>
      </w:r>
    </w:p>
    <w:p>
      <w:pPr>
        <w:spacing w:after="0" w:line="13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In 2020, the members of the partnerships holding the Oahu Solar and Kawailoa Solar projects submitted applications to the state of Hawaii for refundable tax credits based on the cost of construction of the projects. In 2021, the members of the partnerships contributed their respective portions of the tax credits in the amount of $27 million to the Oahu Solar and $22 million to the Kawailoa Solar project companies, which were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On August 1, 2022, the Company sold its Class A interests in the Kawailoa Partnership, which consolidates the Kawailoa Solar project, to Clearway Renew LLC,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resulting in the removal of $7 million that remained in restricted cash at the time of sale. As of September 30, 2022, $22 million of the $27 million previously contributed to the Oahu Solar projects has been utilized to offset invoiced amounts under the projects’ PPAs.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 as of September 30, 2022 and December 31,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gridSpan w:val="3"/>
          </w:tcPr>
          <w:p>
            <w:pPr>
              <w:jc w:val="right"/>
              <w:ind w:right="1415"/>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2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and Class C common stock during the nine months ended September 30,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Third Quarter 2022</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2022</w:t>
            </w:r>
          </w:p>
        </w:tc>
        <w:tc>
          <w:tcPr>
            <w:tcW w:w="100" w:type="dxa"/>
            <w:vAlign w:val="bottom"/>
          </w:tcPr>
          <w:p>
            <w:pPr>
              <w:spacing w:after="0"/>
              <w:rPr>
                <w:sz w:val="16"/>
                <w:szCs w:val="16"/>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First Quarter 2022</w:t>
            </w:r>
          </w:p>
        </w:tc>
      </w:tr>
      <w:tr>
        <w:trPr>
          <w:trHeight w:val="24"/>
        </w:trPr>
        <w:tc>
          <w:tcPr>
            <w:tcW w:w="6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0.3468</w:t>
            </w:r>
          </w:p>
        </w:tc>
      </w:tr>
    </w:tbl>
    <w:p>
      <w:pPr>
        <w:spacing w:after="0" w:line="2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November 2, 2022, the Company declared quarterly dividends on its Class A and Class C common stock of $0.3672 per share payable on December 15, 2022 to stockholders of record as of December 1, 2022.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Clearway Energy LLC Distributions to CEG</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lists distributions paid to CEG during the nine months ended September 30, 2022 on Clearway Energy LLC’s Class B and D units: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Third Quarter 2022</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2022</w:t>
            </w:r>
          </w:p>
        </w:tc>
        <w:tc>
          <w:tcPr>
            <w:tcW w:w="100" w:type="dxa"/>
            <w:vAlign w:val="bottom"/>
          </w:tcPr>
          <w:p>
            <w:pPr>
              <w:spacing w:after="0"/>
              <w:rPr>
                <w:sz w:val="16"/>
                <w:szCs w:val="16"/>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First Quarter 2022</w:t>
            </w:r>
          </w:p>
        </w:tc>
      </w:tr>
      <w:tr>
        <w:trPr>
          <w:trHeight w:val="24"/>
        </w:trPr>
        <w:tc>
          <w:tcPr>
            <w:tcW w:w="6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B Unit</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r>
      <w:tr>
        <w:trPr>
          <w:trHeight w:val="22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per Class D Unit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0.3468</w:t>
            </w:r>
          </w:p>
        </w:tc>
      </w:tr>
    </w:tbl>
    <w:p>
      <w:pPr>
        <w:spacing w:after="0" w:line="2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quarterly distributions paid to CEG, Clearway Energy LLC distributed an additional $8 million to CEG during the third quarter of 2022, which represents CEG’s pro-rata share of a distribution that was paid in order for the Company to make certain tax payments associated with the sale of the Thermal Business. The Company’s share of the distribution was $11 million.</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November 2, 2022, Clearway Energy LLC declared a distribution on its Class B and Class D units of $0.3672 per unit payable on December 15, 2022 to unit holders of record as of December 1,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 for the nine months ended September 30,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1"/>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distributions to redeemable noncontrolling interests</w:t>
            </w:r>
          </w:p>
        </w:tc>
        <w:tc>
          <w:tcPr>
            <w:tcW w:w="4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8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redeemable noncontrolling interests</w:t>
            </w:r>
          </w:p>
        </w:tc>
        <w:tc>
          <w:tcPr>
            <w:tcW w:w="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2"/>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2022</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6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The Company applies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Power Purchase Agreements, or PPAs</w:t>
      </w:r>
    </w:p>
    <w:p>
      <w:pPr>
        <w:spacing w:after="0" w:line="16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PPAs have no minimum lease payments and all of the lease revenue under these PPAs is recorded as contingent rent on an actual basis when the electricity is delivered.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i w:val="1"/>
          <w:iCs w:val="1"/>
          <w:color w:val="auto"/>
        </w:rPr>
        <w:t>Renewable Energy Credits, or RECs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income.</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nine months ended September 30, 2022 and 2021, respectively: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6"/>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2022</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6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Renewables</w:t>
            </w:r>
          </w:p>
        </w:tc>
        <w:tc>
          <w:tcPr>
            <w:tcW w:w="480" w:type="dxa"/>
            <w:vAlign w:val="bottom"/>
          </w:tcPr>
          <w:p>
            <w:pPr>
              <w:spacing w:after="0"/>
              <w:rPr>
                <w:sz w:val="11"/>
                <w:szCs w:val="11"/>
                <w:color w:val="auto"/>
              </w:rPr>
            </w:pPr>
          </w:p>
        </w:tc>
        <w:tc>
          <w:tcPr>
            <w:tcW w:w="104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333333"/>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333333"/>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272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333333"/>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274</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107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102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238</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340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240" w:hanging="156"/>
        <w:spacing w:after="0"/>
        <w:tabs>
          <w:tab w:leader="none" w:pos="2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following amounts of energy and capacity revenue relate to leases and are accounted for under ASC 842: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6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360" w:type="dxa"/>
            <w:vAlign w:val="bottom"/>
          </w:tcPr>
          <w:p>
            <w:pPr>
              <w:spacing w:after="0"/>
              <w:rPr>
                <w:sz w:val="13"/>
                <w:szCs w:val="13"/>
                <w:color w:val="auto"/>
              </w:rPr>
            </w:pPr>
          </w:p>
        </w:tc>
        <w:tc>
          <w:tcPr>
            <w:tcW w:w="1160" w:type="dxa"/>
            <w:vAlign w:val="bottom"/>
            <w:vMerge w:val="restart"/>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380" w:type="dxa"/>
            <w:vAlign w:val="bottom"/>
            <w:gridSpan w:val="2"/>
            <w:vMerge w:val="continue"/>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652"/>
              <w:spacing w:after="0"/>
              <w:rPr>
                <w:sz w:val="20"/>
                <w:szCs w:val="20"/>
                <w:color w:val="auto"/>
              </w:rPr>
            </w:pPr>
            <w:r>
              <w:rPr>
                <w:rFonts w:ascii="Times New Roman" w:cs="Times New Roman" w:eastAsia="Times New Roman" w:hAnsi="Times New Roman"/>
                <w:sz w:val="18"/>
                <w:szCs w:val="18"/>
                <w:color w:val="231F20"/>
              </w:rPr>
              <w:t>16</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00" w:type="dxa"/>
            <w:vAlign w:val="bottom"/>
          </w:tcPr>
          <w:p>
            <w:pPr>
              <w:spacing w:after="0"/>
              <w:rPr>
                <w:sz w:val="11"/>
                <w:szCs w:val="11"/>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8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333333"/>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231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333333"/>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99"/>
              </w:rPr>
              <w:t>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333333"/>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267</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133</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333333"/>
                <w:w w:val="99"/>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24</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179</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99"/>
              </w:rPr>
              <w:t>54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351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w w:val="99"/>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(322)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333333"/>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48</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8"/>
                <w:szCs w:val="18"/>
                <w:color w:val="333333"/>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99"/>
              </w:rPr>
              <w:t>54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333333"/>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60" w:hanging="176"/>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following amounts of energy and capacity revenue relate to leases and are accounted for under ASC 842:</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Conventional</w:t>
            </w:r>
          </w:p>
        </w:tc>
        <w:tc>
          <w:tcPr>
            <w:tcW w:w="1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0"/>
        </w:trPr>
        <w:tc>
          <w:tcPr>
            <w:tcW w:w="740" w:type="dxa"/>
            <w:vAlign w:val="bottom"/>
            <w:tcBorders>
              <w:bottom w:val="single" w:sz="8" w:color="auto"/>
            </w:tcBorders>
            <w:vMerge w:val="continue"/>
          </w:tcPr>
          <w:p>
            <w:pPr>
              <w:spacing w:after="0"/>
              <w:rPr>
                <w:sz w:val="12"/>
                <w:szCs w:val="12"/>
                <w:color w:val="auto"/>
              </w:rPr>
            </w:pPr>
          </w:p>
        </w:tc>
        <w:tc>
          <w:tcPr>
            <w:tcW w:w="4320" w:type="dxa"/>
            <w:vAlign w:val="bottom"/>
          </w:tcPr>
          <w:p>
            <w:pPr>
              <w:spacing w:after="0"/>
              <w:rPr>
                <w:sz w:val="12"/>
                <w:szCs w:val="12"/>
                <w:color w:val="auto"/>
              </w:rPr>
            </w:pPr>
          </w:p>
        </w:tc>
        <w:tc>
          <w:tcPr>
            <w:tcW w:w="15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15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5495" cy="150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0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00" w:type="dxa"/>
            <w:vAlign w:val="bottom"/>
          </w:tcPr>
          <w:p>
            <w:pPr>
              <w:spacing w:after="0"/>
              <w:rPr>
                <w:sz w:val="11"/>
                <w:szCs w:val="11"/>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240" w:hanging="156"/>
        <w:spacing w:after="0"/>
        <w:tabs>
          <w:tab w:leader="none" w:pos="24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following amounts of energy and capacity revenue relate to leases and are accounted for under ASC 842: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12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0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231F20"/>
              </w:rPr>
              <w:t>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00" w:type="dxa"/>
            <w:vAlign w:val="bottom"/>
          </w:tcPr>
          <w:p>
            <w:pPr>
              <w:spacing w:after="0"/>
              <w:rPr>
                <w:sz w:val="11"/>
                <w:szCs w:val="11"/>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2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152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240" w:hanging="156"/>
        <w:spacing w:after="0"/>
        <w:tabs>
          <w:tab w:leader="none" w:pos="2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following amounts of energy and capacity revenue relate to leases and are accounted for under ASC 842: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0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consolidated balance sheets as of September 30, 2022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4"/>
          </w:tcPr>
          <w:p>
            <w:pPr>
              <w:jc w:val="right"/>
              <w:ind w:right="139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4"/>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2"/>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65"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In March 2020, the FASB issued ASU No. 2020-04,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As of September 30, 2022, the Company has applied the amendments to all of its eligible contract modifications, where applicable, during the reference rate reform period. Additionally, the Company has not elected any optional expedients provided in the standard.</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 and Dispositions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61" w:lineRule="exact"/>
        <w:rPr>
          <w:sz w:val="20"/>
          <w:szCs w:val="20"/>
          <w:color w:val="auto"/>
        </w:rPr>
      </w:pPr>
    </w:p>
    <w:p>
      <w:pPr>
        <w:jc w:val="both"/>
        <w:ind w:firstLine="395"/>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 xml:space="preserve">Waiawa Drop Down — </w:t>
      </w:r>
      <w:r>
        <w:rPr>
          <w:rFonts w:ascii="Times New Roman" w:cs="Times New Roman" w:eastAsia="Times New Roman" w:hAnsi="Times New Roman"/>
          <w:sz w:val="16"/>
          <w:szCs w:val="16"/>
          <w:color w:val="auto"/>
        </w:rPr>
        <w:t>On October 3, 2022, the Company, through its indirect subsidiary, Lighthouse Renewable Holdco LLC, acquired Waiawa BL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Borrower Holdco LLC, the indirect owner of the Waiawa solar project, a 36 MW solar project with matching storage capacity that is currently under construction and located in Honolulu, Hawaii, from Clearway Renew LLC, a subsidiary of CEG, for cash consideration of $20 million. Lighthouse Renewable Holdco LLC is a partnership between the Company and a third-party investor. The third-party investor also contributed cash consideration of $12 million, which was utilized to acquire their portion of the acquired entity. Waiawa BL Borrower Holdco LLC consolidates, as the direct owner of the primary beneficiary, a tax equity fund, Waiawa TE Holdco LLC, which directly holds the Waiawa solar project. Waiawa has a 20-year PPA with an investment-grade utility that commences when the project reaches commercial operations, as defined in the PPA. The acquisition was funded with existing sources of liquidity.</w:t>
      </w:r>
    </w:p>
    <w:p>
      <w:pPr>
        <w:spacing w:after="0" w:line="102" w:lineRule="exact"/>
        <w:rPr>
          <w:sz w:val="20"/>
          <w:szCs w:val="20"/>
          <w:color w:val="auto"/>
        </w:rPr>
      </w:pPr>
    </w:p>
    <w:p>
      <w:pPr>
        <w:jc w:val="both"/>
        <w:ind w:firstLine="395"/>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Capistrano Wind Portfolio Acquisition — </w:t>
      </w:r>
      <w:r>
        <w:rPr>
          <w:rFonts w:ascii="Times New Roman" w:cs="Times New Roman" w:eastAsia="Times New Roman" w:hAnsi="Times New Roman"/>
          <w:sz w:val="16"/>
          <w:szCs w:val="16"/>
          <w:color w:val="auto"/>
        </w:rPr>
        <w:t>On August 22, 2022, the Company, through its wholly-owned indirect subsidiary, Capistrano Portfolio Holdco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10 years. The Capistrano Wind Portfolio operations are reflected in the Company’s Renewables segment and the acquisition was funded with existing sources of liquidity. The acquisition was determined to be an asset acquisition and the Company consolidates the Capistrano Wind Portfolio on a prospective basis in its financial statements. The assets and liabilities transferred to the Company relate to interests under common control by GIP and were transferred at historical cost in accordance with ASC 805-50, </w:t>
      </w:r>
      <w:r>
        <w:rPr>
          <w:rFonts w:ascii="Times New Roman" w:cs="Times New Roman" w:eastAsia="Times New Roman" w:hAnsi="Times New Roman"/>
          <w:sz w:val="16"/>
          <w:szCs w:val="16"/>
          <w:i w:val="1"/>
          <w:iCs w:val="1"/>
          <w:color w:val="auto"/>
        </w:rPr>
        <w:t>Business Combinations - Related Issues</w:t>
      </w:r>
      <w:r>
        <w:rPr>
          <w:rFonts w:ascii="Times New Roman" w:cs="Times New Roman" w:eastAsia="Times New Roman" w:hAnsi="Times New Roman"/>
          <w:sz w:val="16"/>
          <w:szCs w:val="16"/>
          <w:color w:val="auto"/>
        </w:rPr>
        <w:t>, which reflects GIP’s basis. The difference between the historical cost of the Company’s net assets acquired of $250 million, less the sum of the cash paid of $239 million and the $4 million in accumulated other comprehensive income transferred to the Company, was recorded as an adjustment to CEG’s noncontrolling interest balance.</w:t>
      </w:r>
    </w:p>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August 22,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Capistrano Wind Portfolio</w:t>
            </w:r>
          </w:p>
        </w:tc>
      </w:tr>
      <w:tr>
        <w:trPr>
          <w:trHeight w:val="219"/>
        </w:trPr>
        <w:tc>
          <w:tcPr>
            <w:tcW w:w="84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8"/>
                <w:szCs w:val="18"/>
                <w:color w:val="auto"/>
              </w:rPr>
              <w:t xml:space="preserve">Other current and non-current assets </w:t>
            </w:r>
            <w:r>
              <w:rPr>
                <w:rFonts w:ascii="Times New Roman" w:cs="Times New Roman" w:eastAsia="Times New Roman" w:hAnsi="Times New Roman"/>
                <w:sz w:val="22"/>
                <w:szCs w:val="22"/>
                <w:color w:val="auto"/>
                <w:vertAlign w:val="superscript"/>
              </w:rPr>
              <w:t>(a)</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for power purchase agreements</w:t>
            </w:r>
          </w:p>
        </w:tc>
        <w:tc>
          <w:tcPr>
            <w:tcW w:w="3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4"/>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Right-of-use-assets, net</w:t>
            </w:r>
          </w:p>
        </w:tc>
        <w:tc>
          <w:tcPr>
            <w:tcW w:w="3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7"/>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63"/>
        </w:trPr>
        <w:tc>
          <w:tcPr>
            <w:tcW w:w="8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2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4"/>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8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2"/>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240" w:hanging="156"/>
        <w:spacing w:after="0"/>
        <w:tabs>
          <w:tab w:leader="none" w:pos="2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cash of $12 million and restricted cash of $4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9" w:name="page20"/>
    <w:bookmarkEnd w:id="19"/>
    <w:p>
      <w:pPr>
        <w:jc w:val="both"/>
        <w:ind w:firstLine="395"/>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Mililani I Drop Down — </w:t>
      </w:r>
      <w:r>
        <w:rPr>
          <w:rFonts w:ascii="Times New Roman" w:cs="Times New Roman" w:eastAsia="Times New Roman" w:hAnsi="Times New Roman"/>
          <w:sz w:val="18"/>
          <w:szCs w:val="18"/>
          <w:color w:val="auto"/>
        </w:rPr>
        <w:t>On March 25, 2022, the Company, through its indirect subsidiary, Lighthouse Renewable Holdco LLC, acquired Mililani BL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Borrower Holdco LLC, the indirect owner of the Mililani I solar project, a 39 MW solar project with matching storage capacity located in Honolulu, Hawaii, from Clearway Renew LLC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as further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Mililani I has a 20-year PPA with an investment-grade utility that commenced in July 2022.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by GIP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sum of the cash paid of $22 million and the historical cost of the Company’s net liabilities assumed of $8 million was recorded as an adjustment to CEG’s noncontrolling interest balance. In addition, the Company reflected $15 million of the Company’s purchase price, which was contributed back by CEG to pay down the acquired long-term debt, as distributions to CEG, net of contributions, in the consolidated statement of stockholders’ equity.</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March 25,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6"/>
                <w:szCs w:val="16"/>
                <w:b w:val="1"/>
                <w:bCs w:val="1"/>
                <w:color w:val="auto"/>
              </w:rPr>
              <w:t>Mililani I</w:t>
            </w:r>
          </w:p>
        </w:tc>
      </w:tr>
      <w:tr>
        <w:trPr>
          <w:trHeight w:val="21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Right-of-use-assets</w:t>
            </w:r>
          </w:p>
        </w:tc>
        <w:tc>
          <w:tcPr>
            <w:tcW w:w="6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6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63"/>
        </w:trPr>
        <w:tc>
          <w:tcPr>
            <w:tcW w:w="8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24"/>
        </w:trPr>
        <w:tc>
          <w:tcPr>
            <w:tcW w:w="842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2"/>
                <w:szCs w:val="22"/>
                <w:color w:val="auto"/>
                <w:vertAlign w:val="superscript"/>
              </w:rPr>
              <w:t>(a)</w:t>
            </w:r>
          </w:p>
        </w:tc>
        <w:tc>
          <w:tcPr>
            <w:tcW w:w="6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4"/>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7"/>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7"/>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liabilities assumed</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left="80" w:firstLine="4"/>
        <w:spacing w:after="0" w:line="330" w:lineRule="auto"/>
        <w:tabs>
          <w:tab w:leader="none" w:pos="23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a $16 million construction loan, $27 million sponsor equity bridge loan and $60 million tax equity bridge loan, offset by $3 million in unamortized debt issuance costs. The sponsor equity bridge loan was repaid at acquisition date utilizing $14 million from the cash equity investor, as well as $15 million of the Company’s purchase price, which was contributed back to the Company by CEG, of which $27 million was utilized to pay down the acquired long-term debt and $2 million was utilized to pay associated fees. Also at acquisition date, the tax equity investor contributed $18 million into escrow, which was included in restricted cash on the Company’s consolidated balance sheet. The tax equity investor will contribute an additional $42 million when the project reaches substantial completion, which will be utilized, along with the $18 million in escrow, to repay the $60 million tax equity bridge loan. The project is expected to reach substantial completion in the fourth quarter of 2022.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6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Sale </w:t>
      </w:r>
      <w:r>
        <w:rPr>
          <w:rFonts w:ascii="Times New Roman" w:cs="Times New Roman" w:eastAsia="Times New Roman" w:hAnsi="Times New Roman"/>
          <w:sz w:val="18"/>
          <w:szCs w:val="18"/>
          <w:color w:val="auto"/>
        </w:rPr>
        <w:t>— On August 1, 2022, the Company sold 100% of its Class A interests in the Kawailoa Partnership to Clearway Renew LLC, a subsidiary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CEG, for cash proceeds of $9 million, which equals the Company’s initial investment. The Kawailoa Partnership is a partnership that consolidates, through its 51% controlling majority interest, a lower-level partnership that is 49% owned by a third-party investor, and which consolidates the Kawailoa solar project through its ownership of a controlling interest in the tax equity fund that holds the project. The assets and liabilities transferred to Clearway Renew LLC relate to interests under common control by GIP and were transferred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This resulted in the Company removing $69 million from noncontrolling interest related to the Kawailoa Partnership at the time of sale. Noncontrolling interests prior to the sale include the interests of the third-party investor, tax equity investor and Clearway Renew LLC.</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0" w:name="page21"/>
    <w:bookmarkEnd w:id="20"/>
    <w:p>
      <w:pPr>
        <w:jc w:val="both"/>
        <w:ind w:firstLine="39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Thermal Disposition </w:t>
      </w:r>
      <w:r>
        <w:rPr>
          <w:rFonts w:ascii="Times New Roman" w:cs="Times New Roman" w:eastAsia="Times New Roman" w:hAnsi="Times New Roman"/>
          <w:sz w:val="18"/>
          <w:szCs w:val="18"/>
          <w:color w:val="auto"/>
        </w:rPr>
        <w:t>— On May 1, 2022, the Company completed the sale of 100% of its interests in the Thermal Business to KKR for net proceeds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approximately $1.46 billion, inclusive of 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with the remaining proceeds invested in short-term investments classified as cash and cash equivalents on the Company’s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as of September 30, 2022. Effective with the approval by the Board of Directors and signing of the agreement to sell the Thermal Business on October 22, 2021, the Company concluded that all entities that are included within the Thermal Business would be treated as held for sale on a prospective basis, thus the assets and liabilities were reported as separate held for sale line items on the Company’s consolidated balance sheets as of December 31, 2021. As of December 31, 2021, property, plant and equipment represented 78% and intangible assets represented 9% of assets classified as held for sale while long-term debt represented 85% of liabilities classified as held for sale. The Company’s Thermal segment is comprised solely of the Thermal Business's results of operations.</w:t>
      </w:r>
    </w:p>
    <w:p>
      <w:pPr>
        <w:spacing w:after="0" w:line="131" w:lineRule="exact"/>
        <w:rPr>
          <w:sz w:val="20"/>
          <w:szCs w:val="20"/>
          <w:color w:val="auto"/>
        </w:rPr>
      </w:pPr>
    </w:p>
    <w:p>
      <w:pPr>
        <w:ind w:right="4780"/>
        <w:spacing w:after="0" w:line="428"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Consolidated</w:t>
      </w:r>
    </w:p>
    <w:p>
      <w:pPr>
        <w:spacing w:after="0" w:line="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2021 Form 10-K.</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September 30,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Buckthorn</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Langford TE</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Lighthouse Renewable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Lighthouse Renewable</w:t>
            </w:r>
          </w:p>
        </w:tc>
        <w:tc>
          <w:tcPr>
            <w:tcW w:w="0" w:type="dxa"/>
            <w:vAlign w:val="bottom"/>
          </w:tcPr>
          <w:p>
            <w:pPr>
              <w:spacing w:after="0"/>
              <w:rPr>
                <w:sz w:val="1"/>
                <w:szCs w:val="1"/>
                <w:color w:val="auto"/>
              </w:rPr>
            </w:pPr>
          </w:p>
        </w:tc>
      </w:tr>
      <w:tr>
        <w:trPr>
          <w:trHeight w:val="184"/>
        </w:trPr>
        <w:tc>
          <w:tcPr>
            <w:tcW w:w="3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Alta TE Holdco</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Renewables, LLC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DGPV Funds</w:t>
            </w:r>
            <w:r>
              <w:rPr>
                <w:rFonts w:ascii="Times New Roman" w:cs="Times New Roman" w:eastAsia="Times New Roman" w:hAnsi="Times New Roman"/>
                <w:sz w:val="15"/>
                <w:szCs w:val="15"/>
                <w:b w:val="1"/>
                <w:bCs w:val="1"/>
                <w:color w:val="auto"/>
                <w:vertAlign w:val="superscript"/>
              </w:rPr>
              <w:t>(a)</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Partnership LLC</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2"/>
                <w:szCs w:val="12"/>
                <w:b w:val="1"/>
                <w:bCs w:val="1"/>
                <w:color w:val="auto"/>
                <w:w w:val="97"/>
              </w:rPr>
              <w:t xml:space="preserve">Holdco LLC </w:t>
            </w:r>
            <w:r>
              <w:rPr>
                <w:rFonts w:ascii="Times New Roman" w:cs="Times New Roman" w:eastAsia="Times New Roman" w:hAnsi="Times New Roman"/>
                <w:sz w:val="20"/>
                <w:szCs w:val="20"/>
                <w:b w:val="1"/>
                <w:bCs w:val="1"/>
                <w:color w:val="auto"/>
                <w:w w:val="97"/>
                <w:vertAlign w:val="superscript"/>
              </w:rPr>
              <w:t>(b)</w:t>
            </w:r>
          </w:p>
        </w:tc>
        <w:tc>
          <w:tcPr>
            <w:tcW w:w="160" w:type="dxa"/>
            <w:vAlign w:val="bottom"/>
          </w:tcPr>
          <w:p>
            <w:pPr>
              <w:spacing w:after="0"/>
              <w:rPr>
                <w:sz w:val="16"/>
                <w:szCs w:val="16"/>
                <w:color w:val="auto"/>
              </w:rPr>
            </w:pPr>
          </w:p>
        </w:tc>
        <w:tc>
          <w:tcPr>
            <w:tcW w:w="1120" w:type="dxa"/>
            <w:vAlign w:val="bottom"/>
          </w:tcPr>
          <w:p>
            <w:pPr>
              <w:jc w:val="right"/>
              <w:ind w:right="95"/>
              <w:spacing w:after="0" w:line="184" w:lineRule="exact"/>
              <w:rPr>
                <w:sz w:val="20"/>
                <w:szCs w:val="20"/>
                <w:color w:val="auto"/>
              </w:rPr>
            </w:pPr>
            <w:r>
              <w:rPr>
                <w:rFonts w:ascii="Times New Roman" w:cs="Times New Roman" w:eastAsia="Times New Roman" w:hAnsi="Times New Roman"/>
                <w:sz w:val="12"/>
                <w:szCs w:val="12"/>
                <w:b w:val="1"/>
                <w:bCs w:val="1"/>
                <w:color w:val="auto"/>
              </w:rPr>
              <w:t xml:space="preserve">Holdco 2 LLC </w:t>
            </w:r>
            <w:r>
              <w:rPr>
                <w:rFonts w:ascii="Times New Roman" w:cs="Times New Roman" w:eastAsia="Times New Roman" w:hAnsi="Times New Roman"/>
                <w:sz w:val="20"/>
                <w:szCs w:val="20"/>
                <w:b w:val="1"/>
                <w:bCs w:val="1"/>
                <w:color w:val="auto"/>
                <w:vertAlign w:val="superscript"/>
              </w:rPr>
              <w:t>(c)</w:t>
            </w:r>
          </w:p>
        </w:tc>
        <w:tc>
          <w:tcPr>
            <w:tcW w:w="0" w:type="dxa"/>
            <w:vAlign w:val="bottom"/>
          </w:tcPr>
          <w:p>
            <w:pPr>
              <w:spacing w:after="0"/>
              <w:rPr>
                <w:sz w:val="1"/>
                <w:szCs w:val="1"/>
                <w:color w:val="auto"/>
              </w:rPr>
            </w:pPr>
          </w:p>
        </w:tc>
      </w:tr>
      <w:tr>
        <w:trPr>
          <w:trHeight w:val="217"/>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7"/>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7"/>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hanging="176"/>
        <w:spacing w:after="0"/>
        <w:tabs>
          <w:tab w:leader="none" w:pos="2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DGPV Funds is comprised of DGPV Fund 2 LLC, Clearway &amp; EFS Distributed Solar LLC, DGPV Fund 4 LLC, Golden Puma Fund LLC, Renew Solar CS4 Fund LLC and Chestnut Fund LLC.</w:t>
      </w:r>
    </w:p>
    <w:p>
      <w:pPr>
        <w:spacing w:after="0" w:line="30" w:lineRule="exact"/>
        <w:rPr>
          <w:rFonts w:ascii="Times New Roman" w:cs="Times New Roman" w:eastAsia="Times New Roman" w:hAnsi="Times New Roman"/>
          <w:sz w:val="23"/>
          <w:szCs w:val="23"/>
          <w:color w:val="auto"/>
          <w:vertAlign w:val="superscript"/>
        </w:rPr>
      </w:pPr>
    </w:p>
    <w:p>
      <w:pPr>
        <w:ind w:left="240" w:hanging="156"/>
        <w:spacing w:after="0" w:line="183" w:lineRule="auto"/>
        <w:tabs>
          <w:tab w:leader="none" w:pos="24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Lighthouse Renewable Holdco LLC consolidates Mesquite Star Tax Equity Holdco LLC, Black Rock TE Holdco LLC and Mililani TE Holdco LLC, which are also consolidated VIEs.</w:t>
      </w:r>
    </w:p>
    <w:p>
      <w:pPr>
        <w:spacing w:after="0" w:line="83" w:lineRule="exact"/>
        <w:rPr>
          <w:rFonts w:ascii="Times New Roman" w:cs="Times New Roman" w:eastAsia="Times New Roman" w:hAnsi="Times New Roman"/>
          <w:sz w:val="19"/>
          <w:szCs w:val="19"/>
          <w:color w:val="auto"/>
          <w:vertAlign w:val="superscript"/>
        </w:rPr>
      </w:pPr>
    </w:p>
    <w:p>
      <w:pPr>
        <w:ind w:left="260" w:hanging="176"/>
        <w:spacing w:after="0" w:line="183" w:lineRule="auto"/>
        <w:tabs>
          <w:tab w:leader="none" w:pos="2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Lighthouse Renewable Holdco 2 LLC consolidates Mesquite Sky TE Holdco LLC, which is also a consolidated VIE.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9"/>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Oahu Solar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Pinnacle Repowering</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Rattlesnake TE Holdco</w:t>
            </w: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Rosie TargetCo LLC</w:t>
            </w:r>
          </w:p>
        </w:tc>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Wildorado TE Holdco</w:t>
            </w:r>
          </w:p>
        </w:tc>
        <w:tc>
          <w:tcPr>
            <w:tcW w:w="260" w:type="dxa"/>
            <w:vAlign w:val="bottom"/>
          </w:tcPr>
          <w:p>
            <w:pPr>
              <w:spacing w:after="0"/>
              <w:rPr>
                <w:sz w:val="12"/>
                <w:szCs w:val="12"/>
                <w:color w:val="auto"/>
              </w:rPr>
            </w:pPr>
          </w:p>
        </w:tc>
        <w:tc>
          <w:tcPr>
            <w:tcW w:w="1020" w:type="dxa"/>
            <w:vAlign w:val="bottom"/>
            <w:vMerge w:val="restart"/>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 xml:space="preserve">Other </w:t>
            </w:r>
            <w:r>
              <w:rPr>
                <w:rFonts w:ascii="Times New Roman" w:cs="Times New Roman" w:eastAsia="Times New Roman" w:hAnsi="Times New Roman"/>
                <w:sz w:val="20"/>
                <w:szCs w:val="20"/>
                <w:b w:val="1"/>
                <w:bCs w:val="1"/>
                <w:color w:val="auto"/>
                <w:vertAlign w:val="superscript"/>
              </w:rPr>
              <w:t>(a)</w:t>
            </w:r>
          </w:p>
        </w:tc>
        <w:tc>
          <w:tcPr>
            <w:tcW w:w="0" w:type="dxa"/>
            <w:vAlign w:val="bottom"/>
          </w:tcPr>
          <w:p>
            <w:pPr>
              <w:spacing w:after="0"/>
              <w:rPr>
                <w:sz w:val="1"/>
                <w:szCs w:val="1"/>
                <w:color w:val="auto"/>
              </w:rPr>
            </w:pPr>
          </w:p>
        </w:tc>
      </w:tr>
      <w:tr>
        <w:trPr>
          <w:trHeight w:val="171"/>
        </w:trPr>
        <w:tc>
          <w:tcPr>
            <w:tcW w:w="3140" w:type="dxa"/>
            <w:vAlign w:val="bottom"/>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Partnership</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Partnership LLC</w:t>
            </w:r>
          </w:p>
        </w:tc>
        <w:tc>
          <w:tcPr>
            <w:tcW w:w="30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LLC</w:t>
            </w:r>
          </w:p>
        </w:tc>
        <w:tc>
          <w:tcPr>
            <w:tcW w:w="1360" w:type="dxa"/>
            <w:vAlign w:val="bottom"/>
            <w:gridSpan w:val="3"/>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9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7"/>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96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hanging="176"/>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is comprised of Crosswind Transmission, LLC, Hardin Hilltop Wind LLC, Elbow Creek TE Holdco and Spring Canyon TE Holdco projects.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discussion below describes material changes to VIEs during the nine months ended September 30, 2022.</w:t>
      </w:r>
    </w:p>
    <w:p>
      <w:pPr>
        <w:spacing w:after="0" w:line="157" w:lineRule="exact"/>
        <w:rPr>
          <w:sz w:val="20"/>
          <w:szCs w:val="20"/>
          <w:color w:val="auto"/>
        </w:rPr>
      </w:pPr>
    </w:p>
    <w:p>
      <w:pPr>
        <w:jc w:val="both"/>
        <w:ind w:firstLine="395"/>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Partnership —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August 1, 2022, the Company sold 100% of its Class A interests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Kawailoa Partnership to Clearway Renew LLC, a subsidiary of CEG.</w:t>
      </w:r>
    </w:p>
    <w:p>
      <w:pPr>
        <w:spacing w:after="0" w:line="10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Lighthouse Renewable Holdco LLC —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March 25, 2022, Lighthouse Renewable Holdco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the Class B interests in a partnership, Mililani BL Borrower Holdco LLC, which consolidates, as the direct owner of the primary beneficiary, a tax equity fund, Mililani TE Holdco LLC, that holds the Mililani I solar project. The tax equity investor’s interest is shown as noncontrolling interest and the HLBV method is utilized to allocate the income or losses of Mililani TE Holdco LLC. The third-party investor in Lighthouse Renewable Holdco LLC also acquired and contributed an interest in Mililani BL Borrower Holdco LLC to Lighthouse Renewable Holdco LLC. The Company recorded the related noncontrolling interest at historical carrying amount, with the offset to contributed capital.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 included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Company’s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maximum exposure to loss as of September 30, 2022 is limited to its equity investment in the unconsolidated entities, as further summarized in the table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720" w:type="dxa"/>
            <w:vAlign w:val="bottom"/>
            <w:tcBorders>
              <w:bottom w:val="single" w:sz="8" w:color="auto"/>
            </w:tcBorders>
          </w:tcPr>
          <w:p>
            <w:pPr>
              <w:jc w:val="center"/>
              <w:ind w:left="3174"/>
              <w:spacing w:after="0"/>
              <w:rPr>
                <w:sz w:val="20"/>
                <w:szCs w:val="20"/>
                <w:color w:val="auto"/>
              </w:rPr>
            </w:pPr>
            <w:r>
              <w:rPr>
                <w:rFonts w:ascii="Times New Roman" w:cs="Times New Roman" w:eastAsia="Times New Roman" w:hAnsi="Times New Roman"/>
                <w:sz w:val="16"/>
                <w:szCs w:val="16"/>
                <w:b w:val="1"/>
                <w:bCs w:val="1"/>
                <w:color w:val="auto"/>
                <w:w w:val="97"/>
              </w:rPr>
              <w:t>Economic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Investment Balance</w:t>
            </w:r>
          </w:p>
        </w:tc>
      </w:tr>
      <w:tr>
        <w:trPr>
          <w:trHeight w:val="205"/>
        </w:trPr>
        <w:tc>
          <w:tcPr>
            <w:tcW w:w="45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4720" w:type="dxa"/>
            <w:vAlign w:val="bottom"/>
            <w:shd w:val="clear" w:color="auto" w:fill="CCEEFF"/>
          </w:tcPr>
          <w:p>
            <w:pPr>
              <w:jc w:val="center"/>
              <w:ind w:left="3194"/>
              <w:spacing w:after="0"/>
              <w:rPr>
                <w:sz w:val="20"/>
                <w:szCs w:val="20"/>
                <w:color w:val="auto"/>
              </w:rPr>
            </w:pPr>
            <w:r>
              <w:rPr>
                <w:rFonts w:ascii="Times New Roman" w:cs="Times New Roman" w:eastAsia="Times New Roman" w:hAnsi="Times New Roman"/>
                <w:sz w:val="18"/>
                <w:szCs w:val="18"/>
                <w:color w:val="auto"/>
                <w:w w:val="96"/>
              </w:rPr>
              <w:t>50%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4720" w:type="dxa"/>
            <w:vAlign w:val="bottom"/>
          </w:tcPr>
          <w:p>
            <w:pPr>
              <w:jc w:val="center"/>
              <w:ind w:left="3194"/>
              <w:spacing w:after="0"/>
              <w:rPr>
                <w:sz w:val="20"/>
                <w:szCs w:val="20"/>
                <w:color w:val="auto"/>
              </w:rPr>
            </w:pPr>
            <w:r>
              <w:rPr>
                <w:rFonts w:ascii="Times New Roman" w:cs="Times New Roman" w:eastAsia="Times New Roman" w:hAnsi="Times New Roman"/>
                <w:sz w:val="18"/>
                <w:szCs w:val="18"/>
                <w:color w:val="auto"/>
                <w:w w:val="96"/>
              </w:rPr>
              <w:t>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4720" w:type="dxa"/>
            <w:vAlign w:val="bottom"/>
            <w:shd w:val="clear" w:color="auto" w:fill="CCEEFF"/>
          </w:tcPr>
          <w:p>
            <w:pPr>
              <w:jc w:val="center"/>
              <w:ind w:left="3194"/>
              <w:spacing w:after="0"/>
              <w:rPr>
                <w:sz w:val="20"/>
                <w:szCs w:val="20"/>
                <w:color w:val="auto"/>
              </w:rPr>
            </w:pPr>
            <w:r>
              <w:rPr>
                <w:rFonts w:ascii="Times New Roman" w:cs="Times New Roman" w:eastAsia="Times New Roman" w:hAnsi="Times New Roman"/>
                <w:sz w:val="18"/>
                <w:szCs w:val="18"/>
                <w:color w:val="auto"/>
                <w:w w:val="96"/>
              </w:rPr>
              <w:t>67%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4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2"/>
                <w:szCs w:val="22"/>
                <w:color w:val="auto"/>
                <w:vertAlign w:val="superscript"/>
              </w:rPr>
              <w:t>(a)</w:t>
            </w:r>
          </w:p>
        </w:tc>
        <w:tc>
          <w:tcPr>
            <w:tcW w:w="4720" w:type="dxa"/>
            <w:vAlign w:val="bottom"/>
          </w:tcPr>
          <w:p>
            <w:pPr>
              <w:jc w:val="center"/>
              <w:ind w:left="3194"/>
              <w:spacing w:after="0"/>
              <w:rPr>
                <w:sz w:val="20"/>
                <w:szCs w:val="20"/>
                <w:color w:val="auto"/>
              </w:rPr>
            </w:pPr>
            <w:r>
              <w:rPr>
                <w:rFonts w:ascii="Times New Roman" w:cs="Times New Roman" w:eastAsia="Times New Roman" w:hAnsi="Times New Roman"/>
                <w:sz w:val="18"/>
                <w:szCs w:val="18"/>
                <w:color w:val="auto"/>
                <w:w w:val="96"/>
              </w:rPr>
              <w:t>50%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4720" w:type="dxa"/>
            <w:vAlign w:val="bottom"/>
            <w:shd w:val="clear" w:color="auto" w:fill="CCEEFF"/>
          </w:tcPr>
          <w:p>
            <w:pPr>
              <w:jc w:val="center"/>
              <w:ind w:left="3194"/>
              <w:spacing w:after="0"/>
              <w:rPr>
                <w:sz w:val="20"/>
                <w:szCs w:val="20"/>
                <w:color w:val="auto"/>
              </w:rPr>
            </w:pPr>
            <w:r>
              <w:rPr>
                <w:rFonts w:ascii="Times New Roman" w:cs="Times New Roman" w:eastAsia="Times New Roman" w:hAnsi="Times New Roman"/>
                <w:sz w:val="18"/>
                <w:szCs w:val="18"/>
                <w:color w:val="auto"/>
                <w:w w:val="96"/>
              </w:rPr>
              <w:t>75%</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7"/>
        </w:trPr>
        <w:tc>
          <w:tcPr>
            <w:tcW w:w="45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0"/>
        </w:trPr>
        <w:tc>
          <w:tcPr>
            <w:tcW w:w="45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ind w:left="260" w:hanging="176"/>
        <w:spacing w:after="0"/>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GenConn is a variable interest entity.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56" w:lineRule="exact"/>
        <w:rPr>
          <w:sz w:val="20"/>
          <w:szCs w:val="20"/>
          <w:color w:val="auto"/>
        </w:rPr>
      </w:pPr>
    </w:p>
    <w:p>
      <w:pPr>
        <w:ind w:left="1180" w:hanging="227"/>
        <w:spacing w:after="0" w:line="268" w:lineRule="auto"/>
        <w:tabs>
          <w:tab w:leader="none" w:pos="11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1" w:lineRule="exact"/>
        <w:rPr>
          <w:rFonts w:ascii="Times New Roman" w:cs="Times New Roman" w:eastAsia="Times New Roman" w:hAnsi="Times New Roman"/>
          <w:sz w:val="18"/>
          <w:szCs w:val="18"/>
          <w:color w:val="auto"/>
        </w:rPr>
      </w:pPr>
    </w:p>
    <w:p>
      <w:pPr>
        <w:ind w:left="1180" w:hanging="227"/>
        <w:spacing w:after="0" w:line="268" w:lineRule="auto"/>
        <w:tabs>
          <w:tab w:leader="none" w:pos="11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1" w:lineRule="exact"/>
        <w:rPr>
          <w:rFonts w:ascii="Times New Roman" w:cs="Times New Roman" w:eastAsia="Times New Roman" w:hAnsi="Times New Roman"/>
          <w:sz w:val="18"/>
          <w:szCs w:val="18"/>
          <w:color w:val="auto"/>
        </w:rPr>
      </w:pPr>
    </w:p>
    <w:p>
      <w:pPr>
        <w:ind w:left="1180" w:hanging="227"/>
        <w:spacing w:after="0" w:line="268" w:lineRule="auto"/>
        <w:tabs>
          <w:tab w:leader="none" w:pos="11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carrying amounts and estimated fair values of the Company’s recorded financial instruments not carried at fair market value or that do not approximate fair value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320" w:type="dxa"/>
            <w:vAlign w:val="bottom"/>
          </w:tcPr>
          <w:p>
            <w:pPr>
              <w:spacing w:after="0"/>
              <w:rPr>
                <w:sz w:val="16"/>
                <w:szCs w:val="16"/>
                <w:color w:val="auto"/>
              </w:rPr>
            </w:pPr>
          </w:p>
        </w:tc>
        <w:tc>
          <w:tcPr>
            <w:tcW w:w="2180" w:type="dxa"/>
            <w:vAlign w:val="bottom"/>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6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610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4"/>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4"/>
        </w:trPr>
        <w:tc>
          <w:tcPr>
            <w:tcW w:w="61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2"/>
                <w:szCs w:val="22"/>
                <w:color w:val="auto"/>
                <w:vertAlign w:val="superscript"/>
              </w:rPr>
              <w:t>(a)</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7,077</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3868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79" w:lineRule="exact"/>
        <w:rPr>
          <w:sz w:val="20"/>
          <w:szCs w:val="20"/>
          <w:color w:val="auto"/>
        </w:rPr>
      </w:pPr>
    </w:p>
    <w:p>
      <w:pPr>
        <w:ind w:left="260" w:hanging="176"/>
        <w:spacing w:after="0"/>
        <w:tabs>
          <w:tab w:leader="none" w:pos="2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net debt issuance costs, which are recorded as a reduction to long-term debt on the Company’s consolidated balance sheets.</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2022 and December 31,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360" w:type="dxa"/>
            <w:vAlign w:val="bottom"/>
          </w:tcPr>
          <w:p>
            <w:pPr>
              <w:spacing w:after="0"/>
              <w:rPr>
                <w:sz w:val="16"/>
                <w:szCs w:val="16"/>
                <w:color w:val="auto"/>
              </w:rPr>
            </w:pPr>
          </w:p>
        </w:tc>
        <w:tc>
          <w:tcPr>
            <w:tcW w:w="2140" w:type="dxa"/>
            <w:vAlign w:val="bottom"/>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4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4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1"/>
        </w:trPr>
        <w:tc>
          <w:tcPr>
            <w:tcW w:w="4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1,752</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2,159</w:t>
            </w: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153"/>
        </w:trPr>
        <w:tc>
          <w:tcPr>
            <w:tcW w:w="43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763"/>
        </w:trPr>
        <w:tc>
          <w:tcPr>
            <w:tcW w:w="4300" w:type="dxa"/>
            <w:vAlign w:val="bottom"/>
          </w:tcPr>
          <w:p>
            <w:pPr>
              <w:spacing w:after="0"/>
              <w:rPr>
                <w:sz w:val="24"/>
                <w:szCs w:val="24"/>
                <w:color w:val="auto"/>
              </w:rPr>
            </w:pPr>
          </w:p>
        </w:tc>
        <w:tc>
          <w:tcPr>
            <w:tcW w:w="18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231F20"/>
              </w:rPr>
              <w:t>23</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9"/>
        </w:trPr>
        <w:tc>
          <w:tcPr>
            <w:tcW w:w="43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65" w:lineRule="exact"/>
        <w:rPr>
          <w:sz w:val="20"/>
          <w:szCs w:val="20"/>
          <w:color w:val="auto"/>
        </w:rPr>
      </w:pPr>
    </w:p>
    <w:p>
      <w:pPr>
        <w:jc w:val="both"/>
        <w:ind w:firstLine="395"/>
        <w:spacing w:after="0" w:line="330" w:lineRule="auto"/>
        <w:rPr>
          <w:sz w:val="20"/>
          <w:szCs w:val="20"/>
          <w:color w:val="auto"/>
        </w:rPr>
      </w:pPr>
      <w:r>
        <w:rPr>
          <w:rFonts w:ascii="Times New Roman" w:cs="Times New Roman" w:eastAsia="Times New Roman" w:hAnsi="Times New Roman"/>
          <w:sz w:val="16"/>
          <w:szCs w:val="16"/>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60" w:type="dxa"/>
            <w:vAlign w:val="bottom"/>
          </w:tcPr>
          <w:p>
            <w:pPr>
              <w:spacing w:after="0"/>
              <w:rPr>
                <w:sz w:val="16"/>
                <w:szCs w:val="16"/>
                <w:color w:val="auto"/>
              </w:rPr>
            </w:pPr>
          </w:p>
        </w:tc>
        <w:tc>
          <w:tcPr>
            <w:tcW w:w="244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0"/>
                <w:szCs w:val="20"/>
                <w:b w:val="1"/>
                <w:bCs w:val="1"/>
                <w:color w:val="auto"/>
                <w:vertAlign w:val="superscript"/>
              </w:rPr>
              <w:t>(a)</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0"/>
                <w:szCs w:val="20"/>
                <w:b w:val="1"/>
                <w:bCs w:val="1"/>
                <w:color w:val="auto"/>
                <w:vertAlign w:val="superscript"/>
              </w:rPr>
              <w:t>(a)</w:t>
            </w:r>
          </w:p>
        </w:tc>
        <w:tc>
          <w:tcPr>
            <w:tcW w:w="920" w:type="dxa"/>
            <w:vAlign w:val="bottom"/>
            <w:tcBorders>
              <w:bottom w:val="single" w:sz="8" w:color="auto"/>
            </w:tcBorders>
          </w:tcPr>
          <w:p>
            <w:pPr>
              <w:spacing w:after="0"/>
              <w:rPr>
                <w:sz w:val="20"/>
                <w:szCs w:val="20"/>
                <w:color w:val="auto"/>
              </w:rPr>
            </w:pPr>
          </w:p>
        </w:tc>
      </w:tr>
      <w:tr>
        <w:trPr>
          <w:trHeight w:val="184"/>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4"/>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7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2"/>
                <w:szCs w:val="22"/>
                <w:b w:val="1"/>
                <w:bCs w:val="1"/>
                <w:color w:val="auto"/>
                <w:vertAlign w:val="superscript"/>
              </w:rPr>
              <w:t>(b)</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5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4"/>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4"/>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260" w:hanging="176"/>
        <w:spacing w:after="0"/>
        <w:tabs>
          <w:tab w:leader="none" w:pos="2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There were no derivative assets classified as Level 1 or Level 3 and no liabilities classified as Level 1 as of September 30, 2022 and December 31, 2021.</w:t>
      </w:r>
    </w:p>
    <w:p>
      <w:pPr>
        <w:spacing w:after="0" w:line="72" w:lineRule="exact"/>
        <w:rPr>
          <w:rFonts w:ascii="Times New Roman" w:cs="Times New Roman" w:eastAsia="Times New Roman" w:hAnsi="Times New Roman"/>
          <w:sz w:val="23"/>
          <w:szCs w:val="23"/>
          <w:color w:val="auto"/>
          <w:vertAlign w:val="superscript"/>
        </w:rPr>
      </w:pPr>
    </w:p>
    <w:p>
      <w:pPr>
        <w:ind w:left="260" w:hanging="176"/>
        <w:spacing w:after="0" w:line="180" w:lineRule="auto"/>
        <w:tabs>
          <w:tab w:leader="none" w:pos="26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SREC contract.</w:t>
      </w:r>
    </w:p>
    <w:p>
      <w:pPr>
        <w:spacing w:after="0" w:line="14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76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1"/>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2740" w:type="dxa"/>
            <w:vAlign w:val="bottom"/>
            <w:gridSpan w:val="4"/>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 Measurement Using Significant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gridSpan w:val="4"/>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 Measurement Using Significant</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140" w:type="dxa"/>
            <w:vAlign w:val="bottom"/>
          </w:tcPr>
          <w:p>
            <w:pPr>
              <w:spacing w:after="0"/>
              <w:rPr>
                <w:sz w:val="16"/>
                <w:szCs w:val="16"/>
                <w:color w:val="auto"/>
              </w:rPr>
            </w:pPr>
          </w:p>
        </w:tc>
        <w:tc>
          <w:tcPr>
            <w:tcW w:w="276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due to loss of NPNS exception</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3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5"/>
                <w:szCs w:val="15"/>
                <w:color w:val="auto"/>
              </w:rPr>
              <w:t>Change in unrealized losses included in earnings for derivatives and</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instruments held as of September 30,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September 30, 2022, contracts valued with prices provided by models and other valuation techniques make up 100% of derivative liabilities and other financial instruments.</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September 30, 2022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6"/>
              </w:rPr>
              <w:t>Input/Range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6"/>
              </w:rPr>
              <w:t>Significant</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Pr>
          <w:p>
            <w:pPr>
              <w:spacing w:after="0"/>
              <w:rPr>
                <w:sz w:val="14"/>
                <w:szCs w:val="14"/>
                <w:color w:val="auto"/>
              </w:rPr>
            </w:pPr>
          </w:p>
        </w:tc>
        <w:tc>
          <w:tcPr>
            <w:tcW w:w="1180" w:type="dxa"/>
            <w:vAlign w:val="bottom"/>
            <w:vMerge w:val="restart"/>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vMerge w:val="continue"/>
          </w:tcPr>
          <w:p>
            <w:pPr>
              <w:spacing w:after="0"/>
              <w:rPr>
                <w:sz w:val="14"/>
                <w:szCs w:val="14"/>
                <w:color w:val="auto"/>
              </w:rPr>
            </w:pPr>
          </w:p>
        </w:tc>
        <w:tc>
          <w:tcPr>
            <w:tcW w:w="152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8"/>
              </w:rPr>
              <w:t>Unobservable</w:t>
            </w:r>
          </w:p>
        </w:tc>
        <w:tc>
          <w:tcPr>
            <w:tcW w:w="280" w:type="dxa"/>
            <w:vAlign w:val="bottom"/>
          </w:tcPr>
          <w:p>
            <w:pPr>
              <w:spacing w:after="0"/>
              <w:rPr>
                <w:sz w:val="14"/>
                <w:szCs w:val="14"/>
                <w:color w:val="auto"/>
              </w:rPr>
            </w:pPr>
          </w:p>
        </w:tc>
        <w:tc>
          <w:tcPr>
            <w:tcW w:w="1040" w:type="dxa"/>
            <w:vAlign w:val="bottom"/>
            <w:vMerge w:val="restart"/>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4"/>
                <w:szCs w:val="14"/>
                <w:color w:val="auto"/>
              </w:rPr>
            </w:pPr>
          </w:p>
        </w:tc>
        <w:tc>
          <w:tcPr>
            <w:tcW w:w="1200" w:type="dxa"/>
            <w:vAlign w:val="bottom"/>
            <w:vMerge w:val="restart"/>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gridSpan w:val="2"/>
          </w:tcPr>
          <w:p>
            <w:pPr>
              <w:jc w:val="right"/>
              <w:ind w:right="85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Commodity Contracts</w:t>
            </w:r>
          </w:p>
        </w:tc>
        <w:tc>
          <w:tcPr>
            <w:tcW w:w="920" w:type="dxa"/>
            <w:vAlign w:val="bottom"/>
            <w:vMerge w:val="restart"/>
            <w:shd w:val="clear" w:color="auto" w:fill="CCEEFF"/>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370</w:t>
            </w:r>
          </w:p>
        </w:tc>
        <w:tc>
          <w:tcPr>
            <w:tcW w:w="12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auto"/>
                <w:w w:val="97"/>
              </w:rPr>
              <w:t>Discounted Cash</w:t>
            </w:r>
          </w:p>
        </w:tc>
        <w:tc>
          <w:tcPr>
            <w:tcW w:w="15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auto"/>
                <w:w w:val="99"/>
              </w:rPr>
              <w:t>Forward Market Price</w:t>
            </w: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129.06</w:t>
            </w: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0" w:type="dxa"/>
            <w:vAlign w:val="bottom"/>
          </w:tcPr>
          <w:p>
            <w:pPr>
              <w:spacing w:after="0"/>
              <w:rPr>
                <w:sz w:val="1"/>
                <w:szCs w:val="1"/>
                <w:color w:val="auto"/>
              </w:rPr>
            </w:pPr>
          </w:p>
        </w:tc>
      </w:tr>
      <w:tr>
        <w:trPr>
          <w:trHeight w:val="211"/>
        </w:trPr>
        <w:tc>
          <w:tcPr>
            <w:tcW w:w="18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(per MWh)</w:t>
            </w: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Forecast annual</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Discounted Cash</w:t>
            </w:r>
          </w:p>
        </w:tc>
        <w:tc>
          <w:tcPr>
            <w:tcW w:w="15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generation levels of</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21</w:t>
            </w:r>
          </w:p>
        </w:tc>
        <w:tc>
          <w:tcPr>
            <w:tcW w:w="1180" w:type="dxa"/>
            <w:vAlign w:val="bottom"/>
            <w:vMerge w:val="restart"/>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continue"/>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certain DG solar</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58,539 MWh</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117,078 MWh</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114,223 MWh</w:t>
            </w:r>
          </w:p>
        </w:tc>
        <w:tc>
          <w:tcPr>
            <w:tcW w:w="0" w:type="dxa"/>
            <w:vAlign w:val="bottom"/>
          </w:tcPr>
          <w:p>
            <w:pPr>
              <w:spacing w:after="0"/>
              <w:rPr>
                <w:sz w:val="1"/>
                <w:szCs w:val="1"/>
                <w:color w:val="auto"/>
              </w:rPr>
            </w:pPr>
          </w:p>
        </w:tc>
      </w:tr>
      <w:tr>
        <w:trPr>
          <w:trHeight w:val="209"/>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9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facilities</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 September 30,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Significant Unobservable Input</w:t>
            </w:r>
          </w:p>
        </w:tc>
        <w:tc>
          <w:tcPr>
            <w:tcW w:w="204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6"/>
              </w:rPr>
              <w:t>Position</w:t>
            </w:r>
          </w:p>
        </w:tc>
        <w:tc>
          <w:tcPr>
            <w:tcW w:w="220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6"/>
              </w:rPr>
              <w:t>Change In Input</w:t>
            </w:r>
          </w:p>
        </w:tc>
        <w:tc>
          <w:tcPr>
            <w:tcW w:w="292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Impact on Fair Value Measurement</w:t>
            </w:r>
          </w:p>
        </w:tc>
      </w:tr>
      <w:tr>
        <w:trPr>
          <w:trHeight w:val="217"/>
        </w:trPr>
        <w:tc>
          <w:tcPr>
            <w:tcW w:w="4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Forward Market Price Power</w:t>
            </w:r>
          </w:p>
        </w:tc>
        <w:tc>
          <w:tcPr>
            <w:tcW w:w="20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Sell</w:t>
            </w:r>
          </w:p>
        </w:tc>
        <w:tc>
          <w:tcPr>
            <w:tcW w:w="220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9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6"/>
              </w:rPr>
              <w:t>Lower/(Higher)</w:t>
            </w:r>
          </w:p>
        </w:tc>
      </w:tr>
      <w:tr>
        <w:trPr>
          <w:trHeight w:val="228"/>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Forecast Generation Levels</w:t>
            </w:r>
          </w:p>
        </w:tc>
        <w:tc>
          <w:tcPr>
            <w:tcW w:w="20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Sell</w:t>
            </w:r>
          </w:p>
        </w:tc>
        <w:tc>
          <w:tcPr>
            <w:tcW w:w="2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9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Higher/(Lower)</w:t>
            </w:r>
          </w:p>
        </w:tc>
      </w:tr>
    </w:tbl>
    <w:p>
      <w:pPr>
        <w:spacing w:after="0" w:line="214"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2022, the non-performance reserve was a $48 million gain recorded primarily to total operating revenues in the consolidated statement of income. It is possible that future market prices could vary from those used in recording assets and liabilities and such variations could be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3" w:lineRule="exact"/>
        <w:rPr>
          <w:sz w:val="20"/>
          <w:szCs w:val="20"/>
          <w:color w:val="auto"/>
        </w:rPr>
      </w:pPr>
    </w:p>
    <w:p>
      <w:pPr>
        <w:jc w:val="both"/>
        <w:ind w:firstLine="395"/>
        <w:spacing w:after="0" w:line="283" w:lineRule="auto"/>
        <w:rPr>
          <w:sz w:val="20"/>
          <w:szCs w:val="20"/>
          <w:color w:val="auto"/>
        </w:rPr>
      </w:pPr>
      <w:r>
        <w:rPr>
          <w:rFonts w:ascii="Times New Roman" w:cs="Times New Roman" w:eastAsia="Times New Roman" w:hAnsi="Times New Roman"/>
          <w:sz w:val="16"/>
          <w:szCs w:val="16"/>
          <w:color w:val="auto"/>
        </w:rPr>
        <w:t xml:space="preserve">In addition to the credit risk discussion as disclosed under Item 15 —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to the</w:t>
      </w:r>
      <w:r>
        <w:rPr>
          <w:rFonts w:ascii="Times New Roman" w:cs="Times New Roman" w:eastAsia="Times New Roman" w:hAnsi="Times New Roman"/>
          <w:sz w:val="16"/>
          <w:szCs w:val="16"/>
          <w:color w:val="auto"/>
        </w:rPr>
        <w:t xml:space="preserve"> consolidated financial statements included in the </w:t>
      </w:r>
      <w:r>
        <w:rPr>
          <w:rFonts w:ascii="Times New Roman" w:cs="Times New Roman" w:eastAsia="Times New Roman" w:hAnsi="Times New Roman"/>
          <w:sz w:val="16"/>
          <w:szCs w:val="16"/>
          <w:color w:val="231F20"/>
        </w:rPr>
        <w:t>Company’s</w:t>
      </w:r>
      <w:r>
        <w:rPr>
          <w:rFonts w:ascii="Times New Roman" w:cs="Times New Roman" w:eastAsia="Times New Roman" w:hAnsi="Times New Roman"/>
          <w:sz w:val="16"/>
          <w:szCs w:val="16"/>
          <w:color w:val="auto"/>
        </w:rPr>
        <w:t xml:space="preserve"> 2021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63"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2021 Form 10-K.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September 30, 2022,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2022, the Company had energy-related derivative instruments extending through 2033. At September 30, 2022, these contracts were not designated as cash flow or fair value hedges.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December 31,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w w:val="97"/>
              </w:rPr>
              <w:t>Total Volume</w:t>
            </w:r>
          </w:p>
        </w:tc>
        <w:tc>
          <w:tcPr>
            <w:tcW w:w="14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7"/>
              </w:rPr>
              <w:t>December 31, 2021</w:t>
            </w:r>
          </w:p>
        </w:tc>
      </w:tr>
      <w:tr>
        <w:trPr>
          <w:trHeight w:val="145"/>
        </w:trPr>
        <w:tc>
          <w:tcPr>
            <w:tcW w:w="20" w:type="dxa"/>
            <w:vAlign w:val="bottom"/>
          </w:tcPr>
          <w:p>
            <w:pPr>
              <w:spacing w:after="0"/>
              <w:rPr>
                <w:sz w:val="12"/>
                <w:szCs w:val="12"/>
                <w:color w:val="auto"/>
              </w:rPr>
            </w:pPr>
          </w:p>
        </w:tc>
        <w:tc>
          <w:tcPr>
            <w:tcW w:w="19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55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2080" w:type="dxa"/>
            <w:vAlign w:val="bottom"/>
            <w:gridSpan w:val="2"/>
          </w:tcPr>
          <w:p>
            <w:pPr>
              <w:ind w:left="1300"/>
              <w:spacing w:after="0" w:line="14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4"/>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MMBtu</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w:t>
            </w: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MWh</w:t>
            </w:r>
          </w:p>
        </w:tc>
        <w:tc>
          <w:tcPr>
            <w:tcW w:w="220" w:type="dxa"/>
            <w:vAlign w:val="bottom"/>
          </w:tcPr>
          <w:p>
            <w:pPr>
              <w:spacing w:after="0"/>
              <w:rPr>
                <w:sz w:val="19"/>
                <w:szCs w:val="19"/>
                <w:color w:val="auto"/>
              </w:rPr>
            </w:pPr>
          </w:p>
        </w:tc>
        <w:tc>
          <w:tcPr>
            <w:tcW w:w="16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1,217</w:t>
            </w: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4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84"/>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60" w:type="dxa"/>
            <w:vAlign w:val="bottom"/>
          </w:tcPr>
          <w:p>
            <w:pPr>
              <w:spacing w:after="0"/>
              <w:rPr>
                <w:sz w:val="16"/>
                <w:szCs w:val="16"/>
                <w:color w:val="auto"/>
              </w:rPr>
            </w:pPr>
          </w:p>
        </w:tc>
        <w:tc>
          <w:tcPr>
            <w:tcW w:w="314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1"/>
        </w:trPr>
        <w:tc>
          <w:tcPr>
            <w:tcW w:w="45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1"/>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4"/>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4"/>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2"/>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722"/>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231F20"/>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9"/>
        </w:trPr>
        <w:tc>
          <w:tcPr>
            <w:tcW w:w="4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6" w:name="page27"/>
    <w:bookmarkEnd w:id="26"/>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September 30, 2022 and December 31, 2021, there was no outstanding collateral paid or received. The following tables summarize the offsetting of derivatives by counterparty: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20" w:type="dxa"/>
            <w:vAlign w:val="bottom"/>
            <w:gridSpan w:val="6"/>
          </w:tcPr>
          <w:p>
            <w:pPr>
              <w:jc w:val="center"/>
              <w:ind w:left="1078"/>
              <w:spacing w:after="0"/>
              <w:rPr>
                <w:sz w:val="20"/>
                <w:szCs w:val="20"/>
                <w:color w:val="auto"/>
              </w:rPr>
            </w:pPr>
            <w:r>
              <w:rPr>
                <w:rFonts w:ascii="Times New Roman" w:cs="Times New Roman" w:eastAsia="Times New Roman" w:hAnsi="Times New Roman"/>
                <w:sz w:val="14"/>
                <w:szCs w:val="14"/>
                <w:b w:val="1"/>
                <w:bCs w:val="1"/>
                <w:color w:val="auto"/>
                <w:w w:val="99"/>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200" w:type="dxa"/>
            <w:vAlign w:val="bottom"/>
          </w:tcPr>
          <w:p>
            <w:pPr>
              <w:spacing w:after="0"/>
              <w:rPr>
                <w:sz w:val="11"/>
                <w:szCs w:val="11"/>
                <w:color w:val="auto"/>
              </w:rPr>
            </w:pPr>
          </w:p>
        </w:tc>
        <w:tc>
          <w:tcPr>
            <w:tcW w:w="230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Gross Amounts of Recognized</w:t>
            </w:r>
          </w:p>
        </w:tc>
        <w:tc>
          <w:tcPr>
            <w:tcW w:w="300" w:type="dxa"/>
            <w:vAlign w:val="bottom"/>
          </w:tcPr>
          <w:p>
            <w:pPr>
              <w:spacing w:after="0"/>
              <w:rPr>
                <w:sz w:val="11"/>
                <w:szCs w:val="11"/>
                <w:color w:val="auto"/>
              </w:rPr>
            </w:pPr>
          </w:p>
        </w:tc>
        <w:tc>
          <w:tcPr>
            <w:tcW w:w="2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Assets/Liabilities</w:t>
            </w: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5"/>
        </w:trPr>
        <w:tc>
          <w:tcPr>
            <w:tcW w:w="44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top w:val="single" w:sz="8" w:color="CCEEFF"/>
              <w:bottom w:val="single" w:sz="8" w:color="auto"/>
            </w:tcBorders>
            <w:shd w:val="clear" w:color="auto" w:fill="CCEEFF"/>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auto"/>
            </w:tcBorders>
            <w:shd w:val="clear" w:color="auto" w:fill="CCEEFF"/>
          </w:tcPr>
          <w:p>
            <w:pPr>
              <w:jc w:val="right"/>
              <w:ind w:right="2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6"/>
          </w:tcPr>
          <w:p>
            <w:pPr>
              <w:jc w:val="center"/>
              <w:ind w:left="1078"/>
              <w:spacing w:after="0"/>
              <w:rPr>
                <w:sz w:val="20"/>
                <w:szCs w:val="20"/>
                <w:color w:val="auto"/>
              </w:rPr>
            </w:pPr>
            <w:r>
              <w:rPr>
                <w:rFonts w:ascii="Times New Roman" w:cs="Times New Roman" w:eastAsia="Times New Roman" w:hAnsi="Times New Roman"/>
                <w:sz w:val="14"/>
                <w:szCs w:val="14"/>
                <w:b w:val="1"/>
                <w:bCs w:val="1"/>
                <w:color w:val="auto"/>
                <w:w w:val="99"/>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00" w:type="dxa"/>
            <w:vAlign w:val="bottom"/>
          </w:tcPr>
          <w:p>
            <w:pPr>
              <w:spacing w:after="0"/>
              <w:rPr>
                <w:sz w:val="10"/>
                <w:szCs w:val="10"/>
                <w:color w:val="auto"/>
              </w:rPr>
            </w:pPr>
          </w:p>
        </w:tc>
        <w:tc>
          <w:tcPr>
            <w:tcW w:w="230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Gross Amounts of Recognized</w:t>
            </w:r>
          </w:p>
        </w:tc>
        <w:tc>
          <w:tcPr>
            <w:tcW w:w="300" w:type="dxa"/>
            <w:vAlign w:val="bottom"/>
          </w:tcPr>
          <w:p>
            <w:pPr>
              <w:spacing w:after="0"/>
              <w:rPr>
                <w:sz w:val="10"/>
                <w:szCs w:val="10"/>
                <w:color w:val="auto"/>
              </w:rPr>
            </w:pPr>
          </w:p>
        </w:tc>
        <w:tc>
          <w:tcPr>
            <w:tcW w:w="2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0"/>
                <w:szCs w:val="10"/>
                <w:color w:val="auto"/>
              </w:rPr>
            </w:pPr>
          </w:p>
        </w:tc>
        <w:tc>
          <w:tcPr>
            <w:tcW w:w="13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7"/>
        </w:trPr>
        <w:tc>
          <w:tcPr>
            <w:tcW w:w="44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Assets/Liabilities</w:t>
            </w: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80"/>
              <w:spacing w:after="0" w:line="204" w:lineRule="exact"/>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(OCL) balance attributable to interest rate swaps designated as cash flow hedge derivatives, net of tax:</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(OCL) beginning balance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79"/>
        </w:trPr>
        <w:tc>
          <w:tcPr>
            <w:tcW w:w="550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Reclassified from accumulated OCI (OCL) to income due to realization of</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previously deferred amounts</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 xml:space="preserve">Capistrano Wind Portfolio Acquisition </w:t>
            </w:r>
            <w:r>
              <w:rPr>
                <w:rFonts w:ascii="Times New Roman" w:cs="Times New Roman" w:eastAsia="Times New Roman" w:hAnsi="Times New Roman"/>
                <w:sz w:val="22"/>
                <w:szCs w:val="22"/>
                <w:color w:val="auto"/>
                <w:vertAlign w:val="superscript"/>
              </w:rPr>
              <w:t>(a)</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9"/>
        </w:trPr>
        <w:tc>
          <w:tcPr>
            <w:tcW w:w="550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w w:val="97"/>
              </w:rPr>
              <w:t>Accumulated OCI (OCL) ending balance, net of income tax expense (benefit)</w:t>
            </w:r>
          </w:p>
        </w:tc>
        <w:tc>
          <w:tcPr>
            <w:tcW w:w="9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$4, $(3), $4 and $(3), respectively</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7"/>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OCI (OCL) attributable to noncontrolling interests</w:t>
            </w: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OCI (OCL) attributable to Clearway Energy, Inc.</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Times New Roman" w:cs="Times New Roman" w:eastAsia="Times New Roman" w:hAnsi="Times New Roman"/>
                <w:sz w:val="18"/>
                <w:szCs w:val="18"/>
                <w:color w:val="auto"/>
              </w:rPr>
              <w:t>Gains expected to be realized from OCI during the next 12 months, net of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50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of $2</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60" w:hanging="176"/>
        <w:spacing w:after="0"/>
        <w:tabs>
          <w:tab w:leader="none" w:pos="2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Represents $4 million attributable to Clearway Energy, Inc. and $3 million attributable to noncontrolling interests.</w:t>
      </w:r>
    </w:p>
    <w:p>
      <w:pPr>
        <w:spacing w:after="0" w:line="130" w:lineRule="exact"/>
        <w:rPr>
          <w:rFonts w:ascii="Times New Roman" w:cs="Times New Roman" w:eastAsia="Times New Roman" w:hAnsi="Times New Roman"/>
          <w:sz w:val="23"/>
          <w:szCs w:val="23"/>
          <w:color w:val="auto"/>
          <w:vertAlign w:val="superscript"/>
        </w:rPr>
      </w:pPr>
    </w:p>
    <w:p>
      <w:pPr>
        <w:ind w:left="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reclassified from accumulated OCI (OCL) into income are recorded to interest expense.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Income</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Mark-to-market gains and losses related to the Company’s derivatives are recorded in the consolidated statements of income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480" w:type="dxa"/>
            <w:vAlign w:val="bottom"/>
          </w:tcPr>
          <w:p>
            <w:pPr>
              <w:spacing w:after="0"/>
              <w:rPr>
                <w:sz w:val="16"/>
                <w:szCs w:val="16"/>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5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242424"/>
                <w:w w:val="88"/>
              </w:rPr>
              <w:t>$</w:t>
            </w: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42424"/>
              </w:rPr>
              <w:t>33</w:t>
            </w:r>
          </w:p>
        </w:tc>
        <w:tc>
          <w:tcPr>
            <w:tcW w:w="108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42424"/>
                <w:w w:val="88"/>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242424"/>
              </w:rPr>
              <w:t>110</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Commodity Contracts (Mark-to-market for economic hedging activities) </w:t>
            </w:r>
            <w:r>
              <w:rPr>
                <w:rFonts w:ascii="Times New Roman" w:cs="Times New Roman" w:eastAsia="Times New Roman" w:hAnsi="Times New Roman"/>
                <w:sz w:val="22"/>
                <w:szCs w:val="22"/>
                <w:color w:val="auto"/>
                <w:vertAlign w:val="superscript"/>
              </w:rPr>
              <w:t>(a)</w:t>
            </w:r>
          </w:p>
        </w:tc>
        <w:tc>
          <w:tcPr>
            <w:tcW w:w="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(17)</w:t>
            </w:r>
          </w:p>
        </w:tc>
        <w:tc>
          <w:tcPr>
            <w:tcW w:w="10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242424"/>
              </w:rPr>
              <w:t>(191)</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46" w:lineRule="exact"/>
        <w:rPr>
          <w:sz w:val="20"/>
          <w:szCs w:val="20"/>
          <w:color w:val="auto"/>
        </w:rPr>
      </w:pPr>
    </w:p>
    <w:p>
      <w:pPr>
        <w:jc w:val="both"/>
        <w:ind w:left="80" w:firstLine="4"/>
        <w:spacing w:after="0" w:line="222" w:lineRule="auto"/>
        <w:tabs>
          <w:tab w:leader="none" w:pos="24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Relates to long-term commodity contracts at Elbow Creek Wind Project LLC, or Elbow Creek, Mesquite Star, Mt. Storm, Langford and Mesquite Sky and gains or losses are recognized in operating revenues. During the nine months ended September 30, 2022, the commodity contract for Langford, which previously met the NPNS exception, no longer qualified for NPNS treatment and, accordingly, is accounted for as a derivative and marked to fair value through operating revenues.</w:t>
      </w:r>
    </w:p>
    <w:p>
      <w:pPr>
        <w:spacing w:after="0" w:line="15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Prior to the Thermal Disposition, which is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a portion of the Company’s derivative commodity contracts were related to its Thermal Business for the purchase of fuel/electricity commodities based on the forecasted usage of the thermal district energy centers. Realized gains and losses on these contracts were reflected in the fuel costs that were permitted to be billed to customers through the related customer contracts or tariffs and, accordingly, no gains or losses were reflected in the consolidated statements of income for these contracts through the period that the Company owned the Thermal Business.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63" w:lineRule="exact"/>
        <w:rPr>
          <w:sz w:val="20"/>
          <w:szCs w:val="20"/>
          <w:color w:val="auto"/>
        </w:rPr>
      </w:pPr>
    </w:p>
    <w:p>
      <w:pPr>
        <w:ind w:firstLine="395"/>
        <w:spacing w:after="0" w:line="331" w:lineRule="auto"/>
        <w:rPr>
          <w:sz w:val="20"/>
          <w:szCs w:val="20"/>
          <w:color w:val="auto"/>
        </w:rPr>
      </w:pPr>
      <w:r>
        <w:rPr>
          <w:rFonts w:ascii="Times New Roman" w:cs="Times New Roman" w:eastAsia="Times New Roman" w:hAnsi="Times New Roman"/>
          <w:sz w:val="16"/>
          <w:szCs w:val="16"/>
          <w:color w:val="auto"/>
        </w:rPr>
        <w:t xml:space="preserve">This note should be read in conjunction with the complete description under Item 15 — Note 10, </w:t>
      </w:r>
      <w:r>
        <w:rPr>
          <w:rFonts w:ascii="Times New Roman" w:cs="Times New Roman" w:eastAsia="Times New Roman" w:hAnsi="Times New Roman"/>
          <w:sz w:val="16"/>
          <w:szCs w:val="16"/>
          <w:i w:val="1"/>
          <w:iCs w:val="1"/>
          <w:color w:val="auto"/>
        </w:rPr>
        <w:t>Long-term Debt,</w:t>
      </w:r>
      <w:r>
        <w:rPr>
          <w:rFonts w:ascii="Times New Roman" w:cs="Times New Roman" w:eastAsia="Times New Roman" w:hAnsi="Times New Roman"/>
          <w:sz w:val="16"/>
          <w:szCs w:val="16"/>
          <w:color w:val="auto"/>
        </w:rPr>
        <w:t xml:space="preserve"> to the consolidated financial statements included in the Company’s 2021 Form 10-K. The Company’s borrowings, including short-term and long-term portions consisted of the following:</w:t>
      </w:r>
    </w:p>
    <w:tbl>
      <w:tblPr>
        <w:tblLayout w:type="fixed"/>
        <w:tblInd w:w="0" w:type="dxa"/>
        <w:tblCellMar>
          <w:top w:w="0" w:type="dxa"/>
          <w:left w:w="0" w:type="dxa"/>
          <w:bottom w:w="0" w:type="dxa"/>
          <w:right w:w="0" w:type="dxa"/>
        </w:tblCellMar>
      </w:tblPr>
      <w:tr>
        <w:trPr>
          <w:trHeight w:val="146"/>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2"/>
                <w:szCs w:val="12"/>
                <w:color w:val="auto"/>
              </w:rPr>
            </w:pPr>
          </w:p>
        </w:tc>
        <w:tc>
          <w:tcPr>
            <w:tcW w:w="1440" w:type="dxa"/>
            <w:vAlign w:val="bottom"/>
          </w:tcPr>
          <w:p>
            <w:pPr>
              <w:jc w:val="center"/>
              <w:ind w:right="82"/>
              <w:spacing w:after="0" w:line="147" w:lineRule="exact"/>
              <w:rPr>
                <w:sz w:val="20"/>
                <w:szCs w:val="20"/>
                <w:color w:val="auto"/>
              </w:rPr>
            </w:pPr>
            <w:r>
              <w:rPr>
                <w:rFonts w:ascii="Times New Roman" w:cs="Times New Roman" w:eastAsia="Times New Roman" w:hAnsi="Times New Roman"/>
                <w:sz w:val="14"/>
                <w:szCs w:val="14"/>
                <w:b w:val="1"/>
                <w:bCs w:val="1"/>
                <w:color w:val="auto"/>
                <w:w w:val="99"/>
              </w:rPr>
              <w:t>Letters of Credit</w:t>
            </w:r>
          </w:p>
        </w:tc>
        <w:tc>
          <w:tcPr>
            <w:tcW w:w="0" w:type="dxa"/>
            <w:vAlign w:val="bottom"/>
          </w:tcPr>
          <w:p>
            <w:pPr>
              <w:spacing w:after="0"/>
              <w:rPr>
                <w:sz w:val="1"/>
                <w:szCs w:val="1"/>
                <w:color w:val="auto"/>
              </w:rPr>
            </w:pPr>
          </w:p>
        </w:tc>
      </w:tr>
      <w:tr>
        <w:trPr>
          <w:trHeight w:val="14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62"/>
              <w:spacing w:after="0" w:line="143"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ind w:left="240"/>
              <w:spacing w:after="0" w:line="197" w:lineRule="exact"/>
              <w:rPr>
                <w:sz w:val="20"/>
                <w:szCs w:val="20"/>
                <w:color w:val="auto"/>
              </w:rPr>
            </w:pPr>
            <w:r>
              <w:rPr>
                <w:rFonts w:ascii="Times New Roman" w:cs="Times New Roman" w:eastAsia="Times New Roman" w:hAnsi="Times New Roman"/>
                <w:sz w:val="14"/>
                <w:szCs w:val="14"/>
                <w:b w:val="1"/>
                <w:bCs w:val="1"/>
                <w:color w:val="auto"/>
              </w:rPr>
              <w:t xml:space="preserve">interest rate % </w:t>
            </w:r>
            <w:r>
              <w:rPr>
                <w:rFonts w:ascii="Times New Roman" w:cs="Times New Roman" w:eastAsia="Times New Roman" w:hAnsi="Times New Roman"/>
                <w:sz w:val="20"/>
                <w:szCs w:val="20"/>
                <w:b w:val="1"/>
                <w:bCs w:val="1"/>
                <w:color w:val="auto"/>
                <w:vertAlign w:val="superscript"/>
              </w:rPr>
              <w:t>(a) (b)</w:t>
            </w:r>
          </w:p>
        </w:tc>
        <w:tc>
          <w:tcPr>
            <w:tcW w:w="140" w:type="dxa"/>
            <w:vAlign w:val="bottom"/>
          </w:tcPr>
          <w:p>
            <w:pPr>
              <w:spacing w:after="0"/>
              <w:rPr>
                <w:sz w:val="17"/>
                <w:szCs w:val="17"/>
                <w:color w:val="auto"/>
              </w:rPr>
            </w:pPr>
          </w:p>
        </w:tc>
        <w:tc>
          <w:tcPr>
            <w:tcW w:w="14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04"/>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Senior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ind w:left="1102"/>
              <w:spacing w:after="0"/>
              <w:rPr>
                <w:sz w:val="20"/>
                <w:szCs w:val="20"/>
                <w:color w:val="auto"/>
              </w:rPr>
            </w:pPr>
            <w:r>
              <w:rPr>
                <w:rFonts w:ascii="Times New Roman" w:cs="Times New Roman" w:eastAsia="Times New Roman" w:hAnsi="Times New Roman"/>
                <w:sz w:val="16"/>
                <w:szCs w:val="16"/>
                <w:color w:val="auto"/>
                <w:w w:val="99"/>
              </w:rPr>
              <w:t>4.750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 Senior Notes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3.750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 Senior Notes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760" w:type="dxa"/>
            <w:vAlign w:val="bottom"/>
            <w:gridSpan w:val="2"/>
            <w:shd w:val="clear" w:color="auto" w:fill="CCEEFF"/>
          </w:tcPr>
          <w:p>
            <w:pPr>
              <w:jc w:val="center"/>
              <w:ind w:left="1201"/>
              <w:spacing w:after="0"/>
              <w:rPr>
                <w:sz w:val="20"/>
                <w:szCs w:val="20"/>
                <w:color w:val="auto"/>
              </w:rPr>
            </w:pPr>
            <w:r>
              <w:rPr>
                <w:rFonts w:ascii="Times New Roman" w:cs="Times New Roman" w:eastAsia="Times New Roman" w:hAnsi="Times New Roman"/>
                <w:sz w:val="16"/>
                <w:szCs w:val="16"/>
                <w:color w:val="auto"/>
                <w:w w:val="99"/>
              </w:rPr>
              <w:t>3.750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Clearway Energy LLC and Clearway Energy Operating LLC Revolving Credit</w:t>
            </w:r>
          </w:p>
        </w:tc>
        <w:tc>
          <w:tcPr>
            <w:tcW w:w="14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3"/>
                <w:szCs w:val="13"/>
                <w:color w:val="auto"/>
              </w:rPr>
            </w:pPr>
          </w:p>
        </w:tc>
        <w:tc>
          <w:tcPr>
            <w:tcW w:w="1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42424"/>
                <w:w w:val="74"/>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42424"/>
              </w:rPr>
              <w:t>112</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Facility, due 2023 </w:t>
            </w:r>
            <w:r>
              <w:rPr>
                <w:rFonts w:ascii="Times New Roman" w:cs="Times New Roman" w:eastAsia="Times New Roman" w:hAnsi="Times New Roman"/>
                <w:sz w:val="20"/>
                <w:szCs w:val="20"/>
                <w:color w:val="auto"/>
                <w:vertAlign w:val="superscript"/>
              </w:rPr>
              <w:t>(c)</w:t>
            </w: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Bridge Loan, due 2022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S+1.250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Project-level debt: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Agua Caliente Solar LLC, due 2037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2.395 - 3.633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45</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 Wind Asset Management LLC, due 2031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L+2.625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I-V lease financing arrangements, due 2034 and 2035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5.696 - 7.015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22</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 Wind Realty Investments LLC, due 2031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7.000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Borrego, due 2024 and 2038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942"/>
              <w:spacing w:after="0"/>
              <w:rPr>
                <w:sz w:val="20"/>
                <w:szCs w:val="20"/>
                <w:color w:val="auto"/>
              </w:rPr>
            </w:pPr>
            <w:r>
              <w:rPr>
                <w:rFonts w:ascii="Times New Roman" w:cs="Times New Roman" w:eastAsia="Times New Roman" w:hAnsi="Times New Roman"/>
                <w:sz w:val="16"/>
                <w:szCs w:val="16"/>
                <w:color w:val="auto"/>
                <w:w w:val="94"/>
              </w:rPr>
              <w:t>Various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4</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Buckthorn Solar, due 2025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22</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Capistrano Wind Portfolio, due 2029 and 2031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L+2.000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37</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2027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68</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2038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760" w:type="dxa"/>
            <w:vAlign w:val="bottom"/>
            <w:gridSpan w:val="2"/>
            <w:shd w:val="clear" w:color="auto" w:fill="CCEEFF"/>
          </w:tcPr>
          <w:p>
            <w:pPr>
              <w:jc w:val="center"/>
              <w:ind w:left="1201"/>
              <w:spacing w:after="0"/>
              <w:rPr>
                <w:sz w:val="20"/>
                <w:szCs w:val="20"/>
                <w:color w:val="auto"/>
              </w:rPr>
            </w:pPr>
            <w:r>
              <w:rPr>
                <w:rFonts w:ascii="Times New Roman" w:cs="Times New Roman" w:eastAsia="Times New Roman" w:hAnsi="Times New Roman"/>
                <w:sz w:val="16"/>
                <w:szCs w:val="16"/>
                <w:color w:val="auto"/>
                <w:w w:val="99"/>
              </w:rPr>
              <w:t>4.120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Carlsbad Holdco, due 2038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4.210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10</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CVSR, due 2037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2.339 - 3.775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CVSR Holdco Notes, due 2037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4.680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13</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DG-CS Master Borrower LLC, due 2040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760" w:type="dxa"/>
            <w:vAlign w:val="bottom"/>
            <w:gridSpan w:val="2"/>
            <w:shd w:val="clear" w:color="auto" w:fill="CCEEFF"/>
          </w:tcPr>
          <w:p>
            <w:pPr>
              <w:jc w:val="center"/>
              <w:ind w:left="1201"/>
              <w:spacing w:after="0"/>
              <w:rPr>
                <w:sz w:val="20"/>
                <w:szCs w:val="20"/>
                <w:color w:val="auto"/>
              </w:rPr>
            </w:pPr>
            <w:r>
              <w:rPr>
                <w:rFonts w:ascii="Times New Roman" w:cs="Times New Roman" w:eastAsia="Times New Roman" w:hAnsi="Times New Roman"/>
                <w:sz w:val="16"/>
                <w:szCs w:val="16"/>
                <w:color w:val="auto"/>
                <w:w w:val="99"/>
              </w:rPr>
              <w:t>3.510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30</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 Segundo Energy Center, due 2023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L+1.875 - L+2.500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128</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Kawailoa Solar Portfolio LLC, due 2026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L+1.375</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Laredo Ridge, due 2028 </w:t>
            </w:r>
            <w:r>
              <w:rPr>
                <w:rFonts w:ascii="Times New Roman" w:cs="Times New Roman" w:eastAsia="Times New Roman" w:hAnsi="Times New Roman"/>
                <w:sz w:val="20"/>
                <w:szCs w:val="20"/>
                <w:color w:val="auto"/>
                <w:vertAlign w:val="superscript"/>
              </w:rPr>
              <w:t>(d)</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L+2.125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Marsh Landing, due 2023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L+2.375</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55</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Mililani I, due 2022 and 2024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L+1.000 - L+1.250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3</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NIMH Solar, due 2024</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L+2.000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14</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Oahu Solar Holdings LLC, due 2026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L+1.375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10</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Rosie Class B LLC, due 2027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17</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Tapestry Wind LLC, due 2031 </w:t>
            </w:r>
            <w:r>
              <w:rPr>
                <w:rFonts w:ascii="Times New Roman" w:cs="Times New Roman" w:eastAsia="Times New Roman" w:hAnsi="Times New Roman"/>
                <w:sz w:val="20"/>
                <w:szCs w:val="20"/>
                <w:color w:val="auto"/>
                <w:vertAlign w:val="superscript"/>
              </w:rPr>
              <w:t>(d)</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L+1.375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 Solar Holdings, due 2036</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760" w:type="dxa"/>
            <w:vAlign w:val="bottom"/>
            <w:gridSpan w:val="2"/>
            <w:shd w:val="clear" w:color="auto" w:fill="CCEEFF"/>
          </w:tcPr>
          <w:p>
            <w:pPr>
              <w:jc w:val="center"/>
              <w:ind w:left="1201"/>
              <w:spacing w:after="0"/>
              <w:rPr>
                <w:sz w:val="20"/>
                <w:szCs w:val="20"/>
                <w:color w:val="auto"/>
              </w:rPr>
            </w:pPr>
            <w:r>
              <w:rPr>
                <w:rFonts w:ascii="Times New Roman" w:cs="Times New Roman" w:eastAsia="Times New Roman" w:hAnsi="Times New Roman"/>
                <w:sz w:val="16"/>
                <w:szCs w:val="16"/>
                <w:color w:val="auto"/>
                <w:w w:val="99"/>
              </w:rPr>
              <w:t>3.590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15</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Viento Funding II, LLC, due 2023 and 2029 </w:t>
            </w:r>
            <w:r>
              <w:rPr>
                <w:rFonts w:ascii="Times New Roman" w:cs="Times New Roman" w:eastAsia="Times New Roman" w:hAnsi="Times New Roman"/>
                <w:sz w:val="20"/>
                <w:szCs w:val="20"/>
                <w:color w:val="auto"/>
                <w:vertAlign w:val="superscript"/>
              </w:rPr>
              <w:t>(d)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S+1.475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26</w:t>
            </w: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Walnut Creek, due 2023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73</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WCEP Holdings, LLC, due 2023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L+3.000</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942"/>
              <w:spacing w:after="0"/>
              <w:rPr>
                <w:sz w:val="20"/>
                <w:szCs w:val="20"/>
                <w:color w:val="auto"/>
              </w:rPr>
            </w:pPr>
            <w:r>
              <w:rPr>
                <w:rFonts w:ascii="Times New Roman" w:cs="Times New Roman" w:eastAsia="Times New Roman" w:hAnsi="Times New Roman"/>
                <w:sz w:val="16"/>
                <w:szCs w:val="16"/>
                <w:color w:val="auto"/>
                <w:w w:val="94"/>
              </w:rPr>
              <w:t>Various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193</w:t>
            </w:r>
          </w:p>
        </w:tc>
        <w:tc>
          <w:tcPr>
            <w:tcW w:w="0" w:type="dxa"/>
            <w:vAlign w:val="bottom"/>
          </w:tcPr>
          <w:p>
            <w:pPr>
              <w:spacing w:after="0"/>
              <w:rPr>
                <w:sz w:val="1"/>
                <w:szCs w:val="1"/>
                <w:color w:val="auto"/>
              </w:rPr>
            </w:pPr>
          </w:p>
        </w:tc>
      </w:tr>
      <w:tr>
        <w:trPr>
          <w:trHeight w:val="202"/>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Subtotal project-level debt: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0"/>
                <w:szCs w:val="20"/>
                <w:color w:val="auto"/>
                <w:vertAlign w:val="superscript"/>
              </w:rPr>
              <w:t>(e)</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80" w:firstLine="4"/>
        <w:spacing w:after="0"/>
        <w:tabs>
          <w:tab w:leader="none" w:pos="229"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As of September 30, 2022, L+ equals 3 month LIBOR plus x%, except Marsh Landing, due 2023, Mililani I, due 2022 and 2024, and Walnut Creek, due 2023, where L+ equals 1 month LIBOR plus x%.</w:t>
      </w:r>
    </w:p>
    <w:p>
      <w:pPr>
        <w:spacing w:after="0" w:line="135" w:lineRule="exact"/>
        <w:rPr>
          <w:rFonts w:ascii="Times New Roman" w:cs="Times New Roman" w:eastAsia="Times New Roman" w:hAnsi="Times New Roman"/>
          <w:sz w:val="19"/>
          <w:szCs w:val="19"/>
          <w:color w:val="auto"/>
          <w:vertAlign w:val="superscript"/>
        </w:rPr>
      </w:pPr>
    </w:p>
    <w:p>
      <w:pPr>
        <w:ind w:left="220" w:hanging="136"/>
        <w:spacing w:after="0" w:line="226" w:lineRule="auto"/>
        <w:tabs>
          <w:tab w:leader="none" w:pos="2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S+ equals SOFR, plus x%.</w:t>
      </w:r>
    </w:p>
    <w:p>
      <w:pPr>
        <w:spacing w:after="0" w:line="17" w:lineRule="exact"/>
        <w:rPr>
          <w:rFonts w:ascii="Times New Roman" w:cs="Times New Roman" w:eastAsia="Times New Roman" w:hAnsi="Times New Roman"/>
          <w:sz w:val="17"/>
          <w:szCs w:val="17"/>
          <w:color w:val="auto"/>
          <w:vertAlign w:val="superscript"/>
        </w:rPr>
      </w:pPr>
    </w:p>
    <w:p>
      <w:pPr>
        <w:ind w:left="240" w:hanging="156"/>
        <w:spacing w:after="0" w:line="183" w:lineRule="auto"/>
        <w:tabs>
          <w:tab w:leader="none" w:pos="24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Applicable rate is determined by the borrower leverage ratio, as defined in the credit agreement.</w:t>
      </w:r>
    </w:p>
    <w:p>
      <w:pPr>
        <w:spacing w:after="0" w:line="17" w:lineRule="exact"/>
        <w:rPr>
          <w:rFonts w:ascii="Times New Roman" w:cs="Times New Roman" w:eastAsia="Times New Roman" w:hAnsi="Times New Roman"/>
          <w:sz w:val="19"/>
          <w:szCs w:val="19"/>
          <w:color w:val="auto"/>
          <w:vertAlign w:val="superscript"/>
        </w:rPr>
      </w:pPr>
    </w:p>
    <w:p>
      <w:pPr>
        <w:ind w:left="80" w:firstLine="4"/>
        <w:spacing w:after="0" w:line="220" w:lineRule="auto"/>
        <w:tabs>
          <w:tab w:leader="none" w:pos="234"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Laredo Ridge, due 2028; Tapestry Wind, LLC, due 2031; and Viento Funding II, LLC, due 2023 project-level debt were repaid on March 16, 2022 totaling $186 million and was replaced with $190 million in new project-level debt under Viento Funding II, LLC that was obtained on March 16, 2022 and is due in 2029, as discussed further below.</w:t>
      </w:r>
    </w:p>
    <w:p>
      <w:pPr>
        <w:ind w:left="240" w:hanging="156"/>
        <w:spacing w:after="0" w:line="183" w:lineRule="auto"/>
        <w:tabs>
          <w:tab w:leader="none" w:pos="24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Premiums relate to the 2028 Senior Notes.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9" w:name="page30"/>
    <w:bookmarkEnd w:id="29"/>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September 30, 2022, the Company was in compliance with all of the required covenants.</w:t>
      </w:r>
    </w:p>
    <w:p>
      <w:pPr>
        <w:spacing w:after="0" w:line="117" w:lineRule="exact"/>
        <w:rPr>
          <w:sz w:val="20"/>
          <w:szCs w:val="20"/>
          <w:color w:val="auto"/>
        </w:rPr>
      </w:pPr>
    </w:p>
    <w:p>
      <w:pPr>
        <w:ind w:right="1700" w:firstLine="395"/>
        <w:spacing w:after="0" w:line="427" w:lineRule="auto"/>
        <w:rPr>
          <w:sz w:val="20"/>
          <w:szCs w:val="20"/>
          <w:color w:val="auto"/>
        </w:rPr>
      </w:pPr>
      <w:r>
        <w:rPr>
          <w:rFonts w:ascii="Times New Roman" w:cs="Times New Roman" w:eastAsia="Times New Roman" w:hAnsi="Times New Roman"/>
          <w:sz w:val="18"/>
          <w:szCs w:val="18"/>
          <w:color w:val="auto"/>
        </w:rPr>
        <w:t xml:space="preserve">The discussion below describes material changes to or additions of long-term debt for the nine months ended September 30, 2022. </w:t>
      </w:r>
      <w:r>
        <w:rPr>
          <w:rFonts w:ascii="Times New Roman" w:cs="Times New Roman" w:eastAsia="Times New Roman" w:hAnsi="Times New Roman"/>
          <w:sz w:val="18"/>
          <w:szCs w:val="18"/>
          <w:b w:val="1"/>
          <w:bCs w:val="1"/>
          <w:i w:val="1"/>
          <w:iCs w:val="1"/>
          <w:color w:val="auto"/>
        </w:rPr>
        <w:t>Clearway Energy LLC and Clearway Energy Operating LLC Revolving Credit Facility</w:t>
      </w: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September 30, 2022, the Company had no outstanding borrowings under the revolving credit facility and $112 million in letters of credit outstanding. During the nine months ended September 30, 2022, the Company borrowed $80 million under the revolving credit facility and repaid $325 million, $305 million of which was repaid on May 3, 2022, utilizing the proceeds received from the Thermal Disposition.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3, 2022, the Company repaid the $335 million in outstanding borrowings under the Bridge Loan Agreement utilizing proceeds received from the Thermal Disposition,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Project-level Debt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Capistrano Wind Portfolio</w:t>
      </w:r>
    </w:p>
    <w:p>
      <w:pPr>
        <w:spacing w:after="0" w:line="16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On August 22, 2022, as part of the acquisition of the Capistrano Wind Portfolio,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acquired non-recourse project-level debt totaling $164 million held by the Broken Bow, Cedro Hill and Crofton Bluffs wind projects, which is net of $2 million in previously deferred unamortized debt issuance costs. The non-recourse project-level debt bears interest at a rate of LIBOR plus an applicable margin, which is currently 2.00% per annum, and maturities range from September 30, 2029 to July 14, 2031.</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Mililani I</w:t>
      </w:r>
    </w:p>
    <w:p>
      <w:pPr>
        <w:spacing w:after="0" w:line="161" w:lineRule="exact"/>
        <w:rPr>
          <w:sz w:val="20"/>
          <w:szCs w:val="20"/>
          <w:color w:val="auto"/>
        </w:rPr>
      </w:pPr>
    </w:p>
    <w:p>
      <w:pPr>
        <w:jc w:val="both"/>
        <w:ind w:firstLine="395"/>
        <w:spacing w:after="0" w:line="283" w:lineRule="auto"/>
        <w:rPr>
          <w:sz w:val="20"/>
          <w:szCs w:val="20"/>
          <w:color w:val="auto"/>
        </w:rPr>
      </w:pPr>
      <w:r>
        <w:rPr>
          <w:rFonts w:ascii="Times New Roman" w:cs="Times New Roman" w:eastAsia="Times New Roman" w:hAnsi="Times New Roman"/>
          <w:sz w:val="16"/>
          <w:szCs w:val="16"/>
          <w:color w:val="auto"/>
        </w:rPr>
        <w:t xml:space="preserve">On March 25, 2022, as part of the acquisition of Mililani I, as further described in Note 3, </w:t>
      </w:r>
      <w:r>
        <w:rPr>
          <w:rFonts w:ascii="Times New Roman" w:cs="Times New Roman" w:eastAsia="Times New Roman" w:hAnsi="Times New Roman"/>
          <w:sz w:val="16"/>
          <w:szCs w:val="16"/>
          <w:i w:val="1"/>
          <w:iCs w:val="1"/>
          <w:color w:val="auto"/>
        </w:rPr>
        <w:t>Acquisitions and Dispositions</w:t>
      </w:r>
      <w:r>
        <w:rPr>
          <w:rFonts w:ascii="Times New Roman" w:cs="Times New Roman" w:eastAsia="Times New Roman" w:hAnsi="Times New Roman"/>
          <w:sz w:val="16"/>
          <w:szCs w:val="16"/>
          <w:color w:val="auto"/>
        </w:rPr>
        <w:t>, the Company assumed the project’s financing agreement, which included a $16 million construction loan that converts to a term loan upon the project reaching substantial completion, $60 million tax equity bridge loan and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received from the tax equity investor upon Mililani I reaching substantial completion, which is expected to occur in the fourth quarter of 2022, along with the $18 million that was contributed into escrow by the tax equity investor at acquisition date. Subsequent to the Mililani I acquisition, the Company borrowed an additional $27 million in construction loans. As of September 30, 2022, the Company had $43 million in outstanding construction loans in addition to the $60 million tax equity bridge loan referenced above.</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Viento Funding II, LLC</w:t>
      </w:r>
    </w:p>
    <w:p>
      <w:pPr>
        <w:spacing w:after="0" w:line="163"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 spread of 0.10% and an applicable margin, which is 1.375%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Earnings Per Share</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 of the Company’s basic and diluted earnings per share is shown in the following tables: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20"/>
                <w:szCs w:val="20"/>
                <w:b w:val="1"/>
                <w:bCs w:val="1"/>
                <w:color w:val="auto"/>
                <w:vertAlign w:val="superscript"/>
              </w:rPr>
              <w:t>(a)</w:t>
            </w:r>
          </w:p>
        </w:tc>
        <w:tc>
          <w:tcPr>
            <w:tcW w:w="10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Common Class</w:t>
            </w:r>
          </w:p>
        </w:tc>
        <w:tc>
          <w:tcPr>
            <w:tcW w:w="1140" w:type="dxa"/>
            <w:vAlign w:val="bottom"/>
            <w:gridSpan w:val="3"/>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Common Class</w:t>
            </w:r>
          </w:p>
        </w:tc>
        <w:tc>
          <w:tcPr>
            <w:tcW w:w="10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0" w:type="dxa"/>
            <w:vAlign w:val="bottom"/>
          </w:tcPr>
          <w:p>
            <w:pPr>
              <w:spacing w:after="0"/>
              <w:rPr>
                <w:sz w:val="1"/>
                <w:szCs w:val="1"/>
                <w:color w:val="auto"/>
              </w:rPr>
            </w:pPr>
          </w:p>
        </w:tc>
      </w:tr>
      <w:tr>
        <w:trPr>
          <w:trHeight w:val="196"/>
        </w:trPr>
        <w:tc>
          <w:tcPr>
            <w:tcW w:w="66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1"/>
        </w:trPr>
        <w:tc>
          <w:tcPr>
            <w:tcW w:w="66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Basic and diluted earnings per share attributable to Clearway Energy, Inc. common</w:t>
            </w:r>
          </w:p>
        </w:tc>
        <w:tc>
          <w:tcPr>
            <w:tcW w:w="3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basic and diluted</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80" w:right="420" w:firstLine="4"/>
        <w:spacing w:after="0"/>
        <w:tabs>
          <w:tab w:leader="none" w:pos="219"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income attributable to Clearway Energy, Inc. and basic and diluted earnings per share might not recalculate due to presenting amounts in millions rather than whole dollars.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20"/>
                <w:szCs w:val="20"/>
                <w:b w:val="1"/>
                <w:bCs w:val="1"/>
                <w:color w:val="auto"/>
                <w:vertAlign w:val="superscript"/>
              </w:rPr>
              <w:t>(a)</w:t>
            </w:r>
          </w:p>
        </w:tc>
        <w:tc>
          <w:tcPr>
            <w:tcW w:w="1160" w:type="dxa"/>
            <w:vAlign w:val="bottom"/>
            <w:gridSpan w:val="3"/>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Common Class</w:t>
            </w:r>
          </w:p>
        </w:tc>
        <w:tc>
          <w:tcPr>
            <w:tcW w:w="104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0" w:type="dxa"/>
            <w:vAlign w:val="bottom"/>
          </w:tcPr>
          <w:p>
            <w:pPr>
              <w:spacing w:after="0"/>
              <w:rPr>
                <w:sz w:val="1"/>
                <w:szCs w:val="1"/>
                <w:color w:val="auto"/>
              </w:rPr>
            </w:pPr>
          </w:p>
        </w:tc>
      </w:tr>
      <w:tr>
        <w:trPr>
          <w:trHeight w:val="196"/>
        </w:trPr>
        <w:tc>
          <w:tcPr>
            <w:tcW w:w="67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7"/>
        </w:trPr>
        <w:tc>
          <w:tcPr>
            <w:tcW w:w="676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Basic and diluted earnings per share attributable to Clearway Energy, Inc. common</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tc>
        <w:tc>
          <w:tcPr>
            <w:tcW w:w="3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2"/>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basic and diluted</w:t>
            </w:r>
          </w:p>
        </w:tc>
        <w:tc>
          <w:tcPr>
            <w:tcW w:w="30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80" w:right="420" w:firstLine="4"/>
        <w:spacing w:after="0"/>
        <w:tabs>
          <w:tab w:leader="none" w:pos="219"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income attributable to Clearway Energy, Inc. and basic and diluted earnings per share might not recalculate due to presenting amounts in millions rather than whole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Segment Reporting</w:t>
      </w:r>
    </w:p>
    <w:p>
      <w:pPr>
        <w:spacing w:after="0" w:line="165" w:lineRule="exact"/>
        <w:rPr>
          <w:sz w:val="20"/>
          <w:szCs w:val="20"/>
          <w:color w:val="auto"/>
        </w:rPr>
      </w:pPr>
    </w:p>
    <w:p>
      <w:pPr>
        <w:jc w:val="both"/>
        <w:ind w:right="80" w:firstLine="395"/>
        <w:spacing w:after="0" w:line="289" w:lineRule="auto"/>
        <w:rPr>
          <w:sz w:val="20"/>
          <w:szCs w:val="20"/>
          <w:color w:val="auto"/>
        </w:rPr>
      </w:pPr>
      <w:r>
        <w:rPr>
          <w:rFonts w:ascii="Times New Roman" w:cs="Times New Roman" w:eastAsia="Times New Roman" w:hAnsi="Times New Roman"/>
          <w:sz w:val="16"/>
          <w:szCs w:val="16"/>
          <w:color w:val="auto"/>
        </w:rPr>
        <w:t xml:space="preserve">The Company’s segment structure reflects how management currently operates and allocates resources. The Company’s businesses are segregated based on conventional power generation, renewable businesses which consist of solar and wind, and the Thermal Business, which was sold to KKR on May 1, 2022, as further described in Note 3, </w:t>
      </w:r>
      <w:r>
        <w:rPr>
          <w:rFonts w:ascii="Times New Roman" w:cs="Times New Roman" w:eastAsia="Times New Roman" w:hAnsi="Times New Roman"/>
          <w:sz w:val="16"/>
          <w:szCs w:val="16"/>
          <w:i w:val="1"/>
          <w:iCs w:val="1"/>
          <w:color w:val="auto"/>
        </w:rPr>
        <w:t>Acquisitions and Dispositions</w:t>
      </w:r>
      <w:r>
        <w:rPr>
          <w:rFonts w:ascii="Times New Roman" w:cs="Times New Roman" w:eastAsia="Times New Roman" w:hAnsi="Times New Roman"/>
          <w:sz w:val="16"/>
          <w:szCs w:val="16"/>
          <w:color w:val="auto"/>
        </w:rPr>
        <w:t>.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9"/>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3"/>
          </w:tcPr>
          <w:p>
            <w:pPr>
              <w:jc w:val="right"/>
              <w:ind w:right="173"/>
              <w:spacing w:after="0" w:line="127"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00" w:type="dxa"/>
            <w:vAlign w:val="bottom"/>
          </w:tcPr>
          <w:p>
            <w:pPr>
              <w:spacing w:after="0"/>
              <w:rPr>
                <w:sz w:val="11"/>
                <w:szCs w:val="11"/>
                <w:color w:val="auto"/>
              </w:rPr>
            </w:pPr>
          </w:p>
        </w:tc>
        <w:tc>
          <w:tcPr>
            <w:tcW w:w="14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320" w:type="dxa"/>
            <w:vAlign w:val="bottom"/>
            <w:gridSpan w:val="4"/>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0"/>
                <w:szCs w:val="20"/>
                <w:b w:val="1"/>
                <w:bCs w:val="1"/>
                <w:color w:val="auto"/>
                <w:vertAlign w:val="superscript"/>
              </w:rPr>
              <w:t>(a)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00" w:type="dxa"/>
            <w:vAlign w:val="bottom"/>
          </w:tcPr>
          <w:p>
            <w:pPr>
              <w:spacing w:after="0"/>
              <w:rPr>
                <w:sz w:val="17"/>
                <w:szCs w:val="17"/>
                <w:color w:val="auto"/>
              </w:rPr>
            </w:pPr>
          </w:p>
        </w:tc>
        <w:tc>
          <w:tcPr>
            <w:tcW w:w="1420" w:type="dxa"/>
            <w:vAlign w:val="bottom"/>
            <w:gridSpan w:val="5"/>
            <w:vMerge w:val="continue"/>
          </w:tcPr>
          <w:p>
            <w:pPr>
              <w:spacing w:after="0"/>
              <w:rPr>
                <w:sz w:val="17"/>
                <w:szCs w:val="17"/>
                <w:color w:val="auto"/>
              </w:rPr>
            </w:pPr>
          </w:p>
        </w:tc>
        <w:tc>
          <w:tcPr>
            <w:tcW w:w="13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30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8"/>
                <w:szCs w:val="18"/>
                <w:color w:val="auto"/>
                <w:w w:val="99"/>
              </w:rPr>
              <w:t>Cost of operations, exclusive of depreciation, amortization and accretion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shown separately below</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 w:type="dxa"/>
            <w:vAlign w:val="bottom"/>
            <w:shd w:val="clear" w:color="auto" w:fill="CCEEFF"/>
          </w:tcPr>
          <w:p>
            <w:pPr>
              <w:spacing w:after="0"/>
              <w:rPr>
                <w:sz w:val="19"/>
                <w:szCs w:val="19"/>
                <w:color w:val="auto"/>
              </w:rPr>
            </w:pPr>
          </w:p>
        </w:tc>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shd w:val="clear" w:color="auto" w:fill="CCEEFF"/>
          </w:tcPr>
          <w:p>
            <w:pPr>
              <w:spacing w:after="0"/>
              <w:rPr>
                <w:sz w:val="19"/>
                <w:szCs w:val="19"/>
                <w:color w:val="auto"/>
              </w:rPr>
            </w:pPr>
          </w:p>
        </w:tc>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Borders>
              <w:bottom w:val="single" w:sz="8" w:color="CCEEFF"/>
            </w:tcBorders>
          </w:tcPr>
          <w:p>
            <w:pPr>
              <w:spacing w:after="0"/>
              <w:rPr>
                <w:sz w:val="19"/>
                <w:szCs w:val="19"/>
                <w:color w:val="auto"/>
              </w:rPr>
            </w:pPr>
          </w:p>
        </w:tc>
        <w:tc>
          <w:tcPr>
            <w:tcW w:w="5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240" w:type="dxa"/>
            <w:vAlign w:val="bottom"/>
            <w:tcBorders>
              <w:top w:val="single" w:sz="8" w:color="CCEEFF"/>
            </w:tcBorders>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top w:val="single" w:sz="8" w:color="auto"/>
            </w:tcBorders>
          </w:tcPr>
          <w:p>
            <w:pPr>
              <w:jc w:val="right"/>
              <w:ind w:right="536"/>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98"/>
              </w:rPr>
              <w:t>2,327</w:t>
            </w:r>
          </w:p>
        </w:tc>
        <w:tc>
          <w:tcPr>
            <w:tcW w:w="100" w:type="dxa"/>
            <w:vAlign w:val="bottom"/>
          </w:tcPr>
          <w:p>
            <w:pPr>
              <w:spacing w:after="0"/>
              <w:rPr>
                <w:sz w:val="17"/>
                <w:szCs w:val="17"/>
                <w:color w:val="auto"/>
              </w:rPr>
            </w:pPr>
          </w:p>
        </w:tc>
        <w:tc>
          <w:tcPr>
            <w:tcW w:w="540" w:type="dxa"/>
            <w:vAlign w:val="bottom"/>
            <w:tcBorders>
              <w:top w:val="single" w:sz="8" w:color="auto"/>
            </w:tcBorders>
          </w:tcPr>
          <w:p>
            <w:pPr>
              <w:jc w:val="right"/>
              <w:ind w:right="356"/>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9,634</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33"/>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12,596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6"/>
                <w:szCs w:val="16"/>
                <w:color w:val="auto"/>
              </w:rPr>
              <w:t xml:space="preserve"> Includes eliminations.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gridSpan w:val="10"/>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0"/>
                <w:szCs w:val="10"/>
                <w:color w:val="auto"/>
              </w:rPr>
            </w:pPr>
          </w:p>
        </w:tc>
        <w:tc>
          <w:tcPr>
            <w:tcW w:w="1100" w:type="dxa"/>
            <w:vAlign w:val="bottom"/>
            <w:gridSpan w:val="3"/>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12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60" w:type="dxa"/>
            <w:vAlign w:val="bottom"/>
          </w:tcPr>
          <w:p>
            <w:pPr>
              <w:spacing w:after="0"/>
              <w:rPr>
                <w:sz w:val="10"/>
                <w:szCs w:val="10"/>
                <w:color w:val="auto"/>
              </w:rPr>
            </w:pPr>
          </w:p>
        </w:tc>
        <w:tc>
          <w:tcPr>
            <w:tcW w:w="108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Thermal</w:t>
            </w:r>
          </w:p>
        </w:tc>
        <w:tc>
          <w:tcPr>
            <w:tcW w:w="140" w:type="dxa"/>
            <w:vAlign w:val="bottom"/>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0"/>
                <w:szCs w:val="20"/>
                <w:b w:val="1"/>
                <w:bCs w:val="1"/>
                <w:color w:val="auto"/>
                <w:vertAlign w:val="superscript"/>
              </w:rPr>
              <w:t>(a)</w:t>
            </w:r>
          </w:p>
        </w:tc>
        <w:tc>
          <w:tcPr>
            <w:tcW w:w="160" w:type="dxa"/>
            <w:vAlign w:val="bottom"/>
          </w:tcPr>
          <w:p>
            <w:pPr>
              <w:spacing w:after="0"/>
              <w:rPr>
                <w:sz w:val="10"/>
                <w:szCs w:val="10"/>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5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4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51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BFE4FF"/>
            </w:tcBorders>
            <w:shd w:val="clear" w:color="auto" w:fill="BFE4FF"/>
          </w:tcPr>
          <w:p>
            <w:pPr>
              <w:spacing w:after="0"/>
              <w:rPr>
                <w:sz w:val="18"/>
                <w:szCs w:val="18"/>
                <w:color w:val="auto"/>
              </w:rPr>
            </w:pPr>
          </w:p>
        </w:tc>
        <w:tc>
          <w:tcPr>
            <w:tcW w:w="500" w:type="dxa"/>
            <w:vAlign w:val="bottom"/>
            <w:tcBorders>
              <w:top w:val="single" w:sz="8" w:color="auto"/>
            </w:tcBorders>
            <w:shd w:val="clear" w:color="auto" w:fill="BFE4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auto"/>
            </w:tcBorders>
            <w:shd w:val="clear" w:color="auto" w:fill="BFE4FF"/>
          </w:tcPr>
          <w:p>
            <w:pPr>
              <w:spacing w:after="0"/>
              <w:rPr>
                <w:sz w:val="18"/>
                <w:szCs w:val="18"/>
                <w:color w:val="auto"/>
              </w:rPr>
            </w:pPr>
          </w:p>
        </w:tc>
        <w:tc>
          <w:tcPr>
            <w:tcW w:w="3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BFE4FF"/>
            </w:tcBorders>
            <w:shd w:val="clear" w:color="auto" w:fill="BFE4FF"/>
          </w:tcPr>
          <w:p>
            <w:pPr>
              <w:spacing w:after="0"/>
              <w:rPr>
                <w:sz w:val="18"/>
                <w:szCs w:val="18"/>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BFE4FF"/>
          </w:tcPr>
          <w:p>
            <w:pPr>
              <w:spacing w:after="0"/>
              <w:rPr>
                <w:sz w:val="18"/>
                <w:szCs w:val="18"/>
                <w:color w:val="auto"/>
              </w:rPr>
            </w:pPr>
          </w:p>
        </w:tc>
        <w:tc>
          <w:tcPr>
            <w:tcW w:w="26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16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100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64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380" w:type="dxa"/>
            <w:vAlign w:val="bottom"/>
            <w:gridSpan w:val="3"/>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BFE4FF"/>
          </w:tcPr>
          <w:p>
            <w:pPr>
              <w:spacing w:after="0"/>
              <w:rPr>
                <w:sz w:val="19"/>
                <w:szCs w:val="19"/>
                <w:color w:val="auto"/>
              </w:rPr>
            </w:pPr>
          </w:p>
        </w:tc>
        <w:tc>
          <w:tcPr>
            <w:tcW w:w="960" w:type="dxa"/>
            <w:vAlign w:val="bottom"/>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8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6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4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26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51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auto"/>
            </w:tcBorders>
            <w:shd w:val="clear" w:color="auto" w:fill="BFE4FF"/>
          </w:tcPr>
          <w:p>
            <w:pPr>
              <w:spacing w:after="0"/>
              <w:rPr>
                <w:sz w:val="18"/>
                <w:szCs w:val="18"/>
                <w:color w:val="auto"/>
              </w:rPr>
            </w:pPr>
          </w:p>
        </w:tc>
        <w:tc>
          <w:tcPr>
            <w:tcW w:w="100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BFE4FF"/>
            </w:tcBorders>
            <w:shd w:val="clear" w:color="auto" w:fill="BFE4FF"/>
          </w:tcPr>
          <w:p>
            <w:pPr>
              <w:spacing w:after="0"/>
              <w:rPr>
                <w:sz w:val="18"/>
                <w:szCs w:val="18"/>
                <w:color w:val="auto"/>
              </w:rPr>
            </w:pPr>
          </w:p>
        </w:tc>
        <w:tc>
          <w:tcPr>
            <w:tcW w:w="500" w:type="dxa"/>
            <w:vAlign w:val="bottom"/>
            <w:tcBorders>
              <w:top w:val="single" w:sz="8" w:color="auto"/>
            </w:tcBorders>
            <w:shd w:val="clear" w:color="auto" w:fill="BFE4FF"/>
          </w:tcPr>
          <w:p>
            <w:pPr>
              <w:spacing w:after="0"/>
              <w:rPr>
                <w:sz w:val="18"/>
                <w:szCs w:val="18"/>
                <w:color w:val="auto"/>
              </w:rPr>
            </w:pPr>
          </w:p>
        </w:tc>
        <w:tc>
          <w:tcPr>
            <w:tcW w:w="64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52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auto"/>
            </w:tcBorders>
            <w:shd w:val="clear" w:color="auto" w:fill="BFE4FF"/>
          </w:tcPr>
          <w:p>
            <w:pPr>
              <w:spacing w:after="0"/>
              <w:rPr>
                <w:sz w:val="18"/>
                <w:szCs w:val="18"/>
                <w:color w:val="auto"/>
              </w:rPr>
            </w:pPr>
          </w:p>
        </w:tc>
        <w:tc>
          <w:tcPr>
            <w:tcW w:w="3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BFE4FF"/>
            </w:tcBorders>
            <w:shd w:val="clear" w:color="auto" w:fill="BFE4FF"/>
          </w:tcPr>
          <w:p>
            <w:pPr>
              <w:spacing w:after="0"/>
              <w:rPr>
                <w:sz w:val="18"/>
                <w:szCs w:val="18"/>
                <w:color w:val="auto"/>
              </w:rPr>
            </w:pPr>
          </w:p>
        </w:tc>
        <w:tc>
          <w:tcPr>
            <w:tcW w:w="14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gridSpan w:val="3"/>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60" w:type="dxa"/>
            <w:vAlign w:val="bottom"/>
            <w:tcBorders>
              <w:top w:val="single" w:sz="8" w:color="auto"/>
            </w:tcBorders>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8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6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380" w:type="dxa"/>
            <w:vAlign w:val="bottom"/>
            <w:gridSpan w:val="3"/>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BFE4FF"/>
          </w:tcPr>
          <w:p>
            <w:pPr>
              <w:spacing w:after="0"/>
              <w:rPr>
                <w:sz w:val="19"/>
                <w:szCs w:val="19"/>
                <w:color w:val="auto"/>
              </w:rPr>
            </w:pPr>
          </w:p>
        </w:tc>
        <w:tc>
          <w:tcPr>
            <w:tcW w:w="960" w:type="dxa"/>
            <w:vAlign w:val="bottom"/>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Borders>
              <w:bottom w:val="single" w:sz="8" w:color="BFE4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BFE4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BFE4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51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shd w:val="clear" w:color="auto" w:fill="BFE4FF"/>
          </w:tcPr>
          <w:p>
            <w:pPr>
              <w:spacing w:after="0"/>
              <w:rPr>
                <w:sz w:val="18"/>
                <w:szCs w:val="18"/>
                <w:color w:val="auto"/>
              </w:rPr>
            </w:pPr>
          </w:p>
        </w:tc>
        <w:tc>
          <w:tcPr>
            <w:tcW w:w="100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c>
          <w:tcPr>
            <w:tcW w:w="64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5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8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960" w:type="dxa"/>
            <w:vAlign w:val="bottom"/>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0"/>
                <w:szCs w:val="20"/>
                <w:color w:val="auto"/>
              </w:rPr>
            </w:pPr>
          </w:p>
        </w:tc>
        <w:tc>
          <w:tcPr>
            <w:tcW w:w="516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500" w:type="dxa"/>
            <w:vAlign w:val="bottom"/>
            <w:tcBorders>
              <w:top w:val="single" w:sz="8" w:color="auto"/>
              <w:bottom w:val="single" w:sz="8" w:color="auto"/>
            </w:tcBorders>
            <w:shd w:val="clear" w:color="auto" w:fill="BFE4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BFE4FF"/>
          </w:tcPr>
          <w:p>
            <w:pPr>
              <w:spacing w:after="0"/>
              <w:rPr>
                <w:sz w:val="20"/>
                <w:szCs w:val="20"/>
                <w:color w:val="auto"/>
              </w:rPr>
            </w:pPr>
          </w:p>
        </w:tc>
        <w:tc>
          <w:tcPr>
            <w:tcW w:w="100" w:type="dxa"/>
            <w:vAlign w:val="bottom"/>
            <w:tcBorders>
              <w:top w:val="single" w:sz="8" w:color="auto"/>
              <w:bottom w:val="single" w:sz="8" w:color="auto"/>
            </w:tcBorders>
            <w:shd w:val="clear" w:color="auto" w:fill="BFE4FF"/>
          </w:tcPr>
          <w:p>
            <w:pPr>
              <w:spacing w:after="0"/>
              <w:rPr>
                <w:sz w:val="20"/>
                <w:szCs w:val="20"/>
                <w:color w:val="auto"/>
              </w:rPr>
            </w:pPr>
          </w:p>
        </w:tc>
        <w:tc>
          <w:tcPr>
            <w:tcW w:w="3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6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7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5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7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6"/>
          <w:szCs w:val="16"/>
          <w:color w:val="auto"/>
        </w:rPr>
        <w:t xml:space="preserve"> Includes eliminations.</w:t>
      </w: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867"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000" w:type="dxa"/>
            <w:vAlign w:val="bottom"/>
          </w:tcPr>
          <w:p>
            <w:pPr>
              <w:jc w:val="right"/>
              <w:ind w:right="74"/>
              <w:spacing w:after="0" w:line="127"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0"/>
                <w:szCs w:val="20"/>
                <w:b w:val="1"/>
                <w:bCs w:val="1"/>
                <w:color w:val="auto"/>
                <w:vertAlign w:val="superscript"/>
              </w:rPr>
              <w:t>(a)</w:t>
            </w:r>
          </w:p>
        </w:tc>
        <w:tc>
          <w:tcPr>
            <w:tcW w:w="260" w:type="dxa"/>
            <w:vAlign w:val="bottom"/>
          </w:tcPr>
          <w:p>
            <w:pPr>
              <w:spacing w:after="0"/>
              <w:rPr>
                <w:sz w:val="11"/>
                <w:szCs w:val="1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top w:val="single" w:sz="8" w:color="BFE4FF"/>
            </w:tcBorders>
            <w:shd w:val="clear" w:color="auto" w:fill="BFE4FF"/>
          </w:tcPr>
          <w:p>
            <w:pPr>
              <w:spacing w:after="0"/>
              <w:rPr>
                <w:sz w:val="18"/>
                <w:szCs w:val="18"/>
                <w:color w:val="auto"/>
              </w:rPr>
            </w:pPr>
          </w:p>
        </w:tc>
        <w:tc>
          <w:tcPr>
            <w:tcW w:w="200" w:type="dxa"/>
            <w:vAlign w:val="bottom"/>
            <w:tcBorders>
              <w:top w:val="single" w:sz="8" w:color="auto"/>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BFE4FF"/>
            </w:tcBorders>
            <w:shd w:val="clear" w:color="auto" w:fill="BFE4FF"/>
          </w:tcPr>
          <w:p>
            <w:pPr>
              <w:spacing w:after="0"/>
              <w:rPr>
                <w:sz w:val="18"/>
                <w:szCs w:val="18"/>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BFE4FF"/>
            </w:tcBorders>
            <w:shd w:val="clear" w:color="auto" w:fill="BFE4FF"/>
          </w:tcPr>
          <w:p>
            <w:pPr>
              <w:spacing w:after="0"/>
              <w:rPr>
                <w:sz w:val="18"/>
                <w:szCs w:val="18"/>
                <w:color w:val="auto"/>
              </w:rPr>
            </w:pPr>
          </w:p>
        </w:tc>
        <w:tc>
          <w:tcPr>
            <w:tcW w:w="260" w:type="dxa"/>
            <w:vAlign w:val="bottom"/>
            <w:tcBorders>
              <w:top w:val="single" w:sz="8" w:color="auto"/>
            </w:tcBorders>
            <w:shd w:val="clear" w:color="auto" w:fill="BFE4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171"/>
        </w:trPr>
        <w:tc>
          <w:tcPr>
            <w:tcW w:w="516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51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0" w:type="dxa"/>
            <w:vAlign w:val="bottom"/>
            <w:tcBorders>
              <w:top w:val="single" w:sz="8" w:color="auto"/>
            </w:tcBorders>
            <w:shd w:val="clear" w:color="auto" w:fill="BFE4FF"/>
          </w:tcPr>
          <w:p>
            <w:pPr>
              <w:spacing w:after="0"/>
              <w:rPr>
                <w:sz w:val="18"/>
                <w:szCs w:val="18"/>
                <w:color w:val="auto"/>
              </w:rPr>
            </w:pPr>
          </w:p>
        </w:tc>
        <w:tc>
          <w:tcPr>
            <w:tcW w:w="10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BFE4FF"/>
          </w:tcPr>
          <w:p>
            <w:pPr>
              <w:spacing w:after="0"/>
              <w:rPr>
                <w:sz w:val="18"/>
                <w:szCs w:val="18"/>
                <w:color w:val="auto"/>
              </w:rPr>
            </w:pPr>
          </w:p>
        </w:tc>
        <w:tc>
          <w:tcPr>
            <w:tcW w:w="9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BFE4FF"/>
            </w:tcBorders>
            <w:shd w:val="clear" w:color="auto" w:fill="BFE4FF"/>
          </w:tcPr>
          <w:p>
            <w:pPr>
              <w:spacing w:after="0"/>
              <w:rPr>
                <w:sz w:val="18"/>
                <w:szCs w:val="18"/>
                <w:color w:val="auto"/>
              </w:rPr>
            </w:pPr>
          </w:p>
        </w:tc>
        <w:tc>
          <w:tcPr>
            <w:tcW w:w="260" w:type="dxa"/>
            <w:vAlign w:val="bottom"/>
            <w:tcBorders>
              <w:top w:val="single" w:sz="8" w:color="auto"/>
            </w:tcBorders>
            <w:shd w:val="clear" w:color="auto" w:fill="BFE4FF"/>
          </w:tcPr>
          <w:p>
            <w:pPr>
              <w:spacing w:after="0"/>
              <w:rPr>
                <w:sz w:val="18"/>
                <w:szCs w:val="18"/>
                <w:color w:val="auto"/>
              </w:rPr>
            </w:pPr>
          </w:p>
        </w:tc>
        <w:tc>
          <w:tcPr>
            <w:tcW w:w="8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FE4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FE4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7"/>
        </w:trPr>
        <w:tc>
          <w:tcPr>
            <w:tcW w:w="51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BFE4FF"/>
          </w:tcPr>
          <w:p>
            <w:pPr>
              <w:spacing w:after="0"/>
              <w:rPr>
                <w:sz w:val="18"/>
                <w:szCs w:val="18"/>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40" w:hanging="156"/>
        <w:spacing w:after="0"/>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eliminations.</w:t>
      </w:r>
    </w:p>
    <w:p>
      <w:pPr>
        <w:spacing w:after="0" w:line="16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Thermal</w:t>
            </w:r>
          </w:p>
        </w:tc>
        <w:tc>
          <w:tcPr>
            <w:tcW w:w="16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0"/>
                <w:szCs w:val="20"/>
                <w:b w:val="1"/>
                <w:bCs w:val="1"/>
                <w:color w:val="auto"/>
                <w:vertAlign w:val="superscript"/>
              </w:rPr>
              <w:t>(a)</w:t>
            </w:r>
          </w:p>
        </w:tc>
        <w:tc>
          <w:tcPr>
            <w:tcW w:w="84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top w:val="single" w:sz="8" w:color="BFE4FF"/>
            </w:tcBorders>
            <w:shd w:val="clear" w:color="auto" w:fill="BFE4FF"/>
          </w:tcPr>
          <w:p>
            <w:pPr>
              <w:spacing w:after="0"/>
              <w:rPr>
                <w:sz w:val="18"/>
                <w:szCs w:val="18"/>
                <w:color w:val="auto"/>
              </w:rPr>
            </w:pPr>
          </w:p>
        </w:tc>
        <w:tc>
          <w:tcPr>
            <w:tcW w:w="200" w:type="dxa"/>
            <w:vAlign w:val="bottom"/>
            <w:tcBorders>
              <w:top w:val="single" w:sz="8" w:color="auto"/>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FE4FF"/>
            </w:tcBorders>
            <w:shd w:val="clear" w:color="auto" w:fill="BFE4FF"/>
          </w:tcPr>
          <w:p>
            <w:pPr>
              <w:spacing w:after="0"/>
              <w:rPr>
                <w:sz w:val="18"/>
                <w:szCs w:val="18"/>
                <w:color w:val="auto"/>
              </w:rPr>
            </w:pPr>
          </w:p>
        </w:tc>
        <w:tc>
          <w:tcPr>
            <w:tcW w:w="840" w:type="dxa"/>
            <w:vAlign w:val="bottom"/>
            <w:tcBorders>
              <w:top w:val="single" w:sz="8" w:color="auto"/>
            </w:tcBorders>
            <w:shd w:val="clear" w:color="auto" w:fill="BFE4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516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FE4FF"/>
          </w:tcPr>
          <w:p>
            <w:pPr>
              <w:spacing w:after="0"/>
              <w:rPr>
                <w:sz w:val="19"/>
                <w:szCs w:val="19"/>
                <w:color w:val="auto"/>
              </w:rPr>
            </w:pP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BFE4FF"/>
            </w:tcBorders>
            <w:shd w:val="clear" w:color="auto" w:fill="BFE4FF"/>
          </w:tcPr>
          <w:p>
            <w:pPr>
              <w:spacing w:after="0"/>
              <w:rPr>
                <w:sz w:val="18"/>
                <w:szCs w:val="18"/>
                <w:color w:val="auto"/>
              </w:rPr>
            </w:pPr>
          </w:p>
        </w:tc>
        <w:tc>
          <w:tcPr>
            <w:tcW w:w="200" w:type="dxa"/>
            <w:vAlign w:val="bottom"/>
            <w:tcBorders>
              <w:top w:val="single" w:sz="8" w:color="auto"/>
            </w:tcBorders>
            <w:shd w:val="clear" w:color="auto" w:fill="BFE4FF"/>
          </w:tcPr>
          <w:p>
            <w:pPr>
              <w:spacing w:after="0"/>
              <w:rPr>
                <w:sz w:val="18"/>
                <w:szCs w:val="18"/>
                <w:color w:val="auto"/>
              </w:rPr>
            </w:pPr>
          </w:p>
        </w:tc>
        <w:tc>
          <w:tcPr>
            <w:tcW w:w="9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BFE4FF"/>
            </w:tcBorders>
            <w:shd w:val="clear" w:color="auto" w:fill="BFE4FF"/>
          </w:tcPr>
          <w:p>
            <w:pPr>
              <w:spacing w:after="0"/>
              <w:rPr>
                <w:sz w:val="18"/>
                <w:szCs w:val="18"/>
                <w:color w:val="auto"/>
              </w:rPr>
            </w:pPr>
          </w:p>
        </w:tc>
        <w:tc>
          <w:tcPr>
            <w:tcW w:w="840" w:type="dxa"/>
            <w:vAlign w:val="bottom"/>
            <w:tcBorders>
              <w:top w:val="single" w:sz="8" w:color="auto"/>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BFE4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BFE4FF"/>
          </w:tcPr>
          <w:p>
            <w:pPr>
              <w:spacing w:after="0"/>
              <w:rPr>
                <w:sz w:val="19"/>
                <w:szCs w:val="19"/>
                <w:color w:val="auto"/>
              </w:rPr>
            </w:pPr>
          </w:p>
        </w:tc>
        <w:tc>
          <w:tcPr>
            <w:tcW w:w="8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FE4FF"/>
          </w:tcPr>
          <w:p>
            <w:pPr>
              <w:spacing w:after="0"/>
              <w:rPr>
                <w:sz w:val="19"/>
                <w:szCs w:val="19"/>
                <w:color w:val="auto"/>
              </w:rPr>
            </w:pP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40" w:hanging="156"/>
        <w:spacing w:after="0"/>
        <w:tabs>
          <w:tab w:leader="none" w:pos="2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eliminations.</w:t>
      </w:r>
    </w:p>
    <w:p>
      <w:pPr>
        <w:spacing w:after="0" w:line="3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04"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income tax provision consisted of the following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84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360" w:type="dxa"/>
            <w:vAlign w:val="bottom"/>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4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00" w:type="dxa"/>
            <w:vAlign w:val="bottom"/>
            <w:gridSpan w:val="5"/>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75</w:t>
            </w:r>
          </w:p>
        </w:tc>
        <w:tc>
          <w:tcPr>
            <w:tcW w:w="116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1,351</w:t>
            </w:r>
          </w:p>
        </w:tc>
        <w:tc>
          <w:tcPr>
            <w:tcW w:w="4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4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237</w:t>
            </w:r>
          </w:p>
        </w:tc>
        <w:tc>
          <w:tcPr>
            <w:tcW w:w="460" w:type="dxa"/>
            <w:vAlign w:val="bottom"/>
          </w:tcPr>
          <w:p>
            <w:pPr>
              <w:spacing w:after="0"/>
              <w:rPr>
                <w:sz w:val="19"/>
                <w:szCs w:val="19"/>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r>
    </w:tbl>
    <w:p>
      <w:pPr>
        <w:spacing w:after="0" w:line="2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the HLBV method of accounting for book purposes for certain partnerships.</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2021,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treated the sale of the Thermal Business as a discrete event and recorded the income taxes associated with the transaction during the nine months ended September 30, 2022.</w:t>
      </w:r>
    </w:p>
    <w:p>
      <w:pPr>
        <w:spacing w:after="0" w:line="1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Related Party Transactions</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6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$19 million and $13 million for the three months ended September 30, 2022 and 2021, respectively. The Company incurred total expenses for these services of $49 million and $40 million for the nine months ended September 30, 2022 and 2021, respectively. There was a balance of $9 million due to RENOM as of both September 30, 2022 and December 31, 2021.</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6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$3 million for each of the three months ended September 30, 2022 and 2021. The Company incurred expenses under these agreements of $11 million and $10 million for the nine months ended September 30, 2022 and 2021, respectively. There was a balance of $2 million due to CEG as of both September 30, 2022 and December 31, 2021.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165" w:lineRule="exact"/>
        <w:rPr>
          <w:sz w:val="20"/>
          <w:szCs w:val="20"/>
          <w:color w:val="auto"/>
        </w:rPr>
      </w:pPr>
    </w:p>
    <w:p>
      <w:pPr>
        <w:jc w:val="both"/>
        <w:ind w:firstLine="395"/>
        <w:spacing w:after="0" w:line="255" w:lineRule="auto"/>
        <w:rPr>
          <w:sz w:val="20"/>
          <w:szCs w:val="20"/>
          <w:color w:val="auto"/>
        </w:rPr>
      </w:pPr>
      <w:r>
        <w:rPr>
          <w:rFonts w:ascii="Times New Roman" w:cs="Times New Roman" w:eastAsia="Times New Roman" w:hAnsi="Times New Roman"/>
          <w:sz w:val="18"/>
          <w:szCs w:val="18"/>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under these agreements for each of the three months ended September 30, 2022 and 2021. The Company incurred net expenses of $4 million and $3 million under these agreements for the nine months ended September 30, 2022 and 2021,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Contingencies</w:t>
      </w:r>
    </w:p>
    <w:p>
      <w:pPr>
        <w:spacing w:after="0" w:line="163"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included in the Company’s 2021 Form 10-K.</w:t>
      </w:r>
    </w:p>
    <w:p>
      <w:pPr>
        <w:spacing w:after="0" w:line="11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Buckthorn Solar Litigation</w:t>
      </w:r>
    </w:p>
    <w:p>
      <w:pPr>
        <w:spacing w:after="0" w:line="16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The case is currently in discovery and is expected to proceed to trial in June 2023. Buckthorn Westex believes the allegations of Georgetown are meritless, and Buckthorn Westex is vigorously defending its rights under the PPA.</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5" w:name="page36"/>
    <w:bookmarkEnd w:id="35"/>
    <w:p>
      <w:pPr>
        <w:ind w:right="3360"/>
        <w:spacing w:after="0" w:line="481" w:lineRule="auto"/>
        <w:rPr>
          <w:sz w:val="20"/>
          <w:szCs w:val="20"/>
          <w:color w:val="auto"/>
        </w:rPr>
      </w:pPr>
      <w:r>
        <w:rPr>
          <w:rFonts w:ascii="Times New Roman" w:cs="Times New Roman" w:eastAsia="Times New Roman" w:hAnsi="Times New Roman"/>
          <w:sz w:val="16"/>
          <w:szCs w:val="16"/>
          <w:b w:val="1"/>
          <w:bCs w:val="1"/>
          <w:color w:val="auto"/>
        </w:rPr>
        <w:t xml:space="preserve">ITEM 2 — Management’s Discussion and Analysis of Financial Condition and the Results of Operations </w:t>
      </w:r>
      <w:r>
        <w:rPr>
          <w:rFonts w:ascii="Times New Roman" w:cs="Times New Roman" w:eastAsia="Times New Roman" w:hAnsi="Times New Roman"/>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and nine months ended September 30, 2022 and 2021. Also refer to the Company’s 2021 Form 10-K, which includes detailed discussions of various items impacting the Company’s business, results of operations and financial condition.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09" w:lineRule="exact"/>
        <w:rPr>
          <w:sz w:val="20"/>
          <w:szCs w:val="20"/>
          <w:color w:val="auto"/>
        </w:rPr>
      </w:pPr>
    </w:p>
    <w:p>
      <w:pPr>
        <w:ind w:left="960" w:right="80" w:hanging="7"/>
        <w:spacing w:after="0" w:line="268" w:lineRule="auto"/>
        <w:tabs>
          <w:tab w:leader="none" w:pos="1271"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1" w:lineRule="exact"/>
        <w:rPr>
          <w:rFonts w:ascii="Times New Roman" w:cs="Times New Roman" w:eastAsia="Times New Roman" w:hAnsi="Times New Roman"/>
          <w:sz w:val="18"/>
          <w:szCs w:val="18"/>
          <w:color w:val="231F20"/>
        </w:rPr>
      </w:pPr>
    </w:p>
    <w:p>
      <w:pPr>
        <w:ind w:left="960" w:right="80" w:hanging="7"/>
        <w:spacing w:after="0" w:line="268" w:lineRule="auto"/>
        <w:tabs>
          <w:tab w:leader="none" w:pos="12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income;</w:t>
      </w:r>
    </w:p>
    <w:p>
      <w:pPr>
        <w:spacing w:after="0" w:line="11" w:lineRule="exact"/>
        <w:rPr>
          <w:rFonts w:ascii="Times New Roman" w:cs="Times New Roman" w:eastAsia="Times New Roman" w:hAnsi="Times New Roman"/>
          <w:sz w:val="18"/>
          <w:szCs w:val="18"/>
          <w:color w:val="auto"/>
        </w:rPr>
      </w:pPr>
    </w:p>
    <w:p>
      <w:pPr>
        <w:ind w:left="960" w:right="80" w:hanging="7"/>
        <w:spacing w:after="0" w:line="268" w:lineRule="auto"/>
        <w:tabs>
          <w:tab w:leader="none" w:pos="1271"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1" w:lineRule="exact"/>
        <w:rPr>
          <w:rFonts w:ascii="Times New Roman" w:cs="Times New Roman" w:eastAsia="Times New Roman" w:hAnsi="Times New Roman"/>
          <w:sz w:val="18"/>
          <w:szCs w:val="18"/>
          <w:color w:val="231F20"/>
        </w:rPr>
      </w:pPr>
    </w:p>
    <w:p>
      <w:pPr>
        <w:ind w:left="1260" w:hanging="307"/>
        <w:spacing w:after="0"/>
        <w:tabs>
          <w:tab w:leader="none" w:pos="12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56" w:lineRule="exact"/>
        <w:rPr>
          <w:rFonts w:ascii="Times New Roman" w:cs="Times New Roman" w:eastAsia="Times New Roman" w:hAnsi="Times New Roman"/>
          <w:sz w:val="18"/>
          <w:szCs w:val="18"/>
          <w:color w:val="231F20"/>
        </w:rPr>
      </w:pPr>
    </w:p>
    <w:p>
      <w:pPr>
        <w:ind w:left="960" w:right="80" w:hanging="7"/>
        <w:spacing w:after="0" w:line="268" w:lineRule="auto"/>
        <w:tabs>
          <w:tab w:leader="none" w:pos="12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69"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13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11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September 30, 2022 </w:t>
      </w:r>
      <w:r>
        <w:rPr>
          <w:rFonts w:ascii="Times New Roman" w:cs="Times New Roman" w:eastAsia="Times New Roman" w:hAnsi="Times New Roman"/>
          <w:sz w:val="18"/>
          <w:szCs w:val="18"/>
          <w:color w:val="231F20"/>
        </w:rPr>
        <w:t>based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CAFD.</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2022, the Company’s operating assets are comprised of the following projects:</w:t>
      </w:r>
    </w:p>
    <w:p>
      <w:pPr>
        <w:spacing w:after="0" w:line="71"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8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4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w w:val="99"/>
              </w:rPr>
              <w:t>Net Capacity</w:t>
            </w:r>
          </w:p>
        </w:tc>
        <w:tc>
          <w:tcPr>
            <w:tcW w:w="2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18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40" w:type="dxa"/>
            <w:vAlign w:val="bottom"/>
          </w:tcPr>
          <w:p>
            <w:pPr>
              <w:jc w:val="center"/>
              <w:ind w:right="590"/>
              <w:spacing w:after="0" w:line="228" w:lineRule="exact"/>
              <w:rPr>
                <w:sz w:val="20"/>
                <w:szCs w:val="20"/>
                <w:color w:val="auto"/>
              </w:rPr>
            </w:pPr>
            <w:r>
              <w:rPr>
                <w:rFonts w:ascii="Times New Roman" w:cs="Times New Roman" w:eastAsia="Times New Roman" w:hAnsi="Times New Roman"/>
                <w:sz w:val="14"/>
                <w:szCs w:val="14"/>
                <w:b w:val="1"/>
                <w:bCs w:val="1"/>
                <w:color w:val="auto"/>
                <w:w w:val="93"/>
              </w:rPr>
              <w:t xml:space="preserve">(MW) </w:t>
            </w:r>
            <w:r>
              <w:rPr>
                <w:rFonts w:ascii="Times New Roman" w:cs="Times New Roman" w:eastAsia="Times New Roman" w:hAnsi="Times New Roman"/>
                <w:sz w:val="20"/>
                <w:szCs w:val="20"/>
                <w:b w:val="1"/>
                <w:bCs w:val="1"/>
                <w:color w:val="auto"/>
                <w:w w:val="93"/>
                <w:vertAlign w:val="superscript"/>
              </w:rPr>
              <w:t>(a)</w:t>
            </w:r>
          </w:p>
        </w:tc>
        <w:tc>
          <w:tcPr>
            <w:tcW w:w="266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5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Conventional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527</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San Diego Gas &amp; Electric</w:t>
            </w:r>
          </w:p>
        </w:tc>
        <w:tc>
          <w:tcPr>
            <w:tcW w:w="22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rPr>
              <w:t>2038</w:t>
            </w:r>
          </w:p>
        </w:tc>
      </w:tr>
      <w:tr>
        <w:trPr>
          <w:trHeight w:val="19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550</w:t>
            </w:r>
          </w:p>
        </w:tc>
        <w:tc>
          <w:tcPr>
            <w:tcW w:w="2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2200" w:type="dxa"/>
            <w:vAlign w:val="bottom"/>
          </w:tcPr>
          <w:p>
            <w:pPr>
              <w:jc w:val="center"/>
              <w:ind w:left="1070"/>
              <w:spacing w:after="0"/>
              <w:rPr>
                <w:sz w:val="20"/>
                <w:szCs w:val="20"/>
                <w:color w:val="auto"/>
              </w:rPr>
            </w:pPr>
            <w:r>
              <w:rPr>
                <w:rFonts w:ascii="Times New Roman" w:cs="Times New Roman" w:eastAsia="Times New Roman" w:hAnsi="Times New Roman"/>
                <w:sz w:val="14"/>
                <w:szCs w:val="14"/>
                <w:color w:val="auto"/>
                <w:w w:val="97"/>
              </w:rPr>
              <w:t>2023 - 2026</w:t>
            </w:r>
          </w:p>
        </w:tc>
      </w:tr>
      <w:tr>
        <w:trPr>
          <w:trHeight w:val="205"/>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50 %</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95</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2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rPr>
              <w:t>2040</w:t>
            </w:r>
          </w:p>
        </w:tc>
      </w:tr>
      <w:tr>
        <w:trPr>
          <w:trHeight w:val="19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50 %</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95</w:t>
            </w:r>
          </w:p>
        </w:tc>
        <w:tc>
          <w:tcPr>
            <w:tcW w:w="2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200" w:type="dxa"/>
            <w:vAlign w:val="bottom"/>
          </w:tcPr>
          <w:p>
            <w:pPr>
              <w:jc w:val="center"/>
              <w:ind w:left="1070"/>
              <w:spacing w:after="0"/>
              <w:rPr>
                <w:sz w:val="20"/>
                <w:szCs w:val="20"/>
                <w:color w:val="auto"/>
              </w:rPr>
            </w:pPr>
            <w:r>
              <w:rPr>
                <w:rFonts w:ascii="Times New Roman" w:cs="Times New Roman" w:eastAsia="Times New Roman" w:hAnsi="Times New Roman"/>
                <w:sz w:val="14"/>
                <w:szCs w:val="14"/>
                <w:color w:val="auto"/>
              </w:rPr>
              <w:t>2041</w:t>
            </w:r>
          </w:p>
        </w:tc>
      </w:tr>
      <w:tr>
        <w:trPr>
          <w:trHeight w:val="205"/>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720</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22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w w:val="97"/>
              </w:rPr>
              <w:t>2023 - 2030</w:t>
            </w:r>
          </w:p>
        </w:tc>
      </w:tr>
      <w:tr>
        <w:trPr>
          <w:trHeight w:val="183"/>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485</w:t>
            </w:r>
          </w:p>
        </w:tc>
        <w:tc>
          <w:tcPr>
            <w:tcW w:w="2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2200" w:type="dxa"/>
            <w:vAlign w:val="bottom"/>
          </w:tcPr>
          <w:p>
            <w:pPr>
              <w:jc w:val="center"/>
              <w:ind w:left="1070"/>
              <w:spacing w:after="0"/>
              <w:rPr>
                <w:sz w:val="20"/>
                <w:szCs w:val="20"/>
                <w:color w:val="auto"/>
              </w:rPr>
            </w:pPr>
            <w:r>
              <w:rPr>
                <w:rFonts w:ascii="Times New Roman" w:cs="Times New Roman" w:eastAsia="Times New Roman" w:hAnsi="Times New Roman"/>
                <w:sz w:val="14"/>
                <w:szCs w:val="14"/>
                <w:color w:val="auto"/>
                <w:w w:val="97"/>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Conventional</w:t>
            </w:r>
          </w:p>
        </w:tc>
        <w:tc>
          <w:tcPr>
            <w:tcW w:w="16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30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r>
      <w:tr>
        <w:trPr>
          <w:trHeight w:val="211"/>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7"/>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2039</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2033</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2031</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Tucson Electric Power</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2032</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2029</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2038</w:t>
            </w:r>
          </w:p>
        </w:tc>
      </w:tr>
      <w:tr>
        <w:trPr>
          <w:trHeight w:val="231"/>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0"/>
                <w:szCs w:val="20"/>
                <w:color w:val="auto"/>
                <w:vertAlign w:val="superscript"/>
              </w:rPr>
              <w:t>(b)</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City of Georgetown, TX</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2043</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2038</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2034</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2039</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2033</w:t>
            </w:r>
          </w:p>
        </w:tc>
      </w:tr>
      <w:tr>
        <w:trPr>
          <w:trHeight w:val="197"/>
        </w:trPr>
        <w:tc>
          <w:tcPr>
            <w:tcW w:w="332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0"/>
                <w:szCs w:val="20"/>
                <w:color w:val="auto"/>
                <w:vertAlign w:val="superscript"/>
              </w:rPr>
              <w:t>(b) (c)</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2042</w:t>
            </w:r>
          </w:p>
        </w:tc>
      </w:tr>
      <w:tr>
        <w:trPr>
          <w:trHeight w:val="224"/>
        </w:trPr>
        <w:tc>
          <w:tcPr>
            <w:tcW w:w="332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Oahu Solar Projects </w:t>
            </w:r>
            <w:r>
              <w:rPr>
                <w:rFonts w:ascii="Times New Roman" w:cs="Times New Roman" w:eastAsia="Times New Roman" w:hAnsi="Times New Roman"/>
                <w:sz w:val="20"/>
                <w:szCs w:val="20"/>
                <w:color w:val="auto"/>
                <w:vertAlign w:val="superscript"/>
              </w:rPr>
              <w:t>(b)</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2041</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 Paso Electric</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2031</w:t>
            </w:r>
          </w:p>
        </w:tc>
      </w:tr>
      <w:tr>
        <w:trPr>
          <w:trHeight w:val="231"/>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0"/>
                <w:szCs w:val="20"/>
                <w:color w:val="auto"/>
                <w:vertAlign w:val="superscript"/>
              </w:rPr>
              <w:t>(b)</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w w:val="97"/>
              </w:rPr>
              <w:t>2035 - 2047</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2033</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Utah Solar Portfolio</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2036</w:t>
            </w:r>
          </w:p>
        </w:tc>
      </w:tr>
      <w:tr>
        <w:trPr>
          <w:trHeight w:val="191"/>
        </w:trPr>
        <w:tc>
          <w:tcPr>
            <w:tcW w:w="33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30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1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197"/>
        </w:trPr>
        <w:tc>
          <w:tcPr>
            <w:tcW w:w="332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DGPV Fund Projects </w:t>
            </w:r>
            <w:r>
              <w:rPr>
                <w:rFonts w:ascii="Times New Roman" w:cs="Times New Roman" w:eastAsia="Times New Roman" w:hAnsi="Times New Roman"/>
                <w:sz w:val="20"/>
                <w:szCs w:val="20"/>
                <w:color w:val="auto"/>
                <w:vertAlign w:val="superscript"/>
              </w:rPr>
              <w:t>(b)</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w w:val="97"/>
              </w:rPr>
              <w:t>2030 - 2044</w:t>
            </w:r>
          </w:p>
        </w:tc>
      </w:tr>
      <w:tr>
        <w:trPr>
          <w:trHeight w:val="197"/>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Solar Power Partners (SPP) Projects</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w w:val="97"/>
              </w:rPr>
              <w:t>2026 - 2037</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Net Capacity</w:t>
            </w:r>
          </w:p>
        </w:tc>
        <w:tc>
          <w:tcPr>
            <w:tcW w:w="404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7"/>
        </w:trPr>
        <w:tc>
          <w:tcPr>
            <w:tcW w:w="3680" w:type="dxa"/>
            <w:vAlign w:val="bottom"/>
            <w:gridSpan w:val="2"/>
            <w:vMerge w:val="continue"/>
          </w:tcPr>
          <w:p>
            <w:pPr>
              <w:spacing w:after="0"/>
              <w:rPr>
                <w:sz w:val="17"/>
                <w:szCs w:val="17"/>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160" w:type="dxa"/>
            <w:vAlign w:val="bottom"/>
            <w:gridSpan w:val="2"/>
          </w:tcPr>
          <w:p>
            <w:pPr>
              <w:jc w:val="center"/>
              <w:ind w:right="120"/>
              <w:spacing w:after="0" w:line="197" w:lineRule="exact"/>
              <w:rPr>
                <w:sz w:val="20"/>
                <w:szCs w:val="20"/>
                <w:color w:val="auto"/>
              </w:rPr>
            </w:pPr>
            <w:r>
              <w:rPr>
                <w:rFonts w:ascii="Times New Roman" w:cs="Times New Roman" w:eastAsia="Times New Roman" w:hAnsi="Times New Roman"/>
                <w:sz w:val="14"/>
                <w:szCs w:val="14"/>
                <w:b w:val="1"/>
                <w:bCs w:val="1"/>
                <w:color w:val="auto"/>
                <w:w w:val="93"/>
              </w:rPr>
              <w:t xml:space="preserve">(MW) </w:t>
            </w:r>
            <w:r>
              <w:rPr>
                <w:rFonts w:ascii="Times New Roman" w:cs="Times New Roman" w:eastAsia="Times New Roman" w:hAnsi="Times New Roman"/>
                <w:sz w:val="20"/>
                <w:szCs w:val="20"/>
                <w:b w:val="1"/>
                <w:bCs w:val="1"/>
                <w:color w:val="auto"/>
                <w:w w:val="93"/>
                <w:vertAlign w:val="superscript"/>
              </w:rPr>
              <w:t>(a)</w:t>
            </w:r>
          </w:p>
        </w:tc>
        <w:tc>
          <w:tcPr>
            <w:tcW w:w="40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Other DG Projects</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0" w:type="dxa"/>
            <w:vAlign w:val="bottom"/>
          </w:tcPr>
          <w:p>
            <w:pPr>
              <w:spacing w:after="0"/>
              <w:rPr>
                <w:sz w:val="15"/>
                <w:szCs w:val="15"/>
                <w:color w:val="auto"/>
              </w:rPr>
            </w:pPr>
          </w:p>
        </w:tc>
        <w:tc>
          <w:tcPr>
            <w:tcW w:w="10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2023 - 2039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4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7"/>
        </w:trPr>
        <w:tc>
          <w:tcPr>
            <w:tcW w:w="326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24"/>
        </w:trPr>
        <w:tc>
          <w:tcPr>
            <w:tcW w:w="3260" w:type="dxa"/>
            <w:vAlign w:val="bottom"/>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Toyota and AEP</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Capistrano Wind Portfolio</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2030 - 2033</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Crosswinds</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99 %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Corn Belt Power Cooperative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24"/>
        </w:trPr>
        <w:tc>
          <w:tcPr>
            <w:tcW w:w="3260" w:type="dxa"/>
            <w:vAlign w:val="bottom"/>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66.7 %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Dow Pipeline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Hardin</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99 %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Interstate Power and Light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Goldman Sachs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Lookout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97"/>
        </w:trPr>
        <w:tc>
          <w:tcPr>
            <w:tcW w:w="326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2033 - 2036</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Mesquite Star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2032 - 2035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Citigroup</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Odin</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99.9 %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Missouri River Energy Services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43"/>
        </w:trPr>
        <w:tc>
          <w:tcPr>
            <w:tcW w:w="32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0"/>
                <w:szCs w:val="20"/>
                <w:color w:val="auto"/>
                <w:vertAlign w:val="superscript"/>
              </w:rPr>
              <w:t>(b)</w:t>
            </w:r>
          </w:p>
        </w:tc>
        <w:tc>
          <w:tcPr>
            <w:tcW w:w="1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Maryland Department of General Services and University System of</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4"/>
        </w:trPr>
        <w:tc>
          <w:tcPr>
            <w:tcW w:w="3260" w:type="dxa"/>
            <w:vAlign w:val="bottom"/>
            <w:vMerge w:val="continue"/>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Maryland</w:t>
            </w: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0"/>
                <w:szCs w:val="20"/>
                <w:color w:val="auto"/>
                <w:vertAlign w:val="superscript"/>
              </w:rPr>
              <w:t>(b) (d)</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Avista Corporation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AEP Energy Partners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90.1 %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24"/>
        </w:trPr>
        <w:tc>
          <w:tcPr>
            <w:tcW w:w="3260" w:type="dxa"/>
            <w:vAlign w:val="bottom"/>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90.1 %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CCEEFF"/>
            </w:tcBorders>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0"/>
                <w:szCs w:val="20"/>
                <w:color w:val="auto"/>
                <w:vertAlign w:val="superscript"/>
              </w:rPr>
              <w:t>(b)</w:t>
            </w:r>
          </w:p>
        </w:tc>
        <w:tc>
          <w:tcPr>
            <w:tcW w:w="17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7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w:t>
            </w:r>
          </w:p>
        </w:tc>
        <w:tc>
          <w:tcPr>
            <w:tcW w:w="4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net generation capacity</w:t>
            </w:r>
          </w:p>
        </w:tc>
        <w:tc>
          <w:tcPr>
            <w:tcW w:w="17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8,123</w:t>
            </w:r>
          </w:p>
        </w:tc>
        <w:tc>
          <w:tcPr>
            <w:tcW w:w="4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3868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62" w:lineRule="exact"/>
        <w:rPr>
          <w:sz w:val="20"/>
          <w:szCs w:val="20"/>
          <w:color w:val="auto"/>
        </w:rPr>
      </w:pPr>
    </w:p>
    <w:p>
      <w:pPr>
        <w:ind w:left="240" w:hanging="156"/>
        <w:spacing w:after="0"/>
        <w:tabs>
          <w:tab w:leader="none" w:pos="24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Net capacity represents the maximum, or rated, generating capacity of the facility multiplied by the Company’s percentage ownership in the facility as of September 30, 2022.</w:t>
      </w:r>
    </w:p>
    <w:p>
      <w:pPr>
        <w:spacing w:after="0" w:line="56" w:lineRule="exact"/>
        <w:rPr>
          <w:rFonts w:ascii="Times New Roman" w:cs="Times New Roman" w:eastAsia="Times New Roman" w:hAnsi="Times New Roman"/>
          <w:sz w:val="21"/>
          <w:szCs w:val="21"/>
          <w:color w:val="auto"/>
          <w:vertAlign w:val="superscript"/>
        </w:rPr>
      </w:pPr>
    </w:p>
    <w:p>
      <w:pPr>
        <w:ind w:left="80" w:firstLine="4"/>
        <w:spacing w:after="0"/>
        <w:tabs>
          <w:tab w:leader="none" w:pos="241"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 xml:space="preserve">Projects are part of tax equity arrangements and ownership percentage is based on cash to be distributed, as further described in Note 4, </w:t>
      </w:r>
      <w:r>
        <w:rPr>
          <w:rFonts w:ascii="Times New Roman" w:cs="Times New Roman" w:eastAsia="Times New Roman" w:hAnsi="Times New Roman"/>
          <w:sz w:val="12"/>
          <w:szCs w:val="12"/>
          <w:i w:val="1"/>
          <w:iCs w:val="1"/>
          <w:color w:val="auto"/>
        </w:rPr>
        <w:t>Investments Accounted for by the Equity Method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Variable Interest Entities.</w:t>
      </w:r>
    </w:p>
    <w:p>
      <w:pPr>
        <w:spacing w:after="0" w:line="108" w:lineRule="exact"/>
        <w:rPr>
          <w:rFonts w:ascii="Times New Roman" w:cs="Times New Roman" w:eastAsia="Times New Roman" w:hAnsi="Times New Roman"/>
          <w:sz w:val="20"/>
          <w:szCs w:val="20"/>
          <w:color w:val="auto"/>
          <w:vertAlign w:val="superscript"/>
        </w:rPr>
      </w:pPr>
    </w:p>
    <w:p>
      <w:pPr>
        <w:ind w:left="260" w:hanging="176"/>
        <w:spacing w:after="0" w:line="238" w:lineRule="auto"/>
        <w:tabs>
          <w:tab w:leader="none" w:pos="26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storage capacity that matches the facility’s rated generating capacity.</w:t>
      </w:r>
    </w:p>
    <w:p>
      <w:pPr>
        <w:spacing w:after="0" w:line="79" w:lineRule="exact"/>
        <w:rPr>
          <w:rFonts w:ascii="Times New Roman" w:cs="Times New Roman" w:eastAsia="Times New Roman" w:hAnsi="Times New Roman"/>
          <w:sz w:val="23"/>
          <w:szCs w:val="23"/>
          <w:color w:val="auto"/>
          <w:vertAlign w:val="superscript"/>
        </w:rPr>
      </w:pPr>
    </w:p>
    <w:p>
      <w:pPr>
        <w:ind w:left="260" w:hanging="176"/>
        <w:spacing w:after="0" w:line="183" w:lineRule="auto"/>
        <w:tabs>
          <w:tab w:leader="none" w:pos="26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Rattlesnake has a deliverable capacity of 144 MW.</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Thermal Disposition</w:t>
      </w:r>
    </w:p>
    <w:p>
      <w:pPr>
        <w:spacing w:after="0" w:line="163" w:lineRule="exact"/>
        <w:rPr>
          <w:sz w:val="20"/>
          <w:szCs w:val="20"/>
          <w:color w:val="auto"/>
        </w:rPr>
      </w:pPr>
    </w:p>
    <w:p>
      <w:pPr>
        <w:jc w:val="both"/>
        <w:ind w:left="640" w:hanging="319"/>
        <w:spacing w:after="0" w:line="249" w:lineRule="auto"/>
        <w:tabs>
          <w:tab w:leader="none" w:pos="636" w:val="left"/>
        </w:tabs>
        <w:numPr>
          <w:ilvl w:val="0"/>
          <w:numId w:val="24"/>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auto"/>
        </w:rPr>
        <w:t>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The proceeds from the sale were utilized to repay certain borrowings outstanding, as described under “Corporate Financing Activities” below, with the remaining proceeds invested in short-term investments classified as cash and cash equivalents on the Company’s consolidated balance sheet as of September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Capistrano Wind Portfolio Acquisition</w:t>
      </w:r>
    </w:p>
    <w:p>
      <w:pPr>
        <w:spacing w:after="0" w:line="163" w:lineRule="exact"/>
        <w:rPr>
          <w:sz w:val="20"/>
          <w:szCs w:val="20"/>
          <w:color w:val="auto"/>
        </w:rPr>
      </w:pPr>
    </w:p>
    <w:p>
      <w:pPr>
        <w:jc w:val="both"/>
        <w:ind w:left="640" w:hanging="319"/>
        <w:spacing w:after="0" w:line="246" w:lineRule="auto"/>
        <w:tabs>
          <w:tab w:leader="none" w:pos="636"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August 22, 2022, the Company, through its wholly-owned indirect subsidiary, Capistrano Portfolio 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10 years. The Capistrano Wind Portfolio operations are reflected in the Company’s Renewables segment and the acquisition was funded with existing sources of liquidity.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63" w:lineRule="exact"/>
        <w:rPr>
          <w:sz w:val="20"/>
          <w:szCs w:val="20"/>
          <w:color w:val="auto"/>
        </w:rPr>
      </w:pPr>
    </w:p>
    <w:p>
      <w:pPr>
        <w:jc w:val="both"/>
        <w:ind w:left="640" w:hanging="319"/>
        <w:spacing w:after="0" w:line="284" w:lineRule="auto"/>
        <w:tabs>
          <w:tab w:leader="none" w:pos="63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3, 2022, the Company, through its indirect subsidiary, Lighthouse Renewable Holdco LLC, acquired Waiawa BL Borrower Holdco LLC, the indirect owner of the Waiawa solar project, a 36 MW solar project with matching storage capacity that is currently under construction and located in Honolulu, Hawaii, from Clearway Renew LLC, a subsidiary of CEG, for cash consideration of $20 million. Lighthouse Renewable Holdco LLC is a partnership between the Company and a third-party investor. The third-party investor also contributed cash consideration of $12 million, which was utilized to acquire their portion of the acquired entity. Waiawa BL Borrower Holdco LLC consolidates, as the direct owner of the primary beneficiary, a tax equity fund, Waiawa TE Holdco LLC, which directly holds the Waiawa solar project. Waiawa has a 20-year PPA with an investment-grade utility that commences when the project reaches commercial operations, as defined in the PPA. The acquisition was funded with existing sources of liquidity.</w:t>
      </w:r>
    </w:p>
    <w:p>
      <w:pPr>
        <w:spacing w:after="0" w:line="107" w:lineRule="exact"/>
        <w:rPr>
          <w:rFonts w:ascii="Times New Roman" w:cs="Times New Roman" w:eastAsia="Times New Roman" w:hAnsi="Times New Roman"/>
          <w:sz w:val="16"/>
          <w:szCs w:val="16"/>
          <w:color w:val="auto"/>
        </w:rPr>
      </w:pPr>
    </w:p>
    <w:p>
      <w:pPr>
        <w:jc w:val="both"/>
        <w:ind w:left="640" w:hanging="319"/>
        <w:spacing w:after="0" w:line="24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2022, the Company, through its indirect subsidiary, Lighthouse Renewable Holdco LLC, acquired Mililani BL Borrower Holdco LLC, the indirect owner of the Mililani I solar project, a 39 MW solar project with matching storage capacity, located in Honolulu, Hawaii, from Clearway Renew LLC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PPA with an investment-grade utility that commenced in July 2022. The acquisition was funded with existing sources of liquidity. As part of the acquisition of Mililani I, the Company assumed the project’s financing agreement, which included a $16 million construction loan that converts to a term loan upon the project reaching substantial completion, $60 million tax equity bridge loan and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received from the tax equity investor upon Mililani I reaching substantial completion, which is expected to occur in the fourth quarter of 2022, along with the $18 million that was contributed into escrow by the tax equity investor at acquisition date.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jc w:val="both"/>
        <w:ind w:left="640" w:hanging="319"/>
        <w:spacing w:after="0" w:line="250"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in connection with the Company’s 2021 acquisition of the Class B membership interests in Black Rock Wind Holding LLC, through its indirect subsidiary Lighthouse Renewable Holding Sub LLC, from Clearway Renew LLC,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Adequacy Agreements</w:t>
      </w:r>
    </w:p>
    <w:p>
      <w:pPr>
        <w:spacing w:after="0" w:line="163" w:lineRule="exact"/>
        <w:rPr>
          <w:sz w:val="20"/>
          <w:szCs w:val="20"/>
          <w:color w:val="auto"/>
        </w:rPr>
      </w:pPr>
    </w:p>
    <w:p>
      <w:pPr>
        <w:ind w:left="64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the Company contracted with SCE to sell 100% of El Segundo’s available capacity commencing in August 2023 and ending in August 2026.</w:t>
      </w:r>
    </w:p>
    <w:p>
      <w:pPr>
        <w:spacing w:after="0" w:line="116"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contracted with several load serving entities to sell the remaining 20% of Marsh Landing’s available capacity commencing in May 2023. The agreements are for approximately three and a half years. Marsh Landing’s capacity is now 100% contracted for a weighted average contract tenor of approximately four years commencing in May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Financing Activities</w:t>
      </w:r>
    </w:p>
    <w:p>
      <w:pPr>
        <w:spacing w:after="0" w:line="163" w:lineRule="exact"/>
        <w:rPr>
          <w:sz w:val="20"/>
          <w:szCs w:val="20"/>
          <w:color w:val="auto"/>
        </w:rPr>
      </w:pPr>
    </w:p>
    <w:p>
      <w:pPr>
        <w:ind w:left="640" w:hanging="319"/>
        <w:spacing w:after="0" w:line="268"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 2022, the Company repaid (i) $305 million in outstanding borrowings under the revolving credit facility and (ii) $335 million in outstanding borrowings under the Bridge Loan Agreement utilizing proceeds received from the Thermal Disposition.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Project-level Financing Activities</w:t>
      </w:r>
    </w:p>
    <w:p>
      <w:pPr>
        <w:spacing w:after="0" w:line="163" w:lineRule="exact"/>
        <w:rPr>
          <w:sz w:val="20"/>
          <w:szCs w:val="20"/>
          <w:color w:val="auto"/>
        </w:rPr>
      </w:pPr>
    </w:p>
    <w:p>
      <w:pPr>
        <w:jc w:val="both"/>
        <w:ind w:left="640" w:hanging="319"/>
        <w:spacing w:after="0" w:line="252"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6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0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Proposed Federal Reclassification of Northern Long-Eared Bat </w:t>
      </w:r>
      <w:r>
        <w:rPr>
          <w:rFonts w:ascii="Times New Roman" w:cs="Times New Roman" w:eastAsia="Times New Roman" w:hAnsi="Times New Roman"/>
          <w:sz w:val="18"/>
          <w:szCs w:val="18"/>
          <w:color w:val="auto"/>
        </w:rPr>
        <w:t>— On March 23, 2022, the U.S. Fish and Wildlife Service (FWS) announced a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reclassify the northern long-eared bat as endangered under the Endangered Species Act. The bat, currently listed as threatened, faces extinction due to the range-wide impacts of white-nose syndrome, a deadly disease affecting cave-dwelling bats across the continent. The northern long-eared bat is found in 37 states in the eastern and north central United States and in Canada. The Company is working with renewable energy industry groups to provide comments on the proposed reclassification as this proposal could affect renewable energy facility siting and operations. The proposed listing was recently published by FWS in the Federal Register and the public comment period closed on May 23, 2022. The Company participated in this comment process through the renewable industry group. FWS has yet to release its final decision.</w:t>
      </w:r>
    </w:p>
    <w:p>
      <w:pPr>
        <w:spacing w:after="0" w:line="134"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2021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1" w:lineRule="exact"/>
        <w:rPr>
          <w:sz w:val="20"/>
          <w:szCs w:val="20"/>
          <w:color w:val="auto"/>
        </w:rPr>
      </w:pPr>
    </w:p>
    <w:p>
      <w:pPr>
        <w:jc w:val="both"/>
        <w:ind w:firstLine="434"/>
        <w:spacing w:after="0" w:line="271"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2021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6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The Company’s trends are described in the Company’s 2021 Form 10-K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Industry Conditions and the Company’s Business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report, the Company has not experienced any material financial or operational impacts related to COVID-19, or variants thereof. All of the Company’s facilities have remained operational. The Company will continue to assess any financial or operational impacts based on any future developments. For additional discussion regarding risks associated with the COVID-19 pandemic,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Company’s 2021 Form 10-K.</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11"/>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396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77"/>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7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right"/>
              <w:ind w:right="272"/>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260"/>
              <w:spacing w:after="0" w:line="138"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333333"/>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333333"/>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1,172</w:t>
            </w: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33333"/>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333333"/>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(195)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33333"/>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33333"/>
              </w:rPr>
              <w:t>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333333"/>
              </w:rPr>
              <w:t>235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755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333333"/>
              </w:rPr>
              <w:t>105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333333"/>
              </w:rPr>
              <w:t>89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1,458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333333"/>
              </w:rPr>
              <w:t>208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33333"/>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interest income</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333333"/>
              </w:rPr>
              <w:t>(82)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(253)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33333"/>
              </w:rPr>
              <w:t>(63)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333333"/>
              </w:rPr>
              <w:t>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333333"/>
              </w:rPr>
              <w:t>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1,351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333333"/>
              </w:rPr>
              <w:t>(31)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237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33333"/>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33333"/>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70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Less: Income (loss) attributable to noncontrolling interests and</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544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11"/>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line="218"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2"/>
                <w:szCs w:val="22"/>
                <w:color w:val="auto"/>
                <w:vertAlign w:val="superscript"/>
              </w:rPr>
              <w:t>(a)</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spacing w:after="0" w:line="224" w:lineRule="exact"/>
              <w:rPr>
                <w:sz w:val="20"/>
                <w:szCs w:val="20"/>
                <w:color w:val="auto"/>
              </w:rPr>
            </w:pPr>
            <w:r>
              <w:rPr>
                <w:rFonts w:ascii="Times New Roman" w:cs="Times New Roman" w:eastAsia="Times New Roman" w:hAnsi="Times New Roman"/>
                <w:sz w:val="18"/>
                <w:szCs w:val="18"/>
                <w:color w:val="auto"/>
              </w:rPr>
              <w:t xml:space="preserve">Thermal MWt sold (in thousands) </w:t>
            </w:r>
            <w:r>
              <w:rPr>
                <w:rFonts w:ascii="Times New Roman" w:cs="Times New Roman" w:eastAsia="Times New Roman" w:hAnsi="Times New Roman"/>
                <w:sz w:val="22"/>
                <w:szCs w:val="22"/>
                <w:color w:val="auto"/>
                <w:vertAlign w:val="superscript"/>
              </w:rPr>
              <w:t>(b)</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2"/>
                <w:szCs w:val="22"/>
                <w:color w:val="auto"/>
                <w:vertAlign w:val="superscript"/>
              </w:rPr>
              <w:t>(b)</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spacing w:after="0" w:line="224"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2"/>
                <w:szCs w:val="22"/>
                <w:color w:val="auto"/>
                <w:vertAlign w:val="superscript"/>
              </w:rPr>
              <w:t>(a) (c)</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22479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47900" cy="8255"/>
                    </a:xfrm>
                    <a:prstGeom prst="rect">
                      <a:avLst/>
                    </a:prstGeom>
                    <a:noFill/>
                  </pic:spPr>
                </pic:pic>
              </a:graphicData>
            </a:graphic>
          </wp:anchor>
        </w:drawing>
      </w:r>
    </w:p>
    <w:p>
      <w:pPr>
        <w:spacing w:after="0" w:line="162" w:lineRule="exact"/>
        <w:rPr>
          <w:sz w:val="20"/>
          <w:szCs w:val="20"/>
          <w:color w:val="auto"/>
        </w:rPr>
      </w:pPr>
    </w:p>
    <w:p>
      <w:pPr>
        <w:ind w:left="240" w:hanging="156"/>
        <w:spacing w:after="0"/>
        <w:tabs>
          <w:tab w:leader="none" w:pos="24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4" w:lineRule="exact"/>
        <w:rPr>
          <w:rFonts w:ascii="Times New Roman" w:cs="Times New Roman" w:eastAsia="Times New Roman" w:hAnsi="Times New Roman"/>
          <w:sz w:val="21"/>
          <w:szCs w:val="21"/>
          <w:color w:val="auto"/>
          <w:vertAlign w:val="superscript"/>
        </w:rPr>
      </w:pPr>
    </w:p>
    <w:p>
      <w:pPr>
        <w:ind w:left="240" w:hanging="156"/>
        <w:spacing w:after="0" w:line="183" w:lineRule="auto"/>
        <w:tabs>
          <w:tab w:leader="none" w:pos="24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On May 1, 2022, the Company completed the sale of 100% of its interests in the Thermal Business to KKR.</w:t>
      </w:r>
    </w:p>
    <w:p>
      <w:pPr>
        <w:spacing w:after="0" w:line="4" w:lineRule="exact"/>
        <w:rPr>
          <w:rFonts w:ascii="Times New Roman" w:cs="Times New Roman" w:eastAsia="Times New Roman" w:hAnsi="Times New Roman"/>
          <w:sz w:val="19"/>
          <w:szCs w:val="19"/>
          <w:color w:val="auto"/>
          <w:vertAlign w:val="superscript"/>
        </w:rPr>
      </w:pPr>
    </w:p>
    <w:p>
      <w:pPr>
        <w:ind w:left="240" w:hanging="156"/>
        <w:spacing w:after="0" w:line="183" w:lineRule="auto"/>
        <w:tabs>
          <w:tab w:leader="none" w:pos="24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Volumes generated are not sold as the Conventional facilities sell capacity rather than energy.</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September 30, 2022 and 2021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Operating revenues decreased by $11 million during the three months ended September 30, 2022, compared to the same period in 2021, due to a combination of the drivers summarized in the table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6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3"/>
        </w:trPr>
        <w:tc>
          <w:tcPr>
            <w:tcW w:w="24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Renewables Segment</w:t>
            </w:r>
          </w:p>
        </w:tc>
        <w:tc>
          <w:tcPr>
            <w:tcW w:w="7420" w:type="dxa"/>
            <w:vAlign w:val="bottom"/>
            <w:shd w:val="clear" w:color="auto" w:fill="CCEEFF"/>
          </w:tcPr>
          <w:p>
            <w:pPr>
              <w:ind w:left="180"/>
              <w:spacing w:after="0" w:line="154" w:lineRule="exact"/>
              <w:rPr>
                <w:sz w:val="20"/>
                <w:szCs w:val="20"/>
                <w:color w:val="auto"/>
              </w:rPr>
            </w:pPr>
            <w:r>
              <w:rPr>
                <w:rFonts w:ascii="Times New Roman" w:cs="Times New Roman" w:eastAsia="Times New Roman" w:hAnsi="Times New Roman"/>
                <w:sz w:val="16"/>
                <w:szCs w:val="16"/>
                <w:color w:val="auto"/>
              </w:rPr>
              <w:t>Increase due to the acquisitions of the Utah Solar Portfolio and Black Rock in December 2021,</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9"/>
        </w:trPr>
        <w:tc>
          <w:tcPr>
            <w:tcW w:w="2460" w:type="dxa"/>
            <w:vAlign w:val="bottom"/>
            <w:shd w:val="clear" w:color="auto" w:fill="CCEEFF"/>
          </w:tcPr>
          <w:p>
            <w:pPr>
              <w:spacing w:after="0"/>
              <w:rPr>
                <w:sz w:val="15"/>
                <w:szCs w:val="15"/>
                <w:color w:val="auto"/>
              </w:rPr>
            </w:pPr>
          </w:p>
        </w:tc>
        <w:tc>
          <w:tcPr>
            <w:tcW w:w="7420" w:type="dxa"/>
            <w:vAlign w:val="bottom"/>
            <w:shd w:val="clear" w:color="auto" w:fill="CCEEFF"/>
          </w:tcPr>
          <w:p>
            <w:pPr>
              <w:ind w:left="180"/>
              <w:spacing w:after="0" w:line="179" w:lineRule="exact"/>
              <w:rPr>
                <w:sz w:val="20"/>
                <w:szCs w:val="20"/>
                <w:color w:val="auto"/>
              </w:rPr>
            </w:pPr>
            <w:r>
              <w:rPr>
                <w:rFonts w:ascii="Times New Roman" w:cs="Times New Roman" w:eastAsia="Times New Roman" w:hAnsi="Times New Roman"/>
                <w:sz w:val="18"/>
                <w:szCs w:val="18"/>
                <w:color w:val="auto"/>
                <w:w w:val="97"/>
              </w:rPr>
              <w:t>Mililani I in March 2022 and the Capistrano Wind Portfolio in August 2022, as well as the repowering</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2460" w:type="dxa"/>
            <w:vAlign w:val="bottom"/>
            <w:shd w:val="clear" w:color="auto" w:fill="CCEEFF"/>
          </w:tcPr>
          <w:p>
            <w:pPr>
              <w:spacing w:after="0"/>
              <w:rPr>
                <w:sz w:val="19"/>
                <w:szCs w:val="19"/>
                <w:color w:val="auto"/>
              </w:rPr>
            </w:pPr>
          </w:p>
        </w:tc>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Pinnacle wind project in December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4"/>
        </w:trPr>
        <w:tc>
          <w:tcPr>
            <w:tcW w:w="246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primarily driven by higher average realized prices at the wind facilities.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71"/>
        </w:trPr>
        <w:tc>
          <w:tcPr>
            <w:tcW w:w="24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Conventional Segment</w:t>
            </w:r>
          </w:p>
        </w:tc>
        <w:tc>
          <w:tcPr>
            <w:tcW w:w="742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Decrease primarily driven by forced outages at the El Segundo and Walnut Creek facilities in 2022,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7"/>
        </w:trPr>
        <w:tc>
          <w:tcPr>
            <w:tcW w:w="2460" w:type="dxa"/>
            <w:vAlign w:val="bottom"/>
            <w:shd w:val="clear" w:color="auto" w:fill="CCEEFF"/>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resulting in lower capacity revenue.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71"/>
        </w:trPr>
        <w:tc>
          <w:tcPr>
            <w:tcW w:w="24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Mark-to-market for economic</w:t>
            </w:r>
          </w:p>
        </w:tc>
        <w:tc>
          <w:tcPr>
            <w:tcW w:w="742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Decrease in unrealized losses primarily driven by a smaller increase in forward power prices in the</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ERCOT and PJM markets in 2022, compared to the same period in 2021.</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71"/>
        </w:trPr>
        <w:tc>
          <w:tcPr>
            <w:tcW w:w="24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42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Increase primarily driven by amortization of the intangible assets for PPAs related to the 2021</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7"/>
        </w:trPr>
        <w:tc>
          <w:tcPr>
            <w:tcW w:w="2460" w:type="dxa"/>
            <w:vAlign w:val="bottom"/>
            <w:tcBorders>
              <w:bottom w:val="single" w:sz="8" w:color="CCEEFF"/>
            </w:tcBorders>
          </w:tcPr>
          <w:p>
            <w:pPr>
              <w:spacing w:after="0"/>
              <w:rPr>
                <w:sz w:val="20"/>
                <w:szCs w:val="20"/>
                <w:color w:val="auto"/>
              </w:rPr>
            </w:pPr>
          </w:p>
        </w:tc>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acquisition of the Utah Solar Portfolio.</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2"/>
        </w:trPr>
        <w:tc>
          <w:tcPr>
            <w:tcW w:w="246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Cost of fuels decreased by $20 million during the three months ended September 30, 2022, compared to the same period in 2021, due to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Operations and maintenance expense increased by $2 million during the three months ended September 30, 2022, compared to the same period in 2021, due to a combination of the drivers summarized in the table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3"/>
        </w:trPr>
        <w:tc>
          <w:tcPr>
            <w:tcW w:w="21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Renewables Segment</w:t>
            </w:r>
          </w:p>
        </w:tc>
        <w:tc>
          <w:tcPr>
            <w:tcW w:w="7700" w:type="dxa"/>
            <w:vAlign w:val="bottom"/>
            <w:shd w:val="clear" w:color="auto" w:fill="CCEEFF"/>
          </w:tcPr>
          <w:p>
            <w:pPr>
              <w:ind w:left="460"/>
              <w:spacing w:after="0" w:line="154" w:lineRule="exact"/>
              <w:rPr>
                <w:sz w:val="20"/>
                <w:szCs w:val="20"/>
                <w:color w:val="auto"/>
              </w:rPr>
            </w:pPr>
            <w:r>
              <w:rPr>
                <w:rFonts w:ascii="Times New Roman" w:cs="Times New Roman" w:eastAsia="Times New Roman" w:hAnsi="Times New Roman"/>
                <w:sz w:val="16"/>
                <w:szCs w:val="16"/>
                <w:color w:val="auto"/>
              </w:rPr>
              <w:t>Increase due to the acquisitions of the Utah Solar Portfolio, Black Rock and Mesquite Sky in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37"/>
        </w:trPr>
        <w:tc>
          <w:tcPr>
            <w:tcW w:w="2180" w:type="dxa"/>
            <w:vAlign w:val="bottom"/>
            <w:shd w:val="clear" w:color="auto" w:fill="CCEEFF"/>
          </w:tcPr>
          <w:p>
            <w:pPr>
              <w:spacing w:after="0"/>
              <w:rPr>
                <w:sz w:val="20"/>
                <w:szCs w:val="20"/>
                <w:color w:val="auto"/>
              </w:rPr>
            </w:pP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December 2021 and the Capistrano Wind Portfolio in August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71"/>
        </w:trPr>
        <w:tc>
          <w:tcPr>
            <w:tcW w:w="2180" w:type="dxa"/>
            <w:vAlign w:val="bottom"/>
          </w:tcPr>
          <w:p>
            <w:pPr>
              <w:spacing w:after="0"/>
              <w:rPr>
                <w:sz w:val="14"/>
                <w:szCs w:val="14"/>
                <w:color w:val="auto"/>
              </w:rPr>
            </w:pPr>
          </w:p>
        </w:tc>
        <w:tc>
          <w:tcPr>
            <w:tcW w:w="7700" w:type="dxa"/>
            <w:vAlign w:val="bottom"/>
          </w:tcPr>
          <w:p>
            <w:pPr>
              <w:ind w:left="460"/>
              <w:spacing w:after="0" w:line="171" w:lineRule="exact"/>
              <w:rPr>
                <w:sz w:val="20"/>
                <w:szCs w:val="20"/>
                <w:color w:val="auto"/>
              </w:rPr>
            </w:pPr>
            <w:r>
              <w:rPr>
                <w:rFonts w:ascii="Times New Roman" w:cs="Times New Roman" w:eastAsia="Times New Roman" w:hAnsi="Times New Roman"/>
                <w:sz w:val="18"/>
                <w:szCs w:val="18"/>
                <w:color w:val="auto"/>
              </w:rPr>
              <w:t>Increase primarily driven by timing of maintenance activities, as well as increasing material costs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7"/>
        </w:trPr>
        <w:tc>
          <w:tcPr>
            <w:tcW w:w="218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largely at the wind facilities.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primarily driven by forced outages at El Segundo and Walnut Creek in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2"/>
        </w:trPr>
        <w:tc>
          <w:tcPr>
            <w:tcW w:w="21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$6 million during the three months ended September 30, 2022, compared to the same period in 2021, primarily driven by a decrease in earnings from Avenal, as well as the consolidation of the of the Utah Solar Portfolio in December 2021, which had earnings in 2021.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Interest expense decreased by $35 million during the three months ended September 30, 2022, compared to the same period in 2021, primarily due to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the sale of the Thermal Business on May 1, 2022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98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2022, the Company recorded an income tax expense of $13 million on pretax income of $75 million. For the same period in 2021, the Company recorded an income tax expense of $1 million on pretax income of $26 million. The primary driver of the $12 million increase in income tax expense is the increase in taxable earnings allocated to the Company in 2022 compared to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 and Redeemable Noncontrolling Interests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income of $30 million attributable to noncontrolling interests and redeemable noncontrolling interests comprised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7"/>
        </w:trPr>
        <w:tc>
          <w:tcPr>
            <w:tcW w:w="98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September 30, 2021, the Company had income of $4 million attributable to noncontrolling interests and redeemable noncontrolling interests comprised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98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880" w:type="dxa"/>
            <w:vAlign w:val="bottom"/>
            <w:vMerge w:val="restart"/>
          </w:tcPr>
          <w:p>
            <w:pPr>
              <w:jc w:val="right"/>
              <w:ind w:right="4072"/>
              <w:spacing w:after="0"/>
              <w:rPr>
                <w:sz w:val="20"/>
                <w:szCs w:val="20"/>
                <w:color w:val="auto"/>
              </w:rPr>
            </w:pPr>
            <w:r>
              <w:rPr>
                <w:rFonts w:ascii="Times New Roman" w:cs="Times New Roman" w:eastAsia="Times New Roman" w:hAnsi="Times New Roman"/>
                <w:sz w:val="18"/>
                <w:szCs w:val="18"/>
                <w:color w:val="231F20"/>
              </w:rPr>
              <w:t>44</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9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Nine Months Ended September 30, 2022 and 2021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Operating revenues decreased by $46 million during the nine months ended September 30, 2022, compared to the same period in 2021, due to a combination of the drivers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20" w:type="dxa"/>
            <w:vAlign w:val="bottom"/>
            <w:tcBorders>
              <w:bottom w:val="single" w:sz="8" w:color="CCEEFF"/>
            </w:tcBorders>
          </w:tcPr>
          <w:p>
            <w:pPr>
              <w:spacing w:after="0"/>
              <w:rPr>
                <w:sz w:val="20"/>
                <w:szCs w:val="20"/>
                <w:color w:val="auto"/>
              </w:rPr>
            </w:pPr>
          </w:p>
        </w:tc>
        <w:tc>
          <w:tcPr>
            <w:tcW w:w="7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151"/>
        </w:trPr>
        <w:tc>
          <w:tcPr>
            <w:tcW w:w="23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Renewables Segment</w:t>
            </w:r>
          </w:p>
        </w:tc>
        <w:tc>
          <w:tcPr>
            <w:tcW w:w="7560" w:type="dxa"/>
            <w:vAlign w:val="bottom"/>
            <w:shd w:val="clear" w:color="auto" w:fill="CCEEFF"/>
          </w:tcPr>
          <w:p>
            <w:pPr>
              <w:ind w:left="320"/>
              <w:spacing w:after="0" w:line="152" w:lineRule="exact"/>
              <w:rPr>
                <w:sz w:val="20"/>
                <w:szCs w:val="20"/>
                <w:color w:val="auto"/>
              </w:rPr>
            </w:pPr>
            <w:r>
              <w:rPr>
                <w:rFonts w:ascii="Times New Roman" w:cs="Times New Roman" w:eastAsia="Times New Roman" w:hAnsi="Times New Roman"/>
                <w:sz w:val="16"/>
                <w:szCs w:val="16"/>
                <w:color w:val="auto"/>
              </w:rPr>
              <w:t>Increase due to the 2021 acquisitions of the Utah Solar Portfolio, Agua Caliente, Black Rock and Mt.</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79"/>
        </w:trPr>
        <w:tc>
          <w:tcPr>
            <w:tcW w:w="2320" w:type="dxa"/>
            <w:vAlign w:val="bottom"/>
            <w:shd w:val="clear" w:color="auto" w:fill="CCEEFF"/>
          </w:tcPr>
          <w:p>
            <w:pPr>
              <w:spacing w:after="0"/>
              <w:rPr>
                <w:sz w:val="15"/>
                <w:szCs w:val="15"/>
                <w:color w:val="auto"/>
              </w:rPr>
            </w:pPr>
          </w:p>
        </w:tc>
        <w:tc>
          <w:tcPr>
            <w:tcW w:w="7560" w:type="dxa"/>
            <w:vAlign w:val="bottom"/>
            <w:shd w:val="clear" w:color="auto" w:fill="CCEEFF"/>
          </w:tcPr>
          <w:p>
            <w:pPr>
              <w:ind w:left="320"/>
              <w:spacing w:after="0" w:line="179" w:lineRule="exact"/>
              <w:rPr>
                <w:sz w:val="20"/>
                <w:szCs w:val="20"/>
                <w:color w:val="auto"/>
              </w:rPr>
            </w:pPr>
            <w:r>
              <w:rPr>
                <w:rFonts w:ascii="Times New Roman" w:cs="Times New Roman" w:eastAsia="Times New Roman" w:hAnsi="Times New Roman"/>
                <w:sz w:val="18"/>
                <w:szCs w:val="18"/>
                <w:color w:val="auto"/>
                <w:w w:val="98"/>
              </w:rPr>
              <w:t>Storm, and the 2022 acquisitions of Mililani I and the Capistrano Wind Portfolio, along with the 2021</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9"/>
        </w:trPr>
        <w:tc>
          <w:tcPr>
            <w:tcW w:w="2320" w:type="dxa"/>
            <w:vAlign w:val="bottom"/>
            <w:shd w:val="clear" w:color="auto" w:fill="CCEEFF"/>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repowering of the Pinnacle wind project.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71"/>
        </w:trPr>
        <w:tc>
          <w:tcPr>
            <w:tcW w:w="2320" w:type="dxa"/>
            <w:vAlign w:val="bottom"/>
          </w:tcPr>
          <w:p>
            <w:pPr>
              <w:spacing w:after="0"/>
              <w:rPr>
                <w:sz w:val="14"/>
                <w:szCs w:val="14"/>
                <w:color w:val="auto"/>
              </w:rPr>
            </w:pPr>
          </w:p>
        </w:tc>
        <w:tc>
          <w:tcPr>
            <w:tcW w:w="7560" w:type="dxa"/>
            <w:vAlign w:val="bottom"/>
          </w:tcPr>
          <w:p>
            <w:pPr>
              <w:ind w:left="320"/>
              <w:spacing w:after="0" w:line="171" w:lineRule="exact"/>
              <w:rPr>
                <w:sz w:val="20"/>
                <w:szCs w:val="20"/>
                <w:color w:val="auto"/>
              </w:rPr>
            </w:pPr>
            <w:r>
              <w:rPr>
                <w:rFonts w:ascii="Times New Roman" w:cs="Times New Roman" w:eastAsia="Times New Roman" w:hAnsi="Times New Roman"/>
                <w:sz w:val="18"/>
                <w:szCs w:val="18"/>
                <w:color w:val="auto"/>
              </w:rPr>
              <w:t>Favorable impact from the loss of $50 million in February 2021 related to net settlements of</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9"/>
        </w:trPr>
        <w:tc>
          <w:tcPr>
            <w:tcW w:w="2320" w:type="dxa"/>
            <w:vAlign w:val="bottom"/>
          </w:tcPr>
          <w:p>
            <w:pPr>
              <w:spacing w:after="0"/>
              <w:rPr>
                <w:sz w:val="15"/>
                <w:szCs w:val="15"/>
                <w:color w:val="auto"/>
              </w:rPr>
            </w:pPr>
          </w:p>
        </w:tc>
        <w:tc>
          <w:tcPr>
            <w:tcW w:w="7560" w:type="dxa"/>
            <w:vAlign w:val="bottom"/>
          </w:tcPr>
          <w:p>
            <w:pPr>
              <w:ind w:left="320"/>
              <w:spacing w:after="0" w:line="179" w:lineRule="exact"/>
              <w:rPr>
                <w:sz w:val="20"/>
                <w:szCs w:val="20"/>
                <w:color w:val="auto"/>
              </w:rPr>
            </w:pPr>
            <w:r>
              <w:rPr>
                <w:rFonts w:ascii="Times New Roman" w:cs="Times New Roman" w:eastAsia="Times New Roman" w:hAnsi="Times New Roman"/>
                <w:sz w:val="18"/>
                <w:szCs w:val="18"/>
                <w:color w:val="auto"/>
                <w:w w:val="98"/>
              </w:rPr>
              <w:t>obligations for wind facilities that were unable to produce the required output during extreme weather</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2320" w:type="dxa"/>
            <w:vAlign w:val="bottom"/>
          </w:tcPr>
          <w:p>
            <w:pPr>
              <w:spacing w:after="0"/>
              <w:rPr>
                <w:sz w:val="19"/>
                <w:szCs w:val="19"/>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conditions in Texas.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4"/>
        </w:trPr>
        <w:tc>
          <w:tcPr>
            <w:tcW w:w="2320" w:type="dxa"/>
            <w:vAlign w:val="bottom"/>
            <w:shd w:val="clear" w:color="auto" w:fill="CCEEFF"/>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primarily driven by higher average realized prices at the wind facilities.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71"/>
        </w:trPr>
        <w:tc>
          <w:tcPr>
            <w:tcW w:w="2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Conventional Segment</w:t>
            </w:r>
          </w:p>
        </w:tc>
        <w:tc>
          <w:tcPr>
            <w:tcW w:w="7560" w:type="dxa"/>
            <w:vAlign w:val="bottom"/>
          </w:tcPr>
          <w:p>
            <w:pPr>
              <w:ind w:left="320"/>
              <w:spacing w:after="0" w:line="171" w:lineRule="exact"/>
              <w:rPr>
                <w:sz w:val="20"/>
                <w:szCs w:val="20"/>
                <w:color w:val="auto"/>
              </w:rPr>
            </w:pPr>
            <w:r>
              <w:rPr>
                <w:rFonts w:ascii="Times New Roman" w:cs="Times New Roman" w:eastAsia="Times New Roman" w:hAnsi="Times New Roman"/>
                <w:sz w:val="18"/>
                <w:szCs w:val="18"/>
                <w:color w:val="auto"/>
              </w:rPr>
              <w:t>Decrease primarily driven by forced outages at Walnut Creek and El Segundo Energy Center during</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7"/>
        </w:trPr>
        <w:tc>
          <w:tcPr>
            <w:tcW w:w="2320" w:type="dxa"/>
            <w:vAlign w:val="bottom"/>
          </w:tcPr>
          <w:p>
            <w:pPr>
              <w:spacing w:after="0"/>
              <w:rPr>
                <w:sz w:val="20"/>
                <w:szCs w:val="20"/>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third quarter of 2022, resulting in lower capacity revenue.</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171"/>
        </w:trPr>
        <w:tc>
          <w:tcPr>
            <w:tcW w:w="2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560" w:type="dxa"/>
            <w:vAlign w:val="bottom"/>
          </w:tcPr>
          <w:p>
            <w:pPr>
              <w:ind w:left="320"/>
              <w:spacing w:after="0" w:line="171" w:lineRule="exact"/>
              <w:rPr>
                <w:sz w:val="20"/>
                <w:szCs w:val="20"/>
                <w:color w:val="auto"/>
              </w:rPr>
            </w:pPr>
            <w:r>
              <w:rPr>
                <w:rFonts w:ascii="Times New Roman" w:cs="Times New Roman" w:eastAsia="Times New Roman" w:hAnsi="Times New Roman"/>
                <w:sz w:val="18"/>
                <w:szCs w:val="18"/>
                <w:color w:val="auto"/>
                <w:w w:val="97"/>
              </w:rPr>
              <w:t>Increase in unrealized losses due to changes in the fair value of commodity contracts, primarily driven</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9"/>
        </w:trPr>
        <w:tc>
          <w:tcPr>
            <w:tcW w:w="23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hedging activities</w:t>
            </w:r>
          </w:p>
        </w:tc>
        <w:tc>
          <w:tcPr>
            <w:tcW w:w="7560" w:type="dxa"/>
            <w:vAlign w:val="bottom"/>
          </w:tcPr>
          <w:p>
            <w:pPr>
              <w:ind w:left="320"/>
              <w:spacing w:after="0" w:line="179" w:lineRule="exact"/>
              <w:rPr>
                <w:sz w:val="20"/>
                <w:szCs w:val="20"/>
                <w:color w:val="auto"/>
              </w:rPr>
            </w:pPr>
            <w:r>
              <w:rPr>
                <w:rFonts w:ascii="Times New Roman" w:cs="Times New Roman" w:eastAsia="Times New Roman" w:hAnsi="Times New Roman"/>
                <w:sz w:val="18"/>
                <w:szCs w:val="18"/>
                <w:color w:val="auto"/>
                <w:w w:val="99"/>
              </w:rPr>
              <w:t>by the acquisition of Mesquite Sky in 2021, as well as increased unrealized losses due to increases in</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2320" w:type="dxa"/>
            <w:vAlign w:val="bottom"/>
          </w:tcPr>
          <w:p>
            <w:pPr>
              <w:spacing w:after="0"/>
              <w:rPr>
                <w:sz w:val="19"/>
                <w:szCs w:val="19"/>
                <w:color w:val="auto"/>
              </w:rPr>
            </w:pP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forward power prices in the ERCOT and PJM markets.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171"/>
        </w:trPr>
        <w:tc>
          <w:tcPr>
            <w:tcW w:w="2320" w:type="dxa"/>
            <w:vAlign w:val="bottom"/>
            <w:shd w:val="clear" w:color="auto" w:fill="CCEEFF"/>
          </w:tcPr>
          <w:p>
            <w:pPr>
              <w:spacing w:after="0"/>
              <w:rPr>
                <w:sz w:val="14"/>
                <w:szCs w:val="14"/>
                <w:color w:val="auto"/>
              </w:rPr>
            </w:pPr>
          </w:p>
        </w:tc>
        <w:tc>
          <w:tcPr>
            <w:tcW w:w="7560" w:type="dxa"/>
            <w:vAlign w:val="bottom"/>
            <w:shd w:val="clear" w:color="auto" w:fill="CCEEFF"/>
          </w:tcPr>
          <w:p>
            <w:pPr>
              <w:ind w:left="320"/>
              <w:spacing w:after="0" w:line="171" w:lineRule="exact"/>
              <w:rPr>
                <w:sz w:val="20"/>
                <w:szCs w:val="20"/>
                <w:color w:val="auto"/>
              </w:rPr>
            </w:pPr>
            <w:r>
              <w:rPr>
                <w:rFonts w:ascii="Times New Roman" w:cs="Times New Roman" w:eastAsia="Times New Roman" w:hAnsi="Times New Roman"/>
                <w:sz w:val="18"/>
                <w:szCs w:val="18"/>
                <w:color w:val="auto"/>
              </w:rPr>
              <w:t>Increase in unrealized losses driven by mark-to-market losses of the Langford commodity contract,</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37"/>
        </w:trPr>
        <w:tc>
          <w:tcPr>
            <w:tcW w:w="2320" w:type="dxa"/>
            <w:vAlign w:val="bottom"/>
            <w:shd w:val="clear" w:color="auto" w:fill="CCEEFF"/>
          </w:tcPr>
          <w:p>
            <w:pPr>
              <w:spacing w:after="0"/>
              <w:rPr>
                <w:sz w:val="20"/>
                <w:szCs w:val="20"/>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which previously qualified for the NPNS exception.</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71"/>
        </w:trPr>
        <w:tc>
          <w:tcPr>
            <w:tcW w:w="2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560" w:type="dxa"/>
            <w:vAlign w:val="bottom"/>
          </w:tcPr>
          <w:p>
            <w:pPr>
              <w:ind w:left="320"/>
              <w:spacing w:after="0" w:line="171" w:lineRule="exact"/>
              <w:rPr>
                <w:sz w:val="20"/>
                <w:szCs w:val="20"/>
                <w:color w:val="auto"/>
              </w:rPr>
            </w:pPr>
            <w:r>
              <w:rPr>
                <w:rFonts w:ascii="Times New Roman" w:cs="Times New Roman" w:eastAsia="Times New Roman" w:hAnsi="Times New Roman"/>
                <w:sz w:val="18"/>
                <w:szCs w:val="18"/>
                <w:color w:val="auto"/>
              </w:rPr>
              <w:t>Increase primarily driven by amortization of the intangible assets for PPAs related to the 2021</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7"/>
        </w:trPr>
        <w:tc>
          <w:tcPr>
            <w:tcW w:w="2320" w:type="dxa"/>
            <w:vAlign w:val="bottom"/>
            <w:tcBorders>
              <w:bottom w:val="single" w:sz="8" w:color="CCEEFF"/>
            </w:tcBorders>
          </w:tcPr>
          <w:p>
            <w:pPr>
              <w:spacing w:after="0"/>
              <w:rPr>
                <w:sz w:val="20"/>
                <w:szCs w:val="20"/>
                <w:color w:val="auto"/>
              </w:rPr>
            </w:pPr>
          </w:p>
        </w:tc>
        <w:tc>
          <w:tcPr>
            <w:tcW w:w="7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acquisitions of Agua Caliente and the Utah Solar Portfolio.</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2"/>
        </w:trPr>
        <w:tc>
          <w:tcPr>
            <w:tcW w:w="232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Cost of fuels decreased by $26 million during the nine months ended September 30, 2022, compared to the same period in 2021, due to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Operations and maintenance expense increased by $17 million during the nine months ended September 30, 2022, compared to the same period in 2021, due to a combination of the drivers summarized in the table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3"/>
        </w:trPr>
        <w:tc>
          <w:tcPr>
            <w:tcW w:w="21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Renewables Segment</w:t>
            </w:r>
          </w:p>
        </w:tc>
        <w:tc>
          <w:tcPr>
            <w:tcW w:w="7700" w:type="dxa"/>
            <w:vAlign w:val="bottom"/>
            <w:shd w:val="clear" w:color="auto" w:fill="CCEEFF"/>
          </w:tcPr>
          <w:p>
            <w:pPr>
              <w:ind w:left="460"/>
              <w:spacing w:after="0" w:line="154" w:lineRule="exact"/>
              <w:rPr>
                <w:sz w:val="20"/>
                <w:szCs w:val="20"/>
                <w:color w:val="auto"/>
              </w:rPr>
            </w:pPr>
            <w:r>
              <w:rPr>
                <w:rFonts w:ascii="Times New Roman" w:cs="Times New Roman" w:eastAsia="Times New Roman" w:hAnsi="Times New Roman"/>
                <w:sz w:val="16"/>
                <w:szCs w:val="16"/>
                <w:color w:val="auto"/>
              </w:rPr>
              <w:t>Increase from the acquisitions of the Utah Solar Portfolio, Mesquite Sky, Black Rock and Mt. Storm</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37"/>
        </w:trPr>
        <w:tc>
          <w:tcPr>
            <w:tcW w:w="2180" w:type="dxa"/>
            <w:vAlign w:val="bottom"/>
            <w:shd w:val="clear" w:color="auto" w:fill="CCEEFF"/>
          </w:tcPr>
          <w:p>
            <w:pPr>
              <w:spacing w:after="0"/>
              <w:rPr>
                <w:sz w:val="20"/>
                <w:szCs w:val="20"/>
                <w:color w:val="auto"/>
              </w:rPr>
            </w:pP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 2021, and the acquisition of Mililani I and the Capistrano Wind Portfolio in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71"/>
        </w:trPr>
        <w:tc>
          <w:tcPr>
            <w:tcW w:w="2180" w:type="dxa"/>
            <w:vAlign w:val="bottom"/>
          </w:tcPr>
          <w:p>
            <w:pPr>
              <w:spacing w:after="0"/>
              <w:rPr>
                <w:sz w:val="14"/>
                <w:szCs w:val="14"/>
                <w:color w:val="auto"/>
              </w:rPr>
            </w:pPr>
          </w:p>
        </w:tc>
        <w:tc>
          <w:tcPr>
            <w:tcW w:w="7700" w:type="dxa"/>
            <w:vAlign w:val="bottom"/>
          </w:tcPr>
          <w:p>
            <w:pPr>
              <w:ind w:left="460"/>
              <w:spacing w:after="0" w:line="171" w:lineRule="exact"/>
              <w:rPr>
                <w:sz w:val="20"/>
                <w:szCs w:val="20"/>
                <w:color w:val="auto"/>
              </w:rPr>
            </w:pPr>
            <w:r>
              <w:rPr>
                <w:rFonts w:ascii="Times New Roman" w:cs="Times New Roman" w:eastAsia="Times New Roman" w:hAnsi="Times New Roman"/>
                <w:sz w:val="18"/>
                <w:szCs w:val="18"/>
                <w:color w:val="auto"/>
              </w:rPr>
              <w:t>Increase primarily driven by timing of maintenance activities, as well as increasing material costs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7"/>
        </w:trPr>
        <w:tc>
          <w:tcPr>
            <w:tcW w:w="218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largely at the wind facilities.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Increase due to the forced outages at El Segundo and Walnut Creek during the third quarter of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2"/>
        </w:trPr>
        <w:tc>
          <w:tcPr>
            <w:tcW w:w="21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 of Operations Expense</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Other cost of operations expense increased by $13 million during the nine months ended September 30, 2022, compared to the same period in 2021, primarily due to the acquisitions of the Utah Solar Portfolio, Mesquite Sky, Black Rock and Mt. Storm in 2021 and the acquisition of the Capistrano Wind Portfolio in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resulting in a gain on sale of business of approximately $1.29 billion,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$4 million during the nine months ended September 30, 2022, compared to the same period in 2021, primarily driven by the consolidation of the Utah Solar Portfolio in December 2021, which had earnings in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6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 xml:space="preserve">The Company recorded a loss on debt extinguishment of $2 million during the nine months ended September 30, 2022, which reflects the write-off of previously deferred finance costs related to the Laredo Ridge, Tapestry Wind LLC and Viento Funding II, LLC, as further described in Note 7, </w:t>
      </w:r>
      <w:r>
        <w:rPr>
          <w:rFonts w:ascii="Times New Roman" w:cs="Times New Roman" w:eastAsia="Times New Roman" w:hAnsi="Times New Roman"/>
          <w:sz w:val="16"/>
          <w:szCs w:val="16"/>
          <w:i w:val="1"/>
          <w:iCs w:val="1"/>
          <w:color w:val="auto"/>
        </w:rPr>
        <w:t>Long-term Debt</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recorded a loss on debt extinguishment of $42 million during the nine months ended, September 30, 2021, which primarily reflects the write-off of previously deferred finance costs and payment of premiums related to the redemption of the 2025 Senior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Interest expense decreased by $89 million during the nine months ended September 30, 2022, compared to the same period in 2021, primarily due to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7"/>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the sale of the Thermal Business on May 1, 2022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71"/>
        </w:trPr>
        <w:tc>
          <w:tcPr>
            <w:tcW w:w="98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Amortization of deferred financing costs related to the Bridge Loan that was entered into during the fourth quarter of 2021 and paid in full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7"/>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 May 3, 2022</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9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2022, the Company recorded an income tax expense of $237 million on pretax income of $1,351 million. For the same period in 2021, the Company recorded an income tax benefit of $12 million on a pretax loss of $31 million. The primary driver of the $249 million increase in income tax expense is the increase in taxable earnings allocated to the Company in 2022 compared to 2021, including the gain recorded on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Interests and Redeemable Noncontrolling Interests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nine months ended September 30, 2022, the Company had income of $544 million attributable to noncontrolling interests and redeemable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 comprised of the following:</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85"/>
        </w:trPr>
        <w:tc>
          <w:tcPr>
            <w:tcW w:w="98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7"/>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 (primarily driven by the gain on sale of the Thermal Business)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593</w:t>
            </w:r>
          </w:p>
        </w:tc>
      </w:tr>
      <w:tr>
        <w:trPr>
          <w:trHeight w:val="22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6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(29)</w:t>
            </w:r>
          </w:p>
        </w:tc>
      </w:tr>
      <w:tr>
        <w:trPr>
          <w:trHeight w:val="224"/>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7"/>
        </w:trPr>
        <w:tc>
          <w:tcPr>
            <w:tcW w:w="9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544</w:t>
            </w:r>
          </w:p>
        </w:tc>
      </w:tr>
      <w:tr>
        <w:trPr>
          <w:trHeight w:val="20"/>
        </w:trPr>
        <w:tc>
          <w:tcPr>
            <w:tcW w:w="9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nine months ended September 30, 2021, the Company had a loss of $78 million attributable to noncontrolling interests and redeemable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 comprised of the following:</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8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217"/>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22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60" w:type="dxa"/>
            <w:vAlign w:val="bottom"/>
          </w:tcPr>
          <w:p>
            <w:pPr>
              <w:spacing w:after="0"/>
              <w:rPr>
                <w:sz w:val="19"/>
                <w:szCs w:val="19"/>
                <w:color w:val="auto"/>
              </w:rPr>
            </w:pPr>
          </w:p>
        </w:tc>
        <w:tc>
          <w:tcPr>
            <w:tcW w:w="1200" w:type="dxa"/>
            <w:vAlign w:val="bottom"/>
          </w:tcPr>
          <w:p>
            <w:pPr>
              <w:jc w:val="center"/>
              <w:ind w:left="772"/>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24"/>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7"/>
        </w:trPr>
        <w:tc>
          <w:tcPr>
            <w:tcW w:w="9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772"/>
              <w:spacing w:after="0"/>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0"/>
        </w:trPr>
        <w:tc>
          <w:tcPr>
            <w:tcW w:w="98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231F20"/>
              </w:rPr>
              <w:t>46</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9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9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2021</w:t>
      </w:r>
      <w:r>
        <w:rPr>
          <w:rFonts w:ascii="Times New Roman" w:cs="Times New Roman" w:eastAsia="Times New Roman" w:hAnsi="Times New Roman"/>
          <w:sz w:val="18"/>
          <w:szCs w:val="18"/>
          <w:color w:val="231F20"/>
        </w:rPr>
        <w:t>, the Company’s liquidity was approximately $1.54 billion and $821 million, respectively, comprised of cash, restricted cash and availability under the Company’s revolving credit facility.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7"/>
                <w:szCs w:val="17"/>
                <w:color w:val="auto"/>
              </w:rPr>
            </w:pPr>
          </w:p>
        </w:tc>
        <w:tc>
          <w:tcPr>
            <w:tcW w:w="16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4"/>
        </w:trPr>
        <w:tc>
          <w:tcPr>
            <w:tcW w:w="20" w:type="dxa"/>
            <w:vAlign w:val="bottom"/>
            <w:shd w:val="clear" w:color="auto" w:fill="CCEEFF"/>
          </w:tcPr>
          <w:p>
            <w:pPr>
              <w:spacing w:after="0"/>
              <w:rPr>
                <w:sz w:val="17"/>
                <w:szCs w:val="17"/>
                <w:color w:val="auto"/>
              </w:rPr>
            </w:pPr>
          </w:p>
        </w:tc>
        <w:tc>
          <w:tcPr>
            <w:tcW w:w="75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4"/>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accounts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4"/>
        </w:trPr>
        <w:tc>
          <w:tcPr>
            <w:tcW w:w="20" w:type="dxa"/>
            <w:vAlign w:val="bottom"/>
            <w:tcBorders>
              <w:bottom w:val="single" w:sz="8" w:color="CCEEFF"/>
            </w:tcBorders>
          </w:tcPr>
          <w:p>
            <w:pPr>
              <w:spacing w:after="0"/>
              <w:rPr>
                <w:sz w:val="19"/>
                <w:szCs w:val="19"/>
                <w:color w:val="auto"/>
              </w:rPr>
            </w:pPr>
          </w:p>
        </w:tc>
        <w:tc>
          <w:tcPr>
            <w:tcW w:w="7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7"/>
        </w:trPr>
        <w:tc>
          <w:tcPr>
            <w:tcW w:w="2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7"/>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18"/>
          <w:szCs w:val="18"/>
          <w:color w:val="231F20"/>
        </w:rPr>
        <w:t xml:space="preserve">The Company’s liquidity includes $363 million and $475 million of restricted cash balances as of September 30, 2022 and December 31, 2021,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September 30, 2022, these restricted funds were comprised of $144 million designated to fund operating expenses,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approximately $66 million designated for current debt service payments and $124 million restricted for reserves including debt service, performance obligations and other reserves, as well as capital expenditures. The remaining $29 million is held in distribution reserve accounts.</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As of September 30, 2022, the Company had no outstanding borrowings under the revolving credit facility and $112 million in letters of credit outstanding. During the nine months ended September 30, 2022, the Company borrowed $80 million under the revolving credit facility and repaid $325 million, $305 million of which was repaid on May 3, 2022, utilizing the proceeds received from the Thermal Disposition. </w:t>
      </w:r>
      <w:r>
        <w:rPr>
          <w:rFonts w:ascii="Times New Roman" w:cs="Times New Roman" w:eastAsia="Times New Roman" w:hAnsi="Times New Roman"/>
          <w:sz w:val="18"/>
          <w:szCs w:val="18"/>
          <w:color w:val="231F20"/>
        </w:rPr>
        <w:t>The facility will continue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used for general corporate purposes including financing of future acquisitions and posting letters of credit.</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6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to this Form 10-Q and Item 15 — Note 10,</w:t>
      </w:r>
      <w:r>
        <w:rPr>
          <w:rFonts w:ascii="Times New Roman" w:cs="Times New Roman" w:eastAsia="Times New Roman" w:hAnsi="Times New Roman"/>
          <w:sz w:val="18"/>
          <w:szCs w:val="18"/>
          <w:i w:val="1"/>
          <w:iCs w:val="1"/>
          <w:color w:val="231F20"/>
        </w:rPr>
        <w:t xml:space="preserve"> Long-term Debt</w:t>
      </w:r>
      <w:r>
        <w:rPr>
          <w:rFonts w:ascii="Times New Roman" w:cs="Times New Roman" w:eastAsia="Times New Roman" w:hAnsi="Times New Roman"/>
          <w:sz w:val="18"/>
          <w:szCs w:val="18"/>
          <w:color w:val="231F20"/>
        </w:rPr>
        <w:t>, to the consolidated financial statements included in the Company’s 2021 Form</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10-K, the Company’s financing arrangements consist of corporate level debt, which includes Senior Notes and the revolving credit facility, the ATM Programs and project-level financings for its various assets.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i w:val="1"/>
          <w:iCs w:val="1"/>
          <w:color w:val="231F20"/>
        </w:rPr>
        <w:t>Thermal Disposition</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The proceeds from the sale were utilized to repay certain borrowings outstanding, as further described in </w:t>
      </w:r>
      <w:r>
        <w:rPr>
          <w:rFonts w:ascii="Times New Roman" w:cs="Times New Roman" w:eastAsia="Times New Roman" w:hAnsi="Times New Roman"/>
          <w:sz w:val="18"/>
          <w:szCs w:val="18"/>
          <w:color w:val="231F20"/>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auto"/>
        </w:rPr>
        <w:t>, with the remaining proceeds invested in short-term investments classified as cash and cash equivalents on the Company’s consolidated balance sheet as of September 30, 2022.</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63"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September 30,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Moody’s</w:t>
            </w:r>
          </w:p>
        </w:tc>
      </w:tr>
      <w:tr>
        <w:trPr>
          <w:trHeight w:val="24"/>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Clearway Energy, Inc.</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2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Notes, due 2028</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2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3.750% Senior Notes, due 2031</w:t>
            </w:r>
          </w:p>
        </w:tc>
        <w:tc>
          <w:tcPr>
            <w:tcW w:w="1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2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3.750% Senior Notes, due 2032</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to the consolidated financial statements; (ii) capital expenditures; (iii) off-balance sheet arrangements; (iv) acquisitions and investments; and (v) cash dividends to investors.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Capital Expenditures</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127"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231F20"/>
        </w:rPr>
        <w:t xml:space="preserve">For the nine months ended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the Company used approximately $95 million to fund capital expenditures, including growth </w:t>
      </w:r>
      <w:r>
        <w:rPr>
          <w:rFonts w:ascii="Times New Roman" w:cs="Times New Roman" w:eastAsia="Times New Roman" w:hAnsi="Times New Roman"/>
          <w:sz w:val="18"/>
          <w:szCs w:val="18"/>
          <w:color w:val="000000"/>
        </w:rPr>
        <w:t>expenditures of $75 million in the Renewables segment, funded through construction-related financing. Renewables segment capital expenditures included $24 million incurred in connection with the Mililani solar project, $28 million incurred in connection with the Mesquite Sky wind project, $13 million incurred in connection with the Black Rock wind project, $5 million incurred in connection with the Rattlesnake wind project and $5 million incurred by other wind and solar projects. Prior to the sale of the Thermal Business on May 1, 2022, the Company incurred $4 million of growth capital expenditures in the Thermal segment in connection with various development projects. In addition, the Company incurred $16 million in maintenance capital expenditures. The Company estimates $30 million of maintenance expenditures for 2022. These estimates are subject to continuing review and adjustment. Actual capital expenditures may vary from these estimates.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52"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8" w:name="page49"/>
    <w:bookmarkEnd w:id="48"/>
    <w:p>
      <w:pPr>
        <w:jc w:val="both"/>
        <w:ind w:firstLine="395"/>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Waiawa Drop Down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October 3, 2022, the Company, through its indirect subsidiary, Lighthouse Renewable Holdco LLC, acquired Waiawa BL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Holdco LLC, the indirect owner of the Waiawa solar project, a 36 MW solar project with matching storage capacity that is currently under construction and located in Honolulu, Hawaii, from Clearway Renew LLC, a subsidiary of CEG, for cash consideration of $20 million. Lighthouse Renewable Holdco LLC is a partnership between the Company and a third-party investor. The third-party investor also contributed cash consideration of $12 million, which was utilized to acquire their portion of the acquired entity. Waiawa BL Borrower Holdco LLC consolidates, as the direct owner of the primary beneficiary, a tax equity fund, Waiawa TE Holdco LLC, which directly holds the Waiawa solar project. Waiawa has a 20-year PPA with an investment-grade utility that commences when the project reaches commercial operations, as defined in the PPA. The acquisition was funded with existing sources of liquidity.</w:t>
      </w:r>
    </w:p>
    <w:p>
      <w:pPr>
        <w:spacing w:after="0" w:line="102"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Capistrano Wind Portfolio Acquisition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August 22, 2022, the Company, through its wholly-owned indirect subsidiary, Capistrano Portfolio Holdco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10 years. The Capistrano Wind Portfolio operations are reflected in the Company’s Renewables segment and the acquisition was funded with existing sources of liquidity.</w:t>
      </w:r>
    </w:p>
    <w:p>
      <w:pPr>
        <w:spacing w:after="0" w:line="107"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Mililani I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25, 2022, the Company, through its indirect subsidiary, Lighthouse Renewable Holdco LLC, acquired Mililani BL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Holdco LLC, the indirect owner of the Mililani I solar project, a 39 MW Solar project with matching storage capacity, located in Honolulu, Hawaii, from Clearway Renew LLC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PPA with an investment-grade utility that commenced in July 2022. The acquisition was funded with existing sources of liquidity. As part of the acquisition of Mililani I, the Company assumed the project’s financing agreement, which included a $16 million construction loan that converts to a term loan upon substantial completion of the project, $60 million tax equity bridge loan and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received from the tax equity investor upon Mililani I reaching substantial completion, which is expected to occur in the fourth quarter of 2022, along with the $18 million that was contributed into escrow by the tax equity investor at acquisition date.</w:t>
      </w:r>
    </w:p>
    <w:p>
      <w:pPr>
        <w:spacing w:after="0" w:line="138" w:lineRule="exact"/>
        <w:rPr>
          <w:sz w:val="20"/>
          <w:szCs w:val="20"/>
          <w:color w:val="auto"/>
        </w:rPr>
      </w:pPr>
    </w:p>
    <w:p>
      <w:pPr>
        <w:jc w:val="both"/>
        <w:ind w:firstLine="39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Black Rock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2022, in connection with the Company’s 2021 acquisition of the Class B membership interests in Black Rock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 Holding LLC, through its indirect subsidiary Lighthouse Renewable Holding Sub LLC, from Clearway Renew LLC,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May 3, 2022, the Company repaid the $335 million in outstanding borrowings under the Bridge Loan Agreement utilizing proceeds received from the Thermal Disposition.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Cash Dividends to Investors</w:t>
      </w:r>
    </w:p>
    <w:p>
      <w:pPr>
        <w:spacing w:after="0" w:line="15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8"/>
          <w:szCs w:val="18"/>
          <w:color w:val="000000"/>
        </w:rPr>
        <w:t>he Class A common stock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nine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 2022</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 2022</w:t>
            </w:r>
          </w:p>
        </w:tc>
        <w:tc>
          <w:tcPr>
            <w:tcW w:w="13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First Quarter 2022</w:t>
            </w:r>
          </w:p>
        </w:tc>
      </w:tr>
      <w:tr>
        <w:trPr>
          <w:trHeight w:val="24"/>
        </w:trPr>
        <w:tc>
          <w:tcPr>
            <w:tcW w:w="6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0.3468</w:t>
            </w:r>
          </w:p>
        </w:tc>
      </w:tr>
    </w:tbl>
    <w:p>
      <w:pPr>
        <w:spacing w:after="0" w:line="2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November 2, 2022, the Company declared quarterly dividends on its Class A and Class C common stock of $0.3672 per share payable on December 15, 2022 to stockholders of record as of December 1, 2022.</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Obligations under Certain Guarantee Contracts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Retained or Contingent Interests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Obligations Arising Out of a Variable Interest in an Unconsolidated Entity</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2022,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$333 million as of September 30, 2022. This indebtedness may restrict the ability of these subsidiaries to issue dividends or distributions to the Company.</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Contractual Obligations and Commercial Commitments</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a variety of contractual obligations and other commercial commitments that represent prospective cash requirements in addition to the Company’s capital expenditure programs, as disclosed in the Company’s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6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reflects the changes in cash flows for the nine months ended September 30, 2022, compared to the nine months ended September 30,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7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7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1"/>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(1,205)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bl>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869" w:right="339" w:bottom="1440" w:gutter="0" w:footer="0" w:header="0"/>
        </w:sectPr>
      </w:pP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5495" cy="150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operating income adjusted for non-cash items</w:t>
      </w:r>
    </w:p>
    <w:p>
      <w:pPr>
        <w:spacing w:after="0" w:line="21" w:lineRule="exact"/>
        <w:rPr>
          <w:sz w:val="20"/>
          <w:szCs w:val="20"/>
          <w:color w:val="auto"/>
        </w:rPr>
      </w:pPr>
    </w:p>
    <w:p>
      <w:pPr>
        <w:ind w:left="120" w:right="217"/>
        <w:spacing w:after="0" w:line="278" w:lineRule="auto"/>
        <w:rPr>
          <w:sz w:val="20"/>
          <w:szCs w:val="20"/>
          <w:color w:val="auto"/>
        </w:rPr>
      </w:pPr>
      <w:r>
        <w:rPr>
          <w:rFonts w:ascii="Times New Roman" w:cs="Times New Roman" w:eastAsia="Times New Roman" w:hAnsi="Times New Roman"/>
          <w:sz w:val="18"/>
          <w:szCs w:val="18"/>
          <w:color w:val="auto"/>
        </w:rPr>
        <w:t>Increase in working capital primarily driven by the timing of accounts receivable collections and payments of accounts payable Transaction expenses paid on May 1, 2022 in connection with the sale of the Thermal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135495" cy="142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5495" cy="150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Proceeds from the sale of the Thermal Business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paid for acquisitions, net of cash acquired, in 2021</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cash paid for Drop Down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Decrease in capital expenditures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paid to CEG in 2021 for equipment for the Pinnacle wind project repowering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Cash paid to CEG in 2022 for Capistrano Wind Portfolio</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5495" cy="167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5495" cy="150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proceeds from the issuance of long-term debt, net of payments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proceeds from the revolving credit facility, net of payments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contributions from noncontrolling interest members,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Cash released from escrow distributed to CEG in 2022</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dividends paid to common stockholders and distributions paid to CEG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Tax-related distributions in 2022</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03"/>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7" w:lineRule="exact"/>
        <w:rPr>
          <w:sz w:val="20"/>
          <w:szCs w:val="20"/>
          <w:color w:val="auto"/>
        </w:rPr>
      </w:pPr>
    </w:p>
    <w:p>
      <w:pPr>
        <w:ind w:left="1003" w:hanging="1003"/>
        <w:spacing w:after="0"/>
        <w:tabs>
          <w:tab w:leader="none" w:pos="10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p>
    <w:p>
      <w:pPr>
        <w:spacing w:after="0" w:line="21" w:lineRule="exact"/>
        <w:rPr>
          <w:rFonts w:ascii="Times New Roman" w:cs="Times New Roman" w:eastAsia="Times New Roman" w:hAnsi="Times New Roman"/>
          <w:sz w:val="18"/>
          <w:szCs w:val="18"/>
          <w:color w:val="auto"/>
        </w:rPr>
      </w:pPr>
    </w:p>
    <w:p>
      <w:pPr>
        <w:ind w:left="10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17" w:lineRule="exact"/>
        <w:rPr>
          <w:sz w:val="20"/>
          <w:szCs w:val="20"/>
          <w:color w:val="auto"/>
        </w:rPr>
      </w:pPr>
    </w:p>
    <w:p>
      <w:pPr>
        <w:ind w:left="923"/>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8020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5" w:lineRule="exact"/>
        <w:rPr>
          <w:sz w:val="20"/>
          <w:szCs w:val="20"/>
          <w:color w:val="auto"/>
        </w:rPr>
      </w:pPr>
    </w:p>
    <w:p>
      <w:pPr>
        <w:ind w:left="1003" w:hanging="1003"/>
        <w:spacing w:after="0"/>
        <w:tabs>
          <w:tab w:leader="none" w:pos="10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8020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38735</wp:posOffset>
            </wp:positionV>
            <wp:extent cx="8020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3"/>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7" w:lineRule="exact"/>
        <w:rPr>
          <w:sz w:val="20"/>
          <w:szCs w:val="20"/>
          <w:color w:val="auto"/>
        </w:rPr>
      </w:pPr>
    </w:p>
    <w:p>
      <w:pPr>
        <w:ind w:left="783" w:hanging="783"/>
        <w:spacing w:after="0"/>
        <w:tabs>
          <w:tab w:leader="none" w:pos="7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1,457</w:t>
      </w:r>
    </w:p>
    <w:p>
      <w:pPr>
        <w:spacing w:after="0" w:line="21" w:lineRule="exact"/>
        <w:rPr>
          <w:rFonts w:ascii="Times New Roman" w:cs="Times New Roman" w:eastAsia="Times New Roman" w:hAnsi="Times New Roman"/>
          <w:sz w:val="18"/>
          <w:szCs w:val="18"/>
          <w:color w:val="auto"/>
        </w:rPr>
      </w:pPr>
    </w:p>
    <w:p>
      <w:pPr>
        <w:ind w:left="9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w:t>
      </w:r>
    </w:p>
    <w:p>
      <w:pPr>
        <w:spacing w:after="0" w:line="16" w:lineRule="exact"/>
        <w:rPr>
          <w:rFonts w:ascii="Times New Roman" w:cs="Times New Roman" w:eastAsia="Times New Roman" w:hAnsi="Times New Roman"/>
          <w:sz w:val="18"/>
          <w:szCs w:val="18"/>
          <w:color w:val="auto"/>
        </w:rPr>
      </w:pPr>
    </w:p>
    <w:p>
      <w:pPr>
        <w:ind w:left="10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16" w:lineRule="exact"/>
        <w:rPr>
          <w:rFonts w:ascii="Times New Roman" w:cs="Times New Roman" w:eastAsia="Times New Roman" w:hAnsi="Times New Roman"/>
          <w:sz w:val="18"/>
          <w:szCs w:val="18"/>
          <w:color w:val="auto"/>
        </w:rPr>
      </w:pPr>
    </w:p>
    <w:p>
      <w:pPr>
        <w:ind w:left="10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16" w:lineRule="exact"/>
        <w:rPr>
          <w:rFonts w:ascii="Times New Roman" w:cs="Times New Roman" w:eastAsia="Times New Roman" w:hAnsi="Times New Roman"/>
          <w:sz w:val="18"/>
          <w:szCs w:val="18"/>
          <w:color w:val="auto"/>
        </w:rPr>
      </w:pPr>
    </w:p>
    <w:p>
      <w:pPr>
        <w:ind w:left="10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(223)</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(25)</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5" w:lineRule="exact"/>
        <w:rPr>
          <w:sz w:val="20"/>
          <w:szCs w:val="20"/>
          <w:color w:val="auto"/>
        </w:rPr>
      </w:pPr>
    </w:p>
    <w:p>
      <w:pPr>
        <w:ind w:left="783" w:hanging="783"/>
        <w:spacing w:after="0"/>
        <w:tabs>
          <w:tab w:leader="none" w:pos="78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8020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3"/>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7" w:lineRule="exact"/>
        <w:rPr>
          <w:sz w:val="20"/>
          <w:szCs w:val="20"/>
          <w:color w:val="auto"/>
        </w:rPr>
      </w:pPr>
    </w:p>
    <w:p>
      <w:pPr>
        <w:ind w:left="843" w:hanging="843"/>
        <w:spacing w:after="0"/>
        <w:tabs>
          <w:tab w:leader="none" w:pos="84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(516)</w:t>
      </w:r>
    </w:p>
    <w:p>
      <w:pPr>
        <w:spacing w:after="0" w:line="44" w:lineRule="exact"/>
        <w:rPr>
          <w:rFonts w:ascii="Times New Roman" w:cs="Times New Roman" w:eastAsia="Times New Roman" w:hAnsi="Times New Roman"/>
          <w:sz w:val="16"/>
          <w:szCs w:val="16"/>
          <w:color w:val="auto"/>
        </w:rPr>
      </w:pPr>
    </w:p>
    <w:p>
      <w:pPr>
        <w:ind w:left="8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(322)</w:t>
      </w:r>
    </w:p>
    <w:p>
      <w:pPr>
        <w:spacing w:after="0" w:line="39" w:lineRule="exact"/>
        <w:rPr>
          <w:rFonts w:ascii="Times New Roman" w:cs="Times New Roman" w:eastAsia="Times New Roman" w:hAnsi="Times New Roman"/>
          <w:sz w:val="16"/>
          <w:szCs w:val="16"/>
          <w:color w:val="auto"/>
        </w:rPr>
      </w:pPr>
    </w:p>
    <w:p>
      <w:pPr>
        <w:ind w:left="8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(265)</w:t>
      </w:r>
    </w:p>
    <w:p>
      <w:pPr>
        <w:spacing w:after="0" w:line="39" w:lineRule="exact"/>
        <w:rPr>
          <w:rFonts w:ascii="Times New Roman" w:cs="Times New Roman" w:eastAsia="Times New Roman" w:hAnsi="Times New Roman"/>
          <w:sz w:val="16"/>
          <w:szCs w:val="16"/>
          <w:color w:val="auto"/>
        </w:rPr>
      </w:pPr>
    </w:p>
    <w:p>
      <w:pPr>
        <w:ind w:left="9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(64)</w:t>
      </w:r>
    </w:p>
    <w:p>
      <w:pPr>
        <w:spacing w:after="0" w:line="16" w:lineRule="exact"/>
        <w:rPr>
          <w:rFonts w:ascii="Times New Roman" w:cs="Times New Roman" w:eastAsia="Times New Roman" w:hAnsi="Times New Roman"/>
          <w:sz w:val="16"/>
          <w:szCs w:val="16"/>
          <w:color w:val="auto"/>
        </w:rPr>
      </w:pPr>
    </w:p>
    <w:p>
      <w:pPr>
        <w:ind w:left="9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16" w:lineRule="exact"/>
        <w:rPr>
          <w:rFonts w:ascii="Times New Roman" w:cs="Times New Roman" w:eastAsia="Times New Roman" w:hAnsi="Times New Roman"/>
          <w:sz w:val="16"/>
          <w:szCs w:val="16"/>
          <w:color w:val="auto"/>
        </w:rPr>
      </w:pPr>
    </w:p>
    <w:p>
      <w:pPr>
        <w:ind w:left="10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w:t>
      </w:r>
    </w:p>
    <w:p>
      <w:pPr>
        <w:spacing w:after="0" w:line="39" w:lineRule="exact"/>
        <w:rPr>
          <w:rFonts w:ascii="Times New Roman" w:cs="Times New Roman" w:eastAsia="Times New Roman" w:hAnsi="Times New Roman"/>
          <w:sz w:val="16"/>
          <w:szCs w:val="16"/>
          <w:color w:val="auto"/>
        </w:rPr>
      </w:pPr>
    </w:p>
    <w:p>
      <w:pPr>
        <w:ind w:left="10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25400</wp:posOffset>
            </wp:positionV>
            <wp:extent cx="8020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8" w:lineRule="exact"/>
        <w:rPr>
          <w:sz w:val="20"/>
          <w:szCs w:val="20"/>
          <w:color w:val="auto"/>
        </w:rPr>
      </w:pPr>
    </w:p>
    <w:p>
      <w:pPr>
        <w:ind w:left="703" w:hanging="703"/>
        <w:spacing w:after="0"/>
        <w:tabs>
          <w:tab w:leader="none" w:pos="70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8020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53340</wp:posOffset>
            </wp:positionV>
            <wp:extent cx="8020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77" w:space="720"/>
            <w:col w:w="1243"/>
          </w:cols>
          <w:pgMar w:left="320" w:top="8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6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As of December 31, 2021, the Company had a cumulative federal NOL carryforward balance of $1.3 billion for financial statement purposes, of which $0.9 billion will begin expiring between 2033 to 2037 if unutilized. As a result of the taxable gain recognized on the sale of the Thermal Business, the Company estimates that it will utilize $837 million of federal NOL carryforward. The Company does not anticipate any federal income tax payments for 2022, due to federal NOL carryforward utilization. Additionally, as of December 31, 2021, the Company had a cumulative state NOL carryforward balance of $769 million for financial statement purposes, which will expire between 2023 to 2040 if unutilized. As a result of the sale of the Thermal Business, the Company, after the utilization of various state NOL carryforwards, has paid $7 million in state income taxes through September 30, 2022, expects to pay approximately $2 million in state income taxes before December 31, 2022 and expects to pay an additional approximately $23 million in state income taxes by April 15, 2023. The Company does not anticipate being subject to the corporate minimum tax on financial statement income as enacted by the recently passed Inflation Reduction Act of 2022, or the IRA, which is discussed in further detail below.</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 Company has PTC and ITC carryforward balances totaling $15 million, which will expire between 2034 and 2041 if unutilized.</w:t>
      </w:r>
    </w:p>
    <w:p>
      <w:pPr>
        <w:spacing w:after="0" w:line="16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Based on the Company’s current portfolio of assets, which include renewable assets that benefit from accelerated tax depreciation deductions and federal tax credits, current and expected NOL balances, and after taking into account the taxable gain from the sale of the Thermal Business, the Company estimates that it will not pay material federal income tax through 2027, but does expect to pay material state income tax across certain jurisdictions beginning in 2022, as indicated above.</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a carryforward of $7 million of interest expense, the deductibility of which was limited under §163(j) of the Internal Revenue Code, which was enacted as part of the Tax Act. This interest expense carryforward has an indefinite carryforward period and any limitations on the utilization of this carryforward have been factored into our valuation allowance analysis.</w:t>
      </w:r>
    </w:p>
    <w:p>
      <w:pPr>
        <w:spacing w:after="0" w:line="12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February 9, 2022, the governor of California signed Senate Bill 113, or SB 113, removing the suspension of California NOL utilization for tax year 2022. After assessing the law change, the Company expects SB 113 to have an immaterial impact on the consolidated financial statements.</w:t>
      </w:r>
    </w:p>
    <w:p>
      <w:pPr>
        <w:spacing w:after="0" w:line="11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August 16, 2022, President Biden signed the IRA into law. The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projects and the production of clean energy. The Company continues to analyze the potential impact of the IRA and monitor guidance to be issued by the United States Department of the Treasury, but it does not anticipate the corporate minimum tax applying to it or that the IRA will otherwise have a material impact on its consolidated financial statements.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is subject to examination by taxing authorities for income tax returns filed in the U.S. federal jurisdiction and various state jurisdictions.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subject to U.S. federal or state income tax examinations for years prior to 2013.</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does not have uncertain tax benefits as of September 30, 2022.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 acquired during the period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Contracts added due to loss of NPNS exception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 removed during the period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September 30, 2022</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September 30, 2022</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Fair Value Hierarchy (Losses) Gains</w:t>
            </w: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Greater Than</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5"/>
                <w:szCs w:val="15"/>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2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Total Fair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2180" w:type="dxa"/>
            <w:vAlign w:val="bottom"/>
            <w:tcBorders>
              <w:bottom w:val="single" w:sz="8" w:color="auto"/>
            </w:tcBorders>
            <w:vMerge w:val="continue"/>
          </w:tcPr>
          <w:p>
            <w:pPr>
              <w:spacing w:after="0"/>
              <w:rPr>
                <w:sz w:val="12"/>
                <w:szCs w:val="12"/>
                <w:color w:val="auto"/>
              </w:rPr>
            </w:pPr>
          </w:p>
        </w:tc>
        <w:tc>
          <w:tcPr>
            <w:tcW w:w="25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38" w:lineRule="exact"/>
              <w:rPr>
                <w:sz w:val="20"/>
                <w:szCs w:val="20"/>
                <w:color w:val="auto"/>
              </w:rPr>
            </w:pPr>
            <w:r>
              <w:rPr>
                <w:rFonts w:ascii="Times New Roman" w:cs="Times New Roman" w:eastAsia="Times New Roman" w:hAnsi="Times New Roman"/>
                <w:sz w:val="14"/>
                <w:szCs w:val="14"/>
                <w:b w:val="1"/>
                <w:bCs w:val="1"/>
                <w:color w:val="auto"/>
              </w:rPr>
              <w:t>1 Year or Less</w:t>
            </w:r>
          </w:p>
        </w:tc>
        <w:tc>
          <w:tcPr>
            <w:tcW w:w="1260" w:type="dxa"/>
            <w:vAlign w:val="bottom"/>
            <w:gridSpan w:val="3"/>
          </w:tcPr>
          <w:p>
            <w:pPr>
              <w:jc w:val="center"/>
              <w:ind w:right="160"/>
              <w:spacing w:after="0" w:line="138" w:lineRule="exact"/>
              <w:rPr>
                <w:sz w:val="20"/>
                <w:szCs w:val="20"/>
                <w:color w:val="auto"/>
              </w:rPr>
            </w:pPr>
            <w:r>
              <w:rPr>
                <w:rFonts w:ascii="Times New Roman" w:cs="Times New Roman" w:eastAsia="Times New Roman" w:hAnsi="Times New Roman"/>
                <w:sz w:val="14"/>
                <w:szCs w:val="14"/>
                <w:b w:val="1"/>
                <w:bCs w:val="1"/>
                <w:color w:val="auto"/>
                <w:w w:val="97"/>
              </w:rPr>
              <w:t>1 Year to 3 Years</w:t>
            </w:r>
          </w:p>
        </w:tc>
        <w:tc>
          <w:tcPr>
            <w:tcW w:w="1260" w:type="dxa"/>
            <w:vAlign w:val="bottom"/>
            <w:gridSpan w:val="3"/>
          </w:tcPr>
          <w:p>
            <w:pPr>
              <w:jc w:val="center"/>
              <w:ind w:right="140"/>
              <w:spacing w:after="0" w:line="138" w:lineRule="exact"/>
              <w:rPr>
                <w:sz w:val="20"/>
                <w:szCs w:val="20"/>
                <w:color w:val="auto"/>
              </w:rPr>
            </w:pPr>
            <w:r>
              <w:rPr>
                <w:rFonts w:ascii="Times New Roman" w:cs="Times New Roman" w:eastAsia="Times New Roman" w:hAnsi="Times New Roman"/>
                <w:sz w:val="14"/>
                <w:szCs w:val="14"/>
                <w:b w:val="1"/>
                <w:bCs w:val="1"/>
                <w:color w:val="auto"/>
                <w:w w:val="98"/>
              </w:rPr>
              <w:t>3 Years to 5 Years</w:t>
            </w:r>
          </w:p>
        </w:tc>
        <w:tc>
          <w:tcPr>
            <w:tcW w:w="160" w:type="dxa"/>
            <w:vAlign w:val="bottom"/>
          </w:tcPr>
          <w:p>
            <w:pPr>
              <w:spacing w:after="0"/>
              <w:rPr>
                <w:sz w:val="12"/>
                <w:szCs w:val="12"/>
                <w:color w:val="auto"/>
              </w:rPr>
            </w:pPr>
          </w:p>
        </w:tc>
        <w:tc>
          <w:tcPr>
            <w:tcW w:w="1240" w:type="dxa"/>
            <w:vAlign w:val="bottom"/>
            <w:gridSpan w:val="3"/>
          </w:tcPr>
          <w:p>
            <w:pPr>
              <w:jc w:val="right"/>
              <w:ind w:right="540"/>
              <w:spacing w:after="0" w:line="138" w:lineRule="exact"/>
              <w:rPr>
                <w:sz w:val="20"/>
                <w:szCs w:val="20"/>
                <w:color w:val="auto"/>
              </w:rPr>
            </w:pPr>
            <w:r>
              <w:rPr>
                <w:rFonts w:ascii="Times New Roman" w:cs="Times New Roman" w:eastAsia="Times New Roman" w:hAnsi="Times New Roman"/>
                <w:sz w:val="14"/>
                <w:szCs w:val="14"/>
                <w:b w:val="1"/>
                <w:bCs w:val="1"/>
                <w:color w:val="auto"/>
              </w:rPr>
              <w:t>5 Years</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697"/>
              <w:spacing w:after="0"/>
              <w:rPr>
                <w:sz w:val="20"/>
                <w:szCs w:val="20"/>
                <w:color w:val="auto"/>
              </w:rPr>
            </w:pPr>
            <w:r>
              <w:rPr>
                <w:rFonts w:ascii="Times New Roman" w:cs="Times New Roman" w:eastAsia="Times New Roman" w:hAnsi="Times New Roman"/>
                <w:sz w:val="18"/>
                <w:szCs w:val="18"/>
                <w:color w:val="auto"/>
                <w:w w:val="99"/>
              </w:rPr>
              <w:t>23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601"/>
              <w:spacing w:after="0"/>
              <w:rPr>
                <w:sz w:val="20"/>
                <w:szCs w:val="20"/>
                <w:color w:val="auto"/>
              </w:rPr>
            </w:pPr>
            <w:r>
              <w:rPr>
                <w:rFonts w:ascii="Times New Roman" w:cs="Times New Roman" w:eastAsia="Times New Roman" w:hAnsi="Times New Roman"/>
                <w:sz w:val="18"/>
                <w:szCs w:val="18"/>
                <w:color w:val="auto"/>
                <w:w w:val="99"/>
              </w:rPr>
              <w:t>44</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619"/>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w w:val="99"/>
              </w:rPr>
              <w:t>(79)</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581"/>
              <w:spacing w:after="0"/>
              <w:rPr>
                <w:sz w:val="20"/>
                <w:szCs w:val="20"/>
                <w:color w:val="auto"/>
              </w:rPr>
            </w:pPr>
            <w:r>
              <w:rPr>
                <w:rFonts w:ascii="Times New Roman" w:cs="Times New Roman" w:eastAsia="Times New Roman" w:hAnsi="Times New Roman"/>
                <w:sz w:val="18"/>
                <w:szCs w:val="18"/>
                <w:color w:val="auto"/>
                <w:w w:val="93"/>
              </w:rPr>
              <w:t>(98)</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(72)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8"/>
                <w:szCs w:val="18"/>
                <w:color w:val="auto"/>
                <w:w w:val="93"/>
              </w:rPr>
              <w:t>(54)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(57)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231F20"/>
        </w:rPr>
        <w:t>Quantitative and Qualitative Disclosures about Market Risk - Commodity Price Risk,</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color w:val="000000"/>
        </w:rPr>
        <w:t>Company, measures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acquisition accounting.</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6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6"/>
          <w:szCs w:val="16"/>
          <w:color w:val="000000"/>
        </w:rPr>
        <w:t>The following disclosures about market risk provide an update to,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should be read in conjunction with, Item 7A — </w:t>
      </w:r>
      <w:r>
        <w:rPr>
          <w:rFonts w:ascii="Times New Roman" w:cs="Times New Roman" w:eastAsia="Times New Roman" w:hAnsi="Times New Roman"/>
          <w:sz w:val="16"/>
          <w:szCs w:val="16"/>
          <w:i w:val="1"/>
          <w:iCs w:val="1"/>
          <w:color w:val="000000"/>
        </w:rPr>
        <w:t>Quantitative and Qualitative Disclosures About Market Risk,</w:t>
      </w:r>
      <w:r>
        <w:rPr>
          <w:rFonts w:ascii="Times New Roman" w:cs="Times New Roman" w:eastAsia="Times New Roman" w:hAnsi="Times New Roman"/>
          <w:sz w:val="16"/>
          <w:szCs w:val="16"/>
          <w:color w:val="000000"/>
        </w:rPr>
        <w:t xml:space="preserve"> of the Company’s 2021 Form 10-K.</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 2021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included in the 2021 Form 10-K </w:t>
      </w:r>
      <w:r>
        <w:rPr>
          <w:rFonts w:ascii="Times New Roman" w:cs="Times New Roman" w:eastAsia="Times New Roman" w:hAnsi="Times New Roman"/>
          <w:sz w:val="18"/>
          <w:szCs w:val="18"/>
          <w:color w:val="231F20"/>
        </w:rPr>
        <w:t>for more information about interest rate swaps of the Company’s project subsidiaries.</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xml:space="preserve">, the Company would have owed the counterparties </w:t>
      </w:r>
      <w:r>
        <w:rPr>
          <w:rFonts w:ascii="Times New Roman" w:cs="Times New Roman" w:eastAsia="Times New Roman" w:hAnsi="Times New Roman"/>
          <w:sz w:val="18"/>
          <w:szCs w:val="18"/>
          <w:color w:val="000000"/>
        </w:rPr>
        <w:t>$90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a change of 1%, or 100 basis points, in interest rates would result in an approximately $1 million change in market interest expense on a rolling twelve-month basis.</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September 30, 2022</w:t>
      </w:r>
      <w:r>
        <w:rPr>
          <w:rFonts w:ascii="Times New Roman" w:cs="Times New Roman" w:eastAsia="Times New Roman" w:hAnsi="Times New Roman"/>
          <w:sz w:val="18"/>
          <w:szCs w:val="18"/>
          <w:color w:val="231F20"/>
        </w:rPr>
        <w:t>, the fair value of the Company’s debt was $6.30 billion and the carrying value was $7.08 billion. The Company estimates that a decrease of 1%, or 100 basis points, in market interest rates would have increased the fair value of its long-term debt by approximately $361 million.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and emissions credits. The Company manages the commodity price risk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derivatives contracts would cause a change of approximately $7 million to the net value of power derivatives as of September 30, 2022.</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65"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6"/>
          <w:szCs w:val="16"/>
          <w:color w:val="000000"/>
        </w:rPr>
        <w:t>Note 5</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i w:val="1"/>
          <w:iCs w:val="1"/>
          <w:color w:val="000000"/>
        </w:rPr>
        <w:t>Fair Value of Financial Instruments</w:t>
      </w:r>
      <w:r>
        <w:rPr>
          <w:rFonts w:ascii="Times New Roman" w:cs="Times New Roman" w:eastAsia="Times New Roman" w:hAnsi="Times New Roman"/>
          <w:sz w:val="16"/>
          <w:szCs w:val="16"/>
          <w:color w:val="231F20"/>
        </w:rPr>
        <w:t>, to the consolidated financial statements for more information about concentration of credit risk.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September 30, 2022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6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September 30, 2022, see Note 12,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 10-Q.</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6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2021 Form 10-K. There have been no material changes in the Company’s risk factors since those reported in its 2021 Form 10-K.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48" w:lineRule="exact"/>
        <w:rPr>
          <w:sz w:val="20"/>
          <w:szCs w:val="20"/>
          <w:color w:val="auto"/>
        </w:rPr>
      </w:pPr>
    </w:p>
    <w:p>
      <w:pPr>
        <w:jc w:val="both"/>
        <w:ind w:firstLine="395"/>
        <w:spacing w:after="0" w:line="255" w:lineRule="auto"/>
        <w:rPr>
          <w:sz w:val="20"/>
          <w:szCs w:val="20"/>
          <w:color w:val="auto"/>
        </w:rPr>
      </w:pPr>
      <w:r>
        <w:rPr>
          <w:rFonts w:ascii="Times New Roman" w:cs="Times New Roman" w:eastAsia="Times New Roman" w:hAnsi="Times New Roman"/>
          <w:sz w:val="18"/>
          <w:szCs w:val="18"/>
          <w:i w:val="1"/>
          <w:iCs w:val="1"/>
          <w:color w:val="auto"/>
        </w:rPr>
        <w:t>Disclosure Pursuant to Item 5.02 of Form 8-K – Departure of Directors or Certain Officers; Election of Directors; Appointment of Certain Officers; Compensatory Arrangements of Certain Officers.</w:t>
      </w:r>
    </w:p>
    <w:p>
      <w:pPr>
        <w:spacing w:after="0" w:line="20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October 27, 2022, Ferrell P. McClean informed the Company of her intention to retire from the board of directors (the “Board”) of the Company effective as of such date. Ms. McClean’s retirement from the Board was not the result of any disagreement with the Company.</w:t>
      </w:r>
    </w:p>
    <w:p>
      <w:pPr>
        <w:spacing w:after="0" w:line="1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Also on October 27, 2022, the Board elected Guillaume Hédiard, Vincent Stoquart and Emmanuel Barrois (the “New Directors”) to serve as members of the Board, effective immediately. None of the New Directors will initially serve on any committee of the Board or receive compensation for their services as directors.</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and each of the New Directors have entered into an indemnification agreement that provides each such director with contractual rights to indemnification, expense advancement and reimbursement to the fullest extent permitted under Delaware law. The foregoing description of such indemnification agreements does not purport to be complete and is qualified in its entirety by reference to the complete text of the Form of Indemnification Agreement, the form of which is filed as Exhibit 10.9 to the Company’s 2021 Form 10-K, and which is incorporated herein by reference.</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are no arrangements or understandings between any of the New Directors and any other person pursuant to which any such directors was elected to serve on the Board. None of the New Directors has any direct or indirect material interest in any transaction required to be disclosed pursuant to Item 404(a) of Regulation S-K.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color w:val="auto"/>
        </w:rPr>
        <w:t>ITEM 6 — EXHIBITS</w:t>
      </w:r>
    </w:p>
    <w:p>
      <w:pPr>
        <w:sectPr>
          <w:pgSz w:w="11900" w:h="16838" w:orient="portrait"/>
          <w:cols w:equalWidth="0" w:num="1">
            <w:col w:w="11100"/>
          </w:cols>
          <w:pgMar w:left="320" w:top="1106" w:right="479" w:bottom="1440" w:gutter="0" w:footer="0" w:header="0"/>
        </w:sectPr>
      </w:pP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10.1</w:t>
            </w:r>
          </w:p>
        </w:tc>
        <w:tc>
          <w:tcPr>
            <w:tcW w:w="5760" w:type="dxa"/>
            <w:vAlign w:val="bottom"/>
            <w:gridSpan w:val="5"/>
          </w:tcPr>
          <w:p>
            <w:pPr>
              <w:spacing w:after="0" w:line="176"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Seventh Amendment to Amended and Restated Credit Agreement, entered into as of</w:t>
              </w:r>
            </w:hyperlink>
          </w:p>
        </w:tc>
      </w:tr>
      <w:tr>
        <w:trPr>
          <w:trHeight w:val="164"/>
        </w:trPr>
        <w:tc>
          <w:tcPr>
            <w:tcW w:w="1020" w:type="dxa"/>
            <w:vAlign w:val="bottom"/>
          </w:tcPr>
          <w:p>
            <w:pPr>
              <w:spacing w:after="0"/>
              <w:rPr>
                <w:sz w:val="14"/>
                <w:szCs w:val="14"/>
                <w:color w:val="auto"/>
              </w:rPr>
            </w:pPr>
          </w:p>
        </w:tc>
        <w:tc>
          <w:tcPr>
            <w:tcW w:w="5340" w:type="dxa"/>
            <w:vAlign w:val="bottom"/>
            <w:tcBorders>
              <w:top w:val="single" w:sz="8" w:color="0000FF"/>
            </w:tcBorders>
            <w:gridSpan w:val="2"/>
          </w:tcPr>
          <w:p>
            <w:pPr>
              <w:spacing w:after="0" w:line="165" w:lineRule="exact"/>
              <w:rPr>
                <w:rFonts w:ascii="Times New Roman" w:cs="Times New Roman" w:eastAsia="Times New Roman" w:hAnsi="Times New Roman"/>
                <w:sz w:val="16"/>
                <w:szCs w:val="16"/>
                <w:color w:val="0000FF"/>
                <w:w w:val="98"/>
              </w:rPr>
            </w:pPr>
            <w:hyperlink r:id="rId102">
              <w:r>
                <w:rPr>
                  <w:rFonts w:ascii="Times New Roman" w:cs="Times New Roman" w:eastAsia="Times New Roman" w:hAnsi="Times New Roman"/>
                  <w:sz w:val="16"/>
                  <w:szCs w:val="16"/>
                  <w:color w:val="0000FF"/>
                  <w:w w:val="98"/>
                </w:rPr>
                <w:t>August 15, 2022, by and among Clearway Energy Operating LLC, Clearway Energy</w:t>
              </w:r>
            </w:hyperlink>
          </w:p>
        </w:tc>
        <w:tc>
          <w:tcPr>
            <w:tcW w:w="420" w:type="dxa"/>
            <w:vAlign w:val="bottom"/>
            <w:gridSpan w:val="3"/>
          </w:tcPr>
          <w:p>
            <w:pPr>
              <w:ind w:left="40"/>
              <w:spacing w:after="0" w:line="165"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LLC,</w:t>
              </w:r>
            </w:hyperlink>
          </w:p>
        </w:tc>
      </w:tr>
      <w:tr>
        <w:trPr>
          <w:trHeight w:val="164"/>
        </w:trPr>
        <w:tc>
          <w:tcPr>
            <w:tcW w:w="1020" w:type="dxa"/>
            <w:vAlign w:val="bottom"/>
          </w:tcPr>
          <w:p>
            <w:pPr>
              <w:spacing w:after="0"/>
              <w:rPr>
                <w:sz w:val="14"/>
                <w:szCs w:val="14"/>
                <w:color w:val="auto"/>
              </w:rPr>
            </w:pPr>
          </w:p>
        </w:tc>
        <w:tc>
          <w:tcPr>
            <w:tcW w:w="5720" w:type="dxa"/>
            <w:vAlign w:val="bottom"/>
            <w:tcBorders>
              <w:top w:val="single" w:sz="8" w:color="0000FF"/>
              <w:bottom w:val="single" w:sz="8" w:color="0000FF"/>
            </w:tcBorders>
            <w:gridSpan w:val="3"/>
          </w:tcPr>
          <w:p>
            <w:pPr>
              <w:spacing w:after="0" w:line="165" w:lineRule="exact"/>
              <w:rPr>
                <w:rFonts w:ascii="Times New Roman" w:cs="Times New Roman" w:eastAsia="Times New Roman" w:hAnsi="Times New Roman"/>
                <w:sz w:val="16"/>
                <w:szCs w:val="16"/>
                <w:color w:val="0000FF"/>
                <w:w w:val="98"/>
              </w:rPr>
            </w:pPr>
            <w:hyperlink r:id="rId102">
              <w:r>
                <w:rPr>
                  <w:rFonts w:ascii="Times New Roman" w:cs="Times New Roman" w:eastAsia="Times New Roman" w:hAnsi="Times New Roman"/>
                  <w:sz w:val="16"/>
                  <w:szCs w:val="16"/>
                  <w:color w:val="0000FF"/>
                  <w:w w:val="98"/>
                </w:rPr>
                <w:t>the guarantors party thereto, JPMorgan Chase Bank, N.A., as administrative agent, and the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1020" w:type="dxa"/>
            <w:vAlign w:val="bottom"/>
          </w:tcPr>
          <w:p>
            <w:pPr>
              <w:spacing w:after="0"/>
              <w:rPr>
                <w:sz w:val="13"/>
                <w:szCs w:val="13"/>
                <w:color w:val="auto"/>
              </w:rPr>
            </w:pPr>
          </w:p>
        </w:tc>
        <w:tc>
          <w:tcPr>
            <w:tcW w:w="1340" w:type="dxa"/>
            <w:vAlign w:val="bottom"/>
            <w:tcBorders>
              <w:bottom w:val="single" w:sz="8" w:color="0000FF"/>
            </w:tcBorders>
          </w:tcPr>
          <w:p>
            <w:pPr>
              <w:spacing w:after="0" w:line="152" w:lineRule="exact"/>
              <w:rPr>
                <w:rFonts w:ascii="Times New Roman" w:cs="Times New Roman" w:eastAsia="Times New Roman" w:hAnsi="Times New Roman"/>
                <w:sz w:val="16"/>
                <w:szCs w:val="16"/>
                <w:color w:val="0000FF"/>
                <w:w w:val="97"/>
              </w:rPr>
            </w:pPr>
            <w:hyperlink r:id="rId102">
              <w:r>
                <w:rPr>
                  <w:rFonts w:ascii="Times New Roman" w:cs="Times New Roman" w:eastAsia="Times New Roman" w:hAnsi="Times New Roman"/>
                  <w:sz w:val="16"/>
                  <w:szCs w:val="16"/>
                  <w:color w:val="0000FF"/>
                  <w:w w:val="97"/>
                </w:rPr>
                <w:t>lenders party thereto.</w:t>
              </w:r>
            </w:hyperlink>
          </w:p>
        </w:tc>
        <w:tc>
          <w:tcPr>
            <w:tcW w:w="44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29"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5"/>
          <w:szCs w:val="15"/>
          <w:color w:val="auto"/>
        </w:rPr>
        <w:t>Incorporated herein by reference to Exhibit 10.1 to the Company's Current Report on Form 8-K filed on August 19, 2022.</w:t>
      </w:r>
    </w:p>
    <w:p>
      <w:pPr>
        <w:spacing w:after="0" w:line="328" w:lineRule="exact"/>
        <w:rPr>
          <w:sz w:val="20"/>
          <w:szCs w:val="20"/>
          <w:color w:val="auto"/>
        </w:rPr>
      </w:pPr>
    </w:p>
    <w:p>
      <w:pPr>
        <w:sectPr>
          <w:pgSz w:w="11900" w:h="16838" w:orient="portrait"/>
          <w:cols w:equalWidth="0" w:num="2">
            <w:col w:w="6760" w:space="160"/>
            <w:col w:w="4180"/>
          </w:cols>
          <w:pgMar w:left="320" w:top="1106" w:right="47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31.1</w:t>
            </w:r>
          </w:p>
        </w:tc>
        <w:tc>
          <w:tcPr>
            <w:tcW w:w="740" w:type="dxa"/>
            <w:vAlign w:val="bottom"/>
          </w:tcPr>
          <w:p>
            <w:pPr>
              <w:spacing w:after="0"/>
              <w:rPr>
                <w:sz w:val="16"/>
                <w:szCs w:val="16"/>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Rule 13a-14(a)/15d-14(a) certification of Christopher S. Sotos.</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9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31.2</w:t>
            </w:r>
          </w:p>
        </w:tc>
        <w:tc>
          <w:tcPr>
            <w:tcW w:w="740" w:type="dxa"/>
            <w:vAlign w:val="bottom"/>
          </w:tcPr>
          <w:p>
            <w:pPr>
              <w:spacing w:after="0"/>
              <w:rPr>
                <w:sz w:val="16"/>
                <w:szCs w:val="16"/>
                <w:color w:val="auto"/>
              </w:rPr>
            </w:pPr>
          </w:p>
        </w:tc>
        <w:tc>
          <w:tcPr>
            <w:tcW w:w="37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8"/>
              </w:rPr>
              <w:t>Rule 13a-14(a)/15d-14(a) certification of Sarah Rubenstein.</w:t>
            </w:r>
          </w:p>
        </w:tc>
        <w:tc>
          <w:tcPr>
            <w:tcW w:w="180" w:type="dxa"/>
            <w:vAlign w:val="bottom"/>
            <w:tcBorders>
              <w:top w:val="single" w:sz="8" w:color="0000FF"/>
            </w:tcBorders>
          </w:tcPr>
          <w:p>
            <w:pPr>
              <w:spacing w:after="0"/>
              <w:rPr>
                <w:sz w:val="16"/>
                <w:szCs w:val="16"/>
                <w:color w:val="auto"/>
              </w:rPr>
            </w:pPr>
          </w:p>
        </w:tc>
        <w:tc>
          <w:tcPr>
            <w:tcW w:w="1740" w:type="dxa"/>
            <w:vAlign w:val="bottom"/>
          </w:tcPr>
          <w:p>
            <w:pPr>
              <w:spacing w:after="0"/>
              <w:rPr>
                <w:sz w:val="16"/>
                <w:szCs w:val="16"/>
                <w:color w:val="auto"/>
              </w:rPr>
            </w:pP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9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40" w:type="dxa"/>
            <w:vAlign w:val="bottom"/>
          </w:tcPr>
          <w:p>
            <w:pPr>
              <w:spacing w:after="0"/>
              <w:rPr>
                <w:sz w:val="16"/>
                <w:szCs w:val="16"/>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6"/>
              </w:rPr>
              <w:t>Furnished herewith.</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INS</w:t>
            </w: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SCH</w:t>
            </w: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CAL</w:t>
            </w: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DEF</w:t>
            </w: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LAB</w:t>
            </w: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PRE</w:t>
            </w: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63"/>
        </w:trPr>
        <w:tc>
          <w:tcPr>
            <w:tcW w:w="28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104</w:t>
            </w:r>
          </w:p>
        </w:tc>
        <w:tc>
          <w:tcPr>
            <w:tcW w:w="740" w:type="dxa"/>
            <w:vAlign w:val="bottom"/>
          </w:tcPr>
          <w:p>
            <w:pPr>
              <w:spacing w:after="0"/>
              <w:rPr>
                <w:sz w:val="14"/>
                <w:szCs w:val="14"/>
                <w:color w:val="auto"/>
              </w:rPr>
            </w:pPr>
          </w:p>
        </w:tc>
        <w:tc>
          <w:tcPr>
            <w:tcW w:w="5700" w:type="dxa"/>
            <w:vAlign w:val="bottom"/>
            <w:gridSpan w:val="4"/>
          </w:tcPr>
          <w:p>
            <w:pPr>
              <w:spacing w:after="0" w:line="163" w:lineRule="exact"/>
              <w:rPr>
                <w:sz w:val="20"/>
                <w:szCs w:val="20"/>
                <w:color w:val="auto"/>
              </w:rPr>
            </w:pPr>
            <w:r>
              <w:rPr>
                <w:rFonts w:ascii="Times New Roman" w:cs="Times New Roman" w:eastAsia="Times New Roman" w:hAnsi="Times New Roman"/>
                <w:sz w:val="16"/>
                <w:szCs w:val="16"/>
                <w:color w:val="auto"/>
              </w:rPr>
              <w:t>Cover Page Interactive Data File (the cover page interactive data file does not appear in</w:t>
            </w:r>
          </w:p>
        </w:tc>
        <w:tc>
          <w:tcPr>
            <w:tcW w:w="1440" w:type="dxa"/>
            <w:vAlign w:val="bottom"/>
          </w:tcPr>
          <w:p>
            <w:pPr>
              <w:ind w:left="180"/>
              <w:spacing w:after="0" w:line="163" w:lineRule="exact"/>
              <w:rPr>
                <w:sz w:val="20"/>
                <w:szCs w:val="20"/>
                <w:color w:val="auto"/>
              </w:rPr>
            </w:pPr>
            <w:r>
              <w:rPr>
                <w:rFonts w:ascii="Times New Roman" w:cs="Times New Roman" w:eastAsia="Times New Roman" w:hAnsi="Times New Roman"/>
                <w:sz w:val="16"/>
                <w:szCs w:val="16"/>
                <w:color w:val="auto"/>
              </w:rPr>
              <w:t>Filed herewith.</w:t>
            </w:r>
          </w:p>
        </w:tc>
      </w:tr>
      <w:tr>
        <w:trPr>
          <w:trHeight w:val="158"/>
        </w:trPr>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700" w:type="dxa"/>
            <w:vAlign w:val="bottom"/>
            <w:gridSpan w:val="4"/>
          </w:tcPr>
          <w:p>
            <w:pPr>
              <w:spacing w:after="0" w:line="158" w:lineRule="exact"/>
              <w:rPr>
                <w:sz w:val="20"/>
                <w:szCs w:val="20"/>
                <w:color w:val="auto"/>
              </w:rPr>
            </w:pPr>
            <w:r>
              <w:rPr>
                <w:rFonts w:ascii="Times New Roman" w:cs="Times New Roman" w:eastAsia="Times New Roman" w:hAnsi="Times New Roman"/>
                <w:sz w:val="16"/>
                <w:szCs w:val="16"/>
                <w:color w:val="auto"/>
              </w:rPr>
              <w:t>Exhibit 104 because its Inline XBRL tags are embedded within the Inline XBRL</w:t>
            </w:r>
          </w:p>
        </w:tc>
        <w:tc>
          <w:tcPr>
            <w:tcW w:w="1440" w:type="dxa"/>
            <w:vAlign w:val="bottom"/>
          </w:tcPr>
          <w:p>
            <w:pPr>
              <w:spacing w:after="0"/>
              <w:rPr>
                <w:sz w:val="13"/>
                <w:szCs w:val="13"/>
                <w:color w:val="auto"/>
              </w:rPr>
            </w:pPr>
          </w:p>
        </w:tc>
      </w:tr>
      <w:tr>
        <w:trPr>
          <w:trHeight w:val="207"/>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document).</w:t>
            </w:r>
          </w:p>
        </w:tc>
        <w:tc>
          <w:tcPr>
            <w:tcW w:w="14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231F2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106" w:right="479" w:bottom="1440" w:gutter="0" w:footer="0" w:header="0"/>
          <w:type w:val="continuous"/>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CLEARWAY ENERGY, INC.</w:t>
      </w:r>
    </w:p>
    <w:p>
      <w:pPr>
        <w:ind w:left="6680"/>
        <w:spacing w:after="0"/>
        <w:rPr>
          <w:sz w:val="20"/>
          <w:szCs w:val="20"/>
          <w:color w:val="auto"/>
        </w:rPr>
      </w:pPr>
      <w:r>
        <w:rPr>
          <w:rFonts w:ascii="Times New Roman" w:cs="Times New Roman" w:eastAsia="Times New Roman" w:hAnsi="Times New Roman"/>
          <w:sz w:val="18"/>
          <w:szCs w:val="18"/>
          <w:color w:val="auto"/>
        </w:rPr>
        <w:t>(Registrant)</w:t>
      </w:r>
    </w:p>
    <w:p>
      <w:pPr>
        <w:spacing w:after="0" w:line="26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13970</wp:posOffset>
            </wp:positionV>
            <wp:extent cx="29076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907665" cy="8255"/>
                    </a:xfrm>
                    <a:prstGeom prst="rect">
                      <a:avLst/>
                    </a:prstGeom>
                    <a:noFill/>
                  </pic:spPr>
                </pic:pic>
              </a:graphicData>
            </a:graphic>
          </wp:anchor>
        </w:drawing>
      </w:r>
    </w:p>
    <w:p>
      <w:pPr>
        <w:spacing w:after="0" w:line="1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6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13970</wp:posOffset>
            </wp:positionV>
            <wp:extent cx="29076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907665" cy="8255"/>
                    </a:xfrm>
                    <a:prstGeom prst="rect">
                      <a:avLst/>
                    </a:prstGeom>
                    <a:noFill/>
                  </pic:spPr>
                </pic:pic>
              </a:graphicData>
            </a:graphic>
          </wp:anchor>
        </w:drawing>
      </w:r>
    </w:p>
    <w:p>
      <w:pPr>
        <w:spacing w:after="0" w:line="1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i w:val="1"/>
          <w:iCs w:val="1"/>
          <w:color w:val="auto"/>
        </w:rPr>
        <w:t>Senior Vice President and Chief Accounting Officer</w:t>
      </w:r>
    </w:p>
    <w:p>
      <w:pPr>
        <w:ind w:left="6680"/>
        <w:spacing w:after="0" w:line="213"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1"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8"/>
          <w:szCs w:val="18"/>
          <w:color w:val="auto"/>
        </w:rPr>
        <w:t>Date: November 2, 2022</w:t>
      </w:r>
      <w:r>
        <w:rPr>
          <w:sz w:val="20"/>
          <w:szCs w:val="20"/>
          <w:color w:val="auto"/>
        </w:rPr>
        <w:tab/>
      </w:r>
      <w:r>
        <w:rPr>
          <w:rFonts w:ascii="Times New Roman" w:cs="Times New Roman" w:eastAsia="Times New Roman" w:hAnsi="Times New Roman"/>
          <w:sz w:val="16"/>
          <w:szCs w:val="16"/>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59</w:t>
      </w:r>
    </w:p>
    <w:p>
      <w:pPr>
        <w:sectPr>
          <w:pgSz w:w="11900" w:h="16838" w:orient="portrait"/>
          <w:cols w:equalWidth="0" w:num="1">
            <w:col w:w="11240"/>
          </w:cols>
          <w:pgMar w:left="320" w:top="86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33" w:lineRule="exact"/>
        <w:rPr>
          <w:sz w:val="20"/>
          <w:szCs w:val="20"/>
          <w:color w:val="auto"/>
        </w:rPr>
      </w:pPr>
    </w:p>
    <w:p>
      <w:pPr>
        <w:ind w:left="640" w:hanging="635"/>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14"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13970</wp:posOffset>
            </wp:positionV>
            <wp:extent cx="17964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ind w:left="7200"/>
        <w:spacing w:after="0"/>
        <w:rPr>
          <w:sz w:val="20"/>
          <w:szCs w:val="20"/>
          <w:color w:val="auto"/>
        </w:rPr>
      </w:pPr>
      <w:r>
        <w:rPr>
          <w:rFonts w:ascii="Times New Roman" w:cs="Times New Roman" w:eastAsia="Times New Roman" w:hAnsi="Times New Roman"/>
          <w:sz w:val="18"/>
          <w:szCs w:val="18"/>
          <w:color w:val="auto"/>
        </w:rPr>
        <w:t>Christopher S. Sotos</w:t>
      </w:r>
    </w:p>
    <w:p>
      <w:pPr>
        <w:ind w:left="7200"/>
        <w:spacing w:after="0" w:line="198"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2022</w:t>
      </w:r>
    </w:p>
    <w:p>
      <w:pPr>
        <w:sectPr>
          <w:pgSz w:w="11900" w:h="16838" w:orient="portrait"/>
          <w:cols w:equalWidth="0" w:num="1">
            <w:col w:w="11240"/>
          </w:cols>
          <w:pgMar w:left="320" w:top="96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33" w:lineRule="exact"/>
        <w:rPr>
          <w:sz w:val="20"/>
          <w:szCs w:val="20"/>
          <w:color w:val="auto"/>
        </w:rPr>
      </w:pPr>
    </w:p>
    <w:p>
      <w:pPr>
        <w:ind w:left="640" w:hanging="635"/>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14"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13970</wp:posOffset>
            </wp:positionV>
            <wp:extent cx="1838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838325" cy="8255"/>
                    </a:xfrm>
                    <a:prstGeom prst="rect">
                      <a:avLst/>
                    </a:prstGeom>
                    <a:noFill/>
                  </pic:spPr>
                </pic:pic>
              </a:graphicData>
            </a:graphic>
          </wp:anchor>
        </w:drawing>
      </w:r>
    </w:p>
    <w:p>
      <w:pPr>
        <w:ind w:left="7520"/>
        <w:spacing w:after="0"/>
        <w:rPr>
          <w:sz w:val="20"/>
          <w:szCs w:val="20"/>
          <w:color w:val="auto"/>
        </w:rPr>
      </w:pPr>
      <w:r>
        <w:rPr>
          <w:rFonts w:ascii="Times New Roman" w:cs="Times New Roman" w:eastAsia="Times New Roman" w:hAnsi="Times New Roman"/>
          <w:sz w:val="18"/>
          <w:szCs w:val="18"/>
          <w:color w:val="auto"/>
        </w:rPr>
        <w:t>Sarah Rubenstein</w:t>
      </w:r>
    </w:p>
    <w:p>
      <w:pPr>
        <w:ind w:left="7520"/>
        <w:spacing w:after="0" w:line="213" w:lineRule="auto"/>
        <w:rPr>
          <w:sz w:val="20"/>
          <w:szCs w:val="20"/>
          <w:color w:val="auto"/>
        </w:rPr>
      </w:pPr>
      <w:r>
        <w:rPr>
          <w:rFonts w:ascii="Times New Roman" w:cs="Times New Roman" w:eastAsia="Times New Roman" w:hAnsi="Times New Roman"/>
          <w:sz w:val="18"/>
          <w:szCs w:val="18"/>
          <w:i w:val="1"/>
          <w:iCs w:val="1"/>
          <w:color w:val="auto"/>
        </w:rPr>
        <w:t>Senior Vice President and Chief</w:t>
      </w:r>
    </w:p>
    <w:p>
      <w:pPr>
        <w:ind w:left="7520"/>
        <w:spacing w:after="0" w:line="198" w:lineRule="auto"/>
        <w:rPr>
          <w:sz w:val="20"/>
          <w:szCs w:val="20"/>
          <w:color w:val="auto"/>
        </w:rPr>
      </w:pPr>
      <w:r>
        <w:rPr>
          <w:rFonts w:ascii="Times New Roman" w:cs="Times New Roman" w:eastAsia="Times New Roman" w:hAnsi="Times New Roman"/>
          <w:sz w:val="18"/>
          <w:szCs w:val="18"/>
          <w:i w:val="1"/>
          <w:iCs w:val="1"/>
          <w:color w:val="auto"/>
        </w:rPr>
        <w:t>Accounting Officer</w:t>
      </w:r>
    </w:p>
    <w:p>
      <w:pPr>
        <w:ind w:left="7520"/>
        <w:spacing w:after="0" w:line="199" w:lineRule="auto"/>
        <w:rPr>
          <w:sz w:val="20"/>
          <w:szCs w:val="20"/>
          <w:color w:val="auto"/>
        </w:rPr>
      </w:pPr>
      <w:r>
        <w:rPr>
          <w:rFonts w:ascii="Times New Roman" w:cs="Times New Roman" w:eastAsia="Times New Roman" w:hAnsi="Times New Roman"/>
          <w:sz w:val="18"/>
          <w:szCs w:val="18"/>
          <w:i w:val="1"/>
          <w:iCs w:val="1"/>
          <w:color w:val="auto"/>
        </w:rPr>
        <w:t>(Principal Financial Officer and</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2022</w:t>
      </w:r>
    </w:p>
    <w:p>
      <w:pPr>
        <w:sectPr>
          <w:pgSz w:w="11900" w:h="16838" w:orient="portrait"/>
          <w:cols w:equalWidth="0" w:num="1">
            <w:col w:w="11240"/>
          </w:cols>
          <w:pgMar w:left="320" w:top="869"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September 30, 2022,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22" w:lineRule="exact"/>
        <w:rPr>
          <w:sz w:val="20"/>
          <w:szCs w:val="20"/>
          <w:color w:val="auto"/>
        </w:rPr>
      </w:pPr>
    </w:p>
    <w:p>
      <w:pPr>
        <w:ind w:left="640" w:hanging="319"/>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9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3100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3100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Senior Vice President and Chief Accounting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02" Type="http://schemas.openxmlformats.org/officeDocument/2006/relationships/hyperlink" Target="https://www.sec.gov/Archives/edgar/data/1567683/000110465922092724/tm222374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2022-11-02T11:00:07Z</dcterms:created>
  <dcterms:modified xsi:type="dcterms:W3CDTF">2022-11-02T11:00:07Z</dcterms:modified>
</cp:coreProperties>
</file>