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bdr w:val="single" w:sz="16" w:space="1" w:color="000000"/>
        </w:rPr>
      </w:pPr>
      <w:bookmarkStart w:id="0" w:name="tm2128309d3_8k.htm"/>
      <w:bookmarkStart w:id="1" w:name="kstm2128309d3_8k"/>
      <w:bookmarkEnd w:id="0"/>
      <w:bookmarkEnd w:id="1"/>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Washington</w:t>
      </w:r>
      <w:r>
        <w:rPr>
          <w:rFonts w:ascii="Times New Roman;Times;Serif" w:hAnsi="Times New Roman;Times;Serif"/>
          <w:b/>
          <w:i w:val="false"/>
          <w:caps/>
          <w:sz w:val="20"/>
        </w:rPr>
        <w:t>,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9_edei--DocumentType_c20210924__20"/>
      <w:bookmarkEnd w:id="2"/>
      <w:r>
        <w:rPr>
          <w:rFonts w:ascii="Times New Roman;Times;Serif" w:hAnsi="Times New Roman;Times;Serif"/>
          <w:b/>
          <w:i w:val="false"/>
          <w:caps w:val="false"/>
          <w:smallCaps w:val="false"/>
          <w:sz w:val="36"/>
        </w:rPr>
        <w:t>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September 24, 2021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4_edei--EntityRegistrantName_c2021"/>
      <w:bookmarkEnd w:id="4"/>
      <w:r>
        <w:rPr>
          <w:rFonts w:ascii="Times New Roman;Times;Serif" w:hAnsi="Times New Roman;Times;Serif"/>
          <w:b/>
          <w:i w:val="false"/>
          <w:caps w:val="false"/>
          <w:smallCaps w:val="false"/>
          <w:sz w:val="36"/>
        </w:rPr>
        <w:t>Clearway Energy LLC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7500" w:type="dxa"/>
        <w:jc w:val="left"/>
        <w:tblInd w:w="0" w:type="dxa"/>
        <w:tblCellMar>
          <w:top w:w="0" w:type="dxa"/>
          <w:left w:w="0" w:type="dxa"/>
          <w:bottom w:w="0" w:type="dxa"/>
          <w:right w:w="0" w:type="dxa"/>
        </w:tblCellMar>
      </w:tblPr>
      <w:tblGrid>
        <w:gridCol w:w="2375"/>
        <w:gridCol w:w="60"/>
        <w:gridCol w:w="2210"/>
        <w:gridCol w:w="60"/>
        <w:gridCol w:w="2795"/>
      </w:tblGrid>
      <w:tr>
        <w:trPr/>
        <w:tc>
          <w:tcPr>
            <w:tcW w:w="237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Delaware</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6" w:name="xdx_90C_edei--EntityFileNumber_c20210924"/>
            <w:bookmarkEnd w:id="6"/>
            <w:r>
              <w:rPr>
                <w:rFonts w:ascii="Times New Roman;Times;Serif" w:hAnsi="Times New Roman;Times;Serif"/>
                <w:b/>
                <w:i w:val="false"/>
                <w:caps w:val="false"/>
                <w:smallCaps w:val="false"/>
                <w:sz w:val="20"/>
              </w:rPr>
              <w:t>333-203369</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32-0407370</w:t>
            </w:r>
          </w:p>
        </w:tc>
      </w:tr>
      <w:tr>
        <w:trPr/>
        <w:tc>
          <w:tcPr>
            <w:tcW w:w="2375" w:type="dxa"/>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center"/>
              <w:rPr/>
            </w:pPr>
            <w:r>
              <w:rPr/>
              <w:t>(</w:t>
            </w:r>
            <w:r>
              <w:rPr>
                <w:rFonts w:ascii="Times New Roman;Times;Serif" w:hAnsi="Times New Roman;Times;Serif"/>
                <w:b w:val="false"/>
                <w:i w:val="false"/>
                <w:caps w:val="false"/>
                <w:smallCaps w:val="false"/>
                <w:sz w:val="20"/>
              </w:rPr>
              <w:t>IRS Employer Identification No.)</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300 Carnegie Center, </w:t>
      </w:r>
      <w:bookmarkStart w:id="9" w:name="xdx_90C_edei--EntityAddressAddressLine2_"/>
      <w:bookmarkEnd w:id="9"/>
      <w:r>
        <w:rPr>
          <w:rFonts w:ascii="Times New Roman;Times;Serif" w:hAnsi="Times New Roman;Times;Serif"/>
          <w:b/>
          <w:i w:val="false"/>
          <w:caps w:val="false"/>
          <w:smallCaps w:val="false"/>
          <w:sz w:val="20"/>
        </w:rPr>
        <w:t xml:space="preserve">Suite 300, </w:t>
      </w:r>
      <w:bookmarkStart w:id="10" w:name="xdx_909_edei--EntityAddressCityOrTown_c2"/>
      <w:bookmarkEnd w:id="10"/>
      <w:r>
        <w:rPr>
          <w:rFonts w:ascii="Times New Roman;Times;Serif" w:hAnsi="Times New Roman;Times;Serif"/>
          <w:b/>
          <w:i w:val="false"/>
          <w:caps w:val="false"/>
          <w:smallCaps w:val="false"/>
          <w:sz w:val="20"/>
        </w:rPr>
        <w:t xml:space="preserve">Princeton, </w:t>
      </w:r>
      <w:bookmarkStart w:id="11" w:name="xdx_907_edei--EntityAddressStateOrProvin"/>
      <w:bookmarkEnd w:id="11"/>
      <w:r>
        <w:rPr>
          <w:rFonts w:ascii="Times New Roman;Times;Serif" w:hAnsi="Times New Roman;Times;Serif"/>
          <w:b/>
          <w:i w:val="false"/>
          <w:caps w:val="false"/>
          <w:smallCaps w:val="false"/>
          <w:sz w:val="20"/>
        </w:rPr>
        <w:t xml:space="preserve">New Jersey </w:t>
      </w:r>
      <w:bookmarkStart w:id="12" w:name="xdx_90B_edei--EntityAddressPostalZipCode"/>
      <w:bookmarkEnd w:id="12"/>
      <w:r>
        <w:rPr>
          <w:rFonts w:ascii="Times New Roman;Times;Serif" w:hAnsi="Times New Roman;Times;Serif"/>
          <w:b/>
          <w:i w:val="false"/>
          <w:caps w:val="false"/>
          <w:smallCaps w:val="false"/>
          <w:sz w:val="20"/>
        </w:rPr>
        <w:t>08540</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B_edei--CityAreaCode_c20210924__20"/>
      <w:bookmarkEnd w:id="13"/>
      <w:r>
        <w:rPr>
          <w:rFonts w:ascii="Times New Roman;Times;Serif" w:hAnsi="Times New Roman;Times;Serif"/>
          <w:b/>
          <w:i w:val="false"/>
          <w:caps w:val="false"/>
          <w:smallCaps w:val="false"/>
          <w:sz w:val="20"/>
        </w:rPr>
        <w:t xml:space="preserve">609) </w:t>
      </w:r>
      <w:bookmarkStart w:id="14" w:name="xdx_901_edei--LocalPhoneNumber_c20210924"/>
      <w:bookmarkEnd w:id="14"/>
      <w:r>
        <w:rPr>
          <w:rFonts w:ascii="Times New Roman;Times;Serif" w:hAnsi="Times New Roman;Times;Serif"/>
          <w:b/>
          <w:i w:val="false"/>
          <w:caps w:val="false"/>
          <w:smallCaps w:val="false"/>
          <w:sz w:val="20"/>
        </w:rPr>
        <w:t>608-1525</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bookmarkStart w:id="15" w:name="xdx_908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bookmarkStart w:id="16" w:name="xdx_907_edei--SolicitingMaterial_c202109"/>
      <w:bookmarkEnd w:id="16"/>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bookmarkStart w:id="17" w:name="xdx_900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bookmarkStart w:id="18" w:name="xdx_909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6075" w:type="dxa"/>
        <w:jc w:val="left"/>
        <w:tblInd w:w="0" w:type="dxa"/>
        <w:tblCellMar>
          <w:top w:w="0" w:type="dxa"/>
          <w:left w:w="0" w:type="dxa"/>
          <w:bottom w:w="28" w:type="dxa"/>
          <w:right w:w="0" w:type="dxa"/>
        </w:tblCellMar>
      </w:tblPr>
      <w:tblGrid>
        <w:gridCol w:w="1535"/>
        <w:gridCol w:w="60"/>
        <w:gridCol w:w="1610"/>
        <w:gridCol w:w="60"/>
        <w:gridCol w:w="2810"/>
      </w:tblGrid>
      <w:tr>
        <w:trPr/>
        <w:tc>
          <w:tcPr>
            <w:tcW w:w="1535" w:type="dxa"/>
            <w:tcBorders>
              <w:bottom w:val="single" w:sz="8" w:space="0" w:color="000000"/>
            </w:tcBorders>
            <w:shd w:fill="auto" w:val="clear"/>
            <w:vAlign w:val="center"/>
          </w:tcPr>
          <w:p>
            <w:pPr>
              <w:pStyle w:val="TableContents"/>
              <w:spacing w:before="0" w:after="283"/>
              <w:ind w:left="0" w:right="0" w:hanging="14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auto" w:val="clear"/>
            <w:tcMar>
              <w:bottom w:w="0" w:type="dxa"/>
            </w:tcMar>
            <w:vAlign w:val="center"/>
          </w:tcPr>
          <w:p>
            <w:pPr>
              <w:pStyle w:val="TableContents"/>
              <w:spacing w:before="0" w:after="283"/>
              <w:rPr/>
            </w:pPr>
            <w:r>
              <w:rPr/>
              <w:t> </w:t>
            </w:r>
          </w:p>
        </w:tc>
        <w:tc>
          <w:tcPr>
            <w:tcW w:w="16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auto" w:val="clear"/>
            <w:tcMar>
              <w:bottom w:w="0" w:type="dxa"/>
            </w:tcMar>
            <w:vAlign w:val="center"/>
          </w:tcPr>
          <w:p>
            <w:pPr>
              <w:pStyle w:val="TableContents"/>
              <w:spacing w:before="0" w:after="283"/>
              <w:rPr/>
            </w:pPr>
            <w:r>
              <w:rPr/>
              <w:t> </w:t>
            </w:r>
          </w:p>
        </w:tc>
        <w:tc>
          <w:tcPr>
            <w:tcW w:w="2810" w:type="dxa"/>
            <w:tcBorders>
              <w:bottom w:val="single" w:sz="8" w:space="0" w:color="000000"/>
            </w:tcBorders>
            <w:shd w:fill="auto" w:val="clear"/>
            <w:vAlign w:val="center"/>
          </w:tcPr>
          <w:p>
            <w:pPr>
              <w:pStyle w:val="TableContents"/>
              <w:spacing w:before="0" w:after="283"/>
              <w:ind w:left="0" w:right="0" w:hanging="14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w:t>
              <w:br/>
              <w:t>registered</w:t>
            </w:r>
          </w:p>
        </w:tc>
      </w:tr>
      <w:tr>
        <w:trPr/>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shd w:fill="auto" w:val="clear"/>
            <w:tcMar>
              <w:bottom w:w="0" w:type="dxa"/>
            </w:tcMar>
            <w:vAlign w:val="center"/>
          </w:tcPr>
          <w:p>
            <w:pPr>
              <w:pStyle w:val="TableContents"/>
              <w:spacing w:before="0" w:after="283"/>
              <w:rPr/>
            </w:pPr>
            <w:r>
              <w:rPr/>
              <w:t> </w:t>
            </w:r>
          </w:p>
        </w:tc>
        <w:tc>
          <w:tcPr>
            <w:tcW w:w="16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shd w:fill="auto" w:val="clear"/>
            <w:tcMar>
              <w:bottom w:w="0" w:type="dxa"/>
            </w:tcMar>
            <w:vAlign w:val="center"/>
          </w:tcPr>
          <w:p>
            <w:pPr>
              <w:pStyle w:val="TableContents"/>
              <w:spacing w:before="0" w:after="283"/>
              <w:rPr/>
            </w:pPr>
            <w:r>
              <w:rPr/>
              <w:t> </w:t>
            </w:r>
          </w:p>
        </w:tc>
        <w:tc>
          <w:tcPr>
            <w:tcW w:w="28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9" w:name="xdx_901_edei--EntityEmergingGrowthCompan"/>
      <w:bookmarkEnd w:id="19"/>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jc w:val="both"/>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2425" w:type="dxa"/>
        <w:jc w:val="left"/>
        <w:tblInd w:w="0" w:type="dxa"/>
        <w:tblCellMar>
          <w:top w:w="0" w:type="dxa"/>
          <w:left w:w="0" w:type="dxa"/>
          <w:bottom w:w="0" w:type="dxa"/>
          <w:right w:w="0" w:type="dxa"/>
        </w:tblCellMar>
      </w:tblPr>
      <w:tblGrid>
        <w:gridCol w:w="980"/>
        <w:gridCol w:w="1445"/>
      </w:tblGrid>
      <w:tr>
        <w:trPr/>
        <w:tc>
          <w:tcPr>
            <w:tcW w:w="980" w:type="dxa"/>
            <w:tcBorders/>
            <w:shd w:fill="auto" w:val="clear"/>
            <w:vAlign w:val="center"/>
          </w:tcPr>
          <w:p>
            <w:pPr>
              <w:pStyle w:val="TableContents"/>
              <w:spacing w:before="0" w:after="283"/>
              <w:rPr>
                <w:b/>
              </w:rPr>
            </w:pPr>
            <w:r>
              <w:rPr>
                <w:b/>
              </w:rPr>
              <w:t>Item 8.01</w:t>
            </w:r>
          </w:p>
        </w:tc>
        <w:tc>
          <w:tcPr>
            <w:tcW w:w="1445" w:type="dxa"/>
            <w:tcBorders/>
            <w:shd w:fill="auto" w:val="clear"/>
            <w:vAlign w:val="center"/>
          </w:tcPr>
          <w:p>
            <w:pPr>
              <w:pStyle w:val="TableContents"/>
              <w:spacing w:before="0" w:after="283"/>
              <w:rPr>
                <w:b/>
              </w:rPr>
            </w:pPr>
            <w:r>
              <w:rPr>
                <w:b/>
              </w:rPr>
              <w:t>Other Events.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2021, Clearway Energy Operating LLC, a subsidiary of Clearway Energy LLC, issued a press release announcing the pricing of its offering (the “Offering”) of $350 million in aggregate principal amount of senior notes due 2032 (the “Notes”). A copy of the press release is attached hereto as Exhibit 99.1 and incorporated by reference herein. This Current Report on Form 8-K does not constitute an offer to sell or the solicitation of an offer to buy the Notes.</w:t>
      </w:r>
    </w:p>
    <w:p>
      <w:pPr>
        <w:pStyle w:val="TextBody"/>
        <w:spacing w:before="0" w:after="0"/>
        <w:ind w:left="0" w:right="0" w:hanging="0"/>
        <w:rPr>
          <w:caps w:val="false"/>
          <w:smallCaps w:val="false"/>
        </w:rPr>
      </w:pPr>
      <w:r>
        <w:rPr>
          <w:caps w:val="false"/>
          <w:smallCaps w:val="false"/>
        </w:rPr>
        <w:t> </w:t>
      </w:r>
    </w:p>
    <w:tbl>
      <w:tblPr>
        <w:tblW w:w="4540" w:type="dxa"/>
        <w:jc w:val="left"/>
        <w:tblInd w:w="0" w:type="dxa"/>
        <w:tblCellMar>
          <w:top w:w="0" w:type="dxa"/>
          <w:left w:w="0" w:type="dxa"/>
          <w:bottom w:w="0" w:type="dxa"/>
          <w:right w:w="0" w:type="dxa"/>
        </w:tblCellMar>
      </w:tblPr>
      <w:tblGrid>
        <w:gridCol w:w="980"/>
        <w:gridCol w:w="3560"/>
      </w:tblGrid>
      <w:tr>
        <w:trPr/>
        <w:tc>
          <w:tcPr>
            <w:tcW w:w="980" w:type="dxa"/>
            <w:tcBorders/>
            <w:shd w:fill="auto" w:val="clear"/>
            <w:vAlign w:val="center"/>
          </w:tcPr>
          <w:p>
            <w:pPr>
              <w:pStyle w:val="TableContents"/>
              <w:spacing w:before="0" w:after="283"/>
              <w:rPr>
                <w:b/>
              </w:rPr>
            </w:pPr>
            <w:r>
              <w:rPr>
                <w:b/>
              </w:rPr>
              <w:t>Item 9.01</w:t>
            </w:r>
          </w:p>
        </w:tc>
        <w:tc>
          <w:tcPr>
            <w:tcW w:w="3560" w:type="dxa"/>
            <w:tcBorders/>
            <w:shd w:fill="auto" w:val="clear"/>
            <w:vAlign w:val="center"/>
          </w:tcPr>
          <w:p>
            <w:pPr>
              <w:pStyle w:val="TableContents"/>
              <w:spacing w:before="0" w:after="283"/>
              <w:rPr>
                <w:b/>
              </w:rPr>
            </w:pPr>
            <w:r>
              <w:rPr>
                <w:b/>
              </w:rPr>
              <w:t>Financial Statements and Exhibits.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pacing w:before="0" w:after="0"/>
        <w:ind w:left="0" w:right="0" w:hanging="0"/>
        <w:rPr>
          <w:caps w:val="false"/>
          <w:smallCaps w:val="false"/>
        </w:rPr>
      </w:pPr>
      <w:r>
        <w:rPr>
          <w:caps w:val="false"/>
          <w:smallCaps w:val="false"/>
        </w:rPr>
        <w:t> </w:t>
      </w:r>
    </w:p>
    <w:tbl>
      <w:tblPr>
        <w:tblW w:w="8065" w:type="dxa"/>
        <w:jc w:val="left"/>
        <w:tblInd w:w="0" w:type="dxa"/>
        <w:tblCellMar>
          <w:top w:w="0" w:type="dxa"/>
          <w:left w:w="0" w:type="dxa"/>
          <w:bottom w:w="28" w:type="dxa"/>
          <w:right w:w="0" w:type="dxa"/>
        </w:tblCellMar>
      </w:tblPr>
      <w:tblGrid>
        <w:gridCol w:w="665"/>
        <w:gridCol w:w="60"/>
        <w:gridCol w:w="7340"/>
      </w:tblGrid>
      <w:tr>
        <w:trPr/>
        <w:tc>
          <w:tcPr>
            <w:tcW w:w="665" w:type="dxa"/>
            <w:tcBorders>
              <w:bottom w:val="single" w:sz="8" w:space="0" w:color="000000"/>
            </w:tcBorders>
            <w:shd w:fill="auto" w:val="clear"/>
            <w:vAlign w:val="center"/>
          </w:tcPr>
          <w:p>
            <w:pPr>
              <w:pStyle w:val="TableContents"/>
              <w:spacing w:before="0" w:after="283"/>
              <w:rPr>
                <w:b/>
                <w:sz w:val="20"/>
              </w:rPr>
            </w:pPr>
            <w:r>
              <w:rPr>
                <w:b/>
                <w:sz w:val="20"/>
              </w:rPr>
              <w:t>Exhibit</w:t>
              <w:br/>
              <w:t>No.</w:t>
            </w:r>
          </w:p>
        </w:tc>
        <w:tc>
          <w:tcPr>
            <w:tcW w:w="60" w:type="dxa"/>
            <w:tcBorders/>
            <w:shd w:fill="auto" w:val="clear"/>
            <w:tcMar>
              <w:bottom w:w="0" w:type="dxa"/>
            </w:tcMar>
            <w:vAlign w:val="center"/>
          </w:tcPr>
          <w:p>
            <w:pPr>
              <w:pStyle w:val="TableContents"/>
              <w:spacing w:before="0" w:after="283"/>
              <w:jc w:val="center"/>
              <w:rPr/>
            </w:pPr>
            <w:r>
              <w:rPr/>
              <w:t> </w:t>
            </w:r>
          </w:p>
        </w:tc>
        <w:tc>
          <w:tcPr>
            <w:tcW w:w="7340" w:type="dxa"/>
            <w:tcBorders>
              <w:bottom w:val="single" w:sz="8" w:space="0" w:color="000000"/>
            </w:tcBorders>
            <w:shd w:fill="auto" w:val="clear"/>
            <w:vAlign w:val="center"/>
          </w:tcPr>
          <w:p>
            <w:pPr>
              <w:pStyle w:val="TableContents"/>
              <w:spacing w:before="0" w:after="283"/>
              <w:jc w:val="center"/>
              <w:rPr>
                <w:b/>
                <w:sz w:val="20"/>
              </w:rPr>
            </w:pPr>
            <w:r>
              <w:rPr>
                <w:b/>
                <w:sz w:val="20"/>
              </w:rPr>
              <w:t>Description</w:t>
            </w:r>
          </w:p>
        </w:tc>
      </w:tr>
      <w:tr>
        <w:trPr/>
        <w:tc>
          <w:tcPr>
            <w:tcW w:w="665" w:type="dxa"/>
            <w:tcBorders/>
            <w:shd w:fill="auto" w:val="clear"/>
            <w:tcMar>
              <w:bottom w:w="0" w:type="dxa"/>
            </w:tcMar>
            <w:vAlign w:val="center"/>
          </w:tcPr>
          <w:p>
            <w:pPr>
              <w:pStyle w:val="TableContents"/>
              <w:spacing w:before="0" w:after="283"/>
              <w:rPr/>
            </w:pPr>
            <w:hyperlink w:anchor="tm2128309d3_ex99-1.htm">
              <w:r>
                <w:rPr>
                  <w:rStyle w:val="InternetLink"/>
                  <w:sz w:val="20"/>
                </w:rPr>
                <w:t>99.1</w:t>
              </w:r>
            </w:hyperlink>
          </w:p>
        </w:tc>
        <w:tc>
          <w:tcPr>
            <w:tcW w:w="60" w:type="dxa"/>
            <w:tcBorders/>
            <w:shd w:fill="auto" w:val="clear"/>
            <w:tcMar>
              <w:bottom w:w="0" w:type="dxa"/>
            </w:tcMar>
            <w:vAlign w:val="center"/>
          </w:tcPr>
          <w:p>
            <w:pPr>
              <w:pStyle w:val="TableContents"/>
              <w:spacing w:before="0" w:after="283"/>
              <w:rPr/>
            </w:pPr>
            <w:r>
              <w:rPr/>
              <w:t> </w:t>
            </w:r>
          </w:p>
        </w:tc>
        <w:tc>
          <w:tcPr>
            <w:tcW w:w="7340" w:type="dxa"/>
            <w:tcBorders/>
            <w:shd w:fill="auto" w:val="clear"/>
            <w:tcMar>
              <w:bottom w:w="0" w:type="dxa"/>
            </w:tcMar>
            <w:vAlign w:val="center"/>
          </w:tcPr>
          <w:p>
            <w:pPr>
              <w:pStyle w:val="TableContents"/>
              <w:spacing w:before="0" w:after="283"/>
              <w:rPr/>
            </w:pPr>
            <w:hyperlink w:anchor="tm2128309d3_ex99-1.htm">
              <w:r>
                <w:rPr>
                  <w:rStyle w:val="InternetLink"/>
                  <w:sz w:val="20"/>
                </w:rPr>
                <w:t>Press Release, dated September 24, 2021, announcing the pricing of the Offering.</w:t>
              </w:r>
            </w:hyperlink>
          </w:p>
        </w:tc>
      </w:tr>
      <w:tr>
        <w:trPr/>
        <w:tc>
          <w:tcPr>
            <w:tcW w:w="665" w:type="dxa"/>
            <w:tcBorders/>
            <w:shd w:fill="auto" w:val="clear"/>
            <w:tcMar>
              <w:bottom w:w="0" w:type="dxa"/>
            </w:tcMar>
            <w:vAlign w:val="center"/>
          </w:tcPr>
          <w:p>
            <w:pPr>
              <w:pStyle w:val="TableContents"/>
              <w:spacing w:before="0" w:after="283"/>
              <w:rPr>
                <w:sz w:val="20"/>
              </w:rPr>
            </w:pPr>
            <w:r>
              <w:rPr>
                <w:sz w:val="20"/>
              </w:rPr>
              <w:t>104</w:t>
            </w:r>
          </w:p>
        </w:tc>
        <w:tc>
          <w:tcPr>
            <w:tcW w:w="60" w:type="dxa"/>
            <w:tcBorders/>
            <w:shd w:fill="auto" w:val="clear"/>
            <w:tcMar>
              <w:bottom w:w="0" w:type="dxa"/>
            </w:tcMar>
            <w:vAlign w:val="center"/>
          </w:tcPr>
          <w:p>
            <w:pPr>
              <w:pStyle w:val="TableContents"/>
              <w:spacing w:before="0" w:after="283"/>
              <w:rPr/>
            </w:pPr>
            <w:r>
              <w:rPr/>
              <w:t> </w:t>
            </w:r>
          </w:p>
        </w:tc>
        <w:tc>
          <w:tcPr>
            <w:tcW w:w="7340" w:type="dxa"/>
            <w:tcBorders/>
            <w:shd w:fill="auto" w:val="clear"/>
            <w:tcMar>
              <w:bottom w:w="0" w:type="dxa"/>
            </w:tcMar>
            <w:vAlign w:val="center"/>
          </w:tcPr>
          <w:p>
            <w:pPr>
              <w:pStyle w:val="TableContents"/>
              <w:spacing w:before="0" w:after="283"/>
              <w:rPr>
                <w:color w:val="212529"/>
                <w:sz w:val="20"/>
                <w:highlight w:val="white"/>
              </w:rPr>
            </w:pPr>
            <w:r>
              <w:rPr>
                <w:color w:val="212529"/>
                <w:sz w:val="20"/>
                <w:highlight w:val="white"/>
              </w:rPr>
              <w:t>Cover Page Interactive Data File (formatted as inline XBRL and contained in Exhibit 101)</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3775" w:type="dxa"/>
        <w:jc w:val="left"/>
        <w:tblInd w:w="0" w:type="dxa"/>
        <w:tblCellMar>
          <w:top w:w="0" w:type="dxa"/>
          <w:left w:w="0" w:type="dxa"/>
          <w:bottom w:w="0" w:type="dxa"/>
          <w:right w:w="0" w:type="dxa"/>
        </w:tblCellMar>
      </w:tblPr>
      <w:tblGrid>
        <w:gridCol w:w="75"/>
        <w:gridCol w:w="320"/>
        <w:gridCol w:w="3380"/>
      </w:tblGrid>
      <w:tr>
        <w:trPr/>
        <w:tc>
          <w:tcPr>
            <w:tcW w:w="75" w:type="dxa"/>
            <w:tcBorders/>
            <w:shd w:fill="auto" w:val="clear"/>
            <w:vAlign w:val="center"/>
          </w:tcPr>
          <w:p>
            <w:pPr>
              <w:pStyle w:val="TableContents"/>
              <w:spacing w:before="0" w:after="283"/>
              <w:rPr/>
            </w:pPr>
            <w:r>
              <w:rPr/>
              <w:t> </w:t>
            </w:r>
          </w:p>
        </w:tc>
        <w:tc>
          <w:tcPr>
            <w:tcW w:w="3700" w:type="dxa"/>
            <w:gridSpan w:val="2"/>
            <w:tcBorders/>
            <w:shd w:fill="auto" w:val="clear"/>
            <w:vAlign w:val="center"/>
          </w:tcPr>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Clearway Energy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38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sz w:val="20"/>
              </w:rPr>
            </w:pPr>
            <w:r>
              <w:rPr>
                <w:sz w:val="20"/>
              </w:rPr>
              <w:t>By:</w:t>
            </w:r>
          </w:p>
        </w:tc>
        <w:tc>
          <w:tcPr>
            <w:tcW w:w="3380" w:type="dxa"/>
            <w:tcBorders>
              <w:bottom w:val="single" w:sz="8" w:space="0" w:color="000000"/>
            </w:tcBorders>
            <w:shd w:fill="auto" w:val="clear"/>
            <w:tcMar>
              <w:bottom w:w="28" w:type="dxa"/>
            </w:tcMar>
            <w:vAlign w:val="center"/>
          </w:tcPr>
          <w:p>
            <w:pPr>
              <w:pStyle w:val="TableContents"/>
              <w:spacing w:before="0" w:after="283"/>
              <w:rPr>
                <w:i/>
                <w:sz w:val="20"/>
              </w:rPr>
            </w:pPr>
            <w:r>
              <w:rPr>
                <w:i/>
                <w:sz w:val="20"/>
              </w:rPr>
              <w:t>/s/ Kevin P. Malcarney</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380" w:type="dxa"/>
            <w:tcBorders/>
            <w:shd w:fill="auto" w:val="clear"/>
            <w:vAlign w:val="center"/>
          </w:tcPr>
          <w:p>
            <w:pPr>
              <w:pStyle w:val="TableContents"/>
              <w:spacing w:before="0" w:after="283"/>
              <w:rPr>
                <w:sz w:val="20"/>
              </w:rPr>
            </w:pPr>
            <w:r>
              <w:rPr>
                <w:sz w:val="20"/>
              </w:rPr>
              <w:t>Kevin P. Malcarney</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380" w:type="dxa"/>
            <w:tcBorders/>
            <w:shd w:fill="auto" w:val="clear"/>
            <w:vAlign w:val="center"/>
          </w:tcPr>
          <w:p>
            <w:pPr>
              <w:pStyle w:val="TableContents"/>
              <w:spacing w:before="0" w:after="283"/>
              <w:rPr>
                <w:sz w:val="20"/>
              </w:rPr>
            </w:pPr>
            <w:r>
              <w:rPr>
                <w:sz w:val="20"/>
              </w:rPr>
              <w:t>General Counsel and Corporate Secretary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24,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r>
        <w:br w:type="page"/>
      </w:r>
    </w:p>
    <w:p>
      <w:pPr>
        <w:pStyle w:val="TextBody"/>
        <w:ind w:left="0" w:right="0" w:hanging="0"/>
        <w:rPr/>
      </w:pPr>
      <w:bookmarkStart w:id="20" w:name="tm2128309d3_ex99-1.htm"/>
      <w:bookmarkStart w:id="21" w:name="kstm2128309d3_ex991"/>
      <w:bookmarkEnd w:id="20"/>
      <w:bookmarkEnd w:id="21"/>
      <w:r>
        <w:rPr/>
        <w:t> </w:t>
      </w:r>
    </w:p>
    <w:p>
      <w:pPr>
        <w:pStyle w:val="TextBody"/>
        <w:jc w:val="right"/>
        <w:rPr>
          <w:b/>
        </w:rPr>
      </w:pPr>
      <w:r>
        <w:rPr>
          <w:b/>
        </w:rPr>
        <w:t>Exhibit 99.1</w:t>
      </w:r>
    </w:p>
    <w:p>
      <w:pPr>
        <w:pStyle w:val="TextBody"/>
        <w:jc w:val="right"/>
        <w:rPr/>
      </w:pPr>
      <w:r>
        <w:rPr/>
        <w:t> </w:t>
      </w:r>
    </w:p>
    <w:p>
      <w:pPr>
        <w:pStyle w:val="TextBody"/>
        <w:rPr/>
      </w:pPr>
      <w:r>
        <w:rPr/>
        <w:drawing>
          <wp:inline distT="0" distB="0" distL="0" distR="0">
            <wp:extent cx="271462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14625" cy="352425"/>
                    </a:xfrm>
                    <a:prstGeom prst="rect">
                      <a:avLst/>
                    </a:prstGeom>
                  </pic:spPr>
                </pic:pic>
              </a:graphicData>
            </a:graphic>
          </wp:inline>
        </w:drawing>
      </w:r>
      <w:r>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Clearway Energy Operating LLC, a Subsidiary of Clearway Energy, Inc.,</w:t>
        <w:br/>
        <w:t>Announces Pricing of Offering of $350 Million “Green Bond”</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PRINCETON, NJ; September 24, 2021 — </w:t>
      </w:r>
      <w:r>
        <w:rPr>
          <w:rFonts w:ascii="Times New Roman;Times;Serif" w:hAnsi="Times New Roman;Times;Serif"/>
          <w:b w:val="false"/>
          <w:i w:val="false"/>
          <w:caps w:val="false"/>
          <w:smallCaps w:val="false"/>
          <w:sz w:val="20"/>
          <w:highlight w:val="white"/>
        </w:rPr>
        <w:t> </w:t>
      </w:r>
      <w:r>
        <w:rPr>
          <w:rFonts w:ascii="Times New Roman;Times;Serif" w:hAnsi="Times New Roman;Times;Serif"/>
          <w:b w:val="false"/>
          <w:i w:val="false"/>
          <w:caps w:val="false"/>
          <w:smallCaps w:val="false"/>
          <w:sz w:val="20"/>
        </w:rPr>
        <w:t>Clearway Energy Operating LLC (“Clearway Operating”), a subsidiary of Clearway Energy, Inc. (NYSE: CWEN, CWEN.A) (“Clearway Energy”), has priced its offering of $350 million in aggregate principal amount of 3.750% senior notes due 2032 (the “New Notes”) at a price to the public of 100% of their face value. The New Notes will be senior unsecured obligations of Clearway Operating and will be guaranteed by Clearway Energy LLC, Clearway Operating’s parent company, and by each of Clearway Operating’s wholly owned current and future subsidiaries that guarantees indebtedness under its credit agreement.</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Notes will mature on January 15, 2032. The offering is expected to close on October 1, 2021, subject to customary conditions.</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Operating intends to allocate an amount equal to the net proceeds from the offering of the New Notes to finance or refinance, in part or in full, new and existing projects and assets meeting certain renewable energy generation eligibility criteria. Specifically, Clearway Operating intends to use the net proceeds of the offering, together with existing corporate liquidity, (i) to repurchase any and all of the $350 million outstanding aggregate principal amount of its 5.000% senior notes due 2026 (the “2026 Notes”) and (ii) to pay fees and expenses incurred in connection with the repurchase of the 2026 Notes.</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Notes and related guarantees are being offered only to qualified institutional buyers in reliance on Rule 144A under the Securities Act of 1933, as amended (the “Securities Act”), or outside the United States to persons other than “U.S. persons” in compliance with Regulation S under the Securities Act. The New Notes and related guarantees have not been registered under the Securities Act or the securities laws of any other jurisdiction and may not be offered or sold in the United States absent registration or an applicable exemption from the registration requirements. This notice is issued pursuant to Rule 135c of the Securities Act, and does not constitute an offer to sell any security, including the New Notes, nor a solicitation for an offer to purchase any security, including the New Notes or the 2026 Notes, and shall not constitute an offer, solicitation or sale in any jurisdiction in which such offering, solicitation or sale would be unlawful.</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Clearway Energy, Inc.</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Inc. is one of the largest renewable energy owners in the US with over 4,700 net MW of installed wind and solar generation projects. Clearway Energy’s over 8,000 net MW of assets also includes approximately 2,500 net MW of environmentally-sound, highly efficient natural gas generation facilities as well as a portfolio of district energy systems. Through this environmentally-sound diversified and primarily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news release contains forward-looking statements within the meaning of Section 27A of the Securities Act and Section 21E of the Securities Exchange Act of 1934. Forward-looking statements are subject to certain risks, uncertainties and assumptions, and typically can be identified by the use of words such as “expect,” “estimate,” “should,” “anticipate,” “forecast,” “plan,” “outlook,” “believe” and similar terms.</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Clearway Energy believes that the expectations are reasonable, it can give no assurance that these expectations will prove to be correct, and actual results may vary materially. Factors that could cause actual results to differ materially from those contemplated above include, among others, impacts related to COVID-19 or any other pandemic, impacts of recent weather events on the Company, its operations, its facilities and its financial results, </w:t>
      </w:r>
      <w:r>
        <w:rPr>
          <w:rFonts w:ascii="Times New Roman;Times;Serif" w:hAnsi="Times New Roman;Times;Serif"/>
          <w:b w:val="false"/>
          <w:i w:val="false"/>
          <w:caps w:val="false"/>
          <w:smallCaps w:val="false"/>
          <w:sz w:val="20"/>
          <w:highlight w:val="white"/>
        </w:rPr>
        <w:t>any potential disposition of Clearway Energy’s Thermal platform</w:t>
      </w:r>
      <w:r>
        <w:rPr>
          <w:rFonts w:ascii="Times New Roman;Times;Serif" w:hAnsi="Times New Roman;Times;Serif"/>
          <w:b w:val="false"/>
          <w:i w:val="false"/>
          <w:caps w:val="false"/>
          <w:smallCaps w:val="false"/>
          <w:sz w:val="20"/>
        </w:rPr>
        <w:t>, risks and uncertainties related to the capital markets generally, whether Clearway Energy will consummate the offering, the anticipated terms of the New Notes and the anticipated use of proceeds, including the results of the repurchase of the 2026 Notes.</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In addition, Clearway Energy makes available free of charge at </w:t>
      </w:r>
      <w:r>
        <w:rPr>
          <w:rFonts w:ascii="Times New Roman;Times;Serif" w:hAnsi="Times New Roman;Times;Serif"/>
          <w:b w:val="false"/>
          <w:i w:val="false"/>
          <w:caps w:val="false"/>
          <w:smallCaps w:val="false"/>
          <w:sz w:val="20"/>
          <w:u w:val="single"/>
        </w:rPr>
        <w:t>www.clearwayenergy.com</w:t>
      </w:r>
      <w:r>
        <w:rPr>
          <w:rFonts w:ascii="Times New Roman;Times;Serif" w:hAnsi="Times New Roman;Times;Serif"/>
          <w:b w:val="false"/>
          <w:i w:val="false"/>
          <w:caps w:val="false"/>
          <w:smallCaps w:val="false"/>
          <w:sz w:val="20"/>
        </w:rPr>
        <w:t>, copies of materials it files with, or furnishes to, the Securities and Exchange Commission.</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Akil Marsh, 609-608-1500</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investor.relations@clearwayenergy.com</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w:t>
      </w:r>
      <w:r>
        <w:rPr>
          <w:rFonts w:ascii="Times New Roman;Times;Serif" w:hAnsi="Times New Roman;Times;Serif"/>
          <w:b w:val="false"/>
          <w:i w:val="false"/>
          <w:caps w:val="false"/>
          <w:smallCaps w:val="false"/>
          <w:sz w:val="20"/>
        </w:rPr>
        <w:br/>
        <w:t>media@clearwayenergy.com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1318</Words>
  <CharactersWithSpaces>8740</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