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840740</wp:posOffset>
            </wp:positionV>
            <wp:extent cx="71189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798830</wp:posOffset>
            </wp:positionV>
            <wp:extent cx="711898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985" cy="165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7" w:lineRule="exact"/>
        <w:rPr>
          <w:sz w:val="24"/>
          <w:szCs w:val="24"/>
          <w:color w:val="auto"/>
        </w:rPr>
      </w:pPr>
    </w:p>
    <w:p>
      <w:pPr>
        <w:ind w:left="560" w:hanging="357"/>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3" w:lineRule="exact"/>
        <w:rPr>
          <w:sz w:val="24"/>
          <w:szCs w:val="24"/>
          <w:color w:val="auto"/>
        </w:rPr>
      </w:pPr>
    </w:p>
    <w:tbl>
      <w:tblPr>
        <w:tblLayout w:type="fixed"/>
        <w:tblInd w:w="20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390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b w:val="1"/>
                <w:bCs w:val="1"/>
                <w:color w:val="auto"/>
                <w:w w:val="97"/>
              </w:rPr>
              <w:t>For the quarterly period ended June 30, 2022</w:t>
            </w:r>
          </w:p>
        </w:tc>
        <w:tc>
          <w:tcPr>
            <w:tcW w:w="3280" w:type="dxa"/>
            <w:vAlign w:val="bottom"/>
          </w:tcPr>
          <w:p>
            <w:pPr>
              <w:spacing w:after="0"/>
              <w:rPr>
                <w:sz w:val="18"/>
                <w:szCs w:val="18"/>
                <w:color w:val="auto"/>
              </w:rPr>
            </w:pPr>
          </w:p>
        </w:tc>
      </w:tr>
      <w:tr>
        <w:trPr>
          <w:trHeight w:val="275"/>
        </w:trPr>
        <w:tc>
          <w:tcPr>
            <w:tcW w:w="72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tc>
        <w:tc>
          <w:tcPr>
            <w:tcW w:w="3280" w:type="dxa"/>
            <w:vAlign w:val="bottom"/>
          </w:tcPr>
          <w:p>
            <w:pPr>
              <w:spacing w:after="0"/>
              <w:rPr>
                <w:sz w:val="23"/>
                <w:szCs w:val="23"/>
                <w:color w:val="auto"/>
              </w:rPr>
            </w:pPr>
          </w:p>
        </w:tc>
      </w:tr>
      <w:tr>
        <w:trPr>
          <w:trHeight w:val="572"/>
        </w:trPr>
        <w:tc>
          <w:tcPr>
            <w:tcW w:w="3380" w:type="dxa"/>
            <w:vAlign w:val="bottom"/>
          </w:tcPr>
          <w:p>
            <w:pPr>
              <w:spacing w:after="0"/>
              <w:rPr>
                <w:sz w:val="24"/>
                <w:szCs w:val="24"/>
                <w:color w:val="auto"/>
              </w:rPr>
            </w:pPr>
          </w:p>
        </w:tc>
        <w:tc>
          <w:tcPr>
            <w:tcW w:w="390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b w:val="1"/>
                <w:bCs w:val="1"/>
                <w:color w:val="auto"/>
                <w:w w:val="97"/>
              </w:rPr>
              <w:t>Commission File Number: 001-36002</w:t>
            </w:r>
          </w:p>
        </w:tc>
        <w:tc>
          <w:tcPr>
            <w:tcW w:w="3280" w:type="dxa"/>
            <w:vAlign w:val="bottom"/>
          </w:tcPr>
          <w:p>
            <w:pPr>
              <w:spacing w:after="0"/>
              <w:rPr>
                <w:sz w:val="24"/>
                <w:szCs w:val="24"/>
                <w:color w:val="auto"/>
              </w:rPr>
            </w:pPr>
          </w:p>
        </w:tc>
      </w:tr>
      <w:tr>
        <w:trPr>
          <w:trHeight w:val="693"/>
        </w:trPr>
        <w:tc>
          <w:tcPr>
            <w:tcW w:w="3380" w:type="dxa"/>
            <w:vAlign w:val="bottom"/>
          </w:tcPr>
          <w:p>
            <w:pPr>
              <w:spacing w:after="0"/>
              <w:rPr>
                <w:sz w:val="24"/>
                <w:szCs w:val="24"/>
                <w:color w:val="auto"/>
              </w:rPr>
            </w:pPr>
          </w:p>
        </w:tc>
        <w:tc>
          <w:tcPr>
            <w:tcW w:w="7180" w:type="dxa"/>
            <w:vAlign w:val="bottom"/>
            <w:gridSpan w:val="3"/>
          </w:tcPr>
          <w:p>
            <w:pPr>
              <w:jc w:val="center"/>
              <w:ind w:right="2992"/>
              <w:spacing w:after="0"/>
              <w:rPr>
                <w:sz w:val="20"/>
                <w:szCs w:val="20"/>
                <w:color w:val="auto"/>
              </w:rPr>
            </w:pPr>
            <w:r>
              <w:rPr>
                <w:rFonts w:ascii="Times New Roman" w:cs="Times New Roman" w:eastAsia="Times New Roman" w:hAnsi="Times New Roman"/>
                <w:sz w:val="42"/>
                <w:szCs w:val="42"/>
                <w:b w:val="1"/>
                <w:bCs w:val="1"/>
                <w:color w:val="auto"/>
                <w:w w:val="99"/>
              </w:rPr>
              <w:t>Clearway Energy, Inc.</w:t>
            </w:r>
          </w:p>
        </w:tc>
      </w:tr>
      <w:tr>
        <w:trPr>
          <w:trHeight w:val="228"/>
        </w:trPr>
        <w:tc>
          <w:tcPr>
            <w:tcW w:w="3380" w:type="dxa"/>
            <w:vAlign w:val="bottom"/>
          </w:tcPr>
          <w:p>
            <w:pPr>
              <w:spacing w:after="0"/>
              <w:rPr>
                <w:sz w:val="19"/>
                <w:szCs w:val="19"/>
                <w:color w:val="auto"/>
              </w:rPr>
            </w:pPr>
          </w:p>
        </w:tc>
        <w:tc>
          <w:tcPr>
            <w:tcW w:w="390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c>
          <w:tcPr>
            <w:tcW w:w="3280" w:type="dxa"/>
            <w:vAlign w:val="bottom"/>
          </w:tcPr>
          <w:p>
            <w:pPr>
              <w:spacing w:after="0"/>
              <w:rPr>
                <w:sz w:val="19"/>
                <w:szCs w:val="19"/>
                <w:color w:val="auto"/>
              </w:rPr>
            </w:pPr>
          </w:p>
        </w:tc>
      </w:tr>
      <w:tr>
        <w:trPr>
          <w:trHeight w:val="245"/>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3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28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46-1777204</w:t>
            </w:r>
          </w:p>
        </w:tc>
      </w:tr>
      <w:tr>
        <w:trPr>
          <w:trHeight w:val="184"/>
        </w:trPr>
        <w:tc>
          <w:tcPr>
            <w:tcW w:w="3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(State or other jurisdiction</w:t>
            </w:r>
          </w:p>
        </w:tc>
        <w:tc>
          <w:tcPr>
            <w:tcW w:w="1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incorporation or organization)</w:t>
            </w:r>
          </w:p>
        </w:tc>
        <w:tc>
          <w:tcPr>
            <w:tcW w:w="13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27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300 Carnegie Center, Suite 300</w:t>
            </w: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3"/>
              </w:rPr>
              <w:t>Princeton</w:t>
            </w:r>
          </w:p>
        </w:tc>
        <w:tc>
          <w:tcPr>
            <w:tcW w:w="25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3280" w:type="dxa"/>
            <w:vAlign w:val="bottom"/>
          </w:tcPr>
          <w:p>
            <w:pPr>
              <w:jc w:val="right"/>
              <w:ind w:right="1312"/>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28"/>
        </w:trPr>
        <w:tc>
          <w:tcPr>
            <w:tcW w:w="72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95"/>
        </w:trPr>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jc w:val="center"/>
              <w:ind w:right="1052"/>
              <w:spacing w:after="0"/>
              <w:rPr>
                <w:sz w:val="20"/>
                <w:szCs w:val="20"/>
                <w:color w:val="auto"/>
              </w:rPr>
            </w:pPr>
            <w:r>
              <w:rPr>
                <w:rFonts w:ascii="Times New Roman" w:cs="Times New Roman" w:eastAsia="Times New Roman" w:hAnsi="Times New Roman"/>
                <w:sz w:val="18"/>
                <w:szCs w:val="18"/>
                <w:b w:val="1"/>
                <w:bCs w:val="1"/>
                <w:color w:val="auto"/>
                <w:w w:val="97"/>
              </w:rPr>
              <w:t>(609) 608-1525</w:t>
            </w:r>
          </w:p>
        </w:tc>
        <w:tc>
          <w:tcPr>
            <w:tcW w:w="3280" w:type="dxa"/>
            <w:vAlign w:val="bottom"/>
          </w:tcPr>
          <w:p>
            <w:pPr>
              <w:spacing w:after="0"/>
              <w:rPr>
                <w:sz w:val="24"/>
                <w:szCs w:val="24"/>
                <w:color w:val="auto"/>
              </w:rPr>
            </w:pPr>
          </w:p>
        </w:tc>
      </w:tr>
      <w:tr>
        <w:trPr>
          <w:trHeight w:val="228"/>
        </w:trPr>
        <w:tc>
          <w:tcPr>
            <w:tcW w:w="3380" w:type="dxa"/>
            <w:vAlign w:val="bottom"/>
          </w:tcPr>
          <w:p>
            <w:pPr>
              <w:spacing w:after="0"/>
              <w:rPr>
                <w:sz w:val="19"/>
                <w:szCs w:val="19"/>
                <w:color w:val="auto"/>
              </w:rPr>
            </w:pPr>
          </w:p>
        </w:tc>
        <w:tc>
          <w:tcPr>
            <w:tcW w:w="390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3280" w:type="dxa"/>
            <w:vAlign w:val="bottom"/>
          </w:tcPr>
          <w:p>
            <w:pPr>
              <w:spacing w:after="0"/>
              <w:rPr>
                <w:sz w:val="19"/>
                <w:szCs w:val="19"/>
                <w:color w:val="auto"/>
              </w:rPr>
            </w:pPr>
          </w:p>
        </w:tc>
      </w:tr>
      <w:tr>
        <w:trPr>
          <w:trHeight w:val="316"/>
        </w:trPr>
        <w:tc>
          <w:tcPr>
            <w:tcW w:w="3380" w:type="dxa"/>
            <w:vAlign w:val="bottom"/>
          </w:tcPr>
          <w:p>
            <w:pPr>
              <w:spacing w:after="0"/>
              <w:rPr>
                <w:sz w:val="24"/>
                <w:szCs w:val="24"/>
                <w:color w:val="auto"/>
              </w:rPr>
            </w:pPr>
          </w:p>
        </w:tc>
        <w:tc>
          <w:tcPr>
            <w:tcW w:w="7180" w:type="dxa"/>
            <w:vAlign w:val="bottom"/>
            <w:gridSpan w:val="3"/>
          </w:tcPr>
          <w:p>
            <w:pPr>
              <w:jc w:val="center"/>
              <w:ind w:right="3012"/>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r>
      <w:tr>
        <w:trPr>
          <w:trHeight w:val="245"/>
        </w:trPr>
        <w:tc>
          <w:tcPr>
            <w:tcW w:w="338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340" w:type="dxa"/>
            <w:vAlign w:val="bottom"/>
          </w:tcPr>
          <w:p>
            <w:pPr>
              <w:spacing w:after="0"/>
              <w:rPr>
                <w:sz w:val="21"/>
                <w:szCs w:val="21"/>
                <w:color w:val="auto"/>
              </w:rPr>
            </w:pPr>
          </w:p>
        </w:tc>
        <w:tc>
          <w:tcPr>
            <w:tcW w:w="2560" w:type="dxa"/>
            <w:vAlign w:val="bottom"/>
          </w:tcPr>
          <w:p>
            <w:pPr>
              <w:jc w:val="center"/>
              <w:ind w:right="1072"/>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4"/>
        </w:trPr>
        <w:tc>
          <w:tcPr>
            <w:tcW w:w="33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Class A Common Stock, par value $0.01</w:t>
            </w:r>
          </w:p>
        </w:tc>
        <w:tc>
          <w:tcPr>
            <w:tcW w:w="1340" w:type="dxa"/>
            <w:vAlign w:val="bottom"/>
          </w:tcPr>
          <w:p>
            <w:pPr>
              <w:spacing w:after="0"/>
              <w:rPr>
                <w:sz w:val="19"/>
                <w:szCs w:val="19"/>
                <w:color w:val="auto"/>
              </w:rPr>
            </w:pPr>
          </w:p>
        </w:tc>
        <w:tc>
          <w:tcPr>
            <w:tcW w:w="256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w w:val="96"/>
              </w:rPr>
              <w:t>CWEN.A</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28"/>
        </w:trPr>
        <w:tc>
          <w:tcPr>
            <w:tcW w:w="33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7"/>
              </w:rPr>
              <w:t>Class C Common Stock, par value $0.01</w:t>
            </w:r>
          </w:p>
        </w:tc>
        <w:tc>
          <w:tcPr>
            <w:tcW w:w="1340" w:type="dxa"/>
            <w:vAlign w:val="bottom"/>
          </w:tcPr>
          <w:p>
            <w:pPr>
              <w:spacing w:after="0"/>
              <w:rPr>
                <w:sz w:val="19"/>
                <w:szCs w:val="19"/>
                <w:color w:val="auto"/>
              </w:rPr>
            </w:pPr>
          </w:p>
        </w:tc>
        <w:tc>
          <w:tcPr>
            <w:tcW w:w="2560" w:type="dxa"/>
            <w:vAlign w:val="bottom"/>
          </w:tcPr>
          <w:p>
            <w:pPr>
              <w:jc w:val="center"/>
              <w:ind w:right="1072"/>
              <w:spacing w:after="0"/>
              <w:rPr>
                <w:sz w:val="20"/>
                <w:szCs w:val="20"/>
                <w:color w:val="auto"/>
              </w:rPr>
            </w:pPr>
            <w:r>
              <w:rPr>
                <w:rFonts w:ascii="Times New Roman" w:cs="Times New Roman" w:eastAsia="Times New Roman" w:hAnsi="Times New Roman"/>
                <w:sz w:val="18"/>
                <w:szCs w:val="18"/>
                <w:color w:val="auto"/>
                <w:w w:val="98"/>
              </w:rPr>
              <w:t>CWEN</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171" w:lineRule="exact"/>
        <w:rPr>
          <w:sz w:val="24"/>
          <w:szCs w:val="24"/>
          <w:color w:val="auto"/>
        </w:rPr>
      </w:pPr>
    </w:p>
    <w:p>
      <w:pPr>
        <w:jc w:val="both"/>
        <w:ind w:firstLine="276"/>
        <w:spacing w:after="0" w:line="23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4"/>
          <w:szCs w:val="24"/>
          <w:color w:val="auto"/>
        </w:rPr>
      </w:pPr>
    </w:p>
    <w:p>
      <w:pPr>
        <w:jc w:val="center"/>
        <w:ind w:right="-19"/>
        <w:spacing w:after="0" w:line="184" w:lineRule="exact"/>
        <w:tabs>
          <w:tab w:leader="none" w:pos="2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firstLine="276"/>
        <w:spacing w:after="0" w:line="23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4" w:lineRule="exact"/>
        <w:rPr>
          <w:sz w:val="24"/>
          <w:szCs w:val="24"/>
          <w:color w:val="auto"/>
        </w:rPr>
      </w:pPr>
    </w:p>
    <w:p>
      <w:pPr>
        <w:jc w:val="center"/>
        <w:ind w:right="-19"/>
        <w:spacing w:after="0" w:line="184" w:lineRule="exact"/>
        <w:tabs>
          <w:tab w:leader="none" w:pos="22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firstLine="276"/>
        <w:spacing w:after="0" w:line="26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1200" w:type="dxa"/>
        <w:tblCellMar>
          <w:top w:w="0" w:type="dxa"/>
          <w:left w:w="0" w:type="dxa"/>
          <w:bottom w:w="0" w:type="dxa"/>
          <w:right w:w="0" w:type="dxa"/>
        </w:tblCellMar>
      </w:tblPr>
      <w:tr>
        <w:trPr>
          <w:trHeight w:val="250"/>
        </w:trPr>
        <w:tc>
          <w:tcPr>
            <w:tcW w:w="2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6"/>
              </w:rPr>
              <w:t>Large accelerated filer</w:t>
            </w:r>
          </w:p>
        </w:tc>
        <w:tc>
          <w:tcPr>
            <w:tcW w:w="14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2260" w:type="dxa"/>
            <w:vAlign w:val="bottom"/>
          </w:tcPr>
          <w:p>
            <w:pPr>
              <w:jc w:val="center"/>
              <w:ind w:right="612"/>
              <w:spacing w:after="0"/>
              <w:rPr>
                <w:sz w:val="20"/>
                <w:szCs w:val="20"/>
                <w:color w:val="auto"/>
              </w:rPr>
            </w:pPr>
            <w:r>
              <w:rPr>
                <w:rFonts w:ascii="Times New Roman" w:cs="Times New Roman" w:eastAsia="Times New Roman" w:hAnsi="Times New Roman"/>
                <w:sz w:val="18"/>
                <w:szCs w:val="18"/>
                <w:color w:val="auto"/>
                <w:w w:val="97"/>
              </w:rPr>
              <w:t>Non-accelerated filer</w:t>
            </w:r>
          </w:p>
        </w:tc>
        <w:tc>
          <w:tcPr>
            <w:tcW w:w="14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2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2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jc w:val="both"/>
        <w:ind w:firstLine="316"/>
        <w:spacing w:after="0" w:line="19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4"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82" w:lineRule="exact"/>
        <w:rPr>
          <w:sz w:val="24"/>
          <w:szCs w:val="24"/>
          <w:color w:val="auto"/>
        </w:rPr>
      </w:pPr>
    </w:p>
    <w:p>
      <w:pPr>
        <w:ind w:left="5100"/>
        <w:spacing w:after="0" w:line="184" w:lineRule="exact"/>
        <w:tabs>
          <w:tab w:leader="none" w:pos="5760" w:val="left"/>
        </w:tabs>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jc w:val="both"/>
        <w:ind w:firstLine="276"/>
        <w:spacing w:after="0" w:line="227" w:lineRule="auto"/>
        <w:rPr>
          <w:sz w:val="20"/>
          <w:szCs w:val="20"/>
          <w:color w:val="auto"/>
        </w:rPr>
      </w:pPr>
      <w:r>
        <w:rPr>
          <w:rFonts w:ascii="Times New Roman" w:cs="Times New Roman" w:eastAsia="Times New Roman" w:hAnsi="Times New Roman"/>
          <w:sz w:val="16"/>
          <w:szCs w:val="16"/>
          <w:color w:val="auto"/>
        </w:rPr>
        <w:t>As of July 29, 2022, there were 34,599,645 shares of Class A common stock outstanding, par value $0.01 per share, 42,738,750 shares of Class B common stock outstanding, par value $0.01 per share, 82,196,386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775970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178435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7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CAUTIONARY STATEMENT REGARDING FORWARD LOOKING INFORMATION</w:t>
            </w:r>
          </w:p>
        </w:tc>
        <w:tc>
          <w:tcPr>
            <w:tcW w:w="14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192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6"/>
              </w:rPr>
              <w:t>GLOSSARY OF TERMS</w:t>
            </w:r>
          </w:p>
        </w:tc>
        <w:tc>
          <w:tcPr>
            <w:tcW w:w="4720" w:type="dxa"/>
            <w:vAlign w:val="bottom"/>
            <w:gridSpan w:val="8"/>
          </w:tcPr>
          <w:p>
            <w:pPr>
              <w:spacing w:after="0"/>
              <w:rPr>
                <w:sz w:val="17"/>
                <w:szCs w:val="17"/>
                <w:color w:val="auto"/>
              </w:rPr>
            </w:pPr>
          </w:p>
        </w:tc>
        <w:tc>
          <w:tcPr>
            <w:tcW w:w="3080" w:type="dxa"/>
            <w:vAlign w:val="bottom"/>
            <w:gridSpan w:val="2"/>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4</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9720" w:type="dxa"/>
            <w:vAlign w:val="bottom"/>
            <w:gridSpan w:val="1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gridSpan w:val="11"/>
          </w:tcPr>
          <w:p>
            <w:pPr>
              <w:spacing w:after="0" w:line="204" w:lineRule="exact"/>
              <w:rPr>
                <w:sz w:val="20"/>
                <w:szCs w:val="20"/>
                <w:color w:val="auto"/>
              </w:rPr>
            </w:pPr>
            <w:r>
              <w:rPr>
                <w:rFonts w:ascii="Times New Roman" w:cs="Times New Roman" w:eastAsia="Times New Roman" w:hAnsi="Times New Roman"/>
                <w:sz w:val="18"/>
                <w:szCs w:val="18"/>
                <w:color w:val="0000FF"/>
                <w:w w:val="94"/>
              </w:rPr>
              <w:t>ITEM 1 — FINANCIAL STATEMENTS AND NOTES</w:t>
            </w:r>
          </w:p>
        </w:tc>
        <w:tc>
          <w:tcPr>
            <w:tcW w:w="5600" w:type="dxa"/>
            <w:vAlign w:val="bottom"/>
            <w:gridSpan w:val="3"/>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w w:val="96"/>
              </w:rPr>
              <w:t>ITEM 2 — MANAGEMENT’S DISCUSSION AND ANALYSIS OF FINANCIAL CONDITION AND RESULTS OF OPERATIONS</w:t>
            </w: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34</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20" w:type="dxa"/>
            <w:vAlign w:val="bottom"/>
            <w:gridSpan w:val="14"/>
          </w:tcPr>
          <w:p>
            <w:pPr>
              <w:spacing w:after="0" w:line="204" w:lineRule="exact"/>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51</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w w:val="96"/>
              </w:rPr>
              <w:t>ITEM 4 — CONTROLS AND PROCEDURES</w:t>
            </w:r>
          </w:p>
        </w:tc>
        <w:tc>
          <w:tcPr>
            <w:tcW w:w="3380" w:type="dxa"/>
            <w:vAlign w:val="bottom"/>
            <w:gridSpan w:val="3"/>
          </w:tcPr>
          <w:p>
            <w:pPr>
              <w:spacing w:after="0"/>
              <w:rPr>
                <w:sz w:val="17"/>
                <w:szCs w:val="17"/>
                <w:color w:val="auto"/>
              </w:rPr>
            </w:pP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52</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8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4"/>
              </w:rPr>
              <w:t>PART II — OTHER INFORMATION</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w w:val="96"/>
              </w:rPr>
              <w:t>ITEM 1 — LEGAL PROCEEDINGS</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ITEM 1A — RISK FACTORS</w:t>
            </w:r>
          </w:p>
        </w:tc>
        <w:tc>
          <w:tcPr>
            <w:tcW w:w="6880" w:type="dxa"/>
            <w:vAlign w:val="bottom"/>
            <w:gridSpan w:val="8"/>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74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6"/>
              </w:rPr>
              <w:t>ITEM 2 — UNREGISTERED SALES OF EQUITY SECURITIES AND USE OF PROCEEDS</w:t>
            </w: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20" w:type="dxa"/>
            <w:vAlign w:val="bottom"/>
            <w:tcBorders>
              <w:left w:val="single" w:sz="8" w:color="0000FF"/>
            </w:tcBorders>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3</w:t>
            </w:r>
          </w:p>
        </w:tc>
        <w:tc>
          <w:tcPr>
            <w:tcW w:w="6160" w:type="dxa"/>
            <w:vAlign w:val="bottom"/>
            <w:gridSpan w:val="12"/>
          </w:tcPr>
          <w:p>
            <w:pPr>
              <w:ind w:left="20"/>
              <w:spacing w:after="0" w:line="204" w:lineRule="exact"/>
              <w:rPr>
                <w:sz w:val="20"/>
                <w:szCs w:val="20"/>
                <w:color w:val="auto"/>
              </w:rPr>
            </w:pPr>
            <w:r>
              <w:rPr>
                <w:rFonts w:ascii="Times New Roman" w:cs="Times New Roman" w:eastAsia="Times New Roman" w:hAnsi="Times New Roman"/>
                <w:sz w:val="18"/>
                <w:szCs w:val="18"/>
                <w:color w:val="0000FF"/>
              </w:rPr>
              <w:t>— DEFAULTS UPON SENIOR SECURITIES</w:t>
            </w:r>
          </w:p>
        </w:tc>
        <w:tc>
          <w:tcPr>
            <w:tcW w:w="2780" w:type="dxa"/>
            <w:vAlign w:val="bottom"/>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4</w:t>
            </w:r>
          </w:p>
        </w:tc>
        <w:tc>
          <w:tcPr>
            <w:tcW w:w="3340" w:type="dxa"/>
            <w:vAlign w:val="bottom"/>
            <w:gridSpan w:val="10"/>
          </w:tcPr>
          <w:p>
            <w:pPr>
              <w:ind w:left="20"/>
              <w:spacing w:after="0" w:line="204" w:lineRule="exact"/>
              <w:rPr>
                <w:sz w:val="20"/>
                <w:szCs w:val="20"/>
                <w:color w:val="auto"/>
              </w:rPr>
            </w:pPr>
            <w:r>
              <w:rPr>
                <w:rFonts w:ascii="Times New Roman" w:cs="Times New Roman" w:eastAsia="Times New Roman" w:hAnsi="Times New Roman"/>
                <w:sz w:val="18"/>
                <w:szCs w:val="18"/>
                <w:color w:val="0000FF"/>
              </w:rPr>
              <w:t>— MINE SAFETY DISCLOSURES</w:t>
            </w:r>
          </w:p>
        </w:tc>
        <w:tc>
          <w:tcPr>
            <w:tcW w:w="5600" w:type="dxa"/>
            <w:vAlign w:val="bottom"/>
            <w:gridSpan w:val="3"/>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5</w:t>
            </w:r>
          </w:p>
        </w:tc>
        <w:tc>
          <w:tcPr>
            <w:tcW w:w="2080" w:type="dxa"/>
            <w:vAlign w:val="bottom"/>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w w:val="94"/>
              </w:rPr>
              <w:t>— OTHER INFORMATION</w:t>
            </w:r>
          </w:p>
        </w:tc>
        <w:tc>
          <w:tcPr>
            <w:tcW w:w="540" w:type="dxa"/>
            <w:vAlign w:val="bottom"/>
            <w:gridSpan w:val="2"/>
          </w:tcPr>
          <w:p>
            <w:pPr>
              <w:spacing w:after="0"/>
              <w:rPr>
                <w:sz w:val="17"/>
                <w:szCs w:val="17"/>
                <w:color w:val="auto"/>
              </w:rPr>
            </w:pPr>
          </w:p>
        </w:tc>
        <w:tc>
          <w:tcPr>
            <w:tcW w:w="6320" w:type="dxa"/>
            <w:vAlign w:val="bottom"/>
            <w:gridSpan w:val="5"/>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53</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7"/>
              </w:rPr>
              <w:t>ITEM 6</w:t>
            </w:r>
          </w:p>
        </w:tc>
        <w:tc>
          <w:tcPr>
            <w:tcW w:w="2080" w:type="dxa"/>
            <w:vAlign w:val="bottom"/>
            <w:gridSpan w:val="6"/>
          </w:tcPr>
          <w:p>
            <w:pPr>
              <w:ind w:left="20"/>
              <w:spacing w:after="0" w:line="204" w:lineRule="exact"/>
              <w:rPr>
                <w:sz w:val="20"/>
                <w:szCs w:val="20"/>
                <w:color w:val="auto"/>
              </w:rPr>
            </w:pPr>
            <w:r>
              <w:rPr>
                <w:rFonts w:ascii="Times New Roman" w:cs="Times New Roman" w:eastAsia="Times New Roman" w:hAnsi="Times New Roman"/>
                <w:sz w:val="18"/>
                <w:szCs w:val="18"/>
                <w:color w:val="0000FF"/>
              </w:rPr>
              <w:t>— EXHIBITS</w:t>
            </w:r>
          </w:p>
        </w:tc>
        <w:tc>
          <w:tcPr>
            <w:tcW w:w="6860" w:type="dxa"/>
            <w:vAlign w:val="bottom"/>
            <w:gridSpan w:val="7"/>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54</w:t>
            </w: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7900" w:type="dxa"/>
            <w:vAlign w:val="bottom"/>
            <w:gridSpan w:val="11"/>
          </w:tcPr>
          <w:p>
            <w:pPr>
              <w:spacing w:after="0"/>
              <w:rPr>
                <w:sz w:val="17"/>
                <w:szCs w:val="17"/>
                <w:color w:val="auto"/>
              </w:rPr>
            </w:pPr>
          </w:p>
        </w:tc>
        <w:tc>
          <w:tcPr>
            <w:tcW w:w="1480" w:type="dxa"/>
            <w:vAlign w:val="bottom"/>
            <w:gridSpan w:val="4"/>
          </w:tcPr>
          <w:p>
            <w:pPr>
              <w:jc w:val="right"/>
              <w:ind w:right="40"/>
              <w:spacing w:after="0" w:line="204" w:lineRule="exact"/>
              <w:rPr>
                <w:sz w:val="20"/>
                <w:szCs w:val="20"/>
                <w:color w:val="auto"/>
              </w:rPr>
            </w:pPr>
            <w:r>
              <w:rPr>
                <w:rFonts w:ascii="Times New Roman" w:cs="Times New Roman" w:eastAsia="Times New Roman" w:hAnsi="Times New Roman"/>
                <w:sz w:val="18"/>
                <w:szCs w:val="18"/>
                <w:color w:val="0000FF"/>
              </w:rPr>
              <w:t>55</w:t>
            </w:r>
          </w:p>
        </w:tc>
      </w:tr>
      <w:tr>
        <w:trPr>
          <w:trHeight w:val="953"/>
        </w:trPr>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320" w:type="dxa"/>
            <w:vAlign w:val="bottom"/>
            <w:gridSpan w:val="10"/>
          </w:tcPr>
          <w:p>
            <w:pPr>
              <w:jc w:val="right"/>
              <w:ind w:right="1020"/>
              <w:spacing w:after="0"/>
              <w:rPr>
                <w:sz w:val="20"/>
                <w:szCs w:val="20"/>
                <w:color w:val="auto"/>
              </w:rPr>
            </w:pPr>
            <w:r>
              <w:rPr>
                <w:rFonts w:ascii="Times New Roman" w:cs="Times New Roman" w:eastAsia="Times New Roman" w:hAnsi="Times New Roman"/>
                <w:sz w:val="18"/>
                <w:szCs w:val="18"/>
                <w:color w:val="231F20"/>
              </w:rPr>
              <w:t>2</w:t>
            </w:r>
          </w:p>
        </w:tc>
        <w:tc>
          <w:tcPr>
            <w:tcW w:w="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49"/>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11"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xml:space="preserve"> in Part I of the Company’s Annual Report on Form 10-K for the year ended December 31, 2021, as well as the following:</w:t>
      </w:r>
    </w:p>
    <w:p>
      <w:pPr>
        <w:spacing w:after="0" w:line="2" w:lineRule="exact"/>
        <w:rPr>
          <w:sz w:val="20"/>
          <w:szCs w:val="20"/>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COVID-19 (including any variant of the virus) or any other pandemic;</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 and following the expected closing of TotalEnergies’ acquisition of 50% of GIP’s interest in CEG, TotalEnergies;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and dispositions to, third parties;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56" w:lineRule="exact"/>
        <w:rPr>
          <w:rFonts w:ascii="Times New Roman" w:cs="Times New Roman" w:eastAsia="Times New Roman" w:hAnsi="Times New Roman"/>
          <w:sz w:val="18"/>
          <w:szCs w:val="18"/>
          <w:color w:val="auto"/>
        </w:rPr>
      </w:pPr>
    </w:p>
    <w:p>
      <w:pPr>
        <w:jc w:val="both"/>
        <w:ind w:left="640" w:hanging="319"/>
        <w:spacing w:after="0" w:line="250"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7"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56" w:lineRule="exact"/>
        <w:rPr>
          <w:rFonts w:ascii="Times New Roman" w:cs="Times New Roman" w:eastAsia="Times New Roman" w:hAnsi="Times New Roman"/>
          <w:sz w:val="18"/>
          <w:szCs w:val="18"/>
          <w:color w:val="auto"/>
        </w:rPr>
      </w:pPr>
    </w:p>
    <w:p>
      <w:pPr>
        <w:jc w:val="both"/>
        <w:ind w:left="640" w:hanging="319"/>
        <w:spacing w:after="0" w:line="256"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7"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862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GLOSSARY OF TERMS</w:t>
            </w:r>
          </w:p>
        </w:tc>
        <w:tc>
          <w:tcPr>
            <w:tcW w:w="0" w:type="dxa"/>
            <w:vAlign w:val="bottom"/>
          </w:tcPr>
          <w:p>
            <w:pPr>
              <w:spacing w:after="0"/>
              <w:rPr>
                <w:sz w:val="1"/>
                <w:szCs w:val="1"/>
                <w:color w:val="auto"/>
              </w:rPr>
            </w:pPr>
          </w:p>
        </w:tc>
      </w:tr>
      <w:tr>
        <w:trPr>
          <w:trHeight w:val="368"/>
        </w:trPr>
        <w:tc>
          <w:tcPr>
            <w:tcW w:w="11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198"/>
        </w:trPr>
        <w:tc>
          <w:tcPr>
            <w:tcW w:w="26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2025 Senior Notes</w:t>
            </w:r>
          </w:p>
        </w:tc>
        <w:tc>
          <w:tcPr>
            <w:tcW w:w="86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 which were repurchased and redeemed in March 2021</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2028 Senior Notes</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2031 Senior Notes</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$925 million aggregate principal amount of 3.750% unsecured senior notes due 2031, issued by Clearway Energy</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2032 Senior Notes</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$350 million aggregate principal amount of 3.750% unsecured senior notes due 2032, issued by Clearway Energy</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LLC</w:t>
            </w:r>
          </w:p>
        </w:tc>
        <w:tc>
          <w:tcPr>
            <w:tcW w:w="0" w:type="dxa"/>
            <w:vAlign w:val="bottom"/>
          </w:tcPr>
          <w:p>
            <w:pPr>
              <w:spacing w:after="0"/>
              <w:rPr>
                <w:sz w:val="1"/>
                <w:szCs w:val="1"/>
                <w:color w:val="auto"/>
              </w:rPr>
            </w:pPr>
          </w:p>
        </w:tc>
      </w:tr>
      <w:tr>
        <w:trPr>
          <w:trHeight w:val="21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 non-GAAP measure, represents earnings before interest (including loss on debt extinguishment), tax, depreciation</w:t>
            </w:r>
          </w:p>
        </w:tc>
        <w:tc>
          <w:tcPr>
            <w:tcW w:w="0" w:type="dxa"/>
            <w:vAlign w:val="bottom"/>
          </w:tcPr>
          <w:p>
            <w:pPr>
              <w:spacing w:after="0"/>
              <w:rPr>
                <w:sz w:val="1"/>
                <w:szCs w:val="1"/>
                <w:color w:val="auto"/>
              </w:rPr>
            </w:pPr>
          </w:p>
        </w:tc>
      </w:tr>
      <w:tr>
        <w:trPr>
          <w:trHeight w:val="211"/>
        </w:trPr>
        <w:tc>
          <w:tcPr>
            <w:tcW w:w="2620" w:type="dxa"/>
            <w:vAlign w:val="bottom"/>
          </w:tcPr>
          <w:p>
            <w:pPr>
              <w:spacing w:after="0"/>
              <w:rPr>
                <w:sz w:val="18"/>
                <w:szCs w:val="18"/>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and amortization adjusted for mark-to-market gains or losses, asset write offs and impairments; and factors which the</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does not consider indicative of future operating performance</w:t>
            </w: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ASC</w:t>
            </w:r>
          </w:p>
        </w:tc>
        <w:tc>
          <w:tcPr>
            <w:tcW w:w="8620" w:type="dxa"/>
            <w:vAlign w:val="bottom"/>
          </w:tcPr>
          <w:p>
            <w:pPr>
              <w:ind w:left="280"/>
              <w:spacing w:after="0" w:line="185" w:lineRule="exact"/>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authoritative GAAP</w:t>
            </w:r>
          </w:p>
        </w:tc>
        <w:tc>
          <w:tcPr>
            <w:tcW w:w="0" w:type="dxa"/>
            <w:vAlign w:val="bottom"/>
          </w:tcPr>
          <w:p>
            <w:pPr>
              <w:spacing w:after="0"/>
              <w:rPr>
                <w:sz w:val="1"/>
                <w:szCs w:val="1"/>
                <w:color w:val="auto"/>
              </w:rPr>
            </w:pP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ATM Programs</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At-The-Market Equity Offering Programs</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Bridge Loan Agreement</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Senior secured bridge credit agreement entered into by Clearway Energy Operating LLC that provided a term loan</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facility in an aggregate principal amount of $335 million and was repaid on May 3, 2022</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CAFD</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w w:val="97"/>
              </w:rPr>
              <w:t>A non-GAAP measure, Cash Available for Distribution is defined as of June 30, 2022 as Adjusted EBITDA plus cash</w:t>
            </w:r>
          </w:p>
        </w:tc>
        <w:tc>
          <w:tcPr>
            <w:tcW w:w="0" w:type="dxa"/>
            <w:vAlign w:val="bottom"/>
          </w:tcPr>
          <w:p>
            <w:pPr>
              <w:spacing w:after="0"/>
              <w:rPr>
                <w:sz w:val="1"/>
                <w:szCs w:val="1"/>
                <w:color w:val="auto"/>
              </w:rPr>
            </w:pPr>
          </w:p>
        </w:tc>
      </w:tr>
      <w:tr>
        <w:trPr>
          <w:trHeight w:val="179"/>
        </w:trPr>
        <w:tc>
          <w:tcPr>
            <w:tcW w:w="2620" w:type="dxa"/>
            <w:vAlign w:val="bottom"/>
          </w:tcPr>
          <w:p>
            <w:pPr>
              <w:spacing w:after="0"/>
              <w:rPr>
                <w:sz w:val="15"/>
                <w:szCs w:val="15"/>
                <w:color w:val="auto"/>
              </w:rPr>
            </w:pPr>
          </w:p>
        </w:tc>
        <w:tc>
          <w:tcPr>
            <w:tcW w:w="862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rPr>
              <w:t>distributions/return  of  investment  from  unconsolidated  affiliates,  cash  receipts  from  notes  receivable,  cash</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distributions from noncontrolling interests, adjustments to reflect sales-type lease cash payments and payments for</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620" w:type="dxa"/>
            <w:vAlign w:val="bottom"/>
          </w:tcPr>
          <w:p>
            <w:pPr>
              <w:ind w:left="280"/>
              <w:spacing w:after="0" w:line="171" w:lineRule="exact"/>
              <w:rPr>
                <w:sz w:val="20"/>
                <w:szCs w:val="20"/>
                <w:color w:val="auto"/>
              </w:rPr>
            </w:pPr>
            <w:r>
              <w:rPr>
                <w:rFonts w:ascii="Times New Roman" w:cs="Times New Roman" w:eastAsia="Times New Roman" w:hAnsi="Times New Roman"/>
                <w:sz w:val="18"/>
                <w:szCs w:val="18"/>
                <w:color w:val="auto"/>
                <w:w w:val="97"/>
              </w:rPr>
              <w:t>lease expenses, less cash distributions to noncontrolling interests, maintenance capital expenditures, pro-rata Adjusted</w:t>
            </w:r>
          </w:p>
        </w:tc>
        <w:tc>
          <w:tcPr>
            <w:tcW w:w="0" w:type="dxa"/>
            <w:vAlign w:val="bottom"/>
          </w:tcPr>
          <w:p>
            <w:pPr>
              <w:spacing w:after="0"/>
              <w:rPr>
                <w:sz w:val="1"/>
                <w:szCs w:val="1"/>
                <w:color w:val="auto"/>
              </w:rPr>
            </w:pPr>
          </w:p>
        </w:tc>
      </w:tr>
      <w:tr>
        <w:trPr>
          <w:trHeight w:val="179"/>
        </w:trPr>
        <w:tc>
          <w:tcPr>
            <w:tcW w:w="2620" w:type="dxa"/>
            <w:vAlign w:val="bottom"/>
          </w:tcPr>
          <w:p>
            <w:pPr>
              <w:spacing w:after="0"/>
              <w:rPr>
                <w:sz w:val="15"/>
                <w:szCs w:val="15"/>
                <w:color w:val="auto"/>
              </w:rPr>
            </w:pPr>
          </w:p>
        </w:tc>
        <w:tc>
          <w:tcPr>
            <w:tcW w:w="8620" w:type="dxa"/>
            <w:vAlign w:val="bottom"/>
          </w:tcPr>
          <w:p>
            <w:pPr>
              <w:ind w:left="280"/>
              <w:spacing w:after="0" w:line="179" w:lineRule="exact"/>
              <w:rPr>
                <w:sz w:val="20"/>
                <w:szCs w:val="20"/>
                <w:color w:val="auto"/>
              </w:rPr>
            </w:pPr>
            <w:r>
              <w:rPr>
                <w:rFonts w:ascii="Times New Roman" w:cs="Times New Roman" w:eastAsia="Times New Roman" w:hAnsi="Times New Roman"/>
                <w:sz w:val="18"/>
                <w:szCs w:val="18"/>
                <w:color w:val="auto"/>
                <w:w w:val="97"/>
              </w:rPr>
              <w:t>EBITDA from unconsolidated affiliates, cash interest paid, income taxes paid, principal amortization of indebtedness,</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prepaid and accrued capacity payments and adjusted for development expenses</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CEG Master Services Agreement</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 and</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Operating LLC, and CEG</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Clearway Energy LLC</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w w:val="99"/>
              </w:rPr>
              <w:t>The holding company through which the projects are owned by Clearway Energy Group LLC, the holder of Class B</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Class D units, and Clearway Energy, Inc., the holder of the Class A and Class C units</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Clearway Energy Group LLC</w:t>
            </w:r>
          </w:p>
        </w:tc>
        <w:tc>
          <w:tcPr>
            <w:tcW w:w="8620" w:type="dxa"/>
            <w:vAlign w:val="bottom"/>
          </w:tcPr>
          <w:p>
            <w:pPr>
              <w:ind w:left="280"/>
              <w:spacing w:after="0" w:line="180" w:lineRule="exact"/>
              <w:rPr>
                <w:sz w:val="20"/>
                <w:szCs w:val="20"/>
                <w:color w:val="auto"/>
              </w:rPr>
            </w:pPr>
            <w:r>
              <w:rPr>
                <w:rFonts w:ascii="Times New Roman" w:cs="Times New Roman" w:eastAsia="Times New Roman" w:hAnsi="Times New Roman"/>
                <w:sz w:val="18"/>
                <w:szCs w:val="18"/>
                <w:color w:val="auto"/>
              </w:rPr>
              <w:t>The holder of all of the Company’s Class B and Class D common shares and Clearway Energy LLC’s Class B and</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 D units and from time to time, possibly shares of the Company’s Class A and/or Class C common stock</w:t>
            </w:r>
          </w:p>
        </w:tc>
        <w:tc>
          <w:tcPr>
            <w:tcW w:w="0" w:type="dxa"/>
            <w:vAlign w:val="bottom"/>
          </w:tcPr>
          <w:p>
            <w:pPr>
              <w:spacing w:after="0"/>
              <w:rPr>
                <w:sz w:val="1"/>
                <w:szCs w:val="1"/>
                <w:color w:val="auto"/>
              </w:rPr>
            </w:pP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California Valley Solar Ranch</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CVSR Holdco</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Distributed Solar</w:t>
            </w:r>
          </w:p>
        </w:tc>
        <w:tc>
          <w:tcPr>
            <w:tcW w:w="862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Solar power projects, typically less than 20 MW in size (on an alternating current, or AC, basis), that primarily sell</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power produced to customers for usage on site, or are interconnected to sell power into the local distribution grid</w:t>
            </w:r>
          </w:p>
        </w:tc>
        <w:tc>
          <w:tcPr>
            <w:tcW w:w="0" w:type="dxa"/>
            <w:vAlign w:val="bottom"/>
          </w:tcPr>
          <w:p>
            <w:pPr>
              <w:spacing w:after="0"/>
              <w:rPr>
                <w:sz w:val="1"/>
                <w:szCs w:val="1"/>
                <w:color w:val="auto"/>
              </w:rPr>
            </w:pP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Drop Down Assets</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Assets under common control acquired by the Company from CEG</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FWS</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Fish &amp; Wildlife Service</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2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GenConn</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GenConn Energy LLC</w:t>
            </w:r>
          </w:p>
        </w:tc>
        <w:tc>
          <w:tcPr>
            <w:tcW w:w="0" w:type="dxa"/>
            <w:vAlign w:val="bottom"/>
          </w:tcPr>
          <w:p>
            <w:pPr>
              <w:spacing w:after="0"/>
              <w:rPr>
                <w:sz w:val="1"/>
                <w:szCs w:val="1"/>
                <w:color w:val="auto"/>
              </w:rPr>
            </w:pPr>
          </w:p>
        </w:tc>
      </w:tr>
      <w:tr>
        <w:trPr>
          <w:trHeight w:val="22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GIP</w:t>
            </w:r>
          </w:p>
        </w:tc>
        <w:tc>
          <w:tcPr>
            <w:tcW w:w="86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Global Infrastructure Partners</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8"/>
                <w:szCs w:val="8"/>
                <w:color w:val="auto"/>
              </w:rPr>
            </w:pPr>
          </w:p>
        </w:tc>
        <w:tc>
          <w:tcPr>
            <w:tcW w:w="8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HLBV</w:t>
            </w:r>
          </w:p>
        </w:tc>
        <w:tc>
          <w:tcPr>
            <w:tcW w:w="8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Hypothetical Liquidation at Book Value</w:t>
            </w:r>
          </w:p>
        </w:tc>
        <w:tc>
          <w:tcPr>
            <w:tcW w:w="0" w:type="dxa"/>
            <w:vAlign w:val="bottom"/>
          </w:tcPr>
          <w:p>
            <w:pPr>
              <w:spacing w:after="0"/>
              <w:rPr>
                <w:sz w:val="1"/>
                <w:szCs w:val="1"/>
                <w:color w:val="auto"/>
              </w:rPr>
            </w:pPr>
          </w:p>
        </w:tc>
      </w:tr>
      <w:tr>
        <w:trPr>
          <w:trHeight w:val="605"/>
        </w:trPr>
        <w:tc>
          <w:tcPr>
            <w:tcW w:w="2620" w:type="dxa"/>
            <w:vAlign w:val="bottom"/>
          </w:tcPr>
          <w:p>
            <w:pPr>
              <w:spacing w:after="0"/>
              <w:rPr>
                <w:sz w:val="24"/>
                <w:szCs w:val="24"/>
                <w:color w:val="auto"/>
              </w:rPr>
            </w:pPr>
          </w:p>
        </w:tc>
        <w:tc>
          <w:tcPr>
            <w:tcW w:w="8620" w:type="dxa"/>
            <w:vAlign w:val="bottom"/>
          </w:tcPr>
          <w:p>
            <w:pPr>
              <w:ind w:left="2960"/>
              <w:spacing w:after="0"/>
              <w:rPr>
                <w:sz w:val="20"/>
                <w:szCs w:val="20"/>
                <w:color w:val="auto"/>
              </w:rPr>
            </w:pPr>
            <w:r>
              <w:rPr>
                <w:rFonts w:ascii="Times New Roman" w:cs="Times New Roman" w:eastAsia="Times New Roman" w:hAnsi="Times New Roman"/>
                <w:sz w:val="18"/>
                <w:szCs w:val="18"/>
                <w:color w:val="231F20"/>
              </w:rPr>
              <w:t>4</w:t>
            </w:r>
          </w:p>
        </w:tc>
        <w:tc>
          <w:tcPr>
            <w:tcW w:w="0" w:type="dxa"/>
            <w:vAlign w:val="bottom"/>
          </w:tcPr>
          <w:p>
            <w:pPr>
              <w:spacing w:after="0"/>
              <w:rPr>
                <w:sz w:val="1"/>
                <w:szCs w:val="1"/>
                <w:color w:val="auto"/>
              </w:rPr>
            </w:pPr>
          </w:p>
        </w:tc>
      </w:tr>
      <w:tr>
        <w:trPr>
          <w:trHeight w:val="349"/>
        </w:trPr>
        <w:tc>
          <w:tcPr>
            <w:tcW w:w="262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KKR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KKR Thor Bidco, LLC, an affiliate of Kohlberg Kravis Roberts &amp; Co. L.P.</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Mesquite Star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Mesquite Star Special LLC</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MMBtu</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Mt. Storm</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NedPower Mount Storm LLC</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Megawatt</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MWh</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MWt</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Megawatts Thermal Equivalent</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Exposure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Operating Losses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NPNS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Normal Purchases and Normal Sales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comprehensive income</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OCL</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comprehensive loss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O&amp;M</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Operations and Maintenance</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PG&amp;E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Pacific Gas and Electric Company</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PPA</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RENOM</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Southern California Edison</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Collectively, the 2028 Senior Notes, the 2031 Senior Notes and the 2032 Senior Notes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SPP</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Solar Power Partners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SREC</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Solar Renewable Energy Credit</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Act</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Thermal Business</w:t>
            </w:r>
          </w:p>
        </w:tc>
        <w:tc>
          <w:tcPr>
            <w:tcW w:w="906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w w:val="98"/>
              </w:rPr>
              <w:t>The Company’s thermal business, which consists of thermal infrastructure assets that provide steam, hot water and/or</w:t>
            </w:r>
          </w:p>
        </w:tc>
      </w:tr>
      <w:tr>
        <w:trPr>
          <w:trHeight w:val="179"/>
        </w:trPr>
        <w:tc>
          <w:tcPr>
            <w:tcW w:w="2180" w:type="dxa"/>
            <w:vAlign w:val="bottom"/>
          </w:tcPr>
          <w:p>
            <w:pPr>
              <w:spacing w:after="0"/>
              <w:rPr>
                <w:sz w:val="15"/>
                <w:szCs w:val="15"/>
                <w:color w:val="auto"/>
              </w:rPr>
            </w:pPr>
          </w:p>
        </w:tc>
        <w:tc>
          <w:tcPr>
            <w:tcW w:w="9060" w:type="dxa"/>
            <w:vAlign w:val="bottom"/>
          </w:tcPr>
          <w:p>
            <w:pPr>
              <w:ind w:left="720"/>
              <w:spacing w:after="0" w:line="179" w:lineRule="exact"/>
              <w:rPr>
                <w:sz w:val="20"/>
                <w:szCs w:val="20"/>
                <w:color w:val="auto"/>
              </w:rPr>
            </w:pPr>
            <w:r>
              <w:rPr>
                <w:rFonts w:ascii="Times New Roman" w:cs="Times New Roman" w:eastAsia="Times New Roman" w:hAnsi="Times New Roman"/>
                <w:sz w:val="18"/>
                <w:szCs w:val="18"/>
                <w:color w:val="auto"/>
              </w:rPr>
              <w:t>chilled water, and in some instances electricity, to commercial businesses, universities, hospitals and governmental</w:t>
            </w:r>
          </w:p>
        </w:tc>
      </w:tr>
      <w:tr>
        <w:trPr>
          <w:trHeight w:val="224"/>
        </w:trPr>
        <w:tc>
          <w:tcPr>
            <w:tcW w:w="2180" w:type="dxa"/>
            <w:vAlign w:val="bottom"/>
          </w:tcPr>
          <w:p>
            <w:pPr>
              <w:spacing w:after="0"/>
              <w:rPr>
                <w:sz w:val="19"/>
                <w:szCs w:val="19"/>
                <w:color w:val="auto"/>
              </w:rPr>
            </w:pP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units</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Thermal Disposition</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On May 1, 2022, the Company completed the sale of 100% of its interests in the Thermal Business to KKR</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TotalEnergies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TotalEnergies SE</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Solar Portfolio</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Seven utility-scale solar farms located in Utah, representing 530 MW of capacity</w:t>
            </w: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Utility Scale Solar</w:t>
            </w:r>
          </w:p>
        </w:tc>
        <w:tc>
          <w:tcPr>
            <w:tcW w:w="9060" w:type="dxa"/>
            <w:vAlign w:val="bottom"/>
          </w:tcPr>
          <w:p>
            <w:pPr>
              <w:ind w:left="720"/>
              <w:spacing w:after="0" w:line="176" w:lineRule="exact"/>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w:t>
            </w:r>
          </w:p>
        </w:tc>
      </w:tr>
      <w:tr>
        <w:trPr>
          <w:trHeight w:val="228"/>
        </w:trPr>
        <w:tc>
          <w:tcPr>
            <w:tcW w:w="2180" w:type="dxa"/>
            <w:vAlign w:val="bottom"/>
          </w:tcPr>
          <w:p>
            <w:pPr>
              <w:spacing w:after="0"/>
              <w:rPr>
                <w:sz w:val="19"/>
                <w:szCs w:val="19"/>
                <w:color w:val="auto"/>
              </w:rPr>
            </w:pP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interconnected into the transmission or distribution grid to sell power at a wholesale level</w:t>
            </w:r>
          </w:p>
        </w:tc>
      </w:tr>
      <w:tr>
        <w:trPr>
          <w:trHeight w:val="227"/>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Value at Risk</w:t>
            </w: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VIE</w:t>
            </w:r>
          </w:p>
        </w:tc>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842"/>
        </w:trPr>
        <w:tc>
          <w:tcPr>
            <w:tcW w:w="218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Times New Roman" w:cs="Times New Roman" w:eastAsia="Times New Roman" w:hAnsi="Times New Roman"/>
                <w:sz w:val="18"/>
                <w:szCs w:val="18"/>
                <w:color w:val="231F20"/>
              </w:rPr>
              <w:t>5</w:t>
            </w:r>
          </w:p>
        </w:tc>
      </w:tr>
      <w:tr>
        <w:trPr>
          <w:trHeight w:val="349"/>
        </w:trPr>
        <w:tc>
          <w:tcPr>
            <w:tcW w:w="2180" w:type="dxa"/>
            <w:vAlign w:val="bottom"/>
            <w:tcBorders>
              <w:bottom w:val="single" w:sz="8" w:color="9A9A9A"/>
            </w:tcBorders>
          </w:tcPr>
          <w:p>
            <w:pPr>
              <w:spacing w:after="0"/>
              <w:rPr>
                <w:sz w:val="24"/>
                <w:szCs w:val="24"/>
                <w:color w:val="auto"/>
              </w:rPr>
            </w:pPr>
          </w:p>
        </w:tc>
        <w:tc>
          <w:tcPr>
            <w:tcW w:w="9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00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6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7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 shown separately</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below</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4"/>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4"/>
        </w:trPr>
        <w:tc>
          <w:tcPr>
            <w:tcW w:w="672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1"/>
        </w:trPr>
        <w:tc>
          <w:tcPr>
            <w:tcW w:w="672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Less: Income (loss) attributable to noncontrolling interests and redeemable noncontrolling</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7"/>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b w:val="1"/>
                <w:bCs w:val="1"/>
                <w:color w:val="auto"/>
              </w:rPr>
              <w:t>Earnings Per Share Attributable to Clearway Energy, Inc. Class A and Class C</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71"/>
        </w:trPr>
        <w:tc>
          <w:tcPr>
            <w:tcW w:w="6720" w:type="dxa"/>
            <w:vAlign w:val="bottom"/>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Earnings per Weighted Average Class A and Class C Common Share - Basic and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0.3290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0.7004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0.6530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0.3536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0.3290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0.7004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0.6530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6"/>
                <w:szCs w:val="16"/>
                <w:color w:val="auto"/>
              </w:rPr>
            </w:pPr>
          </w:p>
        </w:tc>
        <w:tc>
          <w:tcPr>
            <w:tcW w:w="200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BFE4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BFE4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7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BFE4FF"/>
          </w:tcPr>
          <w:p>
            <w:pPr>
              <w:spacing w:after="0"/>
              <w:rPr>
                <w:sz w:val="19"/>
                <w:szCs w:val="19"/>
                <w:color w:val="auto"/>
              </w:rPr>
            </w:pPr>
          </w:p>
        </w:tc>
        <w:tc>
          <w:tcPr>
            <w:tcW w:w="220" w:type="dxa"/>
            <w:vAlign w:val="bottom"/>
            <w:shd w:val="clear" w:color="auto" w:fill="BFE4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BFE4FF"/>
          </w:tcPr>
          <w:p>
            <w:pPr>
              <w:jc w:val="center"/>
              <w:ind w:left="375"/>
              <w:spacing w:after="0"/>
              <w:rPr>
                <w:sz w:val="20"/>
                <w:szCs w:val="20"/>
                <w:color w:val="auto"/>
              </w:rPr>
            </w:pPr>
            <w:r>
              <w:rPr>
                <w:rFonts w:ascii="Times New Roman" w:cs="Times New Roman" w:eastAsia="Times New Roman" w:hAnsi="Times New Roman"/>
                <w:sz w:val="18"/>
                <w:szCs w:val="18"/>
                <w:color w:val="auto"/>
                <w:w w:val="93"/>
              </w:rPr>
              <w:t>(44)</w:t>
            </w:r>
          </w:p>
        </w:tc>
        <w:tc>
          <w:tcPr>
            <w:tcW w:w="0" w:type="dxa"/>
            <w:vAlign w:val="bottom"/>
          </w:tcPr>
          <w:p>
            <w:pPr>
              <w:spacing w:after="0"/>
              <w:rPr>
                <w:sz w:val="1"/>
                <w:szCs w:val="1"/>
                <w:color w:val="auto"/>
              </w:rPr>
            </w:pPr>
          </w:p>
        </w:tc>
      </w:t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BFE4FF"/>
          </w:tcPr>
          <w:p>
            <w:pPr>
              <w:ind w:left="220"/>
              <w:spacing w:after="0"/>
              <w:rPr>
                <w:sz w:val="20"/>
                <w:szCs w:val="20"/>
                <w:color w:val="auto"/>
              </w:rPr>
            </w:pPr>
            <w:r>
              <w:rPr>
                <w:rFonts w:ascii="Times New Roman" w:cs="Times New Roman" w:eastAsia="Times New Roman" w:hAnsi="Times New Roman"/>
                <w:sz w:val="18"/>
                <w:szCs w:val="18"/>
                <w:color w:val="auto"/>
              </w:rPr>
              <w:t>Unrealized gain on derivatives, net of income tax expense of, $1, $— ,$3 and $2</w:t>
            </w:r>
          </w:p>
        </w:tc>
        <w:tc>
          <w:tcPr>
            <w:tcW w:w="160" w:type="dxa"/>
            <w:vAlign w:val="bottom"/>
            <w:shd w:val="clear" w:color="auto" w:fill="BFE4FF"/>
          </w:tcPr>
          <w:p>
            <w:pPr>
              <w:spacing w:after="0"/>
              <w:rPr>
                <w:sz w:val="19"/>
                <w:szCs w:val="19"/>
                <w:color w:val="auto"/>
              </w:rPr>
            </w:pP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920" w:type="dxa"/>
            <w:vAlign w:val="bottom"/>
            <w:gridSpan w:val="2"/>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FE4FF"/>
          </w:tcPr>
          <w:p>
            <w:pPr>
              <w:spacing w:after="0"/>
              <w:rPr>
                <w:sz w:val="19"/>
                <w:szCs w:val="19"/>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820" w:type="dxa"/>
            <w:vAlign w:val="bottom"/>
            <w:shd w:val="clear" w:color="auto" w:fill="BFE4FF"/>
          </w:tcPr>
          <w:p>
            <w:pPr>
              <w:jc w:val="center"/>
              <w:ind w:left="415"/>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BFE4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BFE4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FE4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BFE4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7"/>
        </w:trPr>
        <w:tc>
          <w:tcPr>
            <w:tcW w:w="6700" w:type="dxa"/>
            <w:vAlign w:val="bottom"/>
            <w:shd w:val="clear" w:color="auto" w:fill="BFE4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BFE4FF"/>
          </w:tcPr>
          <w:p>
            <w:pPr>
              <w:spacing w:after="0"/>
              <w:rPr>
                <w:sz w:val="18"/>
                <w:szCs w:val="18"/>
                <w:color w:val="auto"/>
              </w:rPr>
            </w:pP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00" w:type="dxa"/>
            <w:vAlign w:val="bottom"/>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shd w:val="clear" w:color="auto" w:fill="BFE4FF"/>
          </w:tcPr>
          <w:p>
            <w:pPr>
              <w:spacing w:after="0"/>
              <w:rPr>
                <w:sz w:val="18"/>
                <w:szCs w:val="18"/>
                <w:color w:val="auto"/>
              </w:rPr>
            </w:pPr>
          </w:p>
        </w:tc>
        <w:tc>
          <w:tcPr>
            <w:tcW w:w="220" w:type="dxa"/>
            <w:vAlign w:val="bottom"/>
            <w:shd w:val="clear" w:color="auto" w:fill="BFE4FF"/>
          </w:tcPr>
          <w:p>
            <w:pPr>
              <w:spacing w:after="0"/>
              <w:rPr>
                <w:sz w:val="18"/>
                <w:szCs w:val="18"/>
                <w:color w:val="auto"/>
              </w:rPr>
            </w:pPr>
          </w:p>
        </w:tc>
        <w:tc>
          <w:tcPr>
            <w:tcW w:w="820" w:type="dxa"/>
            <w:vAlign w:val="bottom"/>
            <w:shd w:val="clear" w:color="auto" w:fill="BFE4FF"/>
          </w:tcPr>
          <w:p>
            <w:pPr>
              <w:jc w:val="center"/>
              <w:ind w:left="375"/>
              <w:spacing w:after="0"/>
              <w:rPr>
                <w:sz w:val="20"/>
                <w:szCs w:val="20"/>
                <w:color w:val="auto"/>
              </w:rPr>
            </w:pPr>
            <w:r>
              <w:rPr>
                <w:rFonts w:ascii="Times New Roman" w:cs="Times New Roman" w:eastAsia="Times New Roman" w:hAnsi="Times New Roman"/>
                <w:sz w:val="18"/>
                <w:szCs w:val="18"/>
                <w:color w:val="auto"/>
                <w:w w:val="93"/>
              </w:rPr>
              <w:t>(33)</w:t>
            </w:r>
          </w:p>
        </w:tc>
        <w:tc>
          <w:tcPr>
            <w:tcW w:w="0" w:type="dxa"/>
            <w:vAlign w:val="bottom"/>
          </w:tcPr>
          <w:p>
            <w:pPr>
              <w:spacing w:after="0"/>
              <w:rPr>
                <w:sz w:val="1"/>
                <w:szCs w:val="1"/>
                <w:color w:val="auto"/>
              </w:rPr>
            </w:pPr>
          </w:p>
        </w:tc>
      </w:tr>
      <w:tr>
        <w:trPr>
          <w:trHeight w:val="171"/>
        </w:trPr>
        <w:tc>
          <w:tcPr>
            <w:tcW w:w="67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w w:val="98"/>
              </w:rPr>
              <w:t>Less: Comprehensive income (loss) attributable to noncontrolling interests and redeemable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BFE4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Borders>
              <w:bottom w:val="single" w:sz="8" w:color="BFE4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BFE4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BFE4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w w:val="93"/>
              </w:rPr>
              <w:t>(75)</w:t>
            </w:r>
          </w:p>
        </w:tc>
        <w:tc>
          <w:tcPr>
            <w:tcW w:w="0" w:type="dxa"/>
            <w:vAlign w:val="bottom"/>
          </w:tcPr>
          <w:p>
            <w:pPr>
              <w:spacing w:after="0"/>
              <w:rPr>
                <w:sz w:val="1"/>
                <w:szCs w:val="1"/>
                <w:color w:val="auto"/>
              </w:rPr>
            </w:pPr>
          </w:p>
        </w:tc>
      </w:tr>
      <w:tr>
        <w:trPr>
          <w:trHeight w:val="242"/>
        </w:trPr>
        <w:tc>
          <w:tcPr>
            <w:tcW w:w="670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Clearway Energy, Inc.</w:t>
            </w:r>
          </w:p>
        </w:tc>
        <w:tc>
          <w:tcPr>
            <w:tcW w:w="1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BFE4FF"/>
            </w:tcBorders>
            <w:shd w:val="clear" w:color="auto" w:fill="BFE4FF"/>
          </w:tcPr>
          <w:p>
            <w:pPr>
              <w:spacing w:after="0"/>
              <w:rPr>
                <w:sz w:val="20"/>
                <w:szCs w:val="20"/>
                <w:color w:val="auto"/>
              </w:rPr>
            </w:pPr>
          </w:p>
        </w:tc>
        <w:tc>
          <w:tcPr>
            <w:tcW w:w="240" w:type="dxa"/>
            <w:vAlign w:val="bottom"/>
            <w:tcBorders>
              <w:bottom w:val="single" w:sz="8" w:color="auto"/>
            </w:tcBorders>
            <w:shd w:val="clear" w:color="auto" w:fill="BFE4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BFE4FF"/>
          </w:tcPr>
          <w:p>
            <w:pPr>
              <w:ind w:left="5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auto"/>
            </w:tcBorders>
            <w:shd w:val="clear" w:color="auto" w:fill="BFE4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BFE4FF"/>
          </w:tcPr>
          <w:p>
            <w:pPr>
              <w:jc w:val="center"/>
              <w:ind w:left="415"/>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0"/>
        </w:trPr>
        <w:tc>
          <w:tcPr>
            <w:tcW w:w="67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8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BFE4FF"/>
              <w:bottom w:val="single" w:sz="8" w:color="auto"/>
            </w:tcBorders>
          </w:tcPr>
          <w:p>
            <w:pPr>
              <w:spacing w:after="0" w:line="20" w:lineRule="exact"/>
              <w:rPr>
                <w:sz w:val="1"/>
                <w:szCs w:val="1"/>
                <w:color w:val="auto"/>
              </w:rPr>
            </w:pPr>
          </w:p>
        </w:tc>
        <w:tc>
          <w:tcPr>
            <w:tcW w:w="82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6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5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7700" w:type="dxa"/>
            <w:vAlign w:val="bottom"/>
            <w:vMerge w:val="restart"/>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 affiliates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assets held-for-sale</w:t>
            </w: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9"/>
        </w:trPr>
        <w:tc>
          <w:tcPr>
            <w:tcW w:w="7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assets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0" w:type="dxa"/>
            <w:vAlign w:val="bottom"/>
          </w:tcPr>
          <w:p>
            <w:pPr>
              <w:spacing w:after="0"/>
              <w:rPr>
                <w:sz w:val="1"/>
                <w:szCs w:val="1"/>
                <w:color w:val="auto"/>
              </w:rPr>
            </w:pPr>
          </w:p>
        </w:tc>
      </w:tr>
      <w:tr>
        <w:trPr>
          <w:trHeight w:val="231"/>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liabilities held-for-sale</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0" w:type="dxa"/>
            <w:vAlign w:val="bottom"/>
          </w:tcPr>
          <w:p>
            <w:pPr>
              <w:spacing w:after="0"/>
              <w:rPr>
                <w:sz w:val="1"/>
                <w:szCs w:val="1"/>
                <w:color w:val="auto"/>
              </w:rPr>
            </w:pPr>
          </w:p>
        </w:tc>
      </w:tr>
      <w:tr>
        <w:trPr>
          <w:trHeight w:val="190"/>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2"/>
        </w:trPr>
        <w:tc>
          <w:tcPr>
            <w:tcW w:w="7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0" w:type="dxa"/>
            <w:vAlign w:val="bottom"/>
          </w:tcPr>
          <w:p>
            <w:pPr>
              <w:spacing w:after="0"/>
              <w:rPr>
                <w:sz w:val="1"/>
                <w:szCs w:val="1"/>
                <w:color w:val="auto"/>
              </w:rPr>
            </w:pPr>
          </w:p>
        </w:tc>
      </w:tr>
      <w:tr>
        <w:trPr>
          <w:trHeight w:val="20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0" w:type="dxa"/>
            <w:vAlign w:val="bottom"/>
          </w:tcPr>
          <w:p>
            <w:pPr>
              <w:spacing w:after="0"/>
              <w:rPr>
                <w:sz w:val="1"/>
                <w:szCs w:val="1"/>
                <w:color w:val="auto"/>
              </w:rPr>
            </w:pPr>
          </w:p>
        </w:tc>
      </w:tr>
      <w:tr>
        <w:trPr>
          <w:trHeight w:val="202"/>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77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202,273,531 shares issued and</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outstanding (Class A 34,599,645, Class B 42,738,750, Class C 82,196,386, Class D 42,738,750) at June 30, 2022 and</w:t>
            </w: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201,856,166 shares issued and outstanding (Class A 34,599,645, Class B 42,738,750, Class C 81,779,021, Class D</w:t>
            </w:r>
          </w:p>
        </w:tc>
        <w:tc>
          <w:tcPr>
            <w:tcW w:w="26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42,738,750) at December 31, 2021</w:t>
            </w:r>
          </w:p>
        </w:tc>
        <w:tc>
          <w:tcPr>
            <w:tcW w:w="2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09"/>
        </w:trPr>
        <w:tc>
          <w:tcPr>
            <w:tcW w:w="7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04"/>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06"/>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40" w:top="751" w:right="339" w:bottom="1440" w:gutter="0" w:footer="0" w:header="0"/>
        </w:sectPr>
      </w:pP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233045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751"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Reduction in carrying amount of right-of-use assets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changes in other working capital:</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4"/>
        </w:trPr>
        <w:tc>
          <w:tcPr>
            <w:tcW w:w="8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04"/>
        </w:trPr>
        <w:tc>
          <w:tcPr>
            <w:tcW w:w="85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Drop Down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 purchase from affiliate</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4"/>
        </w:trPr>
        <w:tc>
          <w:tcPr>
            <w:tcW w:w="85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to) contributions from noncontrolling interests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to CEG of escrowed amounts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for short-term and long-term debt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7"/>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7"/>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2"/>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2022</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4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8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2"/>
                <w:szCs w:val="12"/>
                <w:b w:val="1"/>
                <w:bCs w:val="1"/>
                <w:color w:val="auto"/>
              </w:rPr>
              <w:t>Deficit) Retained</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60" w:type="dxa"/>
            <w:vAlign w:val="bottom"/>
          </w:tcPr>
          <w:p>
            <w:pPr>
              <w:jc w:val="center"/>
              <w:ind w:right="23"/>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4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 Income</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4"/>
                <w:szCs w:val="14"/>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09"/>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Unrealized gain on derivatives, net of tax</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0"/>
        </w:trPr>
        <w:tc>
          <w:tcPr>
            <w:tcW w:w="4280" w:type="dxa"/>
            <w:vAlign w:val="bottom"/>
            <w:shd w:val="clear" w:color="auto" w:fill="CCEEFF"/>
          </w:tcPr>
          <w:p>
            <w:pPr>
              <w:ind w:left="200"/>
              <w:spacing w:after="0" w:line="160" w:lineRule="exact"/>
              <w:rPr>
                <w:sz w:val="20"/>
                <w:szCs w:val="20"/>
                <w:color w:val="auto"/>
              </w:rPr>
            </w:pPr>
            <w:r>
              <w:rPr>
                <w:rFonts w:ascii="Times New Roman" w:cs="Times New Roman" w:eastAsia="Times New Roman" w:hAnsi="Times New Roman"/>
                <w:sz w:val="16"/>
                <w:szCs w:val="16"/>
                <w:color w:val="auto"/>
              </w:rPr>
              <w:t>Contributions from noncontrolling interests, net of</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cash</w:t>
            </w:r>
          </w:p>
        </w:tc>
        <w:tc>
          <w:tcPr>
            <w:tcW w:w="10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Mesquite Sky Drop Down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Black Rock Drop Down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Mililani I Drop Down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Common stock dividends and distributions to CEG unit holders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4"/>
        </w:trPr>
        <w:tc>
          <w:tcPr>
            <w:tcW w:w="428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Balances at March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11"/>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derivatives, net of tax</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CEG, net of contributions,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58"/>
        </w:trPr>
        <w:tc>
          <w:tcPr>
            <w:tcW w:w="42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Distributions to noncontrolling interests, net of contributions,</w:t>
            </w:r>
          </w:p>
        </w:tc>
        <w:tc>
          <w:tcPr>
            <w:tcW w:w="100" w:type="dxa"/>
            <w:vAlign w:val="bottom"/>
          </w:tcPr>
          <w:p>
            <w:pPr>
              <w:spacing w:after="0"/>
              <w:rPr>
                <w:sz w:val="13"/>
                <w:szCs w:val="13"/>
                <w:color w:val="auto"/>
              </w:rPr>
            </w:pPr>
          </w:p>
        </w:tc>
        <w:tc>
          <w:tcPr>
            <w:tcW w:w="7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9"/>
              </w:rPr>
              <w:t>Common stock dividends and distributions to CEG unit holders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4"/>
        </w:trPr>
        <w:tc>
          <w:tcPr>
            <w:tcW w:w="428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Balances at June 30, 2022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10" w:name="page11"/>
    <w:bookmarkEnd w:id="10"/>
    <w:p>
      <w:pPr>
        <w:ind w:left="430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2021</w:t>
      </w:r>
    </w:p>
    <w:p>
      <w:pPr>
        <w:spacing w:after="0" w:line="1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74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60" w:type="dxa"/>
            <w:vAlign w:val="bottom"/>
          </w:tcPr>
          <w:p>
            <w:pPr>
              <w:jc w:val="center"/>
              <w:ind w:right="23"/>
              <w:spacing w:after="0" w:line="13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4"/>
                <w:szCs w:val="14"/>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Unrealized gain on derivatives, net of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58"/>
        </w:trPr>
        <w:tc>
          <w:tcPr>
            <w:tcW w:w="432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w w:val="99"/>
              </w:rPr>
              <w:t>Contributions from noncontrolling interests, net of distributions,</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Agua Caliente acquisition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adjustments for change in tax basis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dividends and distributions to CEG unit holders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6"/>
        </w:trPr>
        <w:tc>
          <w:tcPr>
            <w:tcW w:w="43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Balances at March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Unrealized gain (loss) on derivatives, net of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Contributions from CEG, non-cash</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Contributions from CEG, cash</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58"/>
        </w:trPr>
        <w:tc>
          <w:tcPr>
            <w:tcW w:w="432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w w:val="99"/>
              </w:rPr>
              <w:t>Contributions from noncontrolling interests, net of distributions,</w:t>
            </w:r>
          </w:p>
        </w:tc>
        <w:tc>
          <w:tcPr>
            <w:tcW w:w="100" w:type="dxa"/>
            <w:vAlign w:val="bottom"/>
          </w:tcPr>
          <w:p>
            <w:pPr>
              <w:spacing w:after="0"/>
              <w:rPr>
                <w:sz w:val="13"/>
                <w:szCs w:val="13"/>
                <w:color w:val="auto"/>
              </w:rPr>
            </w:pPr>
          </w:p>
        </w:tc>
        <w:tc>
          <w:tcPr>
            <w:tcW w:w="7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w:t>
            </w: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Rattlesnake Drop Down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adjustment for change in tax basis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4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dividends and distributions to CEG unit holders</w:t>
            </w:r>
          </w:p>
        </w:tc>
        <w:tc>
          <w:tcPr>
            <w:tcW w:w="1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1"/>
        </w:trPr>
        <w:tc>
          <w:tcPr>
            <w:tcW w:w="4320" w:type="dxa"/>
            <w:vAlign w:val="bottom"/>
            <w:tcBorders>
              <w:top w:val="single" w:sz="8" w:color="CCEEFF"/>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Balances at June 30,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16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 On May 25, 2022, TotalEnergies entered into an agreement to acquire 50% of GIP’s interest in CEG. The closing of the transaction is subject to customary conditions, including regulatory approvals, and is expected to close in the second half of 2022.</w:t>
      </w:r>
    </w:p>
    <w:p>
      <w:pPr>
        <w:spacing w:after="0" w:line="13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w:t>
      </w:r>
      <w:r>
        <w:rPr>
          <w:rFonts w:ascii="Times New Roman" w:cs="Times New Roman" w:eastAsia="Times New Roman" w:hAnsi="Times New Roman"/>
          <w:sz w:val="18"/>
          <w:szCs w:val="18"/>
          <w:color w:val="000000"/>
        </w:rPr>
        <w:t>From time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time, CEG may also hold shares of the Company’s Class A and/or Class C common stock.</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owned 57.74% of the economic interests of Clearway Energy LLC, with CEG owning 42.26% of the economic interests of Clearway Energy LLC as of June 30,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5715000" cy="4286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0" cy="428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2021 Form 10-K. Interim results are not necessarily indicative of results for a full year.</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2022, and results of operations, comprehensive income and cash flows for the three and six months ended June 30, 2022 and 2021.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5"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$135 million and $146 million as of June 30, 2022 and December 31, 2021, respectively.</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7"/>
                <w:szCs w:val="17"/>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2"/>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shown in the consolidated statements of cash flows</w:t>
            </w:r>
          </w:p>
        </w:tc>
        <w:tc>
          <w:tcPr>
            <w:tcW w:w="1400" w:type="dxa"/>
            <w:vAlign w:val="bottom"/>
            <w:tcBorders>
              <w:bottom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1,288</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Restricted cash consists primarily of funds held to satisfy the requirements of certain debt agreements and funds held within the Company’s projects that are restricted in their use. As of June 30, 2022, these restricted funds were comprised of $143 million designated to fund operating expenses, $42 million designated for current debt service payments and $122 million restricted for reserves including debt service, performance obligations and other reserves as well as capital expenditures. The remaining $26 million is held in distributions reserve accounts.</w:t>
      </w:r>
    </w:p>
    <w:p>
      <w:pPr>
        <w:spacing w:after="0" w:line="13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June 30, 2022, $30 million of the $49 million has been utilized to offset invoiced amounts under the projects’ PPAs.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and Accumulated Amortization</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property, plant and equipment, net, and accumulated amortization included in intangible assets, net as of June 30, 2022 and December 31,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40" w:type="dxa"/>
            <w:vAlign w:val="bottom"/>
            <w:gridSpan w:val="2"/>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7"/>
                <w:szCs w:val="17"/>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1400" w:type="dxa"/>
            <w:vAlign w:val="bottom"/>
            <w:shd w:val="clear" w:color="auto" w:fill="CCEEFF"/>
          </w:tcPr>
          <w:p>
            <w:pPr>
              <w:jc w:val="right"/>
              <w:ind w:right="11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2,745</w:t>
            </w:r>
          </w:p>
        </w:tc>
        <w:tc>
          <w:tcPr>
            <w:tcW w:w="9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2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and Class C common stock during the six months ended June 30,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0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First Quarter 2022</w:t>
            </w:r>
          </w:p>
        </w:tc>
      </w:tr>
      <w:tr>
        <w:trPr>
          <w:trHeight w:val="24"/>
        </w:trPr>
        <w:tc>
          <w:tcPr>
            <w:tcW w:w="8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August 1, 2022, the Company declared quarterly dividends on its Class A and Class C common stock of $0.3604 per share payable on September 15, 2022 to stockholders of record as of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six months ended June 30, 2022 on Clearway Energy LLC’s Class B and D units: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00" w:type="dxa"/>
            <w:vAlign w:val="bottom"/>
          </w:tcPr>
          <w:p>
            <w:pPr>
              <w:spacing w:after="0"/>
              <w:rPr>
                <w:sz w:val="16"/>
                <w:szCs w:val="16"/>
                <w:color w:val="auto"/>
              </w:rPr>
            </w:pP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First Quarter 2022</w:t>
            </w:r>
          </w:p>
        </w:tc>
      </w:tr>
      <w:tr>
        <w:trPr>
          <w:trHeight w:val="24"/>
        </w:trPr>
        <w:tc>
          <w:tcPr>
            <w:tcW w:w="84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per Class B Unit</w:t>
            </w: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per Class D Unit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August 1, 2022, Clearway Energy LLC declared a distribution on its Class B and Class D units of $0.3604 per unit payable on September 15, 2022 to unit holders of record as of September 1,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six months ended June 30,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1"/>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distributions to redeemable noncontrolling interests</w:t>
            </w:r>
          </w:p>
        </w:tc>
        <w:tc>
          <w:tcPr>
            <w:tcW w:w="4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redeemable noncontrolling interests</w:t>
            </w:r>
          </w:p>
        </w:tc>
        <w:tc>
          <w:tcPr>
            <w:tcW w:w="4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2"/>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16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The Company applies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Power Purchase Agreements, or PPAs</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Renewable Energy Credits, or RECs</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income.</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six months ended June 30, 2022 and 2021,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333333"/>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333333"/>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320</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111</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103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247</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42424"/>
              </w:rPr>
              <w:t>368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40" w:hanging="156"/>
        <w:spacing w:after="0"/>
        <w:tabs>
          <w:tab w:leader="none" w:pos="24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12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231F20"/>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261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333333"/>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333333"/>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292</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128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222</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380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(343)</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333333"/>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333333"/>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333333"/>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hanging="156"/>
        <w:spacing w:after="0"/>
        <w:tabs>
          <w:tab w:leader="none" w:pos="24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432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1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5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14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40" w:type="dxa"/>
            <w:vAlign w:val="bottom"/>
            <w:tcBorders>
              <w:bottom w:val="single" w:sz="8" w:color="auto"/>
            </w:tcBorders>
            <w:vMerge w:val="continue"/>
          </w:tcPr>
          <w:p>
            <w:pPr>
              <w:spacing w:after="0"/>
              <w:rPr>
                <w:sz w:val="12"/>
                <w:szCs w:val="12"/>
                <w:color w:val="auto"/>
              </w:rPr>
            </w:pPr>
          </w:p>
        </w:tc>
        <w:tc>
          <w:tcPr>
            <w:tcW w:w="4320" w:type="dxa"/>
            <w:vAlign w:val="bottom"/>
          </w:tcPr>
          <w:p>
            <w:pPr>
              <w:spacing w:after="0"/>
              <w:rPr>
                <w:sz w:val="12"/>
                <w:szCs w:val="12"/>
                <w:color w:val="auto"/>
              </w:rPr>
            </w:pPr>
          </w:p>
        </w:tc>
        <w:tc>
          <w:tcPr>
            <w:tcW w:w="158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15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5495" cy="150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0"/>
                <w:szCs w:val="10"/>
                <w:color w:val="auto"/>
              </w:rPr>
            </w:pPr>
          </w:p>
        </w:tc>
        <w:tc>
          <w:tcPr>
            <w:tcW w:w="136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0"/>
                <w:szCs w:val="10"/>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BFE4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240" w:hanging="156"/>
        <w:spacing w:after="0"/>
        <w:tabs>
          <w:tab w:leader="none" w:pos="24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40" w:type="dxa"/>
            <w:vAlign w:val="bottom"/>
          </w:tcPr>
          <w:p>
            <w:pPr>
              <w:spacing w:after="0"/>
              <w:rPr>
                <w:sz w:val="13"/>
                <w:szCs w:val="13"/>
                <w:color w:val="auto"/>
              </w:rPr>
            </w:pPr>
          </w:p>
        </w:tc>
        <w:tc>
          <w:tcPr>
            <w:tcW w:w="112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231F20"/>
              </w:rPr>
              <w:t>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Energy revenue </w:t>
            </w:r>
            <w:r>
              <w:rPr>
                <w:rFonts w:ascii="Times New Roman" w:cs="Times New Roman" w:eastAsia="Times New Roman" w:hAnsi="Times New Roman"/>
                <w:sz w:val="22"/>
                <w:szCs w:val="22"/>
                <w:color w:val="auto"/>
                <w:vertAlign w:val="superscript"/>
              </w:rPr>
              <w:t>(a)</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Capacity revenue </w:t>
            </w:r>
            <w:r>
              <w:rPr>
                <w:rFonts w:ascii="Times New Roman" w:cs="Times New Roman" w:eastAsia="Times New Roman" w:hAnsi="Times New Roman"/>
                <w:sz w:val="22"/>
                <w:szCs w:val="22"/>
                <w:color w:val="auto"/>
                <w:vertAlign w:val="superscript"/>
              </w:rPr>
              <w:t>(a)</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Mark-to-market for economic hedges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Lease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hanging="156"/>
        <w:spacing w:after="0"/>
        <w:tabs>
          <w:tab w:leader="none" w:pos="2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following amounts of energy and capacity revenue relate to leases and are accounted for under ASC 842: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Conventional</w:t>
            </w:r>
          </w:p>
        </w:tc>
        <w:tc>
          <w:tcPr>
            <w:tcW w:w="24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1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23" w:lineRule="exact"/>
              <w:rPr>
                <w:sz w:val="20"/>
                <w:szCs w:val="20"/>
                <w:color w:val="auto"/>
              </w:rPr>
            </w:pPr>
            <w:r>
              <w:rPr>
                <w:rFonts w:ascii="Times New Roman" w:cs="Times New Roman" w:eastAsia="Times New Roman" w:hAnsi="Times New Roman"/>
                <w:sz w:val="14"/>
                <w:szCs w:val="14"/>
                <w:b w:val="1"/>
                <w:bCs w:val="1"/>
                <w:color w:val="auto"/>
              </w:rPr>
              <w:t>Generation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2"/>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0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consolidated balance sheets as of June 30, 2022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4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5"/>
        </w:trPr>
        <w:tc>
          <w:tcPr>
            <w:tcW w:w="7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gridSpan w:val="3"/>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7"/>
                <w:szCs w:val="17"/>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440" w:type="dxa"/>
            <w:vAlign w:val="bottom"/>
            <w:shd w:val="clear" w:color="auto" w:fill="CCEEFF"/>
          </w:tcPr>
          <w:p>
            <w:pPr>
              <w:jc w:val="right"/>
              <w:ind w:right="12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4"/>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2"/>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40" w:type="dxa"/>
            <w:vAlign w:val="bottom"/>
            <w:tcBorders>
              <w:bottom w:val="single" w:sz="8" w:color="auto"/>
            </w:tcBorders>
            <w:shd w:val="clear" w:color="auto" w:fill="CCEEFF"/>
          </w:tcPr>
          <w:p>
            <w:pPr>
              <w:jc w:val="right"/>
              <w:ind w:right="12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5"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March 2020, the FASB issued ASU No. 2020-04,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June 30, 2022, the Company has applied the amendments to all of its eligible contract modifications, where applicable, during the reference rate reform period. Additionally, the Company has not elected any optional expedients provided in the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161"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Mililani I Drop Down — </w:t>
      </w:r>
      <w:r>
        <w:rPr>
          <w:rFonts w:ascii="Times New Roman" w:cs="Times New Roman" w:eastAsia="Times New Roman" w:hAnsi="Times New Roman"/>
          <w:sz w:val="18"/>
          <w:szCs w:val="18"/>
          <w:color w:val="auto"/>
        </w:rPr>
        <w:t>On March 25, 2022, the Company, through its indirect subsidiary, Lighthouse Renewable Holdco LLC, acquired Mililani BL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4,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Mililani I has a 20-year power purchase agreement with an investment-grade utility that commenced in July 2022. The Mililani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 Related Issues</w:t>
      </w:r>
      <w:r>
        <w:rPr>
          <w:rFonts w:ascii="Times New Roman" w:cs="Times New Roman" w:eastAsia="Times New Roman" w:hAnsi="Times New Roman"/>
          <w:sz w:val="18"/>
          <w:szCs w:val="18"/>
          <w:color w:val="auto"/>
        </w:rPr>
        <w:t>. The sum of the cash paid of $22 million and the historical cost of the Company’s net liabilities assumed of $8 million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as an adjustment to CEG’s noncontrolling interest balance. In addition, the Company reflected $15 million of the Company’s purchase price, which was contributed back by CEG to pay down the acquired long-term debt, as distributions to CEG, net of contributions, in the consolidated statement of stockholders’ equity.</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assets and liabilities transferred in connection with the acquisition as of March 25, 2022:</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6"/>
                <w:szCs w:val="16"/>
                <w:b w:val="1"/>
                <w:bCs w:val="1"/>
                <w:color w:val="auto"/>
              </w:rPr>
              <w:t>Mililani I</w:t>
            </w:r>
          </w:p>
        </w:tc>
      </w:tr>
      <w:tr>
        <w:trPr>
          <w:trHeight w:val="21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8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Right-of-use-assets</w:t>
            </w:r>
          </w:p>
        </w:tc>
        <w:tc>
          <w:tcPr>
            <w:tcW w:w="6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6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3"/>
        </w:trPr>
        <w:tc>
          <w:tcPr>
            <w:tcW w:w="8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24"/>
        </w:trPr>
        <w:tc>
          <w:tcPr>
            <w:tcW w:w="8420" w:type="dxa"/>
            <w:vAlign w:val="bottom"/>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2"/>
                <w:szCs w:val="22"/>
                <w:color w:val="auto"/>
                <w:vertAlign w:val="superscript"/>
              </w:rPr>
              <w:t>(a)</w:t>
            </w:r>
          </w:p>
        </w:tc>
        <w:tc>
          <w:tcPr>
            <w:tcW w:w="6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4"/>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6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8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6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7"/>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0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7"/>
        </w:trPr>
        <w:tc>
          <w:tcPr>
            <w:tcW w:w="8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liabilities assumed</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84"/>
        <w:spacing w:after="0" w:line="330" w:lineRule="auto"/>
        <w:tabs>
          <w:tab w:leader="none" w:pos="234"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a $16 million construction loan, $27 million sponsor equity bridge loan and $60 million tax equity bridge loan, offset by $3 million in unamortized debt issuance costs. The sponsor equity bridge loan was repaid at acquisition date utilizing $14 million from the cash equity investor, as well as $15 million of the Company’s purchase price, which was contributed back to the Company by CEG, of which $27 million was utilized to pay down the acquired long-term debt and $2 million was utilized to pay associated fees. Also at acquisition date, the tax equity investor contributed $18 million into escrow, which was included in restricted cash on the Company’s consolidated balance sheet. The tax equity investor will contribute an additional $42 million when the project reaches substantial completion, which will be utilized, along with the $18 million in escrow, to repay the $60 million tax equity bridge loan. The project is expected to achieve substantial completion in the second half of 2022.</w:t>
      </w:r>
    </w:p>
    <w:p>
      <w:pPr>
        <w:spacing w:after="0" w:line="8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Thermal Disposition </w:t>
      </w:r>
      <w:r>
        <w:rPr>
          <w:rFonts w:ascii="Times New Roman" w:cs="Times New Roman" w:eastAsia="Times New Roman" w:hAnsi="Times New Roman"/>
          <w:sz w:val="18"/>
          <w:szCs w:val="18"/>
          <w:color w:val="auto"/>
        </w:rPr>
        <w:t>— On May 1, 2022, the Company completed the sale of 100% of its interests in the Thermal Business to KKR for net proceeds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approximately $1.46 billion, inclusive of 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with the remaining proceeds invested in short-term investments classified as cash and cash equivalents on the Company’s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as of June 30, 2022. Effective with the approval by the Board of Directors and signing of the agreement to sell the Thermal Business on October 22, 2021, the Company concluded that all entities that are included within the Thermal Business will be treated as held for sale on a prospective basis, thus the assets and liabilities were reported as separate held for sale line items on the Company’s consolidated balance sheets as of December 31, 2021.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9" w:name="page20"/>
    <w:bookmarkEnd w:id="19"/>
    <w:p>
      <w:pPr>
        <w:ind w:right="4780"/>
        <w:spacing w:after="0" w:line="428" w:lineRule="auto"/>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Entities that are Consolidated</w:t>
      </w:r>
    </w:p>
    <w:p>
      <w:pPr>
        <w:spacing w:after="0" w:line="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and solar facilities,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2021 Form 10-K.</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June 30,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Buckthorn</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Kawailoa</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Langford TE</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Lighthouse Renewable</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Lighthouse Renewable</w:t>
            </w:r>
          </w:p>
        </w:tc>
        <w:tc>
          <w:tcPr>
            <w:tcW w:w="0" w:type="dxa"/>
            <w:vAlign w:val="bottom"/>
          </w:tcPr>
          <w:p>
            <w:pPr>
              <w:spacing w:after="0"/>
              <w:rPr>
                <w:sz w:val="1"/>
                <w:szCs w:val="1"/>
                <w:color w:val="auto"/>
              </w:rPr>
            </w:pPr>
          </w:p>
        </w:tc>
      </w:tr>
      <w:tr>
        <w:trPr>
          <w:trHeight w:val="184"/>
        </w:trPr>
        <w:tc>
          <w:tcPr>
            <w:tcW w:w="3080" w:type="dxa"/>
            <w:vAlign w:val="bottom"/>
            <w:vMerge w:val="continue"/>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Alta TE Holdco</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Renewables, LLC</w:t>
            </w:r>
          </w:p>
        </w:tc>
        <w:tc>
          <w:tcPr>
            <w:tcW w:w="1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DGPV Funds</w:t>
            </w:r>
            <w:r>
              <w:rPr>
                <w:rFonts w:ascii="Times New Roman" w:cs="Times New Roman" w:eastAsia="Times New Roman" w:hAnsi="Times New Roman"/>
                <w:sz w:val="15"/>
                <w:szCs w:val="15"/>
                <w:b w:val="1"/>
                <w:bCs w:val="1"/>
                <w:color w:val="auto"/>
                <w:vertAlign w:val="superscript"/>
              </w:rPr>
              <w:t>(a)</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Partnership</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Partnership LLC</w:t>
            </w:r>
          </w:p>
        </w:tc>
        <w:tc>
          <w:tcPr>
            <w:tcW w:w="160" w:type="dxa"/>
            <w:vAlign w:val="bottom"/>
          </w:tcPr>
          <w:p>
            <w:pPr>
              <w:spacing w:after="0"/>
              <w:rPr>
                <w:sz w:val="16"/>
                <w:szCs w:val="16"/>
                <w:color w:val="auto"/>
              </w:rPr>
            </w:pPr>
          </w:p>
        </w:tc>
        <w:tc>
          <w:tcPr>
            <w:tcW w:w="116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2"/>
                <w:szCs w:val="12"/>
                <w:b w:val="1"/>
                <w:bCs w:val="1"/>
                <w:color w:val="auto"/>
              </w:rPr>
              <w:t xml:space="preserve">Holdco LLC </w:t>
            </w:r>
            <w:r>
              <w:rPr>
                <w:rFonts w:ascii="Times New Roman" w:cs="Times New Roman" w:eastAsia="Times New Roman" w:hAnsi="Times New Roman"/>
                <w:sz w:val="20"/>
                <w:szCs w:val="20"/>
                <w:b w:val="1"/>
                <w:bCs w:val="1"/>
                <w:color w:val="auto"/>
                <w:vertAlign w:val="superscript"/>
              </w:rPr>
              <w:t>(b)</w:t>
            </w:r>
          </w:p>
        </w:tc>
        <w:tc>
          <w:tcPr>
            <w:tcW w:w="140" w:type="dxa"/>
            <w:vAlign w:val="bottom"/>
          </w:tcPr>
          <w:p>
            <w:pPr>
              <w:spacing w:after="0"/>
              <w:rPr>
                <w:sz w:val="16"/>
                <w:szCs w:val="16"/>
                <w:color w:val="auto"/>
              </w:rPr>
            </w:pPr>
          </w:p>
        </w:tc>
        <w:tc>
          <w:tcPr>
            <w:tcW w:w="1100" w:type="dxa"/>
            <w:vAlign w:val="bottom"/>
          </w:tcPr>
          <w:p>
            <w:pPr>
              <w:jc w:val="right"/>
              <w:ind w:right="75"/>
              <w:spacing w:after="0" w:line="184" w:lineRule="exact"/>
              <w:rPr>
                <w:sz w:val="20"/>
                <w:szCs w:val="20"/>
                <w:color w:val="auto"/>
              </w:rPr>
            </w:pPr>
            <w:r>
              <w:rPr>
                <w:rFonts w:ascii="Times New Roman" w:cs="Times New Roman" w:eastAsia="Times New Roman" w:hAnsi="Times New Roman"/>
                <w:sz w:val="12"/>
                <w:szCs w:val="12"/>
                <w:b w:val="1"/>
                <w:bCs w:val="1"/>
                <w:color w:val="auto"/>
              </w:rPr>
              <w:t xml:space="preserve">Holdco 2 LLC </w:t>
            </w:r>
            <w:r>
              <w:rPr>
                <w:rFonts w:ascii="Times New Roman" w:cs="Times New Roman" w:eastAsia="Times New Roman" w:hAnsi="Times New Roman"/>
                <w:sz w:val="20"/>
                <w:szCs w:val="20"/>
                <w:b w:val="1"/>
                <w:bCs w:val="1"/>
                <w:color w:val="auto"/>
                <w:vertAlign w:val="superscript"/>
              </w:rPr>
              <w:t>(c)</w:t>
            </w:r>
          </w:p>
        </w:tc>
        <w:tc>
          <w:tcPr>
            <w:tcW w:w="0" w:type="dxa"/>
            <w:vAlign w:val="bottom"/>
          </w:tcPr>
          <w:p>
            <w:pPr>
              <w:spacing w:after="0"/>
              <w:rPr>
                <w:sz w:val="1"/>
                <w:szCs w:val="1"/>
                <w:color w:val="auto"/>
              </w:rPr>
            </w:pPr>
          </w:p>
        </w:tc>
      </w:tr>
      <w:tr>
        <w:trPr>
          <w:trHeight w:val="217"/>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40" w:type="dxa"/>
            <w:vAlign w:val="bottom"/>
            <w:tcBorders>
              <w:top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7"/>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7"/>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176"/>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DGPV Funds is comprised of DGPV Fund 2 LLC, Clearway &amp; EFS Distributed Solar LLC, DGPV Fund 4 LLC, Golden Puma Fund LLC, Renew Solar CS4 Fund LLC and Chestnut Fund LLC.</w:t>
      </w:r>
    </w:p>
    <w:p>
      <w:pPr>
        <w:spacing w:after="0" w:line="30" w:lineRule="exact"/>
        <w:rPr>
          <w:rFonts w:ascii="Times New Roman" w:cs="Times New Roman" w:eastAsia="Times New Roman" w:hAnsi="Times New Roman"/>
          <w:sz w:val="23"/>
          <w:szCs w:val="23"/>
          <w:color w:val="auto"/>
          <w:vertAlign w:val="superscript"/>
        </w:rPr>
      </w:pPr>
    </w:p>
    <w:p>
      <w:pPr>
        <w:ind w:left="240" w:hanging="156"/>
        <w:spacing w:after="0" w:line="183" w:lineRule="auto"/>
        <w:tabs>
          <w:tab w:leader="none" w:pos="2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Lighthouse Renewable Holdco LLC consolidates Mesquite Star Tax Equity Holdco LLC, Black Rock TE Holdco LLC and Mililani TE Holdco LLC, which are also consolidated VIEs.</w:t>
      </w:r>
    </w:p>
    <w:p>
      <w:pPr>
        <w:spacing w:after="0" w:line="83" w:lineRule="exact"/>
        <w:rPr>
          <w:rFonts w:ascii="Times New Roman" w:cs="Times New Roman" w:eastAsia="Times New Roman" w:hAnsi="Times New Roman"/>
          <w:sz w:val="19"/>
          <w:szCs w:val="19"/>
          <w:color w:val="auto"/>
          <w:vertAlign w:val="superscript"/>
        </w:rPr>
      </w:pPr>
    </w:p>
    <w:p>
      <w:pPr>
        <w:ind w:left="260" w:hanging="176"/>
        <w:spacing w:after="0" w:line="183" w:lineRule="auto"/>
        <w:tabs>
          <w:tab w:leader="none" w:pos="2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Lighthouse Renewable Holdco 2 LLC consolidates Mesquite Sky TE Holdco LLC, which is also a consolidated VIE.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Oahu</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Pinnacle Repowering</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Rattlesnake TE Holdco</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Wildorado</w:t>
            </w:r>
          </w:p>
        </w:tc>
        <w:tc>
          <w:tcPr>
            <w:tcW w:w="260" w:type="dxa"/>
            <w:vAlign w:val="bottom"/>
          </w:tcPr>
          <w:p>
            <w:pPr>
              <w:spacing w:after="0"/>
              <w:rPr>
                <w:sz w:val="12"/>
                <w:szCs w:val="12"/>
                <w:color w:val="auto"/>
              </w:rPr>
            </w:pPr>
          </w:p>
        </w:tc>
        <w:tc>
          <w:tcPr>
            <w:tcW w:w="1020" w:type="dxa"/>
            <w:vAlign w:val="bottom"/>
            <w:vMerge w:val="restart"/>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 xml:space="preserve">Other </w:t>
            </w:r>
            <w:r>
              <w:rPr>
                <w:rFonts w:ascii="Times New Roman" w:cs="Times New Roman" w:eastAsia="Times New Roman" w:hAnsi="Times New Roman"/>
                <w:sz w:val="20"/>
                <w:szCs w:val="20"/>
                <w:b w:val="1"/>
                <w:bCs w:val="1"/>
                <w:color w:val="auto"/>
                <w:vertAlign w:val="superscript"/>
              </w:rPr>
              <w:t>(a)</w:t>
            </w:r>
          </w:p>
        </w:tc>
        <w:tc>
          <w:tcPr>
            <w:tcW w:w="0" w:type="dxa"/>
            <w:vAlign w:val="bottom"/>
          </w:tcPr>
          <w:p>
            <w:pPr>
              <w:spacing w:after="0"/>
              <w:rPr>
                <w:sz w:val="1"/>
                <w:szCs w:val="1"/>
                <w:color w:val="auto"/>
              </w:rPr>
            </w:pPr>
          </w:p>
        </w:tc>
      </w:tr>
      <w:tr>
        <w:trPr>
          <w:trHeight w:val="184"/>
        </w:trPr>
        <w:tc>
          <w:tcPr>
            <w:tcW w:w="3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Solar Partnership</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Partnership LLC</w:t>
            </w:r>
          </w:p>
        </w:tc>
        <w:tc>
          <w:tcPr>
            <w:tcW w:w="30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LLC</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Rosie TargetCo LLC</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TE Holdco</w:t>
            </w: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7"/>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assets less 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176"/>
        <w:spacing w:after="0"/>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is comprised of Crosswind Transmission, LLC, Hardin Hilltop Wind LLC, Elbow Creek TE Holdco and Spring Canyon TE Holdco projects.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discussion below describes material changes to VIEs during the six months ended June 30, 2022.</w:t>
      </w:r>
    </w:p>
    <w:p>
      <w:pPr>
        <w:spacing w:after="0" w:line="15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Lighthouse Renewable Holdco LLC —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on March 25, 2022, Lighthouse Renewable Holdco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the Class B interests in a partnership, Mililani BL Borrower Holdco LLC, which consolidates, as the direct owner of the primary beneficiary, a tax equity fund, Mililani TE Holdco LLC, that holds the Mililani I solar project. The tax equity investor’s interest is shown as noncontrolling interest and the HLBV method is utilized to allocate the income or losses of Mililani TE Holdco LLC.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not Consolidated</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to the consolidated financial statements included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Company’s </w:t>
      </w:r>
      <w:r>
        <w:rPr>
          <w:rFonts w:ascii="Times New Roman" w:cs="Times New Roman" w:eastAsia="Times New Roman" w:hAnsi="Times New Roman"/>
          <w:sz w:val="18"/>
          <w:szCs w:val="18"/>
          <w:color w:val="000000"/>
        </w:rPr>
        <w:t>2021</w:t>
      </w:r>
      <w:r>
        <w:rPr>
          <w:rFonts w:ascii="Times New Roman" w:cs="Times New Roman" w:eastAsia="Times New Roman" w:hAnsi="Times New Roman"/>
          <w:sz w:val="18"/>
          <w:szCs w:val="18"/>
          <w:color w:val="231F20"/>
        </w:rPr>
        <w:t xml:space="preserve"> Form 10</w:t>
      </w:r>
      <w:r>
        <w:rPr>
          <w:rFonts w:ascii="Times New Roman" w:cs="Times New Roman" w:eastAsia="Times New Roman" w:hAnsi="Times New Roman"/>
          <w:sz w:val="18"/>
          <w:szCs w:val="18"/>
          <w:color w:val="000000"/>
        </w:rPr>
        <w:t>-K.</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maximum exposure to loss as of June 30, 2022 is limited to its equity investment in the unconsolidated entities, as further summarized in the table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720" w:type="dxa"/>
            <w:vAlign w:val="bottom"/>
            <w:tcBorders>
              <w:bottom w:val="single" w:sz="8" w:color="auto"/>
            </w:tcBorders>
          </w:tcPr>
          <w:p>
            <w:pPr>
              <w:jc w:val="center"/>
              <w:ind w:left="3174"/>
              <w:spacing w:after="0"/>
              <w:rPr>
                <w:sz w:val="20"/>
                <w:szCs w:val="20"/>
                <w:color w:val="auto"/>
              </w:rPr>
            </w:pPr>
            <w:r>
              <w:rPr>
                <w:rFonts w:ascii="Times New Roman" w:cs="Times New Roman" w:eastAsia="Times New Roman" w:hAnsi="Times New Roman"/>
                <w:sz w:val="16"/>
                <w:szCs w:val="16"/>
                <w:b w:val="1"/>
                <w:bCs w:val="1"/>
                <w:color w:val="auto"/>
                <w:w w:val="97"/>
              </w:rPr>
              <w:t>Economic Interest</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Investment Balance</w:t>
            </w:r>
          </w:p>
        </w:tc>
      </w:tr>
      <w:tr>
        <w:trPr>
          <w:trHeight w:val="205"/>
        </w:trPr>
        <w:tc>
          <w:tcPr>
            <w:tcW w:w="45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Avenal</w:t>
            </w:r>
          </w:p>
        </w:tc>
        <w:tc>
          <w:tcPr>
            <w:tcW w:w="4720" w:type="dxa"/>
            <w:vAlign w:val="bottom"/>
            <w:shd w:val="clear" w:color="auto" w:fill="CCEEFF"/>
          </w:tcPr>
          <w:p>
            <w:pPr>
              <w:jc w:val="center"/>
              <w:ind w:left="3194"/>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Desert Sunlight</w:t>
            </w:r>
          </w:p>
        </w:tc>
        <w:tc>
          <w:tcPr>
            <w:tcW w:w="4720" w:type="dxa"/>
            <w:vAlign w:val="bottom"/>
          </w:tcPr>
          <w:p>
            <w:pPr>
              <w:jc w:val="center"/>
              <w:ind w:left="3194"/>
              <w:spacing w:after="0"/>
              <w:rPr>
                <w:sz w:val="20"/>
                <w:szCs w:val="20"/>
                <w:color w:val="auto"/>
              </w:rPr>
            </w:pPr>
            <w:r>
              <w:rPr>
                <w:rFonts w:ascii="Times New Roman" w:cs="Times New Roman" w:eastAsia="Times New Roman" w:hAnsi="Times New Roman"/>
                <w:sz w:val="18"/>
                <w:szCs w:val="18"/>
                <w:color w:val="auto"/>
                <w:w w:val="96"/>
              </w:rPr>
              <w:t>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Elkhorn Ridge</w:t>
            </w:r>
          </w:p>
        </w:tc>
        <w:tc>
          <w:tcPr>
            <w:tcW w:w="4720" w:type="dxa"/>
            <w:vAlign w:val="bottom"/>
            <w:shd w:val="clear" w:color="auto" w:fill="CCEEFF"/>
          </w:tcPr>
          <w:p>
            <w:pPr>
              <w:jc w:val="center"/>
              <w:ind w:left="3194"/>
              <w:spacing w:after="0"/>
              <w:rPr>
                <w:sz w:val="20"/>
                <w:szCs w:val="20"/>
                <w:color w:val="auto"/>
              </w:rPr>
            </w:pPr>
            <w:r>
              <w:rPr>
                <w:rFonts w:ascii="Times New Roman" w:cs="Times New Roman" w:eastAsia="Times New Roman" w:hAnsi="Times New Roman"/>
                <w:sz w:val="18"/>
                <w:szCs w:val="18"/>
                <w:color w:val="auto"/>
                <w:w w:val="96"/>
              </w:rPr>
              <w:t>67%</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4"/>
        </w:trPr>
        <w:tc>
          <w:tcPr>
            <w:tcW w:w="450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GenConn </w:t>
            </w:r>
            <w:r>
              <w:rPr>
                <w:rFonts w:ascii="Times New Roman" w:cs="Times New Roman" w:eastAsia="Times New Roman" w:hAnsi="Times New Roman"/>
                <w:sz w:val="22"/>
                <w:szCs w:val="22"/>
                <w:color w:val="auto"/>
                <w:vertAlign w:val="superscript"/>
              </w:rPr>
              <w:t>(a)</w:t>
            </w:r>
          </w:p>
        </w:tc>
        <w:tc>
          <w:tcPr>
            <w:tcW w:w="4720" w:type="dxa"/>
            <w:vAlign w:val="bottom"/>
          </w:tcPr>
          <w:p>
            <w:pPr>
              <w:jc w:val="center"/>
              <w:ind w:left="3194"/>
              <w:spacing w:after="0"/>
              <w:rPr>
                <w:sz w:val="20"/>
                <w:szCs w:val="20"/>
                <w:color w:val="auto"/>
              </w:rPr>
            </w:pPr>
            <w:r>
              <w:rPr>
                <w:rFonts w:ascii="Times New Roman" w:cs="Times New Roman" w:eastAsia="Times New Roman" w:hAnsi="Times New Roman"/>
                <w:sz w:val="18"/>
                <w:szCs w:val="18"/>
                <w:color w:val="auto"/>
                <w:w w:val="96"/>
              </w:rPr>
              <w:t>50%</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4"/>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Juan Mesa</w:t>
            </w:r>
          </w:p>
        </w:tc>
        <w:tc>
          <w:tcPr>
            <w:tcW w:w="4720" w:type="dxa"/>
            <w:vAlign w:val="bottom"/>
            <w:shd w:val="clear" w:color="auto" w:fill="CCEEFF"/>
          </w:tcPr>
          <w:p>
            <w:pPr>
              <w:jc w:val="center"/>
              <w:ind w:left="3194"/>
              <w:spacing w:after="0"/>
              <w:rPr>
                <w:sz w:val="20"/>
                <w:szCs w:val="20"/>
                <w:color w:val="auto"/>
              </w:rPr>
            </w:pPr>
            <w:r>
              <w:rPr>
                <w:rFonts w:ascii="Times New Roman" w:cs="Times New Roman" w:eastAsia="Times New Roman" w:hAnsi="Times New Roman"/>
                <w:sz w:val="18"/>
                <w:szCs w:val="18"/>
                <w:color w:val="auto"/>
                <w:w w:val="96"/>
              </w:rPr>
              <w:t>75%</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7"/>
        </w:trPr>
        <w:tc>
          <w:tcPr>
            <w:tcW w:w="45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45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260" w:hanging="176"/>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GenConn is a variable interest entity.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Accounting under ASC 820</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56" w:lineRule="exact"/>
        <w:rPr>
          <w:sz w:val="20"/>
          <w:szCs w:val="20"/>
          <w:color w:val="auto"/>
        </w:rPr>
      </w:pPr>
    </w:p>
    <w:p>
      <w:pPr>
        <w:ind w:left="1180" w:hanging="227"/>
        <w:spacing w:after="0" w:line="268" w:lineRule="auto"/>
        <w:tabs>
          <w:tab w:leader="none" w:pos="11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spacing w:after="0" w:line="11" w:lineRule="exact"/>
        <w:rPr>
          <w:rFonts w:ascii="Times New Roman" w:cs="Times New Roman" w:eastAsia="Times New Roman" w:hAnsi="Times New Roman"/>
          <w:sz w:val="18"/>
          <w:szCs w:val="18"/>
          <w:color w:val="auto"/>
        </w:rPr>
      </w:pPr>
    </w:p>
    <w:p>
      <w:pPr>
        <w:ind w:left="1180" w:hanging="227"/>
        <w:spacing w:after="0" w:line="268" w:lineRule="auto"/>
        <w:tabs>
          <w:tab w:leader="none" w:pos="11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11" w:lineRule="exact"/>
        <w:rPr>
          <w:rFonts w:ascii="Times New Roman" w:cs="Times New Roman" w:eastAsia="Times New Roman" w:hAnsi="Times New Roman"/>
          <w:sz w:val="18"/>
          <w:szCs w:val="18"/>
          <w:color w:val="auto"/>
        </w:rPr>
      </w:pPr>
    </w:p>
    <w:p>
      <w:pPr>
        <w:ind w:left="1180" w:hanging="227"/>
        <w:spacing w:after="0" w:line="268" w:lineRule="auto"/>
        <w:tabs>
          <w:tab w:leader="none" w:pos="11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1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cash and cash equivalents, restricted cash, accounts receivable — trade, accounts receivable — affiliates, accounts payable — trade, accounts payable</w:t>
      </w:r>
    </w:p>
    <w:p>
      <w:pPr>
        <w:spacing w:after="0" w:line="4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affiliates and accrued expenses and other current liabilities, the carrying amounts approximate fair value because of the short-term maturity of those instruments and are classified as Level 1 within the fair value hierarchy.</w:t>
      </w:r>
    </w:p>
    <w:p>
      <w:pPr>
        <w:spacing w:after="0" w:line="13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carrying amounts and estimated fair values of the Company’s recorded financial instruments not carried at fair market value or that do not approximate fair value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20" w:type="dxa"/>
            <w:vAlign w:val="bottom"/>
          </w:tcPr>
          <w:p>
            <w:pPr>
              <w:spacing w:after="0"/>
              <w:rPr>
                <w:sz w:val="16"/>
                <w:szCs w:val="16"/>
                <w:color w:val="auto"/>
              </w:rPr>
            </w:pPr>
          </w:p>
        </w:tc>
        <w:tc>
          <w:tcPr>
            <w:tcW w:w="218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6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61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4"/>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610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2"/>
                <w:szCs w:val="22"/>
                <w:color w:val="auto"/>
                <w:vertAlign w:val="superscript"/>
              </w:rPr>
              <w:t>(a)</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7,131</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7,782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13868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79" w:lineRule="exact"/>
        <w:rPr>
          <w:sz w:val="20"/>
          <w:szCs w:val="20"/>
          <w:color w:val="auto"/>
        </w:rPr>
      </w:pPr>
    </w:p>
    <w:p>
      <w:pPr>
        <w:ind w:left="260" w:hanging="176"/>
        <w:spacing w:after="0"/>
        <w:tabs>
          <w:tab w:leader="none" w:pos="2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net debt issuance costs, which are recorded as a reduction to long-term debt on the Company’s consolidated balance sheets.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1" w:name="page22"/>
    <w:bookmarkEnd w:id="21"/>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June 30, 2022 and December 31,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360" w:type="dxa"/>
            <w:vAlign w:val="bottom"/>
          </w:tcPr>
          <w:p>
            <w:pPr>
              <w:spacing w:after="0"/>
              <w:rPr>
                <w:sz w:val="16"/>
                <w:szCs w:val="16"/>
                <w:color w:val="auto"/>
              </w:rPr>
            </w:pPr>
          </w:p>
        </w:tc>
        <w:tc>
          <w:tcPr>
            <w:tcW w:w="2140" w:type="dxa"/>
            <w:vAlign w:val="bottom"/>
            <w:gridSpan w:val="3"/>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6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6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91"/>
        </w:trPr>
        <w:tc>
          <w:tcPr>
            <w:tcW w:w="6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1,795</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2,159</w:t>
            </w:r>
          </w:p>
        </w:tc>
        <w:tc>
          <w:tcPr>
            <w:tcW w:w="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153"/>
        </w:trPr>
        <w:tc>
          <w:tcPr>
            <w:tcW w:w="6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65" w:lineRule="exact"/>
        <w:rPr>
          <w:sz w:val="20"/>
          <w:szCs w:val="20"/>
          <w:color w:val="auto"/>
        </w:rPr>
      </w:pPr>
    </w:p>
    <w:p>
      <w:pPr>
        <w:jc w:val="both"/>
        <w:ind w:firstLine="395"/>
        <w:spacing w:after="0" w:line="330" w:lineRule="auto"/>
        <w:rPr>
          <w:sz w:val="20"/>
          <w:szCs w:val="20"/>
          <w:color w:val="auto"/>
        </w:rPr>
      </w:pPr>
      <w:r>
        <w:rPr>
          <w:rFonts w:ascii="Times New Roman" w:cs="Times New Roman" w:eastAsia="Times New Roman" w:hAnsi="Times New Roman"/>
          <w:sz w:val="16"/>
          <w:szCs w:val="16"/>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60" w:type="dxa"/>
            <w:vAlign w:val="bottom"/>
          </w:tcPr>
          <w:p>
            <w:pPr>
              <w:spacing w:after="0"/>
              <w:rPr>
                <w:sz w:val="16"/>
                <w:szCs w:val="16"/>
                <w:color w:val="auto"/>
              </w:rPr>
            </w:pPr>
          </w:p>
        </w:tc>
        <w:tc>
          <w:tcPr>
            <w:tcW w:w="24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24"/>
        </w:trPr>
        <w:tc>
          <w:tcPr>
            <w:tcW w:w="5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0"/>
                <w:szCs w:val="20"/>
                <w:b w:val="1"/>
                <w:bCs w:val="1"/>
                <w:color w:val="auto"/>
                <w:vertAlign w:val="superscript"/>
              </w:rPr>
              <w:t>(a)</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20"/>
                <w:szCs w:val="20"/>
                <w:b w:val="1"/>
                <w:bCs w:val="1"/>
                <w:color w:val="auto"/>
                <w:vertAlign w:val="superscript"/>
              </w:rPr>
              <w:t>(a)</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6"/>
                <w:szCs w:val="16"/>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6"/>
                <w:szCs w:val="16"/>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Other financial instruments </w:t>
            </w:r>
            <w:r>
              <w:rPr>
                <w:rFonts w:ascii="Times New Roman" w:cs="Times New Roman" w:eastAsia="Times New Roman" w:hAnsi="Times New Roman"/>
                <w:sz w:val="22"/>
                <w:szCs w:val="22"/>
                <w:b w:val="1"/>
                <w:bCs w:val="1"/>
                <w:color w:val="auto"/>
                <w:vertAlign w:val="superscript"/>
              </w:rPr>
              <w:t>(b)</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4"/>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7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260" w:hanging="176"/>
        <w:spacing w:after="0"/>
        <w:tabs>
          <w:tab w:leader="none" w:pos="2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There were no derivative assets classified as Level 1 or Level 3 and no liabilities classified as Level 1 as of June 30, 2022 and December 31, 2021.</w:t>
      </w:r>
    </w:p>
    <w:p>
      <w:pPr>
        <w:spacing w:after="0" w:line="74" w:lineRule="exact"/>
        <w:rPr>
          <w:rFonts w:ascii="Times New Roman" w:cs="Times New Roman" w:eastAsia="Times New Roman" w:hAnsi="Times New Roman"/>
          <w:sz w:val="23"/>
          <w:szCs w:val="23"/>
          <w:color w:val="auto"/>
          <w:vertAlign w:val="superscript"/>
        </w:rPr>
      </w:pPr>
    </w:p>
    <w:p>
      <w:pPr>
        <w:ind w:left="260" w:hanging="176"/>
        <w:spacing w:after="0" w:line="187" w:lineRule="auto"/>
        <w:tabs>
          <w:tab w:leader="none" w:pos="26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SREC contract.</w:t>
      </w:r>
    </w:p>
    <w:p>
      <w:pPr>
        <w:spacing w:after="0" w:line="14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consolidated financial statements using significant unobservable inputs: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40" w:type="dxa"/>
            <w:vAlign w:val="bottom"/>
          </w:tcPr>
          <w:p>
            <w:pPr>
              <w:spacing w:after="0"/>
              <w:rPr>
                <w:sz w:val="16"/>
                <w:szCs w:val="16"/>
                <w:color w:val="auto"/>
              </w:rPr>
            </w:pPr>
          </w:p>
        </w:tc>
        <w:tc>
          <w:tcPr>
            <w:tcW w:w="276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1"/>
                <w:szCs w:val="11"/>
                <w:color w:val="auto"/>
              </w:rPr>
            </w:pPr>
          </w:p>
        </w:tc>
        <w:tc>
          <w:tcPr>
            <w:tcW w:w="2740" w:type="dxa"/>
            <w:vAlign w:val="bottom"/>
            <w:gridSpan w:val="4"/>
          </w:tcPr>
          <w:p>
            <w:pPr>
              <w:jc w:val="center"/>
              <w:ind w:right="35"/>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 Measurement Using 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60" w:type="dxa"/>
            <w:vAlign w:val="bottom"/>
            <w:gridSpan w:val="4"/>
          </w:tcPr>
          <w:p>
            <w:pPr>
              <w:jc w:val="center"/>
              <w:ind w:right="55"/>
              <w:spacing w:after="0" w:line="133" w:lineRule="exact"/>
              <w:rPr>
                <w:sz w:val="20"/>
                <w:szCs w:val="20"/>
                <w:color w:val="auto"/>
              </w:rPr>
            </w:pPr>
            <w:r>
              <w:rPr>
                <w:rFonts w:ascii="Times New Roman" w:cs="Times New Roman" w:eastAsia="Times New Roman" w:hAnsi="Times New Roman"/>
                <w:sz w:val="14"/>
                <w:szCs w:val="14"/>
                <w:b w:val="1"/>
                <w:bCs w:val="1"/>
                <w:color w:val="auto"/>
                <w:w w:val="99"/>
              </w:rPr>
              <w:t>Fair Value Measurement Using Significant</w:t>
            </w:r>
          </w:p>
        </w:tc>
        <w:tc>
          <w:tcPr>
            <w:tcW w:w="0" w:type="dxa"/>
            <w:vAlign w:val="bottom"/>
          </w:tcPr>
          <w:p>
            <w:pPr>
              <w:spacing w:after="0"/>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140" w:type="dxa"/>
            <w:vAlign w:val="bottom"/>
          </w:tcPr>
          <w:p>
            <w:pPr>
              <w:spacing w:after="0"/>
              <w:rPr>
                <w:sz w:val="16"/>
                <w:szCs w:val="16"/>
                <w:color w:val="auto"/>
              </w:rPr>
            </w:pPr>
          </w:p>
        </w:tc>
        <w:tc>
          <w:tcPr>
            <w:tcW w:w="276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Unobservable Inputs (Level 3)</w:t>
            </w:r>
          </w:p>
        </w:tc>
        <w:tc>
          <w:tcPr>
            <w:tcW w:w="0" w:type="dxa"/>
            <w:vAlign w:val="bottom"/>
          </w:tcPr>
          <w:p>
            <w:pPr>
              <w:spacing w:after="0"/>
              <w:rPr>
                <w:sz w:val="1"/>
                <w:szCs w:val="1"/>
                <w:color w:val="auto"/>
              </w:rPr>
            </w:pPr>
          </w:p>
        </w:tc>
      </w:tr>
      <w:tr>
        <w:trPr>
          <w:trHeight w:val="22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due to loss of NPNS exception</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38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6"/>
                <w:szCs w:val="16"/>
                <w:color w:val="auto"/>
              </w:rPr>
              <w:t>Change in unrealized losses included in earnings for derivatives and</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financial instruments held as of June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63"/>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58"/>
              <w:spacing w:after="0"/>
              <w:rPr>
                <w:sz w:val="20"/>
                <w:szCs w:val="20"/>
                <w:color w:val="auto"/>
              </w:rPr>
            </w:pPr>
            <w:r>
              <w:rPr>
                <w:rFonts w:ascii="Times New Roman" w:cs="Times New Roman" w:eastAsia="Times New Roman" w:hAnsi="Times New Roman"/>
                <w:sz w:val="18"/>
                <w:szCs w:val="18"/>
                <w:color w:val="231F20"/>
              </w:rPr>
              <w:t>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and Financial Instruments Fair Value Measurements</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June 30, 2022, contracts valued with prices provided by models and other valuation techniques make up 99% of derivative liabilities and 100% of other financial instruments.</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quantifies the significant unobservable inputs used in developing the fair value of the Company’s Level 3 positions as of June 30,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June 30, 2022</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6"/>
              </w:rPr>
              <w:t>Input/Range</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50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6"/>
              </w:rPr>
              <w:t>Significant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4"/>
                <w:szCs w:val="14"/>
                <w:color w:val="auto"/>
              </w:rPr>
            </w:pPr>
          </w:p>
        </w:tc>
        <w:tc>
          <w:tcPr>
            <w:tcW w:w="1180" w:type="dxa"/>
            <w:vAlign w:val="bottom"/>
            <w:vMerge w:val="restart"/>
          </w:tcPr>
          <w:p>
            <w:pPr>
              <w:jc w:val="right"/>
              <w:ind w:right="237"/>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vMerge w:val="continue"/>
          </w:tcPr>
          <w:p>
            <w:pPr>
              <w:spacing w:after="0"/>
              <w:rPr>
                <w:sz w:val="14"/>
                <w:szCs w:val="14"/>
                <w:color w:val="auto"/>
              </w:rPr>
            </w:pP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auto"/>
                <w:w w:val="98"/>
              </w:rPr>
              <w:t>Unobservable</w:t>
            </w:r>
          </w:p>
        </w:tc>
        <w:tc>
          <w:tcPr>
            <w:tcW w:w="300" w:type="dxa"/>
            <w:vAlign w:val="bottom"/>
          </w:tcPr>
          <w:p>
            <w:pPr>
              <w:spacing w:after="0"/>
              <w:rPr>
                <w:sz w:val="14"/>
                <w:szCs w:val="14"/>
                <w:color w:val="auto"/>
              </w:rPr>
            </w:pPr>
          </w:p>
        </w:tc>
        <w:tc>
          <w:tcPr>
            <w:tcW w:w="1040" w:type="dxa"/>
            <w:vAlign w:val="bottom"/>
            <w:vMerge w:val="restart"/>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Low</w:t>
            </w:r>
          </w:p>
        </w:tc>
        <w:tc>
          <w:tcPr>
            <w:tcW w:w="140" w:type="dxa"/>
            <w:vAlign w:val="bottom"/>
          </w:tcPr>
          <w:p>
            <w:pPr>
              <w:spacing w:after="0"/>
              <w:rPr>
                <w:sz w:val="14"/>
                <w:szCs w:val="14"/>
                <w:color w:val="auto"/>
              </w:rPr>
            </w:pPr>
          </w:p>
        </w:tc>
        <w:tc>
          <w:tcPr>
            <w:tcW w:w="1200" w:type="dxa"/>
            <w:vAlign w:val="bottom"/>
            <w:vMerge w:val="restart"/>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High</w:t>
            </w:r>
          </w:p>
        </w:tc>
        <w:tc>
          <w:tcPr>
            <w:tcW w:w="2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gridSpan w:val="2"/>
          </w:tcPr>
          <w:p>
            <w:pPr>
              <w:jc w:val="right"/>
              <w:ind w:right="857"/>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Commodity Contracts</w:t>
            </w:r>
          </w:p>
        </w:tc>
        <w:tc>
          <w:tcPr>
            <w:tcW w:w="920" w:type="dxa"/>
            <w:vAlign w:val="bottom"/>
            <w:vMerge w:val="restart"/>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353</w:t>
            </w:r>
          </w:p>
        </w:tc>
        <w:tc>
          <w:tcPr>
            <w:tcW w:w="12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w w:val="97"/>
              </w:rPr>
              <w:t>Discounted Cash</w:t>
            </w:r>
          </w:p>
        </w:tc>
        <w:tc>
          <w:tcPr>
            <w:tcW w:w="150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w w:val="99"/>
              </w:rPr>
              <w:t>Forward Market Price</w:t>
            </w:r>
          </w:p>
        </w:tc>
        <w:tc>
          <w:tcPr>
            <w:tcW w:w="30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109.37</w:t>
            </w: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0" w:type="dxa"/>
            <w:vAlign w:val="bottom"/>
          </w:tcPr>
          <w:p>
            <w:pPr>
              <w:spacing w:after="0"/>
              <w:rPr>
                <w:sz w:val="1"/>
                <w:szCs w:val="1"/>
                <w:color w:val="auto"/>
              </w:rPr>
            </w:pPr>
          </w:p>
        </w:tc>
      </w:tr>
      <w:tr>
        <w:trPr>
          <w:trHeight w:val="211"/>
        </w:trPr>
        <w:tc>
          <w:tcPr>
            <w:tcW w:w="18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(per MWh)</w:t>
            </w: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Forecast annual</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Financial</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Discounted Cash</w:t>
            </w:r>
          </w:p>
        </w:tc>
        <w:tc>
          <w:tcPr>
            <w:tcW w:w="15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generation levels of</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8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21</w:t>
            </w:r>
          </w:p>
        </w:tc>
        <w:tc>
          <w:tcPr>
            <w:tcW w:w="1180" w:type="dxa"/>
            <w:vAlign w:val="bottom"/>
            <w:vMerge w:val="restart"/>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8"/>
              </w:rPr>
              <w:t>certain DG solar</w:t>
            </w: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58,539 MWh</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117,078 MWh</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114,223 MWh</w:t>
            </w:r>
          </w:p>
        </w:tc>
        <w:tc>
          <w:tcPr>
            <w:tcW w:w="0" w:type="dxa"/>
            <w:vAlign w:val="bottom"/>
          </w:tcPr>
          <w:p>
            <w:pPr>
              <w:spacing w:after="0"/>
              <w:rPr>
                <w:sz w:val="1"/>
                <w:szCs w:val="1"/>
                <w:color w:val="auto"/>
              </w:rPr>
            </w:pPr>
          </w:p>
        </w:tc>
      </w:tr>
      <w:tr>
        <w:trPr>
          <w:trHeight w:val="20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9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Flow</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facilities</w:t>
            </w:r>
          </w:p>
        </w:tc>
        <w:tc>
          <w:tcPr>
            <w:tcW w:w="3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provides the impact on the fair value measurements to increases/(decreases) in significant unobservable inputs as of June 30,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Significant Unobservable Input</w:t>
            </w:r>
          </w:p>
        </w:tc>
        <w:tc>
          <w:tcPr>
            <w:tcW w:w="2040" w:type="dxa"/>
            <w:vAlign w:val="bottom"/>
            <w:tcBorders>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220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w w:val="96"/>
              </w:rPr>
              <w:t>Change In Input</w:t>
            </w:r>
          </w:p>
        </w:tc>
        <w:tc>
          <w:tcPr>
            <w:tcW w:w="292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6"/>
              </w:rPr>
              <w:t>Impact on Fair Value Measurement</w:t>
            </w:r>
          </w:p>
        </w:tc>
      </w:tr>
      <w:tr>
        <w:trPr>
          <w:trHeight w:val="217"/>
        </w:trPr>
        <w:tc>
          <w:tcPr>
            <w:tcW w:w="4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Forward Market Price Power</w:t>
            </w:r>
          </w:p>
        </w:tc>
        <w:tc>
          <w:tcPr>
            <w:tcW w:w="20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Sell</w:t>
            </w:r>
          </w:p>
        </w:tc>
        <w:tc>
          <w:tcPr>
            <w:tcW w:w="220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9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Lower/(Higher)</w:t>
            </w:r>
          </w:p>
        </w:tc>
      </w:tr>
      <w:tr>
        <w:trPr>
          <w:trHeight w:val="228"/>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Forecast Generation Levels</w:t>
            </w:r>
          </w:p>
        </w:tc>
        <w:tc>
          <w:tcPr>
            <w:tcW w:w="20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Sell</w:t>
            </w:r>
          </w:p>
        </w:tc>
        <w:tc>
          <w:tcPr>
            <w:tcW w:w="22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7"/>
              </w:rPr>
              <w:t>Increase/(Decrease)</w:t>
            </w:r>
          </w:p>
        </w:tc>
        <w:tc>
          <w:tcPr>
            <w:tcW w:w="2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Higher/(Lower)</w:t>
            </w:r>
          </w:p>
        </w:tc>
      </w:tr>
    </w:tbl>
    <w:p>
      <w:pPr>
        <w:spacing w:after="0" w:line="214"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June 30, 2022, the non-performance reserve was a $47 million gain recorded primarily to total operating revenues in the consolidated statement of income. It is possible that future market prices could vary from those used in recording assets and liabilities and such variations could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3" w:lineRule="exact"/>
        <w:rPr>
          <w:sz w:val="20"/>
          <w:szCs w:val="20"/>
          <w:color w:val="auto"/>
        </w:rPr>
      </w:pPr>
    </w:p>
    <w:p>
      <w:pPr>
        <w:jc w:val="both"/>
        <w:ind w:firstLine="395"/>
        <w:spacing w:after="0" w:line="283" w:lineRule="auto"/>
        <w:rPr>
          <w:sz w:val="20"/>
          <w:szCs w:val="20"/>
          <w:color w:val="auto"/>
        </w:rPr>
      </w:pPr>
      <w:r>
        <w:rPr>
          <w:rFonts w:ascii="Times New Roman" w:cs="Times New Roman" w:eastAsia="Times New Roman" w:hAnsi="Times New Roman"/>
          <w:sz w:val="16"/>
          <w:szCs w:val="16"/>
          <w:color w:val="auto"/>
        </w:rPr>
        <w:t xml:space="preserve">In addition to the credit risk discussion as disclosed under Item 15 — Note 2, </w:t>
      </w:r>
      <w:r>
        <w:rPr>
          <w:rFonts w:ascii="Times New Roman" w:cs="Times New Roman" w:eastAsia="Times New Roman" w:hAnsi="Times New Roman"/>
          <w:sz w:val="16"/>
          <w:szCs w:val="16"/>
          <w:i w:val="1"/>
          <w:iCs w:val="1"/>
          <w:color w:val="auto"/>
        </w:rPr>
        <w:t>Summary of Significant Accounting Policies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to the</w:t>
      </w:r>
      <w:r>
        <w:rPr>
          <w:rFonts w:ascii="Times New Roman" w:cs="Times New Roman" w:eastAsia="Times New Roman" w:hAnsi="Times New Roman"/>
          <w:sz w:val="16"/>
          <w:szCs w:val="16"/>
          <w:color w:val="auto"/>
        </w:rPr>
        <w:t xml:space="preserve"> consolidated financial statements included in the </w:t>
      </w:r>
      <w:r>
        <w:rPr>
          <w:rFonts w:ascii="Times New Roman" w:cs="Times New Roman" w:eastAsia="Times New Roman" w:hAnsi="Times New Roman"/>
          <w:sz w:val="16"/>
          <w:szCs w:val="16"/>
          <w:color w:val="231F20"/>
        </w:rPr>
        <w:t>Company’s</w:t>
      </w:r>
      <w:r>
        <w:rPr>
          <w:rFonts w:ascii="Times New Roman" w:cs="Times New Roman" w:eastAsia="Times New Roman" w:hAnsi="Times New Roman"/>
          <w:sz w:val="16"/>
          <w:szCs w:val="16"/>
          <w:color w:val="auto"/>
        </w:rPr>
        <w:t xml:space="preserve"> 2021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3" w:name="page24"/>
    <w:bookmarkEnd w:id="23"/>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163"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Item 15 — Note 7, </w:t>
      </w:r>
      <w:r>
        <w:rPr>
          <w:rFonts w:ascii="Times New Roman" w:cs="Times New Roman" w:eastAsia="Times New Roman" w:hAnsi="Times New Roman"/>
          <w:sz w:val="18"/>
          <w:szCs w:val="18"/>
          <w:i w:val="1"/>
          <w:iCs w:val="1"/>
          <w:color w:val="auto"/>
        </w:rPr>
        <w:t>Accounting for 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31F20"/>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2021 Form 10-K.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June 30,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June 30, 2022, the Company had energy-related derivative instruments extending through 2033. At June 30, 2022, these contracts were not designated as cash flow or fair value hedges.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buy/(sell) of the Company’s open derivative transactions broken out by commodity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December 31, 2021: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Total Volume</w:t>
            </w:r>
          </w:p>
        </w:tc>
        <w:tc>
          <w:tcPr>
            <w:tcW w:w="148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w w:val="97"/>
              </w:rPr>
              <w:t>December 31, 2021</w:t>
            </w:r>
          </w:p>
        </w:tc>
      </w:tr>
      <w:tr>
        <w:trPr>
          <w:trHeight w:val="145"/>
        </w:trPr>
        <w:tc>
          <w:tcPr>
            <w:tcW w:w="20" w:type="dxa"/>
            <w:vAlign w:val="bottom"/>
          </w:tcPr>
          <w:p>
            <w:pPr>
              <w:spacing w:after="0"/>
              <w:rPr>
                <w:sz w:val="12"/>
                <w:szCs w:val="12"/>
                <w:color w:val="auto"/>
              </w:rPr>
            </w:pPr>
          </w:p>
        </w:tc>
        <w:tc>
          <w:tcPr>
            <w:tcW w:w="19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Commodity</w:t>
            </w:r>
          </w:p>
        </w:tc>
        <w:tc>
          <w:tcPr>
            <w:tcW w:w="20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Units</w:t>
            </w:r>
          </w:p>
        </w:tc>
        <w:tc>
          <w:tcPr>
            <w:tcW w:w="3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4"/>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MMBtu</w:t>
            </w:r>
          </w:p>
        </w:tc>
        <w:tc>
          <w:tcPr>
            <w:tcW w:w="3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MWh</w:t>
            </w:r>
          </w:p>
        </w:tc>
        <w:tc>
          <w:tcPr>
            <w:tcW w:w="3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Dollars</w:t>
            </w:r>
          </w:p>
        </w:tc>
        <w:tc>
          <w:tcPr>
            <w:tcW w:w="478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8"/>
              </w:rPr>
              <w:t>1,200</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763"/>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jc w:val="right"/>
              <w:ind w:right="1652"/>
              <w:spacing w:after="0"/>
              <w:rPr>
                <w:sz w:val="20"/>
                <w:szCs w:val="20"/>
                <w:color w:val="auto"/>
              </w:rPr>
            </w:pPr>
            <w:r>
              <w:rPr>
                <w:rFonts w:ascii="Times New Roman" w:cs="Times New Roman" w:eastAsia="Times New Roman" w:hAnsi="Times New Roman"/>
                <w:sz w:val="18"/>
                <w:szCs w:val="18"/>
                <w:color w:val="231F20"/>
              </w:rPr>
              <w:t>24</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
        </w:trPr>
        <w:tc>
          <w:tcPr>
            <w:tcW w:w="4560" w:type="dxa"/>
            <w:vAlign w:val="bottom"/>
          </w:tcPr>
          <w:p>
            <w:pPr>
              <w:spacing w:after="0"/>
              <w:rPr>
                <w:sz w:val="2"/>
                <w:szCs w:val="2"/>
                <w:color w:val="auto"/>
              </w:rPr>
            </w:pPr>
          </w:p>
        </w:tc>
        <w:tc>
          <w:tcPr>
            <w:tcW w:w="340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184"/>
        </w:trPr>
        <w:tc>
          <w:tcPr>
            <w:tcW w:w="4560" w:type="dxa"/>
            <w:vAlign w:val="bottom"/>
          </w:tcPr>
          <w:p>
            <w:pPr>
              <w:spacing w:after="0"/>
              <w:rPr>
                <w:sz w:val="16"/>
                <w:szCs w:val="16"/>
                <w:color w:val="auto"/>
              </w:rPr>
            </w:pPr>
          </w:p>
        </w:tc>
        <w:tc>
          <w:tcPr>
            <w:tcW w:w="3400" w:type="dxa"/>
            <w:vAlign w:val="bottom"/>
            <w:gridSpan w:val="6"/>
          </w:tcPr>
          <w:p>
            <w:pPr>
              <w:ind w:left="11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60" w:type="dxa"/>
            <w:vAlign w:val="bottom"/>
          </w:tcPr>
          <w:p>
            <w:pPr>
              <w:spacing w:after="0"/>
              <w:rPr>
                <w:sz w:val="16"/>
                <w:szCs w:val="16"/>
                <w:color w:val="auto"/>
              </w:rPr>
            </w:pPr>
          </w:p>
        </w:tc>
        <w:tc>
          <w:tcPr>
            <w:tcW w:w="292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r>
      <w:tr>
        <w:trPr>
          <w:trHeight w:val="191"/>
        </w:trPr>
        <w:tc>
          <w:tcPr>
            <w:tcW w:w="456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1"/>
        </w:trPr>
        <w:tc>
          <w:tcPr>
            <w:tcW w:w="4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30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1300" w:type="dxa"/>
            <w:vAlign w:val="bottom"/>
            <w:tcBorders>
              <w:top w:val="single" w:sz="8" w:color="auto"/>
              <w:bottom w:val="single" w:sz="8" w:color="auto"/>
            </w:tcBorders>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30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130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4"/>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13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7"/>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1300" w:type="dxa"/>
            <w:vAlign w:val="bottom"/>
            <w:tcBorders>
              <w:top w:val="single" w:sz="8" w:color="auto"/>
              <w:bottom w:val="single" w:sz="8" w:color="auto"/>
            </w:tcBorders>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2"/>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300" w:type="dxa"/>
            <w:vAlign w:val="bottom"/>
            <w:tcBorders>
              <w:bottom w:val="single" w:sz="8" w:color="auto"/>
            </w:tcBorders>
            <w:shd w:val="clear" w:color="auto" w:fill="CCEEFF"/>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level. As of June 30, 2022 and December 31, 2021, there was no outstanding collateral paid or received. The following tables summarize the offsetting of derivatives by counterparty: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20" w:type="dxa"/>
            <w:vAlign w:val="bottom"/>
            <w:gridSpan w:val="6"/>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Statement of Financial Position</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200" w:type="dxa"/>
            <w:vAlign w:val="bottom"/>
          </w:tcPr>
          <w:p>
            <w:pPr>
              <w:spacing w:after="0"/>
              <w:rPr>
                <w:sz w:val="10"/>
                <w:szCs w:val="10"/>
                <w:color w:val="auto"/>
              </w:rPr>
            </w:pPr>
          </w:p>
        </w:tc>
        <w:tc>
          <w:tcPr>
            <w:tcW w:w="230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Gross Amounts of Recognized</w:t>
            </w:r>
          </w:p>
        </w:tc>
        <w:tc>
          <w:tcPr>
            <w:tcW w:w="300" w:type="dxa"/>
            <w:vAlign w:val="bottom"/>
          </w:tcPr>
          <w:p>
            <w:pPr>
              <w:spacing w:after="0"/>
              <w:rPr>
                <w:sz w:val="10"/>
                <w:szCs w:val="10"/>
                <w:color w:val="auto"/>
              </w:rPr>
            </w:pPr>
          </w:p>
        </w:tc>
        <w:tc>
          <w:tcPr>
            <w:tcW w:w="2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0"/>
                <w:szCs w:val="10"/>
                <w:color w:val="auto"/>
              </w:rPr>
            </w:pPr>
          </w:p>
        </w:tc>
        <w:tc>
          <w:tcPr>
            <w:tcW w:w="13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7"/>
        </w:trPr>
        <w:tc>
          <w:tcPr>
            <w:tcW w:w="44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Assets/Liabilities</w:t>
            </w: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2"/>
            <w:vMerge w:val="continue"/>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6"/>
          </w:tcPr>
          <w:p>
            <w:pPr>
              <w:jc w:val="center"/>
              <w:ind w:left="1078"/>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Statement of Financial Position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200" w:type="dxa"/>
            <w:vAlign w:val="bottom"/>
          </w:tcPr>
          <w:p>
            <w:pPr>
              <w:spacing w:after="0"/>
              <w:rPr>
                <w:sz w:val="11"/>
                <w:szCs w:val="11"/>
                <w:color w:val="auto"/>
              </w:rPr>
            </w:pPr>
          </w:p>
        </w:tc>
        <w:tc>
          <w:tcPr>
            <w:tcW w:w="230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Gross Amounts of Recognized</w:t>
            </w:r>
          </w:p>
        </w:tc>
        <w:tc>
          <w:tcPr>
            <w:tcW w:w="300" w:type="dxa"/>
            <w:vAlign w:val="bottom"/>
          </w:tcPr>
          <w:p>
            <w:pPr>
              <w:spacing w:after="0"/>
              <w:rPr>
                <w:sz w:val="11"/>
                <w:szCs w:val="11"/>
                <w:color w:val="auto"/>
              </w:rPr>
            </w:pPr>
          </w:p>
        </w:tc>
        <w:tc>
          <w:tcPr>
            <w:tcW w:w="2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460" w:type="dxa"/>
            <w:vAlign w:val="bottom"/>
          </w:tcPr>
          <w:p>
            <w:pPr>
              <w:spacing w:after="0"/>
              <w:rPr>
                <w:sz w:val="11"/>
                <w:szCs w:val="11"/>
                <w:color w:val="auto"/>
              </w:rPr>
            </w:pPr>
          </w:p>
        </w:tc>
        <w:tc>
          <w:tcPr>
            <w:tcW w:w="13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Assets/Liabilities</w:t>
            </w: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80"/>
              <w:spacing w:after="0" w:line="204" w:lineRule="exact"/>
              <w:rPr>
                <w:sz w:val="20"/>
                <w:szCs w:val="20"/>
                <w:color w:val="auto"/>
              </w:rPr>
            </w:pPr>
            <w:r>
              <w:rPr>
                <w:rFonts w:ascii="Times New Roman" w:cs="Times New Roman" w:eastAsia="Times New Roman" w:hAnsi="Times New Roman"/>
                <w:sz w:val="18"/>
                <w:szCs w:val="18"/>
                <w:b w:val="1"/>
                <w:bCs w:val="1"/>
                <w:color w:val="auto"/>
              </w:rPr>
              <w:t>Commodity contracts</w:t>
            </w:r>
          </w:p>
        </w:tc>
        <w:tc>
          <w:tcPr>
            <w:tcW w:w="2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assets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 liabilities</w:t>
            </w: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7"/>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jc w:val="right"/>
              <w:ind w:right="1058"/>
              <w:spacing w:after="0"/>
              <w:rPr>
                <w:sz w:val="20"/>
                <w:szCs w:val="20"/>
                <w:color w:val="auto"/>
              </w:rPr>
            </w:pPr>
            <w:r>
              <w:rPr>
                <w:rFonts w:ascii="Times New Roman" w:cs="Times New Roman" w:eastAsia="Times New Roman" w:hAnsi="Times New Roman"/>
                <w:sz w:val="18"/>
                <w:szCs w:val="18"/>
                <w:color w:val="231F20"/>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3"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OCI (OCL) balance attributable to interest rate swaps designated as cash flow hedge derivatives, net of tax:</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38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2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4"/>
        </w:trPr>
        <w:tc>
          <w:tcPr>
            <w:tcW w:w="5500" w:type="dxa"/>
            <w:vAlign w:val="bottom"/>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r>
      <w:tr>
        <w:trPr>
          <w:trHeight w:val="191"/>
        </w:trPr>
        <w:tc>
          <w:tcPr>
            <w:tcW w:w="5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OCI (OCL) beginning balance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71"/>
        </w:trPr>
        <w:tc>
          <w:tcPr>
            <w:tcW w:w="550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Reclassified from accumulated OCI (OCL) to income due to realization of</w:t>
            </w: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37"/>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previously deferred amounts</w:t>
            </w:r>
          </w:p>
        </w:tc>
        <w:tc>
          <w:tcPr>
            <w:tcW w:w="960" w:type="dxa"/>
            <w:vAlign w:val="bottom"/>
          </w:tcPr>
          <w:p>
            <w:pPr>
              <w:spacing w:after="0"/>
              <w:rPr>
                <w:sz w:val="20"/>
                <w:szCs w:val="20"/>
                <w:color w:val="auto"/>
              </w:rPr>
            </w:pPr>
          </w:p>
        </w:tc>
        <w:tc>
          <w:tcPr>
            <w:tcW w:w="38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51"/>
        </w:trPr>
        <w:tc>
          <w:tcPr>
            <w:tcW w:w="55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Accumulated OCI (OCL) ending balance, net of income tax (benefit) expense</w:t>
            </w: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37"/>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of $—, $(4) ,$1 and $(4), respectively</w:t>
            </w: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OCI (OCL) attributable to noncontrolling interests</w:t>
            </w:r>
          </w:p>
        </w:tc>
        <w:tc>
          <w:tcPr>
            <w:tcW w:w="9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7"/>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OCI (OCL) attributable to Clearway Energy, Inc.</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37"/>
        </w:trPr>
        <w:tc>
          <w:tcPr>
            <w:tcW w:w="55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Losses expected to be realized from OCI during the next 12 months, net of</w:t>
            </w:r>
          </w:p>
        </w:tc>
        <w:tc>
          <w:tcPr>
            <w:tcW w:w="9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237"/>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of $—</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r>
    </w:tbl>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reclassified from accumulated OCI (OCL) into income are recorded to interest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the Consolidated Statements of Income</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Mark-to-market gains and losses related to the Company’s derivatives are recorded in the consolidated statements of income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2400" w:type="dxa"/>
            <w:vAlign w:val="bottom"/>
            <w:gridSpan w:val="3"/>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242424"/>
                <w:w w:val="88"/>
              </w:rPr>
              <w:t>$</w:t>
            </w:r>
          </w:p>
        </w:tc>
        <w:tc>
          <w:tcPr>
            <w:tcW w:w="10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242424"/>
              </w:rPr>
              <w:t>36</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9"/>
              </w:rPr>
              <w:t>(11)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242424"/>
                <w:w w:val="88"/>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242424"/>
              </w:rPr>
              <w:t>77</w:t>
            </w:r>
          </w:p>
        </w:tc>
        <w:tc>
          <w:tcPr>
            <w:tcW w:w="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Commodity Contracts (Mark-to-market for economic hedging activities) </w:t>
            </w:r>
            <w:r>
              <w:rPr>
                <w:rFonts w:ascii="Times New Roman" w:cs="Times New Roman" w:eastAsia="Times New Roman" w:hAnsi="Times New Roman"/>
                <w:sz w:val="22"/>
                <w:szCs w:val="22"/>
                <w:color w:val="auto"/>
                <w:vertAlign w:val="superscript"/>
              </w:rPr>
              <w:t>(a)</w:t>
            </w:r>
          </w:p>
        </w:tc>
        <w:tc>
          <w:tcPr>
            <w:tcW w:w="320" w:type="dxa"/>
            <w:vAlign w:val="bottom"/>
          </w:tcPr>
          <w:p>
            <w:pPr>
              <w:spacing w:after="0"/>
              <w:rPr>
                <w:sz w:val="24"/>
                <w:szCs w:val="24"/>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242424"/>
              </w:rPr>
              <w:t>(49)</w:t>
            </w:r>
          </w:p>
        </w:tc>
        <w:tc>
          <w:tcPr>
            <w:tcW w:w="380" w:type="dxa"/>
            <w:vAlign w:val="bottom"/>
          </w:tcPr>
          <w:p>
            <w:pPr>
              <w:spacing w:after="0"/>
              <w:rPr>
                <w:sz w:val="24"/>
                <w:szCs w:val="24"/>
                <w:color w:val="auto"/>
              </w:rPr>
            </w:pP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242424"/>
              </w:rPr>
              <w:t>(174)</w:t>
            </w:r>
          </w:p>
        </w:tc>
        <w:tc>
          <w:tcPr>
            <w:tcW w:w="3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33" w:lineRule="exact"/>
        <w:rPr>
          <w:sz w:val="20"/>
          <w:szCs w:val="20"/>
          <w:color w:val="auto"/>
        </w:rPr>
      </w:pPr>
    </w:p>
    <w:p>
      <w:pPr>
        <w:jc w:val="both"/>
        <w:ind w:firstLine="84"/>
        <w:spacing w:after="0" w:line="233" w:lineRule="auto"/>
        <w:tabs>
          <w:tab w:leader="none" w:pos="24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Relates to long-term commodity contracts at Elbow Creek Wind Project LLC, or Elbow Creek, Mesquite Star, Mt. Storm, Langford and Mesquite Sky and gains or losses are recognized in operating revenues. During the six months ended June 30, 2022, the commodity contract for Langford, which previously met the NPNS exception, no longer qualified for NPNS treatment and, accordingly, is accounted for as a derivative and marked to market value through operating revenues.</w:t>
      </w:r>
    </w:p>
    <w:p>
      <w:pPr>
        <w:spacing w:after="0" w:line="14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 xml:space="preserve">Prior to the Thermal Disposition, which is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a portion of the Company’s derivative commodity contracts were related to its Thermal Business for the purchase of fuel/electricity commodities based on the forecasted usage of the thermal district energy centers. Realized gains and losses on these contracts were reflected in the fuel costs that were permitted to be billed to customers through the related customer contracts or tariffs and, accordingly, no gains or losses were reflected in the consolidated statements of income for these contracts through the period that the Company owned the Thermal Business.</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111" w:lineRule="exact"/>
        <w:rPr>
          <w:sz w:val="20"/>
          <w:szCs w:val="20"/>
          <w:color w:val="auto"/>
        </w:rPr>
      </w:pPr>
    </w:p>
    <w:p>
      <w:pPr>
        <w:ind w:firstLine="395"/>
        <w:spacing w:after="0" w:line="331" w:lineRule="auto"/>
        <w:rPr>
          <w:sz w:val="20"/>
          <w:szCs w:val="20"/>
          <w:color w:val="auto"/>
        </w:rPr>
      </w:pPr>
      <w:r>
        <w:rPr>
          <w:rFonts w:ascii="Times New Roman" w:cs="Times New Roman" w:eastAsia="Times New Roman" w:hAnsi="Times New Roman"/>
          <w:sz w:val="16"/>
          <w:szCs w:val="16"/>
          <w:color w:val="auto"/>
        </w:rPr>
        <w:t xml:space="preserve">This note should be read in conjunction with the complete description under Item 15 — Note 10, </w:t>
      </w:r>
      <w:r>
        <w:rPr>
          <w:rFonts w:ascii="Times New Roman" w:cs="Times New Roman" w:eastAsia="Times New Roman" w:hAnsi="Times New Roman"/>
          <w:sz w:val="16"/>
          <w:szCs w:val="16"/>
          <w:i w:val="1"/>
          <w:iCs w:val="1"/>
          <w:color w:val="auto"/>
        </w:rPr>
        <w:t>Long-term Debt,</w:t>
      </w:r>
      <w:r>
        <w:rPr>
          <w:rFonts w:ascii="Times New Roman" w:cs="Times New Roman" w:eastAsia="Times New Roman" w:hAnsi="Times New Roman"/>
          <w:sz w:val="16"/>
          <w:szCs w:val="16"/>
          <w:color w:val="auto"/>
        </w:rPr>
        <w:t xml:space="preserve"> to the consolidated financial statements included in the Company’s 2021 Form 10-K. The Company’s borrowings, including short-term and long-term portions consisted of the following:</w:t>
      </w:r>
    </w:p>
    <w:tbl>
      <w:tblPr>
        <w:tblLayout w:type="fixed"/>
        <w:tblInd w:w="0" w:type="dxa"/>
        <w:tblCellMar>
          <w:top w:w="0" w:type="dxa"/>
          <w:left w:w="0" w:type="dxa"/>
          <w:bottom w:w="0" w:type="dxa"/>
          <w:right w:w="0" w:type="dxa"/>
        </w:tblCellMar>
      </w:tblPr>
      <w:tr>
        <w:trPr>
          <w:trHeight w:val="146"/>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2022 interest rate</w:t>
            </w:r>
          </w:p>
        </w:tc>
        <w:tc>
          <w:tcPr>
            <w:tcW w:w="180" w:type="dxa"/>
            <w:vAlign w:val="bottom"/>
          </w:tcPr>
          <w:p>
            <w:pPr>
              <w:spacing w:after="0"/>
              <w:rPr>
                <w:sz w:val="12"/>
                <w:szCs w:val="12"/>
                <w:color w:val="auto"/>
              </w:rPr>
            </w:pPr>
          </w:p>
        </w:tc>
        <w:tc>
          <w:tcPr>
            <w:tcW w:w="1400" w:type="dxa"/>
            <w:vAlign w:val="bottom"/>
          </w:tcPr>
          <w:p>
            <w:pPr>
              <w:jc w:val="center"/>
              <w:ind w:right="122"/>
              <w:spacing w:after="0" w:line="147" w:lineRule="exact"/>
              <w:rPr>
                <w:sz w:val="20"/>
                <w:szCs w:val="20"/>
                <w:color w:val="auto"/>
              </w:rPr>
            </w:pPr>
            <w:r>
              <w:rPr>
                <w:rFonts w:ascii="Times New Roman" w:cs="Times New Roman" w:eastAsia="Times New Roman" w:hAnsi="Times New Roman"/>
                <w:sz w:val="14"/>
                <w:szCs w:val="14"/>
                <w:b w:val="1"/>
                <w:bCs w:val="1"/>
                <w:color w:val="auto"/>
                <w:w w:val="99"/>
              </w:rPr>
              <w:t>Letters of Credit</w:t>
            </w:r>
          </w:p>
        </w:tc>
        <w:tc>
          <w:tcPr>
            <w:tcW w:w="0" w:type="dxa"/>
            <w:vAlign w:val="bottom"/>
          </w:tcPr>
          <w:p>
            <w:pPr>
              <w:spacing w:after="0"/>
              <w:rPr>
                <w:sz w:val="1"/>
                <w:szCs w:val="1"/>
                <w:color w:val="auto"/>
              </w:rPr>
            </w:pPr>
          </w:p>
        </w:tc>
      </w:tr>
      <w:tr>
        <w:trPr>
          <w:trHeight w:val="14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rates)</w:t>
            </w:r>
          </w:p>
        </w:tc>
        <w:tc>
          <w:tcPr>
            <w:tcW w:w="1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5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Outstanding at June 30,</w:t>
            </w:r>
          </w:p>
        </w:tc>
        <w:tc>
          <w:tcPr>
            <w:tcW w:w="0" w:type="dxa"/>
            <w:vAlign w:val="bottom"/>
          </w:tcPr>
          <w:p>
            <w:pPr>
              <w:spacing w:after="0"/>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9"/>
                <w:szCs w:val="9"/>
                <w:b w:val="1"/>
                <w:bCs w:val="1"/>
                <w:color w:val="auto"/>
              </w:rPr>
              <w:t xml:space="preserve"> (a)</w:t>
            </w:r>
          </w:p>
        </w:tc>
        <w:tc>
          <w:tcPr>
            <w:tcW w:w="180" w:type="dxa"/>
            <w:vAlign w:val="bottom"/>
          </w:tcPr>
          <w:p>
            <w:pPr>
              <w:spacing w:after="0"/>
              <w:rPr>
                <w:sz w:val="17"/>
                <w:szCs w:val="17"/>
                <w:color w:val="auto"/>
              </w:rPr>
            </w:pPr>
          </w:p>
        </w:tc>
        <w:tc>
          <w:tcPr>
            <w:tcW w:w="14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4"/>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Senior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ind w:left="1103"/>
              <w:spacing w:after="0"/>
              <w:rPr>
                <w:sz w:val="20"/>
                <w:szCs w:val="20"/>
                <w:color w:val="auto"/>
              </w:rPr>
            </w:pPr>
            <w:r>
              <w:rPr>
                <w:rFonts w:ascii="Times New Roman" w:cs="Times New Roman" w:eastAsia="Times New Roman" w:hAnsi="Times New Roman"/>
                <w:sz w:val="16"/>
                <w:szCs w:val="16"/>
                <w:color w:val="auto"/>
                <w:w w:val="99"/>
              </w:rPr>
              <w:t>4.750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2031 Senior Notes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3.750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Senior Notes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3.750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Clearway Energy LLC and Clearway Energy Operating LLC Revolving Credit</w:t>
            </w:r>
          </w:p>
        </w:tc>
        <w:tc>
          <w:tcPr>
            <w:tcW w:w="140" w:type="dxa"/>
            <w:vAlign w:val="bottom"/>
          </w:tcPr>
          <w:p>
            <w:pPr>
              <w:spacing w:after="0"/>
              <w:rPr>
                <w:sz w:val="13"/>
                <w:szCs w:val="13"/>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3"/>
                <w:szCs w:val="13"/>
                <w:color w:val="auto"/>
              </w:rPr>
            </w:pPr>
          </w:p>
        </w:tc>
        <w:tc>
          <w:tcPr>
            <w:tcW w:w="1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242424"/>
                <w:w w:val="74"/>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42424"/>
              </w:rPr>
              <w:t>87</w:t>
            </w:r>
          </w:p>
        </w:tc>
        <w:tc>
          <w:tcPr>
            <w:tcW w:w="0" w:type="dxa"/>
            <w:vAlign w:val="bottom"/>
          </w:tcPr>
          <w:p>
            <w:pPr>
              <w:spacing w:after="0"/>
              <w:rPr>
                <w:sz w:val="1"/>
                <w:szCs w:val="1"/>
                <w:color w:val="auto"/>
              </w:rPr>
            </w:pPr>
          </w:p>
        </w:tc>
      </w:tr>
      <w:tr>
        <w:trPr>
          <w:trHeight w:val="211"/>
        </w:trPr>
        <w:tc>
          <w:tcPr>
            <w:tcW w:w="52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Facility, due 2023 </w:t>
            </w:r>
            <w:r>
              <w:rPr>
                <w:rFonts w:ascii="Times New Roman" w:cs="Times New Roman" w:eastAsia="Times New Roman" w:hAnsi="Times New Roman"/>
                <w:sz w:val="20"/>
                <w:szCs w:val="20"/>
                <w:color w:val="auto"/>
                <w:vertAlign w:val="superscript"/>
              </w:rPr>
              <w:t>(b)</w:t>
            </w: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Bridge Loan, due 2022 </w:t>
            </w:r>
            <w:r>
              <w:rPr>
                <w:rFonts w:ascii="Times New Roman" w:cs="Times New Roman" w:eastAsia="Times New Roman" w:hAnsi="Times New Roman"/>
                <w:sz w:val="20"/>
                <w:szCs w:val="20"/>
                <w:color w:val="auto"/>
                <w:vertAlign w:val="superscript"/>
              </w:rPr>
              <w:t>(c)</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S+1.250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Project-level debt:</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Agua Caliente Solar LLC, due 2037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2.395 - 3.633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45</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Asset Management LLC, due 2031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L+2.625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Alta Wind I-V lease financing arrangements, due 2034 and 2035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5.696 - 7.015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22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 Wind Realty Investments LLC, due 2031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7.000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Borrego, due 2024 and 2038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left="943"/>
              <w:spacing w:after="0"/>
              <w:rPr>
                <w:sz w:val="20"/>
                <w:szCs w:val="20"/>
                <w:color w:val="auto"/>
              </w:rPr>
            </w:pPr>
            <w:r>
              <w:rPr>
                <w:rFonts w:ascii="Times New Roman" w:cs="Times New Roman" w:eastAsia="Times New Roman" w:hAnsi="Times New Roman"/>
                <w:sz w:val="16"/>
                <w:szCs w:val="16"/>
                <w:color w:val="auto"/>
                <w:w w:val="94"/>
              </w:rPr>
              <w:t>Various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Buckthorn Solar, due 2025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23</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2027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82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Carlsbad Energy Holdings LLC, due 2038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4.120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Carlsbad Holdco, due 2038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4.210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10</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CVSR, due 2037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2.339 - 3.775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CVSR Holdco Notes, due 2037</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760" w:type="dxa"/>
            <w:vAlign w:val="bottom"/>
            <w:gridSpan w:val="2"/>
            <w:shd w:val="clear" w:color="auto" w:fill="CCEEFF"/>
          </w:tcPr>
          <w:p>
            <w:pPr>
              <w:jc w:val="center"/>
              <w:ind w:left="1201"/>
              <w:spacing w:after="0"/>
              <w:rPr>
                <w:sz w:val="20"/>
                <w:szCs w:val="20"/>
                <w:color w:val="auto"/>
              </w:rPr>
            </w:pPr>
            <w:r>
              <w:rPr>
                <w:rFonts w:ascii="Times New Roman" w:cs="Times New Roman" w:eastAsia="Times New Roman" w:hAnsi="Times New Roman"/>
                <w:sz w:val="16"/>
                <w:szCs w:val="16"/>
                <w:color w:val="auto"/>
                <w:w w:val="99"/>
              </w:rPr>
              <w:t>4.680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13</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DG-CS Master Borrower LLC, due 2040</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3.510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30</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 Segundo Energy Center, due 2023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L+1.875 - L+2.500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138</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Kawailoa Solar Portfolio LLC, due 2026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L+1.375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15</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Laredo Ridge, due 2028 </w:t>
            </w:r>
            <w:r>
              <w:rPr>
                <w:rFonts w:ascii="Times New Roman" w:cs="Times New Roman" w:eastAsia="Times New Roman" w:hAnsi="Times New Roman"/>
                <w:sz w:val="20"/>
                <w:szCs w:val="20"/>
                <w:color w:val="auto"/>
                <w:vertAlign w:val="superscript"/>
              </w:rPr>
              <w:t>(d)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L+2.125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Marsh Landing,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L+2.375</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73</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Mililani I, due 2022 and 2024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L+1.000 - L+1.250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2</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NIMH Solar, due 2024</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L+2.000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16</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Oahu Solar Holdings LLC, due 2026</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L+1.375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11</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Rosie Class B LLC, due 2027</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17</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Tapestry Wind LLC, due 2031 </w:t>
            </w:r>
            <w:r>
              <w:rPr>
                <w:rFonts w:ascii="Times New Roman" w:cs="Times New Roman" w:eastAsia="Times New Roman" w:hAnsi="Times New Roman"/>
                <w:sz w:val="20"/>
                <w:szCs w:val="20"/>
                <w:color w:val="auto"/>
                <w:vertAlign w:val="superscript"/>
              </w:rPr>
              <w:t>(d)</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L+1.375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 Solar Holdings, due 2036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760" w:type="dxa"/>
            <w:vAlign w:val="bottom"/>
            <w:gridSpan w:val="2"/>
          </w:tcPr>
          <w:p>
            <w:pPr>
              <w:jc w:val="center"/>
              <w:ind w:left="1201"/>
              <w:spacing w:after="0"/>
              <w:rPr>
                <w:sz w:val="20"/>
                <w:szCs w:val="20"/>
                <w:color w:val="auto"/>
              </w:rPr>
            </w:pPr>
            <w:r>
              <w:rPr>
                <w:rFonts w:ascii="Times New Roman" w:cs="Times New Roman" w:eastAsia="Times New Roman" w:hAnsi="Times New Roman"/>
                <w:sz w:val="16"/>
                <w:szCs w:val="16"/>
                <w:color w:val="auto"/>
                <w:w w:val="99"/>
              </w:rPr>
              <w:t>3.590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15</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Viento Funding II, LLC, due 2023 and 2029 </w:t>
            </w:r>
            <w:r>
              <w:rPr>
                <w:rFonts w:ascii="Times New Roman" w:cs="Times New Roman" w:eastAsia="Times New Roman" w:hAnsi="Times New Roman"/>
                <w:sz w:val="20"/>
                <w:szCs w:val="20"/>
                <w:color w:val="auto"/>
                <w:vertAlign w:val="superscript"/>
              </w:rPr>
              <w:t>(d)</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S+1.475</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26</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Walnut Creek, due 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L+1.750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242424"/>
              </w:rPr>
              <w:t>133</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WCEP Holdings, LLC, due 2023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L+3.000</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42424"/>
              </w:rPr>
              <w:t>—</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CCEEFF"/>
            </w:tcBorders>
            <w:gridSpan w:val="2"/>
          </w:tcPr>
          <w:p>
            <w:pPr>
              <w:jc w:val="center"/>
              <w:ind w:left="943"/>
              <w:spacing w:after="0"/>
              <w:rPr>
                <w:sz w:val="20"/>
                <w:szCs w:val="20"/>
                <w:color w:val="auto"/>
              </w:rPr>
            </w:pPr>
            <w:r>
              <w:rPr>
                <w:rFonts w:ascii="Times New Roman" w:cs="Times New Roman" w:eastAsia="Times New Roman" w:hAnsi="Times New Roman"/>
                <w:sz w:val="16"/>
                <w:szCs w:val="16"/>
                <w:color w:val="auto"/>
                <w:w w:val="94"/>
              </w:rPr>
              <w:t>Various</w:t>
            </w:r>
          </w:p>
        </w:tc>
        <w:tc>
          <w:tcPr>
            <w:tcW w:w="1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242424"/>
              </w:rPr>
              <w:t>191</w:t>
            </w:r>
          </w:p>
        </w:tc>
        <w:tc>
          <w:tcPr>
            <w:tcW w:w="0" w:type="dxa"/>
            <w:vAlign w:val="bottom"/>
          </w:tcPr>
          <w:p>
            <w:pPr>
              <w:spacing w:after="0"/>
              <w:rPr>
                <w:sz w:val="1"/>
                <w:szCs w:val="1"/>
                <w:color w:val="auto"/>
              </w:rPr>
            </w:pPr>
          </w:p>
        </w:tc>
      </w:tr>
      <w:tr>
        <w:trPr>
          <w:trHeight w:val="206"/>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Subtotal project-level debt:</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debt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maturities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debt issuance costs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Add premiums </w:t>
            </w:r>
            <w:r>
              <w:rPr>
                <w:rFonts w:ascii="Times New Roman" w:cs="Times New Roman" w:eastAsia="Times New Roman" w:hAnsi="Times New Roman"/>
                <w:sz w:val="20"/>
                <w:szCs w:val="20"/>
                <w:color w:val="auto"/>
                <w:vertAlign w:val="superscript"/>
              </w:rPr>
              <w:t>(e)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6,605</w:t>
            </w:r>
          </w:p>
        </w:tc>
        <w:tc>
          <w:tcPr>
            <w:tcW w:w="100" w:type="dxa"/>
            <w:vAlign w:val="bottom"/>
          </w:tcPr>
          <w:p>
            <w:pPr>
              <w:spacing w:after="0"/>
              <w:rPr>
                <w:sz w:val="17"/>
                <w:szCs w:val="17"/>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firstLine="5"/>
        <w:spacing w:after="0" w:line="222" w:lineRule="auto"/>
        <w:tabs>
          <w:tab w:leader="none" w:pos="149"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As of June 30, 2022, L+ equals 3 month LIBOR plus x%, except Clearway Energy Operating LLC Revolving Credit Facility, due 2023, Marsh Landing, due 2023, Mililani I, due 2022 and 2024, and Walnut Creek, due 2023, where L+ equals 1 month LIBOR plus x%.</w:t>
      </w:r>
    </w:p>
    <w:p>
      <w:pPr>
        <w:ind w:left="160" w:hanging="155"/>
        <w:spacing w:after="0" w:line="231"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Applicable rate is determined by the borrower leverage ratio, as defined in the credit agreement.</w:t>
      </w:r>
    </w:p>
    <w:p>
      <w:pPr>
        <w:spacing w:after="0" w:line="30" w:lineRule="exact"/>
        <w:rPr>
          <w:rFonts w:ascii="Times New Roman" w:cs="Times New Roman" w:eastAsia="Times New Roman" w:hAnsi="Times New Roman"/>
          <w:sz w:val="19"/>
          <w:szCs w:val="19"/>
          <w:color w:val="auto"/>
          <w:vertAlign w:val="superscript"/>
        </w:rPr>
      </w:pPr>
    </w:p>
    <w:p>
      <w:pPr>
        <w:ind w:left="160" w:hanging="155"/>
        <w:spacing w:after="0" w:line="183"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 equals SOFR, plus x%.</w:t>
      </w:r>
    </w:p>
    <w:p>
      <w:pPr>
        <w:spacing w:after="0" w:line="43" w:lineRule="exact"/>
        <w:rPr>
          <w:rFonts w:ascii="Times New Roman" w:cs="Times New Roman" w:eastAsia="Times New Roman" w:hAnsi="Times New Roman"/>
          <w:sz w:val="19"/>
          <w:szCs w:val="19"/>
          <w:color w:val="auto"/>
          <w:vertAlign w:val="superscript"/>
        </w:rPr>
      </w:pPr>
    </w:p>
    <w:p>
      <w:pPr>
        <w:ind w:firstLine="5"/>
        <w:spacing w:after="0" w:line="220" w:lineRule="auto"/>
        <w:tabs>
          <w:tab w:leader="none" w:pos="154"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Laredo Ridge, due 2028; Tapestry Wind, LLC, due 2031; and Viento Funding II, LLC, due 2023 project-level debt were repaid on March 16, 2022 totaling $186 million and was replaced with $190 million in new project-level debt under Viento Funding II, LLC that was obtained on March 16, 2022 and is due in 2029, as discussed further below.</w:t>
      </w:r>
    </w:p>
    <w:p>
      <w:pPr>
        <w:ind w:left="160" w:hanging="155"/>
        <w:spacing w:after="0" w:line="216"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Premiums relate to the 2028 Senior Notes.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 w:name="page28"/>
    <w:bookmarkEnd w:id="27"/>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June 30, 2022, the Company was in compliance with all of the required covenants.</w:t>
      </w:r>
    </w:p>
    <w:p>
      <w:pPr>
        <w:spacing w:after="0" w:line="117" w:lineRule="exact"/>
        <w:rPr>
          <w:sz w:val="20"/>
          <w:szCs w:val="20"/>
          <w:color w:val="auto"/>
        </w:rPr>
      </w:pPr>
    </w:p>
    <w:p>
      <w:pPr>
        <w:ind w:right="2220" w:firstLine="395"/>
        <w:spacing w:after="0" w:line="427" w:lineRule="auto"/>
        <w:rPr>
          <w:sz w:val="20"/>
          <w:szCs w:val="20"/>
          <w:color w:val="auto"/>
        </w:rPr>
      </w:pPr>
      <w:r>
        <w:rPr>
          <w:rFonts w:ascii="Times New Roman" w:cs="Times New Roman" w:eastAsia="Times New Roman" w:hAnsi="Times New Roman"/>
          <w:sz w:val="18"/>
          <w:szCs w:val="18"/>
          <w:color w:val="auto"/>
        </w:rPr>
        <w:t xml:space="preserve">The discussion below describes material changes to or additions of long-term debt for the six months ended June 30, 2022. </w:t>
      </w:r>
      <w:r>
        <w:rPr>
          <w:rFonts w:ascii="Times New Roman" w:cs="Times New Roman" w:eastAsia="Times New Roman" w:hAnsi="Times New Roman"/>
          <w:sz w:val="18"/>
          <w:szCs w:val="18"/>
          <w:b w:val="1"/>
          <w:bCs w:val="1"/>
          <w:i w:val="1"/>
          <w:iCs w:val="1"/>
          <w:color w:val="auto"/>
        </w:rPr>
        <w:t>Clearway Energy LLC and Clearway Energy Operating LLC Revolving Credit Facility</w:t>
      </w: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no outstanding borrowings under the revolving credit facility and $87 million in letters of credit outstanding. During the six months ended June 30, 2022, the Company borrowed $80 million under the revolving credit facility and repaid $325 million, $305 million of which was repaid on May 3, 2022, utilizing the proceeds received from the Thermal Disposition.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3, 2022, the Company repaid the $335 million in outstanding borrowings under the Bridge Loan Agreement utilizing proceeds received from the Thermal Disposition,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Project-level Debt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Mililani I</w:t>
      </w:r>
    </w:p>
    <w:p>
      <w:pPr>
        <w:spacing w:after="0" w:line="161"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 xml:space="preserve">On March 25, 2022, as part of the acquisition of Mililani I,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substantial completion, which is expected to occur in the second half of 2022. Subsequent to the Mililani I acquisition, the Company borrowed an additional $22 million in construction loans. As of June 30, 2022, the Company had $38 million in outstanding construction loans in addition to the $60 million tax equity bridge loan referenced above.</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Viento Funding II, LLC</w:t>
      </w:r>
    </w:p>
    <w:p>
      <w:pPr>
        <w:spacing w:after="0" w:line="163"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Per Share</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the Company’s basic and diluted earnings per share is shown in the following tables: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20"/>
                <w:szCs w:val="20"/>
                <w:b w:val="1"/>
                <w:bCs w:val="1"/>
                <w:color w:val="auto"/>
                <w:vertAlign w:val="superscript"/>
              </w:rPr>
              <w:t>(a)</w:t>
            </w:r>
          </w:p>
        </w:tc>
        <w:tc>
          <w:tcPr>
            <w:tcW w:w="100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140" w:type="dxa"/>
            <w:vAlign w:val="bottom"/>
            <w:gridSpan w:val="3"/>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0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196"/>
        </w:trPr>
        <w:tc>
          <w:tcPr>
            <w:tcW w:w="66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1"/>
        </w:trPr>
        <w:tc>
          <w:tcPr>
            <w:tcW w:w="66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Basic and diluted earnings per share attributable to Clearway Energy, Inc. common</w:t>
            </w:r>
          </w:p>
        </w:tc>
        <w:tc>
          <w:tcPr>
            <w:tcW w:w="3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 and diluted</w:t>
            </w: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140" w:hanging="135"/>
        <w:spacing w:after="0"/>
        <w:tabs>
          <w:tab w:leader="none" w:pos="14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income attributable to Clearway Energy, Inc. and basic and diluted earnings per share might not recalculate due to presenting values in millions rather than whole dollars.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7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 millions, except per share data) </w:t>
            </w:r>
            <w:r>
              <w:rPr>
                <w:rFonts w:ascii="Times New Roman" w:cs="Times New Roman" w:eastAsia="Times New Roman" w:hAnsi="Times New Roman"/>
                <w:sz w:val="20"/>
                <w:szCs w:val="20"/>
                <w:b w:val="1"/>
                <w:bCs w:val="1"/>
                <w:color w:val="auto"/>
                <w:vertAlign w:val="superscript"/>
              </w:rPr>
              <w:t>(a)</w:t>
            </w:r>
          </w:p>
        </w:tc>
        <w:tc>
          <w:tcPr>
            <w:tcW w:w="116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040" w:type="dxa"/>
            <w:vAlign w:val="bottom"/>
            <w:gridSpan w:val="2"/>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Common Class</w:t>
            </w: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10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Common Class</w:t>
            </w:r>
          </w:p>
        </w:tc>
        <w:tc>
          <w:tcPr>
            <w:tcW w:w="0" w:type="dxa"/>
            <w:vAlign w:val="bottom"/>
          </w:tcPr>
          <w:p>
            <w:pPr>
              <w:spacing w:after="0"/>
              <w:rPr>
                <w:sz w:val="1"/>
                <w:szCs w:val="1"/>
                <w:color w:val="auto"/>
              </w:rPr>
            </w:pPr>
          </w:p>
        </w:tc>
      </w:tr>
      <w:tr>
        <w:trPr>
          <w:trHeight w:val="196"/>
        </w:trPr>
        <w:tc>
          <w:tcPr>
            <w:tcW w:w="67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A</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1"/>
        </w:trPr>
        <w:tc>
          <w:tcPr>
            <w:tcW w:w="67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Basic and diluted earnings per share attributable to Clearway Energy, Inc. common</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3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4"/>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 and diluted</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2"/>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 and diluted</w:t>
            </w:r>
          </w:p>
        </w:tc>
        <w:tc>
          <w:tcPr>
            <w:tcW w:w="30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140" w:hanging="135"/>
        <w:spacing w:after="0"/>
        <w:tabs>
          <w:tab w:leader="none" w:pos="1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income attributable to Clearway Energy, Inc. and basic and diluted earnings per share might not recalculate due to presenting values in millions rather than whole dollars.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270"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165" w:lineRule="exact"/>
        <w:rPr>
          <w:sz w:val="20"/>
          <w:szCs w:val="20"/>
          <w:color w:val="auto"/>
        </w:rPr>
      </w:pPr>
    </w:p>
    <w:p>
      <w:pPr>
        <w:jc w:val="both"/>
        <w:ind w:right="80" w:firstLine="395"/>
        <w:spacing w:after="0" w:line="289" w:lineRule="auto"/>
        <w:rPr>
          <w:sz w:val="20"/>
          <w:szCs w:val="20"/>
          <w:color w:val="auto"/>
        </w:rPr>
      </w:pPr>
      <w:r>
        <w:rPr>
          <w:rFonts w:ascii="Times New Roman" w:cs="Times New Roman" w:eastAsia="Times New Roman" w:hAnsi="Times New Roman"/>
          <w:sz w:val="16"/>
          <w:szCs w:val="16"/>
          <w:color w:val="auto"/>
        </w:rPr>
        <w:t xml:space="preserve">The Company’s segment structure reflects how management currently operates and allocates resources. The Company’s businesses are segregated based on conventional power generation, renewable businesses which consist of solar and wind, and the Thermal Business, which was sold to KKR on May 1, 2022, as further described in Note 3, </w:t>
      </w:r>
      <w:r>
        <w:rPr>
          <w:rFonts w:ascii="Times New Roman" w:cs="Times New Roman" w:eastAsia="Times New Roman" w:hAnsi="Times New Roman"/>
          <w:sz w:val="16"/>
          <w:szCs w:val="16"/>
          <w:i w:val="1"/>
          <w:iCs w:val="1"/>
          <w:color w:val="auto"/>
        </w:rPr>
        <w:t>Acquisitions and Dispositions</w:t>
      </w:r>
      <w:r>
        <w:rPr>
          <w:rFonts w:ascii="Times New Roman" w:cs="Times New Roman" w:eastAsia="Times New Roman" w:hAnsi="Times New Roman"/>
          <w:sz w:val="16"/>
          <w:szCs w:val="16"/>
          <w:color w:val="auto"/>
        </w:rPr>
        <w:t>.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6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6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 xml:space="preserve">Thermal </w:t>
            </w:r>
            <w:r>
              <w:rPr>
                <w:rFonts w:ascii="Times New Roman" w:cs="Times New Roman" w:eastAsia="Times New Roman" w:hAnsi="Times New Roman"/>
                <w:sz w:val="20"/>
                <w:szCs w:val="20"/>
                <w:b w:val="1"/>
                <w:bCs w:val="1"/>
                <w:color w:val="auto"/>
                <w:w w:val="95"/>
                <w:vertAlign w:val="superscript"/>
              </w:rPr>
              <w:t>(a)</w:t>
            </w: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0"/>
                <w:szCs w:val="20"/>
                <w:b w:val="1"/>
                <w:bCs w:val="1"/>
                <w:color w:val="auto"/>
                <w:vertAlign w:val="superscript"/>
              </w:rPr>
              <w:t>(b)</w:t>
            </w:r>
          </w:p>
        </w:tc>
        <w:tc>
          <w:tcPr>
            <w:tcW w:w="26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Generation</w:t>
            </w: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171"/>
        </w:trPr>
        <w:tc>
          <w:tcPr>
            <w:tcW w:w="51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2"/>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Assets </w:t>
            </w:r>
            <w:r>
              <w:rPr>
                <w:rFonts w:ascii="Times New Roman" w:cs="Times New Roman" w:eastAsia="Times New Roman" w:hAnsi="Times New Roman"/>
                <w:sz w:val="22"/>
                <w:szCs w:val="22"/>
                <w:b w:val="1"/>
                <w:bCs w:val="1"/>
                <w:color w:val="auto"/>
                <w:vertAlign w:val="superscript"/>
              </w:rPr>
              <w:t>(a)</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40" w:hanging="156"/>
        <w:spacing w:after="0"/>
        <w:tabs>
          <w:tab w:leader="none" w:pos="2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Thermal Business was sold on May 1, 2022.</w:t>
      </w:r>
    </w:p>
    <w:p>
      <w:pPr>
        <w:spacing w:after="0" w:line="48" w:lineRule="exact"/>
        <w:rPr>
          <w:rFonts w:ascii="Times New Roman" w:cs="Times New Roman" w:eastAsia="Times New Roman" w:hAnsi="Times New Roman"/>
          <w:sz w:val="21"/>
          <w:szCs w:val="21"/>
          <w:color w:val="auto"/>
          <w:vertAlign w:val="superscript"/>
        </w:rPr>
      </w:pPr>
    </w:p>
    <w:p>
      <w:pPr>
        <w:ind w:left="260" w:hanging="176"/>
        <w:spacing w:after="0" w:line="187" w:lineRule="auto"/>
        <w:tabs>
          <w:tab w:leader="none" w:pos="26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eliminations.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16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0"/>
                <w:szCs w:val="10"/>
                <w:color w:val="auto"/>
              </w:rPr>
            </w:pPr>
          </w:p>
        </w:tc>
        <w:tc>
          <w:tcPr>
            <w:tcW w:w="8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5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BFE4FF"/>
            </w:tcBorders>
            <w:shd w:val="clear" w:color="auto" w:fill="BFE4FF"/>
          </w:tcPr>
          <w:p>
            <w:pPr>
              <w:spacing w:after="0"/>
              <w:rPr>
                <w:sz w:val="19"/>
                <w:szCs w:val="19"/>
                <w:color w:val="auto"/>
              </w:rPr>
            </w:pPr>
          </w:p>
        </w:tc>
        <w:tc>
          <w:tcPr>
            <w:tcW w:w="860" w:type="dxa"/>
            <w:vAlign w:val="bottom"/>
            <w:tcBorders>
              <w:top w:val="single" w:sz="8" w:color="auto"/>
            </w:tcBorders>
            <w:shd w:val="clear" w:color="auto" w:fill="BFE4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Borders>
              <w:top w:val="single" w:sz="8" w:color="BFE4FF"/>
            </w:tcBorders>
            <w:shd w:val="clear" w:color="auto" w:fill="BFE4FF"/>
          </w:tcPr>
          <w:p>
            <w:pPr>
              <w:spacing w:after="0"/>
              <w:rPr>
                <w:sz w:val="19"/>
                <w:szCs w:val="19"/>
                <w:color w:val="auto"/>
              </w:rPr>
            </w:pPr>
          </w:p>
        </w:tc>
        <w:tc>
          <w:tcPr>
            <w:tcW w:w="1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tcBorders>
            <w:shd w:val="clear" w:color="auto" w:fill="BFE4FF"/>
          </w:tcPr>
          <w:p>
            <w:pPr>
              <w:spacing w:after="0"/>
              <w:rPr>
                <w:sz w:val="19"/>
                <w:szCs w:val="19"/>
                <w:color w:val="auto"/>
              </w:rPr>
            </w:pPr>
          </w:p>
        </w:tc>
        <w:tc>
          <w:tcPr>
            <w:tcW w:w="240" w:type="dxa"/>
            <w:vAlign w:val="bottom"/>
            <w:tcBorders>
              <w:top w:val="single" w:sz="8" w:color="auto"/>
            </w:tcBorders>
            <w:shd w:val="clear" w:color="auto" w:fill="BFE4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1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FE4FF"/>
          </w:tcPr>
          <w:p>
            <w:pPr>
              <w:spacing w:after="0"/>
              <w:rPr>
                <w:sz w:val="19"/>
                <w:szCs w:val="19"/>
                <w:color w:val="auto"/>
              </w:rPr>
            </w:pPr>
          </w:p>
        </w:tc>
        <w:tc>
          <w:tcPr>
            <w:tcW w:w="88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FE4FF"/>
          </w:tcPr>
          <w:p>
            <w:pPr>
              <w:spacing w:after="0"/>
              <w:rPr>
                <w:sz w:val="19"/>
                <w:szCs w:val="19"/>
                <w:color w:val="auto"/>
              </w:rPr>
            </w:pPr>
          </w:p>
        </w:tc>
        <w:tc>
          <w:tcPr>
            <w:tcW w:w="3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BFE4FF"/>
          </w:tcPr>
          <w:p>
            <w:pPr>
              <w:spacing w:after="0"/>
              <w:rPr>
                <w:sz w:val="19"/>
                <w:szCs w:val="19"/>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240" w:type="dxa"/>
            <w:vAlign w:val="bottom"/>
            <w:shd w:val="clear" w:color="auto" w:fill="BFE4FF"/>
          </w:tcPr>
          <w:p>
            <w:pPr>
              <w:spacing w:after="0"/>
              <w:rPr>
                <w:sz w:val="19"/>
                <w:szCs w:val="19"/>
                <w:color w:val="auto"/>
              </w:rPr>
            </w:pPr>
          </w:p>
        </w:tc>
        <w:tc>
          <w:tcPr>
            <w:tcW w:w="88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top w:val="single" w:sz="8" w:color="auto"/>
            </w:tcBorders>
            <w:shd w:val="clear" w:color="auto" w:fill="BFE4FF"/>
          </w:tcPr>
          <w:p>
            <w:pPr>
              <w:spacing w:after="0"/>
              <w:rPr>
                <w:sz w:val="18"/>
                <w:szCs w:val="18"/>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BFE4FF"/>
            </w:tcBorders>
            <w:shd w:val="clear" w:color="auto" w:fill="BFE4FF"/>
          </w:tcPr>
          <w:p>
            <w:pPr>
              <w:spacing w:after="0"/>
              <w:rPr>
                <w:sz w:val="18"/>
                <w:szCs w:val="18"/>
                <w:color w:val="auto"/>
              </w:rPr>
            </w:pPr>
          </w:p>
        </w:tc>
        <w:tc>
          <w:tcPr>
            <w:tcW w:w="860" w:type="dxa"/>
            <w:vAlign w:val="bottom"/>
            <w:tcBorders>
              <w:top w:val="single" w:sz="8" w:color="auto"/>
            </w:tcBorders>
            <w:shd w:val="clear" w:color="auto" w:fill="BFE4FF"/>
          </w:tcPr>
          <w:p>
            <w:pPr>
              <w:spacing w:after="0"/>
              <w:rPr>
                <w:sz w:val="18"/>
                <w:szCs w:val="18"/>
                <w:color w:val="auto"/>
              </w:rPr>
            </w:pPr>
          </w:p>
        </w:tc>
        <w:tc>
          <w:tcPr>
            <w:tcW w:w="2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BFE4FF"/>
            </w:tcBorders>
            <w:shd w:val="clear" w:color="auto" w:fill="BFE4FF"/>
          </w:tcPr>
          <w:p>
            <w:pPr>
              <w:spacing w:after="0"/>
              <w:rPr>
                <w:sz w:val="18"/>
                <w:szCs w:val="18"/>
                <w:color w:val="auto"/>
              </w:rPr>
            </w:pPr>
          </w:p>
        </w:tc>
        <w:tc>
          <w:tcPr>
            <w:tcW w:w="180" w:type="dxa"/>
            <w:vAlign w:val="bottom"/>
            <w:tcBorders>
              <w:top w:val="single" w:sz="8" w:color="auto"/>
            </w:tcBorders>
            <w:shd w:val="clear" w:color="auto" w:fill="BFE4FF"/>
          </w:tcPr>
          <w:p>
            <w:pPr>
              <w:spacing w:after="0"/>
              <w:rPr>
                <w:sz w:val="18"/>
                <w:szCs w:val="18"/>
                <w:color w:val="auto"/>
              </w:rPr>
            </w:pPr>
          </w:p>
        </w:tc>
        <w:tc>
          <w:tcPr>
            <w:tcW w:w="9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BFE4FF"/>
            </w:tcBorders>
            <w:shd w:val="clear" w:color="auto" w:fill="BFE4FF"/>
          </w:tcPr>
          <w:p>
            <w:pPr>
              <w:spacing w:after="0"/>
              <w:rPr>
                <w:sz w:val="18"/>
                <w:szCs w:val="18"/>
                <w:color w:val="auto"/>
              </w:rPr>
            </w:pPr>
          </w:p>
        </w:tc>
        <w:tc>
          <w:tcPr>
            <w:tcW w:w="240" w:type="dxa"/>
            <w:vAlign w:val="bottom"/>
            <w:tcBorders>
              <w:top w:val="single" w:sz="8" w:color="auto"/>
            </w:tcBorders>
            <w:shd w:val="clear" w:color="auto" w:fill="BFE4FF"/>
          </w:tcPr>
          <w:p>
            <w:pPr>
              <w:spacing w:after="0"/>
              <w:rPr>
                <w:sz w:val="18"/>
                <w:szCs w:val="18"/>
                <w:color w:val="auto"/>
              </w:rPr>
            </w:pPr>
          </w:p>
        </w:tc>
        <w:tc>
          <w:tcPr>
            <w:tcW w:w="880" w:type="dxa"/>
            <w:vAlign w:val="bottom"/>
            <w:tcBorders>
              <w:top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FE4FF"/>
          </w:tcPr>
          <w:p>
            <w:pPr>
              <w:spacing w:after="0"/>
              <w:rPr>
                <w:sz w:val="19"/>
                <w:szCs w:val="19"/>
                <w:color w:val="auto"/>
              </w:rPr>
            </w:pPr>
          </w:p>
        </w:tc>
        <w:tc>
          <w:tcPr>
            <w:tcW w:w="88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Borders>
              <w:bottom w:val="single" w:sz="8" w:color="BFE4FF"/>
            </w:tcBorders>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BFE4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BFE4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BFE4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5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shd w:val="clear" w:color="auto" w:fill="BFE4FF"/>
          </w:tcPr>
          <w:p>
            <w:pPr>
              <w:spacing w:after="0"/>
              <w:rPr>
                <w:sz w:val="18"/>
                <w:szCs w:val="18"/>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BFE4FF"/>
          </w:tcPr>
          <w:p>
            <w:pPr>
              <w:spacing w:after="0"/>
              <w:rPr>
                <w:sz w:val="18"/>
                <w:szCs w:val="18"/>
                <w:color w:val="auto"/>
              </w:rPr>
            </w:pPr>
          </w:p>
        </w:tc>
        <w:tc>
          <w:tcPr>
            <w:tcW w:w="860" w:type="dxa"/>
            <w:vAlign w:val="bottom"/>
            <w:shd w:val="clear" w:color="auto" w:fill="BFE4FF"/>
          </w:tcPr>
          <w:p>
            <w:pPr>
              <w:spacing w:after="0"/>
              <w:rPr>
                <w:sz w:val="18"/>
                <w:szCs w:val="18"/>
                <w:color w:val="auto"/>
              </w:rPr>
            </w:pPr>
          </w:p>
        </w:tc>
        <w:tc>
          <w:tcPr>
            <w:tcW w:w="2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BFE4FF"/>
          </w:tcPr>
          <w:p>
            <w:pPr>
              <w:spacing w:after="0"/>
              <w:rPr>
                <w:sz w:val="18"/>
                <w:szCs w:val="18"/>
                <w:color w:val="auto"/>
              </w:rPr>
            </w:pPr>
          </w:p>
        </w:tc>
        <w:tc>
          <w:tcPr>
            <w:tcW w:w="180" w:type="dxa"/>
            <w:vAlign w:val="bottom"/>
            <w:shd w:val="clear" w:color="auto" w:fill="BFE4FF"/>
          </w:tcPr>
          <w:p>
            <w:pPr>
              <w:spacing w:after="0"/>
              <w:rPr>
                <w:sz w:val="18"/>
                <w:szCs w:val="18"/>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BFE4FF"/>
          </w:tcPr>
          <w:p>
            <w:pPr>
              <w:spacing w:after="0"/>
              <w:rPr>
                <w:sz w:val="18"/>
                <w:szCs w:val="18"/>
                <w:color w:val="auto"/>
              </w:rPr>
            </w:pPr>
          </w:p>
        </w:tc>
        <w:tc>
          <w:tcPr>
            <w:tcW w:w="240" w:type="dxa"/>
            <w:vAlign w:val="bottom"/>
            <w:shd w:val="clear" w:color="auto" w:fill="BFE4FF"/>
          </w:tcPr>
          <w:p>
            <w:pPr>
              <w:spacing w:after="0"/>
              <w:rPr>
                <w:sz w:val="18"/>
                <w:szCs w:val="18"/>
                <w:color w:val="auto"/>
              </w:rPr>
            </w:pPr>
          </w:p>
        </w:tc>
        <w:tc>
          <w:tcPr>
            <w:tcW w:w="880" w:type="dxa"/>
            <w:vAlign w:val="bottom"/>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2"/>
        </w:trPr>
        <w:tc>
          <w:tcPr>
            <w:tcW w:w="80" w:type="dxa"/>
            <w:vAlign w:val="bottom"/>
          </w:tcPr>
          <w:p>
            <w:pPr>
              <w:spacing w:after="0"/>
              <w:rPr>
                <w:sz w:val="20"/>
                <w:szCs w:val="20"/>
                <w:color w:val="auto"/>
              </w:rPr>
            </w:pPr>
          </w:p>
        </w:tc>
        <w:tc>
          <w:tcPr>
            <w:tcW w:w="516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1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BFE4FF"/>
              <w:bottom w:val="single" w:sz="8" w:color="BFE4FF"/>
            </w:tcBorders>
            <w:shd w:val="clear" w:color="auto" w:fill="BFE4FF"/>
          </w:tcPr>
          <w:p>
            <w:pPr>
              <w:spacing w:after="0"/>
              <w:rPr>
                <w:sz w:val="20"/>
                <w:szCs w:val="20"/>
                <w:color w:val="auto"/>
              </w:rPr>
            </w:pPr>
          </w:p>
        </w:tc>
        <w:tc>
          <w:tcPr>
            <w:tcW w:w="860" w:type="dxa"/>
            <w:vAlign w:val="bottom"/>
            <w:tcBorders>
              <w:top w:val="single" w:sz="8" w:color="auto"/>
              <w:bottom w:val="single" w:sz="8" w:color="auto"/>
            </w:tcBorders>
            <w:shd w:val="clear" w:color="auto" w:fill="BFE4FF"/>
          </w:tcPr>
          <w:p>
            <w:pPr>
              <w:jc w:val="right"/>
              <w:ind w:right="678"/>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240" w:type="dxa"/>
            <w:vAlign w:val="bottom"/>
            <w:tcBorders>
              <w:top w:val="single" w:sz="8" w:color="auto"/>
              <w:bottom w:val="single" w:sz="8" w:color="auto"/>
            </w:tcBorders>
            <w:shd w:val="clear" w:color="auto" w:fill="BFE4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gridSpan w:val="2"/>
            <w:shd w:val="clear" w:color="auto" w:fill="BFE4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16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BFE4FF"/>
              <w:bottom w:val="single" w:sz="8" w:color="auto"/>
            </w:tcBorders>
          </w:tcPr>
          <w:p>
            <w:pPr>
              <w:spacing w:after="0" w:line="20" w:lineRule="exact"/>
              <w:rPr>
                <w:sz w:val="1"/>
                <w:szCs w:val="1"/>
                <w:color w:val="auto"/>
              </w:rPr>
            </w:pPr>
          </w:p>
        </w:tc>
        <w:tc>
          <w:tcPr>
            <w:tcW w:w="100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9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860" w:type="dxa"/>
            <w:vAlign w:val="bottom"/>
            <w:tcBorders>
              <w:top w:val="single" w:sz="8" w:color="BFE4FF"/>
              <w:bottom w:val="single" w:sz="8" w:color="auto"/>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94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bottom w:val="single" w:sz="8" w:color="auto"/>
            </w:tcBorders>
          </w:tcPr>
          <w:p>
            <w:pPr>
              <w:spacing w:after="0" w:line="20" w:lineRule="exact"/>
              <w:rPr>
                <w:sz w:val="1"/>
                <w:szCs w:val="1"/>
                <w:color w:val="auto"/>
              </w:rPr>
            </w:pPr>
          </w:p>
        </w:tc>
        <w:tc>
          <w:tcPr>
            <w:tcW w:w="800" w:type="dxa"/>
            <w:vAlign w:val="bottom"/>
            <w:tcBorders>
              <w:top w:val="single" w:sz="8" w:color="BFE4FF"/>
              <w:bottom w:val="single" w:sz="8" w:color="auto"/>
            </w:tcBorders>
          </w:tcPr>
          <w:p>
            <w:pPr>
              <w:spacing w:after="0" w:line="20" w:lineRule="exact"/>
              <w:rPr>
                <w:sz w:val="1"/>
                <w:szCs w:val="1"/>
                <w:color w:val="auto"/>
              </w:rPr>
            </w:pPr>
          </w:p>
        </w:tc>
        <w:tc>
          <w:tcPr>
            <w:tcW w:w="8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231F20"/>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20"/>
          </w:cols>
          <w:pgMar w:left="320" w:top="867"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1"/>
                <w:szCs w:val="11"/>
                <w:color w:val="auto"/>
              </w:rPr>
            </w:pPr>
          </w:p>
        </w:tc>
        <w:tc>
          <w:tcPr>
            <w:tcW w:w="1000" w:type="dxa"/>
            <w:vAlign w:val="bottom"/>
          </w:tcPr>
          <w:p>
            <w:pPr>
              <w:jc w:val="right"/>
              <w:ind w:right="74"/>
              <w:spacing w:after="0" w:line="127" w:lineRule="exact"/>
              <w:rPr>
                <w:sz w:val="20"/>
                <w:szCs w:val="20"/>
                <w:color w:val="auto"/>
              </w:rPr>
            </w:pPr>
            <w:r>
              <w:rPr>
                <w:rFonts w:ascii="Times New Roman" w:cs="Times New Roman" w:eastAsia="Times New Roman" w:hAnsi="Times New Roman"/>
                <w:sz w:val="14"/>
                <w:szCs w:val="14"/>
                <w:b w:val="1"/>
                <w:bCs w:val="1"/>
                <w:color w:val="auto"/>
              </w:rPr>
              <w:t>Conventional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xml:space="preserve">Thermal </w:t>
            </w:r>
            <w:r>
              <w:rPr>
                <w:rFonts w:ascii="Times New Roman" w:cs="Times New Roman" w:eastAsia="Times New Roman" w:hAnsi="Times New Roman"/>
                <w:sz w:val="20"/>
                <w:szCs w:val="20"/>
                <w:b w:val="1"/>
                <w:bCs w:val="1"/>
                <w:color w:val="auto"/>
                <w:vertAlign w:val="superscript"/>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20"/>
                <w:szCs w:val="20"/>
                <w:b w:val="1"/>
                <w:bCs w:val="1"/>
                <w:color w:val="auto"/>
                <w:vertAlign w:val="superscript"/>
              </w:rPr>
              <w:t>(b)</w:t>
            </w:r>
          </w:p>
        </w:tc>
        <w:tc>
          <w:tcPr>
            <w:tcW w:w="260" w:type="dxa"/>
            <w:vAlign w:val="bottom"/>
          </w:tcPr>
          <w:p>
            <w:pPr>
              <w:spacing w:after="0"/>
              <w:rPr>
                <w:sz w:val="11"/>
                <w:szCs w:val="11"/>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BFE4FF"/>
            </w:tcBorders>
            <w:shd w:val="clear" w:color="auto" w:fill="BFE4FF"/>
          </w:tcPr>
          <w:p>
            <w:pPr>
              <w:spacing w:after="0"/>
              <w:rPr>
                <w:sz w:val="18"/>
                <w:szCs w:val="18"/>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BFE4FF"/>
            </w:tcBorders>
            <w:shd w:val="clear" w:color="auto" w:fill="BFE4FF"/>
          </w:tcPr>
          <w:p>
            <w:pPr>
              <w:spacing w:after="0"/>
              <w:rPr>
                <w:sz w:val="18"/>
                <w:szCs w:val="18"/>
                <w:color w:val="auto"/>
              </w:rPr>
            </w:pPr>
          </w:p>
        </w:tc>
        <w:tc>
          <w:tcPr>
            <w:tcW w:w="260" w:type="dxa"/>
            <w:vAlign w:val="bottom"/>
            <w:tcBorders>
              <w:top w:val="single" w:sz="8" w:color="auto"/>
            </w:tcBorders>
            <w:shd w:val="clear" w:color="auto" w:fill="BFE4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171"/>
        </w:trPr>
        <w:tc>
          <w:tcPr>
            <w:tcW w:w="51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11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7"/>
        </w:trPr>
        <w:tc>
          <w:tcPr>
            <w:tcW w:w="51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tcBorders>
              <w:top w:val="single" w:sz="8" w:color="auto"/>
            </w:tcBorders>
            <w:shd w:val="clear" w:color="auto" w:fill="BFE4FF"/>
          </w:tcPr>
          <w:p>
            <w:pPr>
              <w:spacing w:after="0"/>
              <w:rPr>
                <w:sz w:val="18"/>
                <w:szCs w:val="18"/>
                <w:color w:val="auto"/>
              </w:rPr>
            </w:pPr>
          </w:p>
        </w:tc>
        <w:tc>
          <w:tcPr>
            <w:tcW w:w="100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BFE4FF"/>
          </w:tcPr>
          <w:p>
            <w:pPr>
              <w:spacing w:after="0"/>
              <w:rPr>
                <w:sz w:val="18"/>
                <w:szCs w:val="18"/>
                <w:color w:val="auto"/>
              </w:rPr>
            </w:pPr>
          </w:p>
        </w:tc>
        <w:tc>
          <w:tcPr>
            <w:tcW w:w="9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BFE4FF"/>
            </w:tcBorders>
            <w:shd w:val="clear" w:color="auto" w:fill="BFE4FF"/>
          </w:tcPr>
          <w:p>
            <w:pPr>
              <w:spacing w:after="0"/>
              <w:rPr>
                <w:sz w:val="18"/>
                <w:szCs w:val="18"/>
                <w:color w:val="auto"/>
              </w:rPr>
            </w:pPr>
          </w:p>
        </w:tc>
        <w:tc>
          <w:tcPr>
            <w:tcW w:w="260" w:type="dxa"/>
            <w:vAlign w:val="bottom"/>
            <w:tcBorders>
              <w:top w:val="single" w:sz="8" w:color="auto"/>
            </w:tcBorders>
            <w:shd w:val="clear" w:color="auto" w:fill="BFE4FF"/>
          </w:tcPr>
          <w:p>
            <w:pPr>
              <w:spacing w:after="0"/>
              <w:rPr>
                <w:sz w:val="18"/>
                <w:szCs w:val="18"/>
                <w:color w:val="auto"/>
              </w:rPr>
            </w:pPr>
          </w:p>
        </w:tc>
        <w:tc>
          <w:tcPr>
            <w:tcW w:w="8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4"/>
        </w:trPr>
        <w:tc>
          <w:tcPr>
            <w:tcW w:w="51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FE4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FE4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7"/>
        </w:trPr>
        <w:tc>
          <w:tcPr>
            <w:tcW w:w="51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shd w:val="clear" w:color="auto" w:fill="BFE4FF"/>
          </w:tcPr>
          <w:p>
            <w:pPr>
              <w:spacing w:after="0"/>
              <w:rPr>
                <w:sz w:val="18"/>
                <w:szCs w:val="18"/>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shd w:val="clear" w:color="auto" w:fill="BFE4FF"/>
          </w:tcPr>
          <w:p>
            <w:pPr>
              <w:spacing w:after="0"/>
              <w:rPr>
                <w:sz w:val="19"/>
                <w:szCs w:val="19"/>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FE4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24"/>
        </w:trPr>
        <w:tc>
          <w:tcPr>
            <w:tcW w:w="51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BFE4FF"/>
          </w:tcPr>
          <w:p>
            <w:pPr>
              <w:spacing w:after="0"/>
              <w:rPr>
                <w:sz w:val="19"/>
                <w:szCs w:val="19"/>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BFE4FF"/>
          </w:tcPr>
          <w:p>
            <w:pPr>
              <w:spacing w:after="0"/>
              <w:rPr>
                <w:sz w:val="19"/>
                <w:szCs w:val="19"/>
                <w:color w:val="auto"/>
              </w:rPr>
            </w:pPr>
          </w:p>
        </w:tc>
        <w:tc>
          <w:tcPr>
            <w:tcW w:w="140" w:type="dxa"/>
            <w:vAlign w:val="bottom"/>
            <w:tcBorders>
              <w:bottom w:val="single" w:sz="8" w:color="auto"/>
            </w:tcBorders>
            <w:shd w:val="clear" w:color="auto" w:fill="BFE4FF"/>
          </w:tcPr>
          <w:p>
            <w:pPr>
              <w:spacing w:after="0"/>
              <w:rPr>
                <w:sz w:val="19"/>
                <w:szCs w:val="19"/>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BFE4FF"/>
          </w:tcPr>
          <w:p>
            <w:pPr>
              <w:spacing w:after="0"/>
              <w:rPr>
                <w:sz w:val="19"/>
                <w:szCs w:val="19"/>
                <w:color w:val="auto"/>
              </w:rPr>
            </w:pPr>
          </w:p>
        </w:tc>
        <w:tc>
          <w:tcPr>
            <w:tcW w:w="260" w:type="dxa"/>
            <w:vAlign w:val="bottom"/>
            <w:tcBorders>
              <w:bottom w:val="single" w:sz="8" w:color="auto"/>
            </w:tcBorders>
            <w:shd w:val="clear" w:color="auto" w:fill="BFE4FF"/>
          </w:tcPr>
          <w:p>
            <w:pPr>
              <w:spacing w:after="0"/>
              <w:rPr>
                <w:sz w:val="19"/>
                <w:szCs w:val="19"/>
                <w:color w:val="auto"/>
              </w:rPr>
            </w:pPr>
          </w:p>
        </w:tc>
        <w:tc>
          <w:tcPr>
            <w:tcW w:w="8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7"/>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240" w:hanging="156"/>
        <w:spacing w:after="0"/>
        <w:tabs>
          <w:tab w:leader="none" w:pos="24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Thermal Business was sold on May 1, 2022.</w:t>
      </w:r>
    </w:p>
    <w:p>
      <w:pPr>
        <w:spacing w:after="0" w:line="48" w:lineRule="exact"/>
        <w:rPr>
          <w:rFonts w:ascii="Times New Roman" w:cs="Times New Roman" w:eastAsia="Times New Roman" w:hAnsi="Times New Roman"/>
          <w:sz w:val="21"/>
          <w:szCs w:val="21"/>
          <w:color w:val="auto"/>
          <w:vertAlign w:val="superscript"/>
        </w:rPr>
      </w:pPr>
    </w:p>
    <w:p>
      <w:pPr>
        <w:ind w:left="260" w:hanging="176"/>
        <w:spacing w:after="0" w:line="187" w:lineRule="auto"/>
        <w:tabs>
          <w:tab w:leader="none" w:pos="260"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eliminations.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tcPr>
          <w:p>
            <w:pPr>
              <w:ind w:left="68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Conventional</w:t>
            </w:r>
          </w:p>
        </w:tc>
        <w:tc>
          <w:tcPr>
            <w:tcW w:w="16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Thermal</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8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top w:val="single" w:sz="8" w:color="BFE4FF"/>
            </w:tcBorders>
            <w:shd w:val="clear" w:color="auto" w:fill="BFE4FF"/>
          </w:tcPr>
          <w:p>
            <w:pPr>
              <w:spacing w:after="0"/>
              <w:rPr>
                <w:sz w:val="19"/>
                <w:szCs w:val="19"/>
                <w:color w:val="auto"/>
              </w:rPr>
            </w:pPr>
          </w:p>
        </w:tc>
        <w:tc>
          <w:tcPr>
            <w:tcW w:w="840" w:type="dxa"/>
            <w:vAlign w:val="bottom"/>
            <w:tcBorders>
              <w:top w:val="single" w:sz="8" w:color="auto"/>
            </w:tcBorders>
            <w:shd w:val="clear" w:color="auto" w:fill="BFE4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BFE4FF"/>
            </w:tcBorders>
            <w:shd w:val="clear" w:color="auto" w:fill="BFE4FF"/>
          </w:tcPr>
          <w:p>
            <w:pPr>
              <w:spacing w:after="0"/>
              <w:rPr>
                <w:sz w:val="19"/>
                <w:szCs w:val="19"/>
                <w:color w:val="auto"/>
              </w:rPr>
            </w:pPr>
          </w:p>
        </w:tc>
        <w:tc>
          <w:tcPr>
            <w:tcW w:w="1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FE4FF"/>
            </w:tcBorders>
            <w:shd w:val="clear" w:color="auto" w:fill="BFE4FF"/>
          </w:tcPr>
          <w:p>
            <w:pPr>
              <w:spacing w:after="0"/>
              <w:rPr>
                <w:sz w:val="19"/>
                <w:szCs w:val="19"/>
                <w:color w:val="auto"/>
              </w:rPr>
            </w:pPr>
          </w:p>
        </w:tc>
        <w:tc>
          <w:tcPr>
            <w:tcW w:w="740" w:type="dxa"/>
            <w:vAlign w:val="bottom"/>
            <w:tcBorders>
              <w:top w:val="single" w:sz="8" w:color="auto"/>
            </w:tcBorders>
            <w:shd w:val="clear" w:color="auto" w:fill="BFE4FF"/>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860" w:type="dxa"/>
            <w:vAlign w:val="bottom"/>
          </w:tcPr>
          <w:p>
            <w:pPr>
              <w:ind w:left="180"/>
              <w:spacing w:after="0" w:line="171"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shown separately below</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3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spacing w:after="0"/>
              <w:rPr>
                <w:sz w:val="19"/>
                <w:szCs w:val="19"/>
                <w:color w:val="auto"/>
              </w:rPr>
            </w:pPr>
          </w:p>
        </w:tc>
        <w:tc>
          <w:tcPr>
            <w:tcW w:w="3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BFE4FF"/>
          </w:tcPr>
          <w:p>
            <w:pPr>
              <w:spacing w:after="0"/>
              <w:rPr>
                <w:sz w:val="19"/>
                <w:szCs w:val="19"/>
                <w:color w:val="auto"/>
              </w:rPr>
            </w:pPr>
          </w:p>
        </w:tc>
        <w:tc>
          <w:tcPr>
            <w:tcW w:w="7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 costs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8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top w:val="single" w:sz="8" w:color="BFE4FF"/>
            </w:tcBorders>
            <w:shd w:val="clear" w:color="auto" w:fill="BFE4FF"/>
          </w:tcPr>
          <w:p>
            <w:pPr>
              <w:spacing w:after="0"/>
              <w:rPr>
                <w:sz w:val="18"/>
                <w:szCs w:val="18"/>
                <w:color w:val="auto"/>
              </w:rPr>
            </w:pPr>
          </w:p>
        </w:tc>
        <w:tc>
          <w:tcPr>
            <w:tcW w:w="16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BFE4FF"/>
            </w:tcBorders>
            <w:shd w:val="clear" w:color="auto" w:fill="BFE4FF"/>
          </w:tcPr>
          <w:p>
            <w:pPr>
              <w:spacing w:after="0"/>
              <w:rPr>
                <w:sz w:val="18"/>
                <w:szCs w:val="18"/>
                <w:color w:val="auto"/>
              </w:rPr>
            </w:pPr>
          </w:p>
        </w:tc>
        <w:tc>
          <w:tcPr>
            <w:tcW w:w="840" w:type="dxa"/>
            <w:vAlign w:val="bottom"/>
            <w:tcBorders>
              <w:top w:val="single" w:sz="8" w:color="auto"/>
            </w:tcBorders>
            <w:shd w:val="clear" w:color="auto" w:fill="BFE4FF"/>
          </w:tcPr>
          <w:p>
            <w:pPr>
              <w:spacing w:after="0"/>
              <w:rPr>
                <w:sz w:val="18"/>
                <w:szCs w:val="18"/>
                <w:color w:val="auto"/>
              </w:rPr>
            </w:pPr>
          </w:p>
        </w:tc>
        <w:tc>
          <w:tcPr>
            <w:tcW w:w="28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BFE4FF"/>
            </w:tcBorders>
            <w:shd w:val="clear" w:color="auto" w:fill="BFE4FF"/>
          </w:tcPr>
          <w:p>
            <w:pPr>
              <w:spacing w:after="0"/>
              <w:rPr>
                <w:sz w:val="18"/>
                <w:szCs w:val="18"/>
                <w:color w:val="auto"/>
              </w:rPr>
            </w:pPr>
          </w:p>
        </w:tc>
        <w:tc>
          <w:tcPr>
            <w:tcW w:w="180" w:type="dxa"/>
            <w:vAlign w:val="bottom"/>
            <w:tcBorders>
              <w:top w:val="single" w:sz="8" w:color="auto"/>
            </w:tcBorders>
            <w:shd w:val="clear" w:color="auto" w:fill="BFE4FF"/>
          </w:tcPr>
          <w:p>
            <w:pPr>
              <w:spacing w:after="0"/>
              <w:rPr>
                <w:sz w:val="18"/>
                <w:szCs w:val="18"/>
                <w:color w:val="auto"/>
              </w:rPr>
            </w:pPr>
          </w:p>
        </w:tc>
        <w:tc>
          <w:tcPr>
            <w:tcW w:w="9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BFE4FF"/>
            </w:tcBorders>
            <w:shd w:val="clear" w:color="auto" w:fill="BFE4FF"/>
          </w:tcPr>
          <w:p>
            <w:pPr>
              <w:spacing w:after="0"/>
              <w:rPr>
                <w:sz w:val="18"/>
                <w:szCs w:val="18"/>
                <w:color w:val="auto"/>
              </w:rPr>
            </w:pPr>
          </w:p>
        </w:tc>
        <w:tc>
          <w:tcPr>
            <w:tcW w:w="740" w:type="dxa"/>
            <w:vAlign w:val="bottom"/>
            <w:tcBorders>
              <w:top w:val="single" w:sz="8" w:color="auto"/>
            </w:tcBorders>
            <w:shd w:val="clear" w:color="auto" w:fill="BFE4FF"/>
          </w:tcPr>
          <w:p>
            <w:pPr>
              <w:spacing w:after="0"/>
              <w:rPr>
                <w:sz w:val="18"/>
                <w:szCs w:val="18"/>
                <w:color w:val="auto"/>
              </w:rPr>
            </w:pPr>
          </w:p>
        </w:tc>
        <w:tc>
          <w:tcPr>
            <w:tcW w:w="100" w:type="dxa"/>
            <w:vAlign w:val="bottom"/>
            <w:tcBorders>
              <w:top w:val="single" w:sz="8" w:color="auto"/>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BFE4FF"/>
          </w:tcPr>
          <w:p>
            <w:pPr>
              <w:spacing w:after="0"/>
              <w:rPr>
                <w:sz w:val="19"/>
                <w:szCs w:val="19"/>
                <w:color w:val="auto"/>
              </w:rPr>
            </w:pPr>
          </w:p>
        </w:tc>
        <w:tc>
          <w:tcPr>
            <w:tcW w:w="840" w:type="dxa"/>
            <w:vAlign w:val="bottom"/>
            <w:shd w:val="clear" w:color="auto" w:fill="BFE4FF"/>
          </w:tcPr>
          <w:p>
            <w:pPr>
              <w:spacing w:after="0"/>
              <w:rPr>
                <w:sz w:val="19"/>
                <w:szCs w:val="19"/>
                <w:color w:val="auto"/>
              </w:rPr>
            </w:pPr>
          </w:p>
        </w:tc>
        <w:tc>
          <w:tcPr>
            <w:tcW w:w="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FE4FF"/>
          </w:tcPr>
          <w:p>
            <w:pPr>
              <w:spacing w:after="0"/>
              <w:rPr>
                <w:sz w:val="19"/>
                <w:szCs w:val="19"/>
                <w:color w:val="auto"/>
              </w:rPr>
            </w:pPr>
          </w:p>
        </w:tc>
        <w:tc>
          <w:tcPr>
            <w:tcW w:w="180" w:type="dxa"/>
            <w:vAlign w:val="bottom"/>
            <w:shd w:val="clear" w:color="auto" w:fill="BFE4FF"/>
          </w:tcPr>
          <w:p>
            <w:pPr>
              <w:spacing w:after="0"/>
              <w:rPr>
                <w:sz w:val="19"/>
                <w:szCs w:val="19"/>
                <w:color w:val="auto"/>
              </w:rPr>
            </w:pPr>
          </w:p>
        </w:tc>
        <w:tc>
          <w:tcPr>
            <w:tcW w:w="10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BFE4FF"/>
          </w:tcPr>
          <w:p>
            <w:pPr>
              <w:spacing w:after="0"/>
              <w:rPr>
                <w:sz w:val="19"/>
                <w:szCs w:val="19"/>
                <w:color w:val="auto"/>
              </w:rPr>
            </w:pPr>
          </w:p>
        </w:tc>
        <w:tc>
          <w:tcPr>
            <w:tcW w:w="16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BFE4FF"/>
          </w:tcPr>
          <w:p>
            <w:pPr>
              <w:spacing w:after="0"/>
              <w:rPr>
                <w:sz w:val="19"/>
                <w:szCs w:val="19"/>
                <w:color w:val="auto"/>
              </w:rPr>
            </w:pPr>
          </w:p>
        </w:tc>
        <w:tc>
          <w:tcPr>
            <w:tcW w:w="840" w:type="dxa"/>
            <w:vAlign w:val="bottom"/>
            <w:tcBorders>
              <w:bottom w:val="single" w:sz="8" w:color="auto"/>
            </w:tcBorders>
            <w:shd w:val="clear" w:color="auto" w:fill="BFE4FF"/>
          </w:tcPr>
          <w:p>
            <w:pPr>
              <w:spacing w:after="0"/>
              <w:rPr>
                <w:sz w:val="19"/>
                <w:szCs w:val="19"/>
                <w:color w:val="auto"/>
              </w:rPr>
            </w:pPr>
          </w:p>
        </w:tc>
        <w:tc>
          <w:tcPr>
            <w:tcW w:w="2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BFE4FF"/>
          </w:tcPr>
          <w:p>
            <w:pPr>
              <w:spacing w:after="0"/>
              <w:rPr>
                <w:sz w:val="19"/>
                <w:szCs w:val="19"/>
                <w:color w:val="auto"/>
              </w:rPr>
            </w:pPr>
          </w:p>
        </w:tc>
        <w:tc>
          <w:tcPr>
            <w:tcW w:w="180" w:type="dxa"/>
            <w:vAlign w:val="bottom"/>
            <w:tcBorders>
              <w:bottom w:val="single" w:sz="8" w:color="auto"/>
            </w:tcBorders>
            <w:shd w:val="clear" w:color="auto" w:fill="BFE4FF"/>
          </w:tcPr>
          <w:p>
            <w:pPr>
              <w:spacing w:after="0"/>
              <w:rPr>
                <w:sz w:val="19"/>
                <w:szCs w:val="19"/>
                <w:color w:val="auto"/>
              </w:rPr>
            </w:pPr>
          </w:p>
        </w:tc>
        <w:tc>
          <w:tcPr>
            <w:tcW w:w="9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BFE4FF"/>
          </w:tcPr>
          <w:p>
            <w:pPr>
              <w:spacing w:after="0"/>
              <w:rPr>
                <w:sz w:val="19"/>
                <w:szCs w:val="19"/>
                <w:color w:val="auto"/>
              </w:rPr>
            </w:pPr>
          </w:p>
        </w:tc>
        <w:tc>
          <w:tcPr>
            <w:tcW w:w="840" w:type="dxa"/>
            <w:vAlign w:val="bottom"/>
            <w:tcBorders>
              <w:bottom w:val="single" w:sz="8" w:color="auto"/>
            </w:tcBorders>
            <w:gridSpan w:val="2"/>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860" w:type="dxa"/>
            <w:vAlign w:val="bottom"/>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FE4FF"/>
          </w:tcPr>
          <w:p>
            <w:pPr>
              <w:spacing w:after="0"/>
              <w:rPr>
                <w:sz w:val="19"/>
                <w:szCs w:val="19"/>
                <w:color w:val="auto"/>
              </w:rPr>
            </w:pPr>
          </w:p>
        </w:tc>
        <w:tc>
          <w:tcPr>
            <w:tcW w:w="10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FE4FF"/>
          </w:tcPr>
          <w:p>
            <w:pPr>
              <w:spacing w:after="0"/>
              <w:rPr>
                <w:sz w:val="19"/>
                <w:szCs w:val="19"/>
                <w:color w:val="auto"/>
              </w:rPr>
            </w:pPr>
          </w:p>
        </w:tc>
        <w:tc>
          <w:tcPr>
            <w:tcW w:w="3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FE4FF"/>
          </w:tcPr>
          <w:p>
            <w:pPr>
              <w:spacing w:after="0"/>
              <w:rPr>
                <w:sz w:val="19"/>
                <w:szCs w:val="19"/>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BFE4FF"/>
          </w:tcPr>
          <w:p>
            <w:pPr>
              <w:spacing w:after="0"/>
              <w:rPr>
                <w:sz w:val="19"/>
                <w:szCs w:val="19"/>
                <w:color w:val="auto"/>
              </w:rPr>
            </w:pPr>
          </w:p>
        </w:tc>
        <w:tc>
          <w:tcPr>
            <w:tcW w:w="740" w:type="dxa"/>
            <w:vAlign w:val="bottom"/>
            <w:shd w:val="clear" w:color="auto" w:fill="BFE4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231F20"/>
                <w:w w:val="99"/>
              </w:rPr>
              <w:t>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0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280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34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500" w:type="dxa"/>
            <w:vAlign w:val="bottom"/>
            <w:gridSpan w:val="5"/>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1,374</w:t>
            </w:r>
          </w:p>
        </w:tc>
        <w:tc>
          <w:tcPr>
            <w:tcW w:w="1100" w:type="dxa"/>
            <w:vAlign w:val="bottom"/>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1,276</w:t>
            </w:r>
          </w:p>
        </w:tc>
        <w:tc>
          <w:tcPr>
            <w:tcW w:w="4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(57)</w:t>
            </w:r>
          </w:p>
        </w:tc>
      </w:tr>
      <w:tr>
        <w:trPr>
          <w:trHeight w:val="22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225</w:t>
            </w:r>
          </w:p>
        </w:tc>
        <w:tc>
          <w:tcPr>
            <w:tcW w:w="1100" w:type="dxa"/>
            <w:vAlign w:val="bottom"/>
          </w:tcPr>
          <w:p>
            <w:pPr>
              <w:spacing w:after="0"/>
              <w:rPr>
                <w:sz w:val="19"/>
                <w:szCs w:val="19"/>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224</w:t>
            </w:r>
          </w:p>
        </w:tc>
        <w:tc>
          <w:tcPr>
            <w:tcW w:w="460" w:type="dxa"/>
            <w:vAlign w:val="bottom"/>
          </w:tcPr>
          <w:p>
            <w:pPr>
              <w:spacing w:after="0"/>
              <w:rPr>
                <w:sz w:val="19"/>
                <w:szCs w:val="19"/>
                <w:color w:val="auto"/>
              </w:rPr>
            </w:pPr>
          </w:p>
        </w:tc>
        <w:tc>
          <w:tcPr>
            <w:tcW w:w="12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(13)</w:t>
            </w:r>
          </w:p>
        </w:tc>
      </w:tr>
      <w:tr>
        <w:trPr>
          <w:trHeight w:val="22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bl>
    <w:p>
      <w:pPr>
        <w:spacing w:after="0" w:line="21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HLBV method of accounting for book purposes for certain partnerships.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2021, the overall effective tax rate was different than the statutory rate of 21% primarily due to the allocation of taxable earnings and losses based on the partners' interest in Clearway Energy LLC, which includes the effects of applying HLBV method of accounting for book purposes for certain partnerships.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treated the sale of the Thermal Business as a discrete event and recorded the income taxes associated with the transaction during the three months ended June 30, 2022.</w:t>
      </w:r>
    </w:p>
    <w:p>
      <w:pPr>
        <w:spacing w:after="0" w:line="1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 and Clearway Renewable Operation &amp; Maintenance LLC</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$15 million and $14 million for the three months ended June 30, 2022 and 2021, respectively. The Company incurred total expenses for these services of $30 million and $27 million for the six months ended June 30, 2022 and 2021, respectively. There was a balance of $9 million due to RENOM as of both June 30, 2022 and December 31, 2021.</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Agreements by and between the Company and CEG</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Various wholly-owned subsidiaries of the Company are parties to services agreements with Clearway Asset Services LLC and Solar Asset Management LLC, two wholly-owned subsidiaries of CEG, which provide various administrative services to the Company's subsidiaries. The Company incurred expenses under these agreements of $5 million and $4 million for the three months ended June 30, 2022 and 2021, respectively. The Company incurred expenses under these agreements of $8 million and $7 million for the six months ended June 30, 2022 and 2021, respectively. There was a balance of $2 million due to CEG as of both June 30, 2022 and December 31, 2021.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65" w:lineRule="exact"/>
        <w:rPr>
          <w:sz w:val="20"/>
          <w:szCs w:val="20"/>
          <w:color w:val="auto"/>
        </w:rPr>
      </w:pPr>
    </w:p>
    <w:p>
      <w:pPr>
        <w:jc w:val="both"/>
        <w:ind w:firstLine="395"/>
        <w:spacing w:after="0" w:line="255" w:lineRule="auto"/>
        <w:rPr>
          <w:sz w:val="20"/>
          <w:szCs w:val="20"/>
          <w:color w:val="auto"/>
        </w:rPr>
      </w:pPr>
      <w:r>
        <w:rPr>
          <w:rFonts w:ascii="Times New Roman" w:cs="Times New Roman" w:eastAsia="Times New Roman" w:hAnsi="Times New Roman"/>
          <w:sz w:val="18"/>
          <w:szCs w:val="18"/>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both the three months ended June 30, 2022, and 2021. The Company incurred net expenses of $2 million under these agreements for both the six months ended June 30, 2022, and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Contingencies</w:t>
      </w:r>
    </w:p>
    <w:p>
      <w:pPr>
        <w:spacing w:after="0" w:line="163"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Item 15 —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included in the Company’s 2021 Form 10-K.</w:t>
      </w:r>
    </w:p>
    <w:p>
      <w:pPr>
        <w:spacing w:after="0" w:line="114"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3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16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The case is currently in discovery and is expected to proceed to trial in June 2023.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3" w:name="page34"/>
    <w:bookmarkEnd w:id="33"/>
    <w:p>
      <w:pPr>
        <w:ind w:right="3360"/>
        <w:spacing w:after="0" w:line="481" w:lineRule="auto"/>
        <w:rPr>
          <w:sz w:val="20"/>
          <w:szCs w:val="20"/>
          <w:color w:val="auto"/>
        </w:rPr>
      </w:pPr>
      <w:r>
        <w:rPr>
          <w:rFonts w:ascii="Times New Roman" w:cs="Times New Roman" w:eastAsia="Times New Roman" w:hAnsi="Times New Roman"/>
          <w:sz w:val="16"/>
          <w:szCs w:val="16"/>
          <w:b w:val="1"/>
          <w:bCs w:val="1"/>
          <w:color w:val="auto"/>
        </w:rPr>
        <w:t xml:space="preserve">ITEM 2 — Management's Discussion and Analysis of Financial Condition and the Results of Operations </w:t>
      </w:r>
      <w:r>
        <w:rPr>
          <w:rFonts w:ascii="Times New Roman" w:cs="Times New Roman" w:eastAsia="Times New Roman" w:hAnsi="Times New Roman"/>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three and six months ended June 30, 2022 and 2021. Also refer to the Company’s 2021 Form 10-K, which includes detailed discussions of various items impacting the Company’s business, results of operations and financial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discussion and analysis below has been organized as follows:</w:t>
      </w:r>
    </w:p>
    <w:p>
      <w:pPr>
        <w:spacing w:after="0" w:line="109" w:lineRule="exact"/>
        <w:rPr>
          <w:sz w:val="20"/>
          <w:szCs w:val="20"/>
          <w:color w:val="auto"/>
        </w:rPr>
      </w:pPr>
    </w:p>
    <w:p>
      <w:pPr>
        <w:ind w:left="960" w:right="80" w:hanging="7"/>
        <w:spacing w:after="0" w:line="268" w:lineRule="auto"/>
        <w:tabs>
          <w:tab w:leader="none" w:pos="1271"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Summary, including a description of the business and significant events that are important to understanding the results of operations and financial condition;</w:t>
      </w:r>
    </w:p>
    <w:p>
      <w:pPr>
        <w:spacing w:after="0" w:line="11" w:lineRule="exact"/>
        <w:rPr>
          <w:rFonts w:ascii="Times New Roman" w:cs="Times New Roman" w:eastAsia="Times New Roman" w:hAnsi="Times New Roman"/>
          <w:sz w:val="18"/>
          <w:szCs w:val="18"/>
          <w:color w:val="231F20"/>
        </w:rPr>
      </w:pPr>
    </w:p>
    <w:p>
      <w:pPr>
        <w:ind w:left="960" w:right="80" w:hanging="7"/>
        <w:spacing w:after="0" w:line="268" w:lineRule="auto"/>
        <w:tabs>
          <w:tab w:leader="none" w:pos="1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Results of operations, including an explanation of significant differences between the periods in the specific line items of the consolidated statements of income;</w:t>
      </w:r>
    </w:p>
    <w:p>
      <w:pPr>
        <w:spacing w:after="0" w:line="11" w:lineRule="exact"/>
        <w:rPr>
          <w:rFonts w:ascii="Times New Roman" w:cs="Times New Roman" w:eastAsia="Times New Roman" w:hAnsi="Times New Roman"/>
          <w:sz w:val="18"/>
          <w:szCs w:val="18"/>
          <w:color w:val="auto"/>
        </w:rPr>
      </w:pPr>
    </w:p>
    <w:p>
      <w:pPr>
        <w:ind w:left="960" w:right="80" w:hanging="7"/>
        <w:spacing w:after="0" w:line="268" w:lineRule="auto"/>
        <w:tabs>
          <w:tab w:leader="none" w:pos="1271"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condition addressing liquidity position, sources and uses of cash, capital resources and requirements, commitments and off-balance sheet arrangements;</w:t>
      </w:r>
    </w:p>
    <w:p>
      <w:pPr>
        <w:spacing w:after="0" w:line="11" w:lineRule="exact"/>
        <w:rPr>
          <w:rFonts w:ascii="Times New Roman" w:cs="Times New Roman" w:eastAsia="Times New Roman" w:hAnsi="Times New Roman"/>
          <w:sz w:val="18"/>
          <w:szCs w:val="18"/>
          <w:color w:val="231F20"/>
        </w:rPr>
      </w:pPr>
    </w:p>
    <w:p>
      <w:pPr>
        <w:ind w:left="1260" w:hanging="307"/>
        <w:spacing w:after="0"/>
        <w:tabs>
          <w:tab w:leader="none" w:pos="12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Known trends that may affect the Company’s results of operations and financial condition in the future; and</w:t>
      </w:r>
    </w:p>
    <w:p>
      <w:pPr>
        <w:spacing w:after="0" w:line="56" w:lineRule="exact"/>
        <w:rPr>
          <w:rFonts w:ascii="Times New Roman" w:cs="Times New Roman" w:eastAsia="Times New Roman" w:hAnsi="Times New Roman"/>
          <w:sz w:val="18"/>
          <w:szCs w:val="18"/>
          <w:color w:val="231F20"/>
        </w:rPr>
      </w:pPr>
    </w:p>
    <w:p>
      <w:pPr>
        <w:ind w:left="960" w:right="80" w:hanging="7"/>
        <w:spacing w:after="0" w:line="268" w:lineRule="auto"/>
        <w:tabs>
          <w:tab w:leader="none" w:pos="1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869"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 On May 25, 2022, TotalEnergies entered into an agreement to acquire 50% of GIP’s interest in CEG. The closing of the transaction is subject to customary conditions, including regulatory approvals, and is expected to close in the second half of 2022.</w:t>
      </w:r>
    </w:p>
    <w:p>
      <w:pPr>
        <w:spacing w:after="0" w:line="13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 xml:space="preserve">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11 years </w:t>
      </w:r>
      <w:r>
        <w:rPr>
          <w:rFonts w:ascii="Times New Roman" w:cs="Times New Roman" w:eastAsia="Times New Roman" w:hAnsi="Times New Roman"/>
          <w:sz w:val="16"/>
          <w:szCs w:val="16"/>
          <w:color w:val="231F20"/>
        </w:rPr>
        <w:t>as of</w:t>
      </w:r>
      <w:r>
        <w:rPr>
          <w:rFonts w:ascii="Times New Roman" w:cs="Times New Roman" w:eastAsia="Times New Roman" w:hAnsi="Times New Roman"/>
          <w:sz w:val="16"/>
          <w:szCs w:val="16"/>
          <w:color w:val="auto"/>
        </w:rPr>
        <w:t xml:space="preserve"> June 30, 2022 </w:t>
      </w:r>
      <w:r>
        <w:rPr>
          <w:rFonts w:ascii="Times New Roman" w:cs="Times New Roman" w:eastAsia="Times New Roman" w:hAnsi="Times New Roman"/>
          <w:sz w:val="16"/>
          <w:szCs w:val="16"/>
          <w:color w:val="231F20"/>
        </w:rPr>
        <w:t>based on CAFD.</w:t>
      </w:r>
    </w:p>
    <w:p>
      <w:pPr>
        <w:spacing w:after="0" w:line="10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2022, the Company’s operating assets are comprised of the following projects:</w:t>
      </w:r>
    </w:p>
    <w:p>
      <w:pPr>
        <w:spacing w:after="0" w:line="71"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8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40" w:type="dxa"/>
            <w:vAlign w:val="bottom"/>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w w:val="99"/>
              </w:rPr>
              <w:t>Net Capacity</w:t>
            </w:r>
          </w:p>
        </w:tc>
        <w:tc>
          <w:tcPr>
            <w:tcW w:w="26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58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228"/>
        </w:trPr>
        <w:tc>
          <w:tcPr>
            <w:tcW w:w="1440" w:type="dxa"/>
            <w:vAlign w:val="bottom"/>
            <w:vMerge w:val="continue"/>
          </w:tcPr>
          <w:p>
            <w:pPr>
              <w:spacing w:after="0"/>
              <w:rPr>
                <w:sz w:val="19"/>
                <w:szCs w:val="19"/>
                <w:color w:val="auto"/>
              </w:rPr>
            </w:pPr>
          </w:p>
        </w:tc>
        <w:tc>
          <w:tcPr>
            <w:tcW w:w="18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940" w:type="dxa"/>
            <w:vAlign w:val="bottom"/>
          </w:tcPr>
          <w:p>
            <w:pPr>
              <w:jc w:val="center"/>
              <w:ind w:right="590"/>
              <w:spacing w:after="0" w:line="228" w:lineRule="exact"/>
              <w:rPr>
                <w:sz w:val="20"/>
                <w:szCs w:val="20"/>
                <w:color w:val="auto"/>
              </w:rPr>
            </w:pPr>
            <w:r>
              <w:rPr>
                <w:rFonts w:ascii="Times New Roman" w:cs="Times New Roman" w:eastAsia="Times New Roman" w:hAnsi="Times New Roman"/>
                <w:sz w:val="14"/>
                <w:szCs w:val="14"/>
                <w:b w:val="1"/>
                <w:bCs w:val="1"/>
                <w:color w:val="auto"/>
                <w:w w:val="93"/>
              </w:rPr>
              <w:t xml:space="preserve">(MW) </w:t>
            </w:r>
            <w:r>
              <w:rPr>
                <w:rFonts w:ascii="Times New Roman" w:cs="Times New Roman" w:eastAsia="Times New Roman" w:hAnsi="Times New Roman"/>
                <w:sz w:val="20"/>
                <w:szCs w:val="20"/>
                <w:b w:val="1"/>
                <w:bCs w:val="1"/>
                <w:color w:val="auto"/>
                <w:w w:val="93"/>
                <w:vertAlign w:val="superscript"/>
              </w:rPr>
              <w:t>(a)</w:t>
            </w:r>
          </w:p>
        </w:tc>
        <w:tc>
          <w:tcPr>
            <w:tcW w:w="266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54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Conventional</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Carlsbad</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527</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San Diego Gas &amp; Electric</w:t>
            </w:r>
          </w:p>
        </w:tc>
        <w:tc>
          <w:tcPr>
            <w:tcW w:w="22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rPr>
              <w:t>2038</w:t>
            </w:r>
          </w:p>
        </w:tc>
      </w:tr>
      <w:tr>
        <w:trPr>
          <w:trHeight w:val="19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Segundo</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550</w:t>
            </w:r>
          </w:p>
        </w:tc>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22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rPr>
              <w:t>2023</w:t>
            </w:r>
          </w:p>
        </w:tc>
      </w:tr>
      <w:tr>
        <w:trPr>
          <w:trHeight w:val="20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GenConn Devon</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50 %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2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rPr>
              <w:t>2040</w:t>
            </w:r>
          </w:p>
        </w:tc>
      </w:tr>
      <w:tr>
        <w:trPr>
          <w:trHeight w:val="19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GenConn Middletown</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50 %</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w:t>
            </w:r>
          </w:p>
        </w:tc>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Connecticut Light &amp; Power</w:t>
            </w:r>
          </w:p>
        </w:tc>
        <w:tc>
          <w:tcPr>
            <w:tcW w:w="22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rPr>
              <w:t>2041</w:t>
            </w:r>
          </w:p>
        </w:tc>
      </w:tr>
      <w:tr>
        <w:trPr>
          <w:trHeight w:val="205"/>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Marsh Landing</w:t>
            </w:r>
          </w:p>
        </w:tc>
        <w:tc>
          <w:tcPr>
            <w:tcW w:w="23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720</w:t>
            </w:r>
          </w:p>
        </w:tc>
        <w:tc>
          <w:tcPr>
            <w:tcW w:w="2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Various</w:t>
            </w:r>
          </w:p>
        </w:tc>
        <w:tc>
          <w:tcPr>
            <w:tcW w:w="220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4"/>
                <w:szCs w:val="14"/>
                <w:color w:val="auto"/>
                <w:w w:val="97"/>
              </w:rPr>
              <w:t>2023 - 2030</w:t>
            </w:r>
          </w:p>
        </w:tc>
      </w:tr>
      <w:tr>
        <w:trPr>
          <w:trHeight w:val="183"/>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Walnut Creek</w:t>
            </w:r>
          </w:p>
        </w:tc>
        <w:tc>
          <w:tcPr>
            <w:tcW w:w="238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100 %</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485</w:t>
            </w:r>
          </w:p>
        </w:tc>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SCE</w:t>
            </w:r>
          </w:p>
        </w:tc>
        <w:tc>
          <w:tcPr>
            <w:tcW w:w="2200" w:type="dxa"/>
            <w:vAlign w:val="bottom"/>
          </w:tcPr>
          <w:p>
            <w:pPr>
              <w:jc w:val="center"/>
              <w:ind w:left="1070"/>
              <w:spacing w:after="0"/>
              <w:rPr>
                <w:sz w:val="20"/>
                <w:szCs w:val="20"/>
                <w:color w:val="auto"/>
              </w:rPr>
            </w:pPr>
            <w:r>
              <w:rPr>
                <w:rFonts w:ascii="Times New Roman" w:cs="Times New Roman" w:eastAsia="Times New Roman" w:hAnsi="Times New Roman"/>
                <w:sz w:val="14"/>
                <w:szCs w:val="14"/>
                <w:color w:val="auto"/>
                <w:w w:val="97"/>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Conventional</w:t>
            </w:r>
          </w:p>
        </w:tc>
        <w:tc>
          <w:tcPr>
            <w:tcW w:w="1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30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r>
      <w:tr>
        <w:trPr>
          <w:trHeight w:val="211"/>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Utility Scale Solar</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9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Agua Caliente</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2039</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Alpine</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2033</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2031</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Avra Valley</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Tucson Electric Power</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2032</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Blythe</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2029</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Borrego</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Diego Gas and Electric</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2038</w:t>
            </w:r>
          </w:p>
        </w:tc>
      </w:tr>
      <w:tr>
        <w:trPr>
          <w:trHeight w:val="231"/>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Buckthorn Solar </w:t>
            </w:r>
            <w:r>
              <w:rPr>
                <w:rFonts w:ascii="Times New Roman" w:cs="Times New Roman" w:eastAsia="Times New Roman" w:hAnsi="Times New Roman"/>
                <w:sz w:val="20"/>
                <w:szCs w:val="20"/>
                <w:color w:val="auto"/>
                <w:vertAlign w:val="superscript"/>
              </w:rPr>
              <w:t>(b)</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City of Georgetown, TX</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2043</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CVSR</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2038</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Desert Sunlight 250</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2034</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 300</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2039</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Kansas South</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PG&amp;E</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2033</w:t>
            </w:r>
          </w:p>
        </w:tc>
      </w:tr>
      <w:tr>
        <w:trPr>
          <w:trHeight w:val="197"/>
        </w:trPr>
        <w:tc>
          <w:tcPr>
            <w:tcW w:w="332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Kawailoa </w:t>
            </w:r>
            <w:r>
              <w:rPr>
                <w:rFonts w:ascii="Times New Roman" w:cs="Times New Roman" w:eastAsia="Times New Roman" w:hAnsi="Times New Roman"/>
                <w:sz w:val="20"/>
                <w:szCs w:val="20"/>
                <w:color w:val="auto"/>
                <w:vertAlign w:val="superscript"/>
              </w:rPr>
              <w:t>(b)</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2041</w:t>
            </w:r>
          </w:p>
        </w:tc>
      </w:tr>
      <w:tr>
        <w:trPr>
          <w:trHeight w:val="224"/>
        </w:trPr>
        <w:tc>
          <w:tcPr>
            <w:tcW w:w="332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Oahu Solar Projects </w:t>
            </w:r>
            <w:r>
              <w:rPr>
                <w:rFonts w:ascii="Times New Roman" w:cs="Times New Roman" w:eastAsia="Times New Roman" w:hAnsi="Times New Roman"/>
                <w:sz w:val="20"/>
                <w:szCs w:val="20"/>
                <w:color w:val="auto"/>
                <w:vertAlign w:val="superscript"/>
              </w:rPr>
              <w:t>(b)</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Hawaiian Electric Company</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2041</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Roadrunner</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Paso Electric</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2031</w:t>
            </w:r>
          </w:p>
        </w:tc>
      </w:tr>
      <w:tr>
        <w:trPr>
          <w:trHeight w:val="231"/>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Rosamond Central </w:t>
            </w:r>
            <w:r>
              <w:rPr>
                <w:rFonts w:ascii="Times New Roman" w:cs="Times New Roman" w:eastAsia="Times New Roman" w:hAnsi="Times New Roman"/>
                <w:sz w:val="20"/>
                <w:szCs w:val="20"/>
                <w:color w:val="auto"/>
                <w:vertAlign w:val="superscript"/>
              </w:rPr>
              <w:t>(b)</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2035 - 2047</w:t>
            </w:r>
          </w:p>
        </w:tc>
      </w:tr>
      <w:tr>
        <w:trPr>
          <w:trHeight w:val="190"/>
        </w:trPr>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 High Desert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rPr>
              <w:t>2033</w:t>
            </w:r>
          </w:p>
        </w:tc>
      </w:tr>
      <w:tr>
        <w:trPr>
          <w:trHeight w:val="205"/>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Utah Solar Portfolio</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rPr>
              <w:t>2036</w:t>
            </w:r>
          </w:p>
        </w:tc>
      </w:tr>
      <w:tr>
        <w:trPr>
          <w:trHeight w:val="191"/>
        </w:trPr>
        <w:tc>
          <w:tcPr>
            <w:tcW w:w="33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Utility Scale Solar</w:t>
            </w:r>
          </w:p>
        </w:tc>
        <w:tc>
          <w:tcPr>
            <w:tcW w:w="16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30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1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Distributed Solar</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r>
      <w:tr>
        <w:trPr>
          <w:trHeight w:val="197"/>
        </w:trPr>
        <w:tc>
          <w:tcPr>
            <w:tcW w:w="332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DGPV Fund Projects </w:t>
            </w:r>
            <w:r>
              <w:rPr>
                <w:rFonts w:ascii="Times New Roman" w:cs="Times New Roman" w:eastAsia="Times New Roman" w:hAnsi="Times New Roman"/>
                <w:sz w:val="20"/>
                <w:szCs w:val="20"/>
                <w:color w:val="auto"/>
                <w:vertAlign w:val="superscript"/>
              </w:rPr>
              <w:t>(b)</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2030 - 2044</w:t>
            </w:r>
          </w:p>
        </w:tc>
      </w:tr>
      <w:tr>
        <w:trPr>
          <w:trHeight w:val="197"/>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Solar Power Partners (SPP) Projects</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2026 - 2037</w:t>
            </w:r>
          </w:p>
        </w:tc>
      </w:tr>
      <w:tr>
        <w:trPr>
          <w:trHeight w:val="191"/>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DG Projects</w:t>
            </w:r>
          </w:p>
        </w:tc>
        <w:tc>
          <w:tcPr>
            <w:tcW w:w="16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2180" w:type="dxa"/>
            <w:vAlign w:val="bottom"/>
            <w:tcBorders>
              <w:bottom w:val="single" w:sz="8" w:color="CCEEFF"/>
            </w:tcBorders>
          </w:tcPr>
          <w:p>
            <w:pPr>
              <w:jc w:val="center"/>
              <w:ind w:left="1050"/>
              <w:spacing w:after="0"/>
              <w:rPr>
                <w:sz w:val="20"/>
                <w:szCs w:val="20"/>
                <w:color w:val="auto"/>
              </w:rPr>
            </w:pPr>
            <w:r>
              <w:rPr>
                <w:rFonts w:ascii="Times New Roman" w:cs="Times New Roman" w:eastAsia="Times New Roman" w:hAnsi="Times New Roman"/>
                <w:sz w:val="14"/>
                <w:szCs w:val="14"/>
                <w:color w:val="auto"/>
                <w:w w:val="97"/>
              </w:rPr>
              <w:t>2023 - 2039</w:t>
            </w:r>
          </w:p>
        </w:tc>
      </w:tr>
      <w:tr>
        <w:trPr>
          <w:trHeight w:val="197"/>
        </w:trPr>
        <w:tc>
          <w:tcPr>
            <w:tcW w:w="3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Distributed Solar</w:t>
            </w: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30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r>
    </w:tbl>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vMerge w:val="restart"/>
          </w:tcPr>
          <w:p>
            <w:pPr>
              <w:spacing w:after="0"/>
              <w:rPr>
                <w:sz w:val="13"/>
                <w:szCs w:val="13"/>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Net Capacity</w:t>
            </w:r>
          </w:p>
        </w:tc>
        <w:tc>
          <w:tcPr>
            <w:tcW w:w="394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00" w:type="dxa"/>
            <w:vAlign w:val="bottom"/>
            <w:vMerge w:val="restart"/>
          </w:tcPr>
          <w:p>
            <w:pPr>
              <w:spacing w:after="0"/>
              <w:rPr>
                <w:sz w:val="13"/>
                <w:szCs w:val="13"/>
                <w:color w:val="auto"/>
              </w:rPr>
            </w:pPr>
          </w:p>
        </w:tc>
        <w:tc>
          <w:tcPr>
            <w:tcW w:w="1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7"/>
        </w:trPr>
        <w:tc>
          <w:tcPr>
            <w:tcW w:w="35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4"/>
                <w:szCs w:val="14"/>
                <w:b w:val="1"/>
                <w:bCs w:val="1"/>
                <w:color w:val="auto"/>
                <w:w w:val="93"/>
              </w:rPr>
              <w:t xml:space="preserve">(MW) </w:t>
            </w:r>
            <w:r>
              <w:rPr>
                <w:rFonts w:ascii="Times New Roman" w:cs="Times New Roman" w:eastAsia="Times New Roman" w:hAnsi="Times New Roman"/>
                <w:sz w:val="20"/>
                <w:szCs w:val="20"/>
                <w:b w:val="1"/>
                <w:bCs w:val="1"/>
                <w:color w:val="auto"/>
                <w:w w:val="93"/>
                <w:vertAlign w:val="superscript"/>
              </w:rPr>
              <w:t>(a)</w:t>
            </w:r>
          </w:p>
        </w:tc>
        <w:tc>
          <w:tcPr>
            <w:tcW w:w="100" w:type="dxa"/>
            <w:vAlign w:val="bottom"/>
          </w:tcPr>
          <w:p>
            <w:pPr>
              <w:spacing w:after="0"/>
              <w:rPr>
                <w:sz w:val="17"/>
                <w:szCs w:val="17"/>
                <w:color w:val="auto"/>
              </w:rPr>
            </w:pPr>
          </w:p>
        </w:tc>
        <w:tc>
          <w:tcPr>
            <w:tcW w:w="3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Wind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35495" cy="13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II</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III</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Alta IV</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Alta V</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4"/>
                <w:szCs w:val="14"/>
                <w:color w:val="auto"/>
              </w:rPr>
              <w:t xml:space="preserve">Alta X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4"/>
        </w:trPr>
        <w:tc>
          <w:tcPr>
            <w:tcW w:w="3260" w:type="dxa"/>
            <w:vAlign w:val="bottom"/>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Alta XI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2038</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Black Rock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Toyota and AEP</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Buffalo Bear</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Western Farmers Electric Co-operative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Crosswinds</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Corn Belt Power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24"/>
        </w:trPr>
        <w:tc>
          <w:tcPr>
            <w:tcW w:w="3260" w:type="dxa"/>
            <w:vAlign w:val="bottom"/>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Elbow Creek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66.7 %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Forward</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Constellation NewEnergy, Inc.</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Goat Wind</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Dow Pipeline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Hardin</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99 %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Interstate Power and Light Company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Langford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Goldman Sachs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Laredo Ridge</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Nebraska Public Power District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Lookout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Southern Maryland Electric Cooperative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97"/>
        </w:trPr>
        <w:tc>
          <w:tcPr>
            <w:tcW w:w="326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Mesquite Sky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2033 - 2036</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Mesquite Star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Various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2032 - 2035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Mt. Storm</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Citigroup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Ocotillo</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N/A</w:t>
            </w: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Odin</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99.9 %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Missouri River Energy Services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143"/>
        </w:trPr>
        <w:tc>
          <w:tcPr>
            <w:tcW w:w="3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Pinnacle </w:t>
            </w:r>
            <w:r>
              <w:rPr>
                <w:rFonts w:ascii="Times New Roman" w:cs="Times New Roman" w:eastAsia="Times New Roman" w:hAnsi="Times New Roman"/>
                <w:sz w:val="20"/>
                <w:szCs w:val="20"/>
                <w:color w:val="auto"/>
                <w:vertAlign w:val="superscript"/>
              </w:rPr>
              <w:t>(b)</w:t>
            </w:r>
          </w:p>
        </w:tc>
        <w:tc>
          <w:tcPr>
            <w:tcW w:w="1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14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4"/>
                <w:szCs w:val="14"/>
                <w:color w:val="auto"/>
              </w:rPr>
              <w:t>Maryland Department of General Services and University System of</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4"/>
        </w:trPr>
        <w:tc>
          <w:tcPr>
            <w:tcW w:w="3260" w:type="dxa"/>
            <w:vAlign w:val="bottom"/>
            <w:vMerge w:val="continue"/>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Maryland</w:t>
            </w: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Rattlesnake </w:t>
            </w:r>
            <w:r>
              <w:rPr>
                <w:rFonts w:ascii="Times New Roman" w:cs="Times New Roman" w:eastAsia="Times New Roman" w:hAnsi="Times New Roman"/>
                <w:sz w:val="20"/>
                <w:szCs w:val="20"/>
                <w:color w:val="auto"/>
                <w:vertAlign w:val="superscript"/>
              </w:rPr>
              <w:t>(b) (c)</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Avista Corporation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75 %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Sleeping Bear</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Public Service Company of Oklahoma</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South Trent</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AEP Energy Partners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0" w:type="dxa"/>
            <w:vAlign w:val="bottom"/>
          </w:tcPr>
          <w:p>
            <w:pPr>
              <w:spacing w:after="0"/>
              <w:rPr>
                <w:sz w:val="1"/>
                <w:szCs w:val="1"/>
                <w:color w:val="auto"/>
              </w:rPr>
            </w:pPr>
          </w:p>
        </w:tc>
      </w:tr>
      <w:tr>
        <w:trPr>
          <w:trHeight w:val="190"/>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Spanish Fork</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PacifiCorp</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Spring Canyon II </w:t>
            </w:r>
            <w:r>
              <w:rPr>
                <w:rFonts w:ascii="Times New Roman" w:cs="Times New Roman" w:eastAsia="Times New Roman" w:hAnsi="Times New Roman"/>
                <w:sz w:val="20"/>
                <w:szCs w:val="20"/>
                <w:color w:val="auto"/>
                <w:vertAlign w:val="superscript"/>
              </w:rPr>
              <w:t>(b)</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90.1 %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224"/>
        </w:trPr>
        <w:tc>
          <w:tcPr>
            <w:tcW w:w="3260" w:type="dxa"/>
            <w:vAlign w:val="bottom"/>
          </w:tcPr>
          <w:p>
            <w:pPr>
              <w:ind w:left="120"/>
              <w:spacing w:after="0" w:line="224" w:lineRule="exact"/>
              <w:rPr>
                <w:sz w:val="20"/>
                <w:szCs w:val="20"/>
                <w:color w:val="auto"/>
              </w:rPr>
            </w:pPr>
            <w:r>
              <w:rPr>
                <w:rFonts w:ascii="Times New Roman" w:cs="Times New Roman" w:eastAsia="Times New Roman" w:hAnsi="Times New Roman"/>
                <w:sz w:val="14"/>
                <w:szCs w:val="14"/>
                <w:color w:val="auto"/>
              </w:rPr>
              <w:t xml:space="preserve">Spring Canyon III </w:t>
            </w:r>
            <w:r>
              <w:rPr>
                <w:rFonts w:ascii="Times New Roman" w:cs="Times New Roman" w:eastAsia="Times New Roman" w:hAnsi="Times New Roman"/>
                <w:sz w:val="20"/>
                <w:szCs w:val="20"/>
                <w:color w:val="auto"/>
                <w:vertAlign w:val="superscript"/>
              </w:rPr>
              <w:t>(b)</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90.1 %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Platte River Power Authority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97"/>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Taloga</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Oklahoma Gas &amp; Electric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CCEEFF"/>
            </w:tcBorders>
          </w:tcPr>
          <w:p>
            <w:pPr>
              <w:ind w:left="120"/>
              <w:spacing w:after="0" w:line="197" w:lineRule="exact"/>
              <w:rPr>
                <w:sz w:val="20"/>
                <w:szCs w:val="20"/>
                <w:color w:val="auto"/>
              </w:rPr>
            </w:pPr>
            <w:r>
              <w:rPr>
                <w:rFonts w:ascii="Times New Roman" w:cs="Times New Roman" w:eastAsia="Times New Roman" w:hAnsi="Times New Roman"/>
                <w:sz w:val="14"/>
                <w:szCs w:val="14"/>
                <w:color w:val="auto"/>
              </w:rPr>
              <w:t xml:space="preserve">Wildorado </w:t>
            </w:r>
            <w:r>
              <w:rPr>
                <w:rFonts w:ascii="Times New Roman" w:cs="Times New Roman" w:eastAsia="Times New Roman" w:hAnsi="Times New Roman"/>
                <w:sz w:val="20"/>
                <w:szCs w:val="20"/>
                <w:color w:val="auto"/>
                <w:vertAlign w:val="superscript"/>
              </w:rPr>
              <w:t>(b)</w:t>
            </w:r>
          </w:p>
        </w:tc>
        <w:tc>
          <w:tcPr>
            <w:tcW w:w="17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Southwestern Public Service Company</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i w:val="1"/>
                <w:iCs w:val="1"/>
                <w:color w:val="auto"/>
              </w:rPr>
              <w:t>Total Wind</w:t>
            </w:r>
          </w:p>
        </w:tc>
        <w:tc>
          <w:tcPr>
            <w:tcW w:w="17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4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net generation capacity</w:t>
            </w:r>
          </w:p>
        </w:tc>
        <w:tc>
          <w:tcPr>
            <w:tcW w:w="17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7,710</w:t>
            </w:r>
          </w:p>
        </w:tc>
        <w:tc>
          <w:tcPr>
            <w:tcW w:w="4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86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62" w:lineRule="exact"/>
        <w:rPr>
          <w:sz w:val="20"/>
          <w:szCs w:val="20"/>
          <w:color w:val="auto"/>
        </w:rPr>
      </w:pPr>
    </w:p>
    <w:p>
      <w:pPr>
        <w:ind w:left="240" w:hanging="156"/>
        <w:spacing w:after="0"/>
        <w:tabs>
          <w:tab w:leader="none" w:pos="24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Net capacity represents the maximum, or rated, generating capacity of the facility multiplied by the Company’s percentage ownership in the facility as of June 30, 2022.</w:t>
      </w:r>
    </w:p>
    <w:p>
      <w:pPr>
        <w:spacing w:after="0" w:line="56" w:lineRule="exact"/>
        <w:rPr>
          <w:rFonts w:ascii="Times New Roman" w:cs="Times New Roman" w:eastAsia="Times New Roman" w:hAnsi="Times New Roman"/>
          <w:sz w:val="21"/>
          <w:szCs w:val="21"/>
          <w:color w:val="auto"/>
          <w:vertAlign w:val="superscript"/>
        </w:rPr>
      </w:pPr>
    </w:p>
    <w:p>
      <w:pPr>
        <w:ind w:firstLine="84"/>
        <w:spacing w:after="0"/>
        <w:tabs>
          <w:tab w:leader="none" w:pos="24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 xml:space="preserve">Projects are part of tax equity arrangements and ownership percentage is based on cash to be distributed, as further described in Note 4, </w:t>
      </w:r>
      <w:r>
        <w:rPr>
          <w:rFonts w:ascii="Times New Roman" w:cs="Times New Roman" w:eastAsia="Times New Roman" w:hAnsi="Times New Roman"/>
          <w:sz w:val="12"/>
          <w:szCs w:val="12"/>
          <w:i w:val="1"/>
          <w:iCs w:val="1"/>
          <w:color w:val="auto"/>
        </w:rPr>
        <w:t>Investments Accounted for by the Equity Method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Variable Interest Entities.</w:t>
      </w:r>
    </w:p>
    <w:p>
      <w:pPr>
        <w:spacing w:after="0" w:line="108" w:lineRule="exact"/>
        <w:rPr>
          <w:rFonts w:ascii="Times New Roman" w:cs="Times New Roman" w:eastAsia="Times New Roman" w:hAnsi="Times New Roman"/>
          <w:sz w:val="20"/>
          <w:szCs w:val="20"/>
          <w:color w:val="auto"/>
          <w:vertAlign w:val="superscript"/>
        </w:rPr>
      </w:pPr>
    </w:p>
    <w:p>
      <w:pPr>
        <w:ind w:left="260" w:hanging="176"/>
        <w:spacing w:after="0" w:line="238" w:lineRule="auto"/>
        <w:tabs>
          <w:tab w:leader="none" w:pos="26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Rattlesnake has a deliverable capacity of 144 MW.</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Thermal Disposition</w:t>
      </w:r>
    </w:p>
    <w:p>
      <w:pPr>
        <w:spacing w:after="0" w:line="163" w:lineRule="exact"/>
        <w:rPr>
          <w:sz w:val="20"/>
          <w:szCs w:val="20"/>
          <w:color w:val="auto"/>
        </w:rPr>
      </w:pPr>
    </w:p>
    <w:p>
      <w:pPr>
        <w:jc w:val="both"/>
        <w:ind w:left="640" w:hanging="319"/>
        <w:spacing w:after="0" w:line="249" w:lineRule="auto"/>
        <w:tabs>
          <w:tab w:leader="none" w:pos="636" w:val="left"/>
        </w:tabs>
        <w:numPr>
          <w:ilvl w:val="0"/>
          <w:numId w:val="23"/>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auto"/>
        </w:rPr>
        <w:t>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described under “Corporate Financing Activities” below, with the remaining proceeds invested in short-term investments classified as cash and cash equivalents on the Company’s consolidated balance sheet as of June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Capistrano Portfolio Acquisition</w:t>
      </w:r>
    </w:p>
    <w:p>
      <w:pPr>
        <w:spacing w:after="0" w:line="163" w:lineRule="exact"/>
        <w:rPr>
          <w:sz w:val="20"/>
          <w:szCs w:val="20"/>
          <w:color w:val="auto"/>
        </w:rPr>
      </w:pPr>
    </w:p>
    <w:p>
      <w:pPr>
        <w:jc w:val="both"/>
        <w:ind w:left="640" w:hanging="319"/>
        <w:spacing w:after="0" w:line="247" w:lineRule="auto"/>
        <w:tabs>
          <w:tab w:leader="none" w:pos="636"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June 23, 2022, an indirect subsidiary of the Company entered into a binding agreement to acquire the Capistrano Portfolio from Capistrano Wind Partners, LLC, an indirect subsidiary of CEG, for cash consideration of $255 million, plus the assumption of $160 million of non-recourse debt, subject to working capital and other closing adjustments. The Capistrano Portfolio consists of five wind projects located in Texas, Nebraska and Wyoming with a combined capacity of 413 MW. Concurrent with the acquisition, the Company has also entered into a development agreement with CEG, whereby CEG will pay $10 million to the Company to partially fund the acquisition of the Capistrano Portfolio for an exclusive right to develop, construct and repower the projects in the Capistrano Portfolio, or the Rights Fee. After factoring in estimated closing adjustments, proceeds from the Rights Fee and new non-recourse debt, the Company expects its long-term corporate capital commitment to acquire the Capistrano Portfolio to be between approximately $110 and $130 million, which the Company expects to fund with cash on hand. The transaction is subject to customary regulatory approvals and is expected to close in the second half of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Drop Down Transactions</w:t>
      </w:r>
    </w:p>
    <w:p>
      <w:pPr>
        <w:spacing w:after="0" w:line="163" w:lineRule="exact"/>
        <w:rPr>
          <w:sz w:val="20"/>
          <w:szCs w:val="20"/>
          <w:color w:val="auto"/>
        </w:rPr>
      </w:pPr>
    </w:p>
    <w:p>
      <w:pPr>
        <w:jc w:val="both"/>
        <w:ind w:left="640" w:hanging="319"/>
        <w:spacing w:after="0" w:line="280" w:lineRule="auto"/>
        <w:tabs>
          <w:tab w:leader="none" w:pos="63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25, 2022, the Company, through its indirect subsidiary, Lighthouse Renewable Holdco LLC, acquired Mililani BL 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substantial completion, which is expected to occur in the second half of 2022.</w:t>
      </w:r>
    </w:p>
    <w:p>
      <w:pPr>
        <w:spacing w:after="0" w:line="323" w:lineRule="exact"/>
        <w:rPr>
          <w:rFonts w:ascii="Times New Roman" w:cs="Times New Roman" w:eastAsia="Times New Roman" w:hAnsi="Times New Roman"/>
          <w:sz w:val="16"/>
          <w:szCs w:val="16"/>
          <w:color w:val="auto"/>
        </w:rPr>
      </w:pPr>
    </w:p>
    <w:p>
      <w:pPr>
        <w:jc w:val="both"/>
        <w:ind w:left="640" w:hanging="319"/>
        <w:spacing w:after="0" w:line="250" w:lineRule="auto"/>
        <w:tabs>
          <w:tab w:leader="none" w:pos="6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in connection with the Company’s 2021 acquisition of the Class B membership interests in Black Rock Wind Holding LLC, through its indirect subsidiary Lighthouse Renewable Holding Sub LLC, from Clearway Renew LLC, a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 Landing Resource Adequacy Agreements</w:t>
      </w:r>
    </w:p>
    <w:p>
      <w:pPr>
        <w:spacing w:after="0" w:line="163" w:lineRule="exact"/>
        <w:rPr>
          <w:sz w:val="20"/>
          <w:szCs w:val="20"/>
          <w:color w:val="auto"/>
        </w:rPr>
      </w:pPr>
    </w:p>
    <w:p>
      <w:pPr>
        <w:jc w:val="both"/>
        <w:ind w:left="640" w:hanging="319"/>
        <w:spacing w:after="0" w:line="256" w:lineRule="auto"/>
        <w:tabs>
          <w:tab w:leader="none" w:pos="6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Corporate Financing Activities</w:t>
      </w:r>
    </w:p>
    <w:p>
      <w:pPr>
        <w:spacing w:after="0" w:line="163" w:lineRule="exact"/>
        <w:rPr>
          <w:sz w:val="20"/>
          <w:szCs w:val="20"/>
          <w:color w:val="auto"/>
        </w:rPr>
      </w:pPr>
    </w:p>
    <w:p>
      <w:pPr>
        <w:ind w:left="640" w:hanging="319"/>
        <w:spacing w:after="0" w:line="268" w:lineRule="auto"/>
        <w:tabs>
          <w:tab w:leader="none" w:pos="6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 2022, the Company repaid (i) $305 million in outstanding borrowings under the revolving credit facility and (ii) $335 million in outstanding borrowings under the Bridge Loan Agreement utilizing proceeds received from the Thermal Disposition.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Project-level Financing Activities</w:t>
      </w:r>
    </w:p>
    <w:p>
      <w:pPr>
        <w:spacing w:after="0" w:line="163" w:lineRule="exact"/>
        <w:rPr>
          <w:sz w:val="20"/>
          <w:szCs w:val="20"/>
          <w:color w:val="auto"/>
        </w:rPr>
      </w:pPr>
    </w:p>
    <w:p>
      <w:pPr>
        <w:jc w:val="both"/>
        <w:ind w:left="640" w:hanging="319"/>
        <w:spacing w:after="0" w:line="252" w:lineRule="auto"/>
        <w:tabs>
          <w:tab w:leader="none" w:pos="6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3"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01"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Proposed Federal Reclassification of Northern Long-Eared Bat </w:t>
      </w:r>
      <w:r>
        <w:rPr>
          <w:rFonts w:ascii="Times New Roman" w:cs="Times New Roman" w:eastAsia="Times New Roman" w:hAnsi="Times New Roman"/>
          <w:sz w:val="18"/>
          <w:szCs w:val="18"/>
          <w:color w:val="auto"/>
        </w:rPr>
        <w:t>— On March 23, 2022, the U.S. Fish and Wildlife Service (FWS) announced a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reclassify the northern long-eared bat as endangered under the Endangered Species Act. The bat, currently listed as threatened, faces extinction due to the range-wide impacts of white-nose syndrome, a deadly disease affecting cave-dwelling bats across the continent. The northern long-eared bat is found in 37 states in the eastern and north central United States and in Canada. The Company is working with renewable energy industry groups to provide comments on the proposed reclassification as this proposal could affect renewable energy facility siting and operations. The proposed listing was recently published by FWS in the Federal Register and comments on the proposal are due by May 23, 2022. The Company is participating in this comment process through the renewable industry group.</w:t>
      </w:r>
    </w:p>
    <w:p>
      <w:pPr>
        <w:spacing w:after="0" w:line="134"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The Company’s environmental matters are further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1" w:lineRule="exact"/>
        <w:rPr>
          <w:sz w:val="20"/>
          <w:szCs w:val="20"/>
          <w:color w:val="auto"/>
        </w:rPr>
      </w:pPr>
    </w:p>
    <w:p>
      <w:pPr>
        <w:jc w:val="both"/>
        <w:ind w:firstLine="434"/>
        <w:spacing w:after="0" w:line="271"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2021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16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2021 Form 10-K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Industry Conditions and the Company’s Business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report, the Company has not experienced any material financial or operational impacts related to COVID-19, or variants thereof. All of the Company’s facilities have remained operational. The Company will continue to assess any financial or operational impacts based on any future developments. For additional discussion regarding risks associated with the COVID-19 pandemic, 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Company’s 2021 Form 10-K.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39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7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7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73"/>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333333"/>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amortization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fuels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costs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253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1,406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133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1,353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119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33333"/>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interest income (expense)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(176)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1,374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1,276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33333"/>
              </w:rPr>
              <w:t>(57)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1,052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333333"/>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70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Less: Income (loss) attributable to noncontrolling interests and</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579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514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92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7"/>
        </w:trPr>
        <w:tc>
          <w:tcPr>
            <w:tcW w:w="534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Renewables MWh generated/sold (in thousands) </w:t>
            </w:r>
            <w:r>
              <w:rPr>
                <w:rFonts w:ascii="Times New Roman" w:cs="Times New Roman" w:eastAsia="Times New Roman" w:hAnsi="Times New Roman"/>
                <w:sz w:val="22"/>
                <w:szCs w:val="22"/>
                <w:color w:val="auto"/>
                <w:vertAlign w:val="superscript"/>
              </w:rPr>
              <w:t>(a)</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4,416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7,735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Thermal MWt sold (in thousands) </w:t>
            </w:r>
            <w:r>
              <w:rPr>
                <w:rFonts w:ascii="Times New Roman" w:cs="Times New Roman" w:eastAsia="Times New Roman" w:hAnsi="Times New Roman"/>
                <w:sz w:val="22"/>
                <w:szCs w:val="22"/>
                <w:color w:val="auto"/>
                <w:vertAlign w:val="superscript"/>
              </w:rPr>
              <w:t>(b)</w:t>
            </w: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9"/>
                <w:szCs w:val="19"/>
                <w:color w:val="auto"/>
              </w:rPr>
            </w:pP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2"/>
                <w:szCs w:val="22"/>
                <w:color w:val="auto"/>
                <w:vertAlign w:val="superscript"/>
              </w:rPr>
              <w:t>(b)</w:t>
            </w:r>
          </w:p>
        </w:tc>
        <w:tc>
          <w:tcPr>
            <w:tcW w:w="13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4"/>
        </w:trPr>
        <w:tc>
          <w:tcPr>
            <w:tcW w:w="534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2"/>
                <w:szCs w:val="22"/>
                <w:color w:val="auto"/>
                <w:vertAlign w:val="superscript"/>
              </w:rPr>
              <w:t>(a) (c)</w:t>
            </w:r>
          </w:p>
        </w:tc>
        <w:tc>
          <w:tcPr>
            <w:tcW w:w="138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22479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47900" cy="8255"/>
                    </a:xfrm>
                    <a:prstGeom prst="rect">
                      <a:avLst/>
                    </a:prstGeom>
                    <a:noFill/>
                  </pic:spPr>
                </pic:pic>
              </a:graphicData>
            </a:graphic>
          </wp:anchor>
        </w:drawing>
      </w:r>
    </w:p>
    <w:p>
      <w:pPr>
        <w:spacing w:after="0" w:line="162" w:lineRule="exact"/>
        <w:rPr>
          <w:sz w:val="20"/>
          <w:szCs w:val="20"/>
          <w:color w:val="auto"/>
        </w:rPr>
      </w:pPr>
    </w:p>
    <w:p>
      <w:pPr>
        <w:ind w:left="240" w:hanging="156"/>
        <w:spacing w:after="0"/>
        <w:tabs>
          <w:tab w:leader="none" w:pos="24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Volumes do not include the MWh generated/sold by the Company’s equity method investments.</w:t>
      </w:r>
    </w:p>
    <w:p>
      <w:pPr>
        <w:spacing w:after="0" w:line="4" w:lineRule="exact"/>
        <w:rPr>
          <w:rFonts w:ascii="Times New Roman" w:cs="Times New Roman" w:eastAsia="Times New Roman" w:hAnsi="Times New Roman"/>
          <w:sz w:val="21"/>
          <w:szCs w:val="21"/>
          <w:color w:val="auto"/>
          <w:vertAlign w:val="superscript"/>
        </w:rPr>
      </w:pPr>
    </w:p>
    <w:p>
      <w:pPr>
        <w:ind w:left="240" w:hanging="156"/>
        <w:spacing w:after="0" w:line="183" w:lineRule="auto"/>
        <w:tabs>
          <w:tab w:leader="none" w:pos="24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On May 1, 2022, the Company completed the sale of 100% of its interests in the Thermal Business to KKR.</w:t>
      </w:r>
    </w:p>
    <w:p>
      <w:pPr>
        <w:spacing w:after="0" w:line="4" w:lineRule="exact"/>
        <w:rPr>
          <w:rFonts w:ascii="Times New Roman" w:cs="Times New Roman" w:eastAsia="Times New Roman" w:hAnsi="Times New Roman"/>
          <w:sz w:val="19"/>
          <w:szCs w:val="19"/>
          <w:color w:val="auto"/>
          <w:vertAlign w:val="superscript"/>
        </w:rPr>
      </w:pPr>
    </w:p>
    <w:p>
      <w:pPr>
        <w:ind w:left="240" w:hanging="156"/>
        <w:spacing w:after="0" w:line="183" w:lineRule="auto"/>
        <w:tabs>
          <w:tab w:leader="none" w:pos="24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Volumes generated are not sold as the Conventional facilities sell capacity rather than energy.</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9" w:name="page40"/>
    <w:bookmarkEnd w:id="39"/>
    <w:p>
      <w:pPr>
        <w:ind w:right="3200"/>
        <w:spacing w:after="0" w:line="42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of the Results of Operations for the Three Months Ended June 30, 2022 and 2021 </w:t>
      </w:r>
      <w:r>
        <w:rPr>
          <w:rFonts w:ascii="Times New Roman" w:cs="Times New Roman" w:eastAsia="Times New Roman" w:hAnsi="Times New Roman"/>
          <w:sz w:val="18"/>
          <w:szCs w:val="18"/>
          <w:b w:val="1"/>
          <w:bCs w:val="1"/>
          <w:i w:val="1"/>
          <w:iCs w:val="1"/>
          <w:color w:val="auto"/>
        </w:rPr>
        <w:t>Operating Revenues</w:t>
      </w:r>
    </w:p>
    <w:p>
      <w:pPr>
        <w:spacing w:after="0" w:line="1"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Operating revenues decreased by $12 million during the three months ended June 30, 2022, compared to the same period in 2021, due to a combination of the drivers summarized in the table below:</w:t>
      </w:r>
    </w:p>
    <w:p>
      <w:pPr>
        <w:spacing w:after="0" w:line="5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b w:val="1"/>
          <w:bCs w:val="1"/>
          <w:color w:val="auto"/>
        </w:rPr>
        <w:t>(In millions)</w:t>
      </w:r>
    </w:p>
    <w:p>
      <w:pPr>
        <w:sectPr>
          <w:pgSz w:w="11900" w:h="16838" w:orient="portrait"/>
          <w:cols w:equalWidth="0" w:num="1">
            <w:col w:w="11240"/>
          </w:cols>
          <w:pgMar w:left="320" w:top="869" w:right="339" w:bottom="1440" w:gutter="0" w:footer="0" w:header="0"/>
        </w:sectPr>
      </w:pPr>
    </w:p>
    <w:p>
      <w:pPr>
        <w:spacing w:after="0" w:line="8"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Renewables Segment</w:t>
      </w:r>
      <w:r>
        <w:rPr>
          <w:sz w:val="20"/>
          <w:szCs w:val="20"/>
          <w:color w:val="auto"/>
        </w:rPr>
        <w:tab/>
      </w:r>
      <w:r>
        <w:rPr>
          <w:rFonts w:ascii="Times New Roman" w:cs="Times New Roman" w:eastAsia="Times New Roman" w:hAnsi="Times New Roman"/>
          <w:sz w:val="16"/>
          <w:szCs w:val="16"/>
          <w:color w:val="auto"/>
        </w:rPr>
        <w:t>Increase primarily due to the acquisitions of the Utah Solar Portfolio in December 2021 and Mt. Storm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35495" cy="259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8"/>
          <w:szCs w:val="18"/>
          <w:color w:val="auto"/>
        </w:rPr>
        <w:t>in April 2021, along with increased wind generation at Alta and various other wind facilities</w:t>
      </w:r>
    </w:p>
    <w:p>
      <w:pPr>
        <w:spacing w:after="0" w:line="8"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Conventional Segment</w:t>
      </w:r>
      <w:r>
        <w:rPr>
          <w:sz w:val="20"/>
          <w:szCs w:val="20"/>
          <w:color w:val="auto"/>
        </w:rPr>
        <w:tab/>
      </w:r>
      <w:r>
        <w:rPr>
          <w:rFonts w:ascii="Times New Roman" w:cs="Times New Roman" w:eastAsia="Times New Roman" w:hAnsi="Times New Roman"/>
          <w:sz w:val="16"/>
          <w:szCs w:val="16"/>
          <w:color w:val="auto"/>
        </w:rPr>
        <w:t>Decrease driven by the timing of annual planned maintenance outages at the El Segundo facility</w:t>
      </w:r>
    </w:p>
    <w:p>
      <w:pPr>
        <w:spacing w:after="0" w:line="23" w:lineRule="exact"/>
        <w:rPr>
          <w:sz w:val="20"/>
          <w:szCs w:val="20"/>
          <w:color w:val="auto"/>
        </w:rPr>
      </w:pP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Thermal Segment</w:t>
      </w:r>
      <w:r>
        <w:rPr>
          <w:sz w:val="20"/>
          <w:szCs w:val="20"/>
          <w:color w:val="auto"/>
        </w:rPr>
        <w:tab/>
      </w:r>
      <w:r>
        <w:rPr>
          <w:rFonts w:ascii="Times New Roman" w:cs="Times New Roman" w:eastAsia="Times New Roman" w:hAnsi="Times New Roman"/>
          <w:sz w:val="16"/>
          <w:szCs w:val="16"/>
          <w:color w:val="auto"/>
        </w:rPr>
        <w:t>Decrease primarily driven by the sale of the Thermal Business on May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tabs>
          <w:tab w:leader="none" w:pos="2620" w:val="left"/>
        </w:tabs>
        <w:rPr>
          <w:sz w:val="20"/>
          <w:szCs w:val="20"/>
          <w:color w:val="auto"/>
        </w:rPr>
      </w:pPr>
      <w:r>
        <w:rPr>
          <w:rFonts w:ascii="Times New Roman" w:cs="Times New Roman" w:eastAsia="Times New Roman" w:hAnsi="Times New Roman"/>
          <w:sz w:val="18"/>
          <w:szCs w:val="18"/>
          <w:b w:val="1"/>
          <w:bCs w:val="1"/>
          <w:color w:val="auto"/>
        </w:rPr>
        <w:t>Mark-to-market for economic</w:t>
      </w:r>
      <w:r>
        <w:rPr>
          <w:sz w:val="20"/>
          <w:szCs w:val="20"/>
          <w:color w:val="auto"/>
        </w:rPr>
        <w:tab/>
      </w:r>
      <w:r>
        <w:rPr>
          <w:rFonts w:ascii="Times New Roman" w:cs="Times New Roman" w:eastAsia="Times New Roman" w:hAnsi="Times New Roman"/>
          <w:sz w:val="16"/>
          <w:szCs w:val="16"/>
          <w:color w:val="auto"/>
        </w:rPr>
        <w:t>Increase in unrealized losses from changes in the fair value of commodity contracts, primarily driven</w:t>
      </w:r>
    </w:p>
    <w:p>
      <w:pPr>
        <w:ind w:left="20"/>
        <w:spacing w:after="0" w:line="198" w:lineRule="auto"/>
        <w:tabs>
          <w:tab w:leader="none" w:pos="2620" w:val="left"/>
        </w:tabs>
        <w:rPr>
          <w:sz w:val="20"/>
          <w:szCs w:val="20"/>
          <w:color w:val="auto"/>
        </w:rPr>
      </w:pPr>
      <w:r>
        <w:rPr>
          <w:rFonts w:ascii="Times New Roman" w:cs="Times New Roman" w:eastAsia="Times New Roman" w:hAnsi="Times New Roman"/>
          <w:sz w:val="18"/>
          <w:szCs w:val="18"/>
          <w:b w:val="1"/>
          <w:bCs w:val="1"/>
          <w:color w:val="auto"/>
        </w:rPr>
        <w:t>hedges</w:t>
      </w:r>
      <w:r>
        <w:rPr>
          <w:sz w:val="20"/>
          <w:szCs w:val="20"/>
          <w:color w:val="auto"/>
        </w:rPr>
        <w:tab/>
      </w:r>
      <w:r>
        <w:rPr>
          <w:rFonts w:ascii="Times New Roman" w:cs="Times New Roman" w:eastAsia="Times New Roman" w:hAnsi="Times New Roman"/>
          <w:sz w:val="18"/>
          <w:szCs w:val="18"/>
          <w:color w:val="auto"/>
        </w:rPr>
        <w:t>by the 2021 acquisitions of Mesquite Sky and Mt. Storm and the mark-to-market of the Langford</w:t>
      </w:r>
    </w:p>
    <w:p>
      <w:pPr>
        <w:spacing w:after="0" w:line="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commodity contract, which previously qualified for the NPNS exception</w:t>
      </w:r>
    </w:p>
    <w:p>
      <w:pPr>
        <w:ind w:left="20"/>
        <w:spacing w:after="0" w:line="230" w:lineRule="auto"/>
        <w:tabs>
          <w:tab w:leader="none" w:pos="2620" w:val="left"/>
        </w:tabs>
        <w:rPr>
          <w:sz w:val="20"/>
          <w:szCs w:val="20"/>
          <w:color w:val="auto"/>
        </w:rPr>
      </w:pPr>
      <w:r>
        <w:rPr>
          <w:rFonts w:ascii="Times New Roman" w:cs="Times New Roman" w:eastAsia="Times New Roman" w:hAnsi="Times New Roman"/>
          <w:sz w:val="18"/>
          <w:szCs w:val="18"/>
          <w:b w:val="1"/>
          <w:bCs w:val="1"/>
          <w:color w:val="auto"/>
        </w:rPr>
        <w:t>Contract amortization</w:t>
      </w:r>
      <w:r>
        <w:rPr>
          <w:sz w:val="20"/>
          <w:szCs w:val="20"/>
          <w:color w:val="auto"/>
        </w:rPr>
        <w:tab/>
      </w:r>
      <w:r>
        <w:rPr>
          <w:rFonts w:ascii="Times New Roman" w:cs="Times New Roman" w:eastAsia="Times New Roman" w:hAnsi="Times New Roman"/>
          <w:sz w:val="18"/>
          <w:szCs w:val="18"/>
          <w:color w:val="auto"/>
        </w:rPr>
        <w:t>Increase primarily driven by amortization of the intangible assets for power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135495" cy="259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ind w:left="2640"/>
        <w:spacing w:after="0"/>
        <w:rPr>
          <w:sz w:val="20"/>
          <w:szCs w:val="20"/>
          <w:color w:val="auto"/>
        </w:rPr>
      </w:pPr>
      <w:r>
        <w:rPr>
          <w:rFonts w:ascii="Times New Roman" w:cs="Times New Roman" w:eastAsia="Times New Roman" w:hAnsi="Times New Roman"/>
          <w:sz w:val="18"/>
          <w:szCs w:val="18"/>
          <w:color w:val="auto"/>
        </w:rPr>
        <w:t>related to the 2021 acquisition of the Utah Solar Portfolio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108" w:hanging="1108"/>
        <w:spacing w:after="0"/>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1"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(6)</w:t>
      </w:r>
    </w:p>
    <w:p>
      <w:pPr>
        <w:spacing w:after="0" w:line="40" w:lineRule="exact"/>
        <w:rPr>
          <w:sz w:val="20"/>
          <w:szCs w:val="20"/>
          <w:color w:val="auto"/>
        </w:rPr>
      </w:pPr>
    </w:p>
    <w:p>
      <w:pPr>
        <w:ind w:left="1028"/>
        <w:spacing w:after="0"/>
        <w:rPr>
          <w:sz w:val="20"/>
          <w:szCs w:val="20"/>
          <w:color w:val="auto"/>
        </w:rPr>
      </w:pPr>
      <w:r>
        <w:rPr>
          <w:rFonts w:ascii="Times New Roman" w:cs="Times New Roman" w:eastAsia="Times New Roman" w:hAnsi="Times New Roman"/>
          <w:sz w:val="18"/>
          <w:szCs w:val="18"/>
          <w:color w:val="auto"/>
        </w:rPr>
        <w:t>(32)</w:t>
      </w:r>
    </w:p>
    <w:p>
      <w:pPr>
        <w:spacing w:after="0" w:line="3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868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0" w:lineRule="exact"/>
        <w:rPr>
          <w:sz w:val="20"/>
          <w:szCs w:val="20"/>
          <w:color w:val="auto"/>
        </w:rPr>
      </w:pPr>
    </w:p>
    <w:p>
      <w:pPr>
        <w:ind w:left="1028" w:hanging="1028"/>
        <w:spacing w:after="0"/>
        <w:tabs>
          <w:tab w:leader="none" w:pos="10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8686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8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38735</wp:posOffset>
            </wp:positionV>
            <wp:extent cx="8686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60" w:space="32"/>
            <w:col w:w="1348"/>
          </w:cols>
          <w:pgMar w:left="320" w:top="869"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6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Cost of fuels decreased by $9 million during the three months ended June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6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Operations and maintenance expense increased by $7 million during the three months ended June 30, 2022, compared to the same period in 2021, due to a combination of the drivers summarized in the table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8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61"/>
        </w:trPr>
        <w:tc>
          <w:tcPr>
            <w:tcW w:w="21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Renewables Segment</w:t>
            </w:r>
          </w:p>
        </w:tc>
        <w:tc>
          <w:tcPr>
            <w:tcW w:w="770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8"/>
                <w:szCs w:val="18"/>
                <w:color w:val="auto"/>
                <w:w w:val="99"/>
              </w:rPr>
              <w:t>Increase primarily from the 2021 acquisitions of the Utah Solar Portfolio, Mesquite Sky, Black Rock</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29"/>
        </w:trPr>
        <w:tc>
          <w:tcPr>
            <w:tcW w:w="2180" w:type="dxa"/>
            <w:vAlign w:val="bottom"/>
            <w:shd w:val="clear" w:color="auto" w:fill="CCEEFF"/>
          </w:tcPr>
          <w:p>
            <w:pPr>
              <w:spacing w:after="0"/>
              <w:rPr>
                <w:sz w:val="19"/>
                <w:szCs w:val="19"/>
                <w:color w:val="auto"/>
              </w:rPr>
            </w:pP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and Mt. Storm.</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Conventional Segment</w:t>
            </w:r>
          </w:p>
        </w:tc>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primarily driven by the timing of the annual planned maintenance outages at El Segundo</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primarily driven by the sale of the Thermal Business on May 1, 2022</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218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18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of Operations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Other cost of operations increased $7 million during the three months ended June 30, 2022, compared to the same period in 2021, primarily from the 2021 acquisitions of Mt. Storm, Mesquite Sky, Black Rock and the Utah Solar Portfolio, as well as the timing of property tax payments.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resulting in a gain on sale of business of approximately $1.29 billion,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Interest expense decreased by $56 million during the three months ended June 30, 2022, compared to the same period in 2021, primarily due to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due to the sale of the Thermal Business on May 1, 2022</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96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9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For the three months ended June 30, 2022, the Company recorded an income tax expense of $225 million on pretax income of $1,374 million. For the same period in 2021, the Company recorded an income tax expense of $7 million on pretax income of $39 million. The primary driver of the $218 million increase in income tax expense is the gain recorded on the sale of the Thermal Business on May 1, 2022, as further described in Note 3, </w:t>
      </w:r>
      <w:r>
        <w:rPr>
          <w:rFonts w:ascii="Times New Roman" w:cs="Times New Roman" w:eastAsia="Times New Roman" w:hAnsi="Times New Roman"/>
          <w:sz w:val="18"/>
          <w:szCs w:val="18"/>
          <w:i w:val="1"/>
          <w:iCs w:val="1"/>
          <w:color w:val="auto"/>
        </w:rPr>
        <w:t>Acquisitions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Interests and Redeemable Noncontrolling Interests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June 30, 2022, the Company had income of $579 million attributable to noncontrolling interests and redeemable noncontrolling interests comprised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 (primarily driven by the gain on sale of the Thermal Business)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4"/>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2"/>
        </w:trPr>
        <w:tc>
          <w:tcPr>
            <w:tcW w:w="96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June 30, 2021, the Company had a loss of $3 million attributable to noncontrolling interests and redeemable noncontrolling interests comprised of the following: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third-party partnerships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96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9620" w:type="dxa"/>
            <w:vAlign w:val="bottom"/>
            <w:vMerge w:val="restart"/>
          </w:tcPr>
          <w:p>
            <w:pPr>
              <w:jc w:val="right"/>
              <w:ind w:right="3812"/>
              <w:spacing w:after="0"/>
              <w:rPr>
                <w:sz w:val="20"/>
                <w:szCs w:val="20"/>
                <w:color w:val="auto"/>
              </w:rPr>
            </w:pPr>
            <w:r>
              <w:rPr>
                <w:rFonts w:ascii="Times New Roman" w:cs="Times New Roman" w:eastAsia="Times New Roman" w:hAnsi="Times New Roman"/>
                <w:sz w:val="18"/>
                <w:szCs w:val="18"/>
                <w:color w:val="231F20"/>
              </w:rPr>
              <w:t>41</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9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9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Six Months Ended June 30, 2022 and 2021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Operating revenues decreased by $35 million during the six months ended June 30, 2022, compared to the same period in 2021, due to a combination of the drivers summarized in the table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20" w:type="dxa"/>
            <w:vAlign w:val="bottom"/>
            <w:tcBorders>
              <w:bottom w:val="single" w:sz="8" w:color="CCEEFF"/>
            </w:tcBorders>
          </w:tcPr>
          <w:p>
            <w:pPr>
              <w:spacing w:after="0"/>
              <w:rPr>
                <w:sz w:val="20"/>
                <w:szCs w:val="20"/>
                <w:color w:val="auto"/>
              </w:rPr>
            </w:pPr>
          </w:p>
        </w:tc>
        <w:tc>
          <w:tcPr>
            <w:tcW w:w="75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151"/>
        </w:trPr>
        <w:tc>
          <w:tcPr>
            <w:tcW w:w="23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Renewables Segment</w:t>
            </w:r>
          </w:p>
        </w:tc>
        <w:tc>
          <w:tcPr>
            <w:tcW w:w="7560" w:type="dxa"/>
            <w:vAlign w:val="bottom"/>
            <w:shd w:val="clear" w:color="auto" w:fill="CCEEFF"/>
          </w:tcPr>
          <w:p>
            <w:pPr>
              <w:ind w:left="320"/>
              <w:spacing w:after="0" w:line="152" w:lineRule="exact"/>
              <w:rPr>
                <w:sz w:val="20"/>
                <w:szCs w:val="20"/>
                <w:color w:val="auto"/>
              </w:rPr>
            </w:pPr>
            <w:r>
              <w:rPr>
                <w:rFonts w:ascii="Times New Roman" w:cs="Times New Roman" w:eastAsia="Times New Roman" w:hAnsi="Times New Roman"/>
                <w:sz w:val="16"/>
                <w:szCs w:val="16"/>
                <w:color w:val="auto"/>
              </w:rPr>
              <w:t>Increase due to a loss of $50 million in February 2021 related to net settlements of obligations for</w:t>
            </w: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spacing w:after="0"/>
              <w:rPr>
                <w:sz w:val="15"/>
                <w:szCs w:val="15"/>
                <w:color w:val="auto"/>
              </w:rPr>
            </w:pPr>
          </w:p>
        </w:tc>
        <w:tc>
          <w:tcPr>
            <w:tcW w:w="7560" w:type="dxa"/>
            <w:vAlign w:val="bottom"/>
            <w:shd w:val="clear" w:color="auto" w:fill="CCEEFF"/>
          </w:tcPr>
          <w:p>
            <w:pPr>
              <w:ind w:left="320"/>
              <w:spacing w:after="0" w:line="179" w:lineRule="exact"/>
              <w:rPr>
                <w:sz w:val="20"/>
                <w:szCs w:val="20"/>
                <w:color w:val="auto"/>
              </w:rPr>
            </w:pPr>
            <w:r>
              <w:rPr>
                <w:rFonts w:ascii="Times New Roman" w:cs="Times New Roman" w:eastAsia="Times New Roman" w:hAnsi="Times New Roman"/>
                <w:sz w:val="18"/>
                <w:szCs w:val="18"/>
                <w:color w:val="auto"/>
              </w:rPr>
              <w:t>wind facilities that were unable to produce the required output during extreme weather conditions in</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rPr>
                <w:sz w:val="15"/>
                <w:szCs w:val="15"/>
                <w:color w:val="auto"/>
              </w:rPr>
            </w:pPr>
          </w:p>
        </w:tc>
        <w:tc>
          <w:tcPr>
            <w:tcW w:w="756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Texas, as well as the 2021 acquisitions of the Utah Solar Portfolio, Agua Caliente, Mesquite Sky,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Black Rock and Mt. Storm</w:t>
            </w: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Thermal Segment</w:t>
            </w:r>
          </w:p>
        </w:tc>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Decrease due to the sale of the Thermal business on May 1, 2022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Mark-to-market economic</w:t>
            </w:r>
          </w:p>
        </w:tc>
        <w:tc>
          <w:tcPr>
            <w:tcW w:w="7560" w:type="dxa"/>
            <w:vAlign w:val="bottom"/>
            <w:shd w:val="clear" w:color="auto" w:fill="CCEEFF"/>
          </w:tcPr>
          <w:p>
            <w:pPr>
              <w:ind w:left="320"/>
              <w:spacing w:after="0" w:line="171" w:lineRule="exact"/>
              <w:rPr>
                <w:sz w:val="20"/>
                <w:szCs w:val="20"/>
                <w:color w:val="auto"/>
              </w:rPr>
            </w:pPr>
            <w:r>
              <w:rPr>
                <w:rFonts w:ascii="Times New Roman" w:cs="Times New Roman" w:eastAsia="Times New Roman" w:hAnsi="Times New Roman"/>
                <w:sz w:val="18"/>
                <w:szCs w:val="18"/>
                <w:color w:val="auto"/>
                <w:w w:val="99"/>
              </w:rPr>
              <w:t>Increase in unrealized losses from changes in the fair value of commodity contracts, primarily driven</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hedging activities</w:t>
            </w:r>
          </w:p>
        </w:tc>
        <w:tc>
          <w:tcPr>
            <w:tcW w:w="7560" w:type="dxa"/>
            <w:vAlign w:val="bottom"/>
            <w:shd w:val="clear" w:color="auto" w:fill="CCEEFF"/>
          </w:tcPr>
          <w:p>
            <w:pPr>
              <w:ind w:left="320"/>
              <w:spacing w:after="0" w:line="179" w:lineRule="exact"/>
              <w:rPr>
                <w:sz w:val="20"/>
                <w:szCs w:val="20"/>
                <w:color w:val="auto"/>
              </w:rPr>
            </w:pPr>
            <w:r>
              <w:rPr>
                <w:rFonts w:ascii="Times New Roman" w:cs="Times New Roman" w:eastAsia="Times New Roman" w:hAnsi="Times New Roman"/>
                <w:sz w:val="18"/>
                <w:szCs w:val="18"/>
                <w:color w:val="auto"/>
              </w:rPr>
              <w:t>by an increase in forward power prices in the ERCOT and PJM markets, as well as the 2021</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spacing w:after="0"/>
              <w:rPr>
                <w:sz w:val="15"/>
                <w:szCs w:val="15"/>
                <w:color w:val="auto"/>
              </w:rPr>
            </w:pPr>
          </w:p>
        </w:tc>
        <w:tc>
          <w:tcPr>
            <w:tcW w:w="756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acquisitions of Mt. Storm and Mesquite Sky and the mark-to-market of the Langford commodity</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4"/>
        </w:trPr>
        <w:tc>
          <w:tcPr>
            <w:tcW w:w="2320" w:type="dxa"/>
            <w:vAlign w:val="bottom"/>
            <w:shd w:val="clear" w:color="auto" w:fill="CCEEFF"/>
          </w:tcPr>
          <w:p>
            <w:pPr>
              <w:spacing w:after="0"/>
              <w:rPr>
                <w:sz w:val="19"/>
                <w:szCs w:val="19"/>
                <w:color w:val="auto"/>
              </w:rPr>
            </w:pPr>
          </w:p>
        </w:tc>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contract, which previously qualified for the NPNS exception</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Contract amortization</w:t>
            </w:r>
          </w:p>
        </w:tc>
        <w:tc>
          <w:tcPr>
            <w:tcW w:w="7560" w:type="dxa"/>
            <w:vAlign w:val="bottom"/>
          </w:tcPr>
          <w:p>
            <w:pPr>
              <w:ind w:left="320"/>
              <w:spacing w:after="0" w:line="171" w:lineRule="exact"/>
              <w:rPr>
                <w:sz w:val="20"/>
                <w:szCs w:val="20"/>
                <w:color w:val="auto"/>
              </w:rPr>
            </w:pPr>
            <w:r>
              <w:rPr>
                <w:rFonts w:ascii="Times New Roman" w:cs="Times New Roman" w:eastAsia="Times New Roman" w:hAnsi="Times New Roman"/>
                <w:sz w:val="18"/>
                <w:szCs w:val="18"/>
                <w:color w:val="auto"/>
              </w:rPr>
              <w:t>Increase primarily driven by amortization of the intangible assets for power purchase agreements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tcPr>
          <w:p>
            <w:pPr>
              <w:spacing w:after="0"/>
              <w:rPr>
                <w:sz w:val="20"/>
                <w:szCs w:val="20"/>
                <w:color w:val="auto"/>
              </w:rPr>
            </w:pPr>
          </w:p>
        </w:tc>
        <w:tc>
          <w:tcPr>
            <w:tcW w:w="7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related to the 2021 acquisitions of Agua Caliente and the Utah Solar Portfolio</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2"/>
        </w:trPr>
        <w:tc>
          <w:tcPr>
            <w:tcW w:w="23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Fuels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Cost of fuels decreased by $6 million during the six months ended June 30, 2022, compared to the same period in 2021, due to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Maintenance Expense</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Operations and maintenance expense increased by $15 million during the six months ended June 30, 2022, compared to the same period in 2021, primarily due to the 2021 acquisitions of the Utah Solar Portfolio, Mesquite Sky, Black Rock and Mt. Storm, partially offset by the sale of the Thermal Business on May 1, 2022,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Other Costs of Operations Expense</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Other costs of operations expense increased by $14 million during the six months ended June 30, 2022, compared to the same period in 2021, primarily from the 2021 acquisitions of Mt. Storm, Mesquite Sky, Black Rock and the Utah Solar Portfolio, as well as the timing of property tax payments and refunds for certain projects.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Business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resulting in a gain on sale of business of approximately $1.29 billion, as further described in Note 3,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65"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 xml:space="preserve">The Company recorded a loss on debt extinguishment of $2 million during the six months ended June 30, 2022, which reflects the write-off of previously deferred finance costs related to the Laredo Ridge, Tapestry Wind LLC and Viento Funding II, LLC, as further described in Note 7, </w:t>
      </w:r>
      <w:r>
        <w:rPr>
          <w:rFonts w:ascii="Times New Roman" w:cs="Times New Roman" w:eastAsia="Times New Roman" w:hAnsi="Times New Roman"/>
          <w:sz w:val="16"/>
          <w:szCs w:val="16"/>
          <w:i w:val="1"/>
          <w:iCs w:val="1"/>
          <w:color w:val="auto"/>
        </w:rPr>
        <w:t>Long-term Debt</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recorded a loss on debt extinguishment of $42 million during the six months ended, June 30, 2021, which primarily reflects the write-off of previously deferred finance costs and payment of premiums related to the redemption of the 2025 Senior Notes.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Interest expense decreased by $54 million during the six months ended June 30, 2022, compared to the same period in 2021, primarily due to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7"/>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decreased principal balances of project-level debt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interest expense due to the sale of the Thermal Business on May 1, 2022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71"/>
        </w:trPr>
        <w:tc>
          <w:tcPr>
            <w:tcW w:w="96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Amortization of deferred financing costs related to the Bridge Loan that was entered into during the fourth quarter of 2021 and paid in</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7"/>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 on May 3, 2022</w:t>
            </w: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9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5"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 xml:space="preserve">For the six months ended June 30, 2022, the Company recorded an income tax expense of $224 million on pretax income of $1,276 million. For the same period in 2021, the Company recorded an income tax benefit of $13 million on a pretax loss of $57 million. The primary driver of the $237 million increase in income tax expense is the gain recorded on the sale of the Thermal Business on May 1, 2022, as further described in Note 3, </w:t>
      </w:r>
      <w:r>
        <w:rPr>
          <w:rFonts w:ascii="Times New Roman" w:cs="Times New Roman" w:eastAsia="Times New Roman" w:hAnsi="Times New Roman"/>
          <w:sz w:val="16"/>
          <w:szCs w:val="16"/>
          <w:i w:val="1"/>
          <w:iCs w:val="1"/>
          <w:color w:val="auto"/>
        </w:rPr>
        <w:t>Acquisitions and Dispositions</w:t>
      </w:r>
      <w:r>
        <w:rPr>
          <w:rFonts w:ascii="Times New Roman" w:cs="Times New Roman" w:eastAsia="Times New Roman" w:hAnsi="Times New Roman"/>
          <w:sz w:val="16"/>
          <w:szCs w:val="16"/>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Interests and Redeemable Noncontrolling Interests</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2022, the Company had income of $514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 (primarily driven by the gain on sale of the Thermal Business)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560</w:t>
            </w:r>
          </w:p>
        </w:tc>
      </w:tr>
      <w:tr>
        <w:trPr>
          <w:trHeight w:val="224"/>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420" w:type="dxa"/>
            <w:vAlign w:val="bottom"/>
          </w:tcPr>
          <w:p>
            <w:pPr>
              <w:spacing w:after="0"/>
              <w:rPr>
                <w:sz w:val="19"/>
                <w:szCs w:val="19"/>
                <w:color w:val="auto"/>
              </w:rPr>
            </w:pPr>
          </w:p>
        </w:tc>
        <w:tc>
          <w:tcPr>
            <w:tcW w:w="202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9"/>
              </w:rPr>
              <w:t>(24)</w:t>
            </w:r>
          </w:p>
        </w:tc>
      </w:tr>
      <w:tr>
        <w:trPr>
          <w:trHeight w:val="224"/>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7"/>
        </w:trPr>
        <w:tc>
          <w:tcPr>
            <w:tcW w:w="88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For the six months ended June 30, 2021, the Company had a loss of $82 million attributable to noncontrolling interests and redeemable noncontrolling interests comprised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8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attributable to tax equity financing arrangements and the application of HLBV</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center"/>
              <w:ind w:left="1592"/>
              <w:spacing w:after="0"/>
              <w:rPr>
                <w:sz w:val="20"/>
                <w:szCs w:val="20"/>
                <w:color w:val="auto"/>
              </w:rPr>
            </w:pPr>
            <w:r>
              <w:rPr>
                <w:rFonts w:ascii="Times New Roman" w:cs="Times New Roman" w:eastAsia="Times New Roman" w:hAnsi="Times New Roman"/>
                <w:sz w:val="18"/>
                <w:szCs w:val="18"/>
                <w:color w:val="auto"/>
                <w:w w:val="99"/>
              </w:rPr>
              <w:t>(77)</w:t>
            </w:r>
          </w:p>
        </w:tc>
      </w:tr>
      <w:tr>
        <w:trPr>
          <w:trHeight w:val="224"/>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attributable to third-party partnerships</w:t>
            </w:r>
          </w:p>
        </w:tc>
        <w:tc>
          <w:tcPr>
            <w:tcW w:w="420" w:type="dxa"/>
            <w:vAlign w:val="bottom"/>
          </w:tcPr>
          <w:p>
            <w:pPr>
              <w:spacing w:after="0"/>
              <w:rPr>
                <w:sz w:val="19"/>
                <w:szCs w:val="19"/>
                <w:color w:val="auto"/>
              </w:rPr>
            </w:pPr>
          </w:p>
        </w:tc>
        <w:tc>
          <w:tcPr>
            <w:tcW w:w="2020" w:type="dxa"/>
            <w:vAlign w:val="bottom"/>
          </w:tcPr>
          <w:p>
            <w:pPr>
              <w:jc w:val="center"/>
              <w:ind w:left="1592"/>
              <w:spacing w:after="0"/>
              <w:rPr>
                <w:sz w:val="20"/>
                <w:szCs w:val="20"/>
                <w:color w:val="auto"/>
              </w:rPr>
            </w:pPr>
            <w:r>
              <w:rPr>
                <w:rFonts w:ascii="Times New Roman" w:cs="Times New Roman" w:eastAsia="Times New Roman" w:hAnsi="Times New Roman"/>
                <w:sz w:val="18"/>
                <w:szCs w:val="18"/>
                <w:color w:val="auto"/>
                <w:w w:val="99"/>
              </w:rPr>
              <w:t>(25)</w:t>
            </w:r>
          </w:p>
        </w:tc>
      </w:tr>
      <w:tr>
        <w:trPr>
          <w:trHeight w:val="224"/>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CEG’s economic interest in Clearway Energy LLC</w:t>
            </w:r>
          </w:p>
        </w:tc>
        <w:tc>
          <w:tcPr>
            <w:tcW w:w="4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ind w:left="1632"/>
              <w:spacing w:after="0"/>
              <w:rPr>
                <w:sz w:val="20"/>
                <w:szCs w:val="20"/>
                <w:color w:val="auto"/>
              </w:rPr>
            </w:pPr>
            <w:r>
              <w:rPr>
                <w:rFonts w:ascii="Times New Roman" w:cs="Times New Roman" w:eastAsia="Times New Roman" w:hAnsi="Times New Roman"/>
                <w:sz w:val="18"/>
                <w:szCs w:val="18"/>
                <w:color w:val="auto"/>
                <w:w w:val="99"/>
              </w:rPr>
              <w:t>20</w:t>
            </w:r>
          </w:p>
        </w:tc>
      </w:tr>
      <w:tr>
        <w:trPr>
          <w:trHeight w:val="217"/>
        </w:trPr>
        <w:tc>
          <w:tcPr>
            <w:tcW w:w="88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center"/>
              <w:ind w:left="1592"/>
              <w:spacing w:after="0"/>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231F20"/>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 Position</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December 31, 2021</w:t>
      </w:r>
      <w:r>
        <w:rPr>
          <w:rFonts w:ascii="Times New Roman" w:cs="Times New Roman" w:eastAsia="Times New Roman" w:hAnsi="Times New Roman"/>
          <w:sz w:val="18"/>
          <w:szCs w:val="18"/>
          <w:color w:val="231F20"/>
        </w:rPr>
        <w:t>, the Company’s liquidity was approximately $1.70 billion and $821 million, respectively, comprised of cash, restricted cash and availability under the Company’s revolving credit facility.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4"/>
        </w:trPr>
        <w:tc>
          <w:tcPr>
            <w:tcW w:w="20" w:type="dxa"/>
            <w:vAlign w:val="bottom"/>
            <w:shd w:val="clear" w:color="auto" w:fill="CCEEFF"/>
          </w:tcPr>
          <w:p>
            <w:pPr>
              <w:spacing w:after="0"/>
              <w:rPr>
                <w:sz w:val="17"/>
                <w:szCs w:val="17"/>
                <w:color w:val="auto"/>
              </w:rPr>
            </w:pPr>
          </w:p>
        </w:tc>
        <w:tc>
          <w:tcPr>
            <w:tcW w:w="75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4"/>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Subsidiaries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4"/>
        </w:trPr>
        <w:tc>
          <w:tcPr>
            <w:tcW w:w="2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accounts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4"/>
        </w:trPr>
        <w:tc>
          <w:tcPr>
            <w:tcW w:w="20" w:type="dxa"/>
            <w:vAlign w:val="bottom"/>
            <w:tcBorders>
              <w:bottom w:val="single" w:sz="8" w:color="CCEEFF"/>
            </w:tcBorders>
          </w:tcPr>
          <w:p>
            <w:pPr>
              <w:spacing w:after="0"/>
              <w:rPr>
                <w:sz w:val="19"/>
                <w:szCs w:val="19"/>
                <w:color w:val="auto"/>
              </w:rPr>
            </w:pPr>
          </w:p>
        </w:tc>
        <w:tc>
          <w:tcPr>
            <w:tcW w:w="7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7"/>
        </w:trPr>
        <w:tc>
          <w:tcPr>
            <w:tcW w:w="2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17"/>
        </w:trPr>
        <w:tc>
          <w:tcPr>
            <w:tcW w:w="20" w:type="dxa"/>
            <w:vAlign w:val="bottom"/>
            <w:tcBorders>
              <w:bottom w:val="single" w:sz="8" w:color="CCEEFF"/>
            </w:tcBorders>
          </w:tcPr>
          <w:p>
            <w:pPr>
              <w:spacing w:after="0"/>
              <w:rPr>
                <w:sz w:val="18"/>
                <w:szCs w:val="18"/>
                <w:color w:val="auto"/>
              </w:rPr>
            </w:pPr>
          </w:p>
        </w:tc>
        <w:tc>
          <w:tcPr>
            <w:tcW w:w="7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231F20"/>
        </w:rPr>
        <w:t xml:space="preserve">The Company’s liquidity includes $333 million and $475 million of restricted cash balances as of June 30, 2022 and December 31, 2021,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8"/>
          <w:szCs w:val="18"/>
          <w:color w:val="000000"/>
        </w:rPr>
        <w:t>June 30, 2022, these restricted funds were comprised of $143 million designated to fund operating expenses, approximately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$42 million designated for current debt service payments and $122 million restricted for reserves including debt service, performance obligations and other reserves, as well as capital expenditures. The remaining $26 million is held in distribution reserve accounts.</w:t>
      </w:r>
    </w:p>
    <w:p>
      <w:pPr>
        <w:spacing w:after="0" w:line="13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 xml:space="preserve">As of June 30, 2022, the Company had no outstanding borrowings under the revolving credit facility and $87 million in letters of credit outstanding. During the six months ended June 30, 2022, the Company borrowed $80 million under the revolving credit facility and repaid $325 million, $305 million of which was repaid on May 3, 2022, utilizing the proceeds received from the Thermal Disposition. </w:t>
      </w:r>
      <w:r>
        <w:rPr>
          <w:rFonts w:ascii="Times New Roman" w:cs="Times New Roman" w:eastAsia="Times New Roman" w:hAnsi="Times New Roman"/>
          <w:sz w:val="18"/>
          <w:szCs w:val="18"/>
          <w:color w:val="231F20"/>
        </w:rPr>
        <w:t>The facility will continue to be used for general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purposes including financing of future acquisitions and posting letters of credit.</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Sources of Liquidity</w:t>
      </w:r>
    </w:p>
    <w:p>
      <w:pPr>
        <w:spacing w:after="0" w:line="16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Note 7,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231F20"/>
        </w:rPr>
        <w:t>, to this Form 10-Q and Item 15 — Note 10,</w:t>
      </w:r>
      <w:r>
        <w:rPr>
          <w:rFonts w:ascii="Times New Roman" w:cs="Times New Roman" w:eastAsia="Times New Roman" w:hAnsi="Times New Roman"/>
          <w:sz w:val="18"/>
          <w:szCs w:val="18"/>
          <w:i w:val="1"/>
          <w:iCs w:val="1"/>
          <w:color w:val="231F20"/>
        </w:rPr>
        <w:t xml:space="preserve"> Long-term Debt</w:t>
      </w:r>
      <w:r>
        <w:rPr>
          <w:rFonts w:ascii="Times New Roman" w:cs="Times New Roman" w:eastAsia="Times New Roman" w:hAnsi="Times New Roman"/>
          <w:sz w:val="18"/>
          <w:szCs w:val="18"/>
          <w:color w:val="231F20"/>
        </w:rPr>
        <w:t>, to the consolidated financial statements included in the Company’s 2021 Form</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10-K, the Company’s financing arrangements consist of corporate level debt, which includes Senior Notes and the revolving credit facility; the ATM Programs; and project-level financings for its various assets.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231F20"/>
        </w:rPr>
        <w:t>Thermal Disposition</w:t>
      </w:r>
    </w:p>
    <w:p>
      <w:pPr>
        <w:spacing w:after="0" w:line="16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The proceeds from the sale were utilized to repay certain borrowings outstanding, as further described in </w:t>
      </w:r>
      <w:r>
        <w:rPr>
          <w:rFonts w:ascii="Times New Roman" w:cs="Times New Roman" w:eastAsia="Times New Roman" w:hAnsi="Times New Roman"/>
          <w:sz w:val="18"/>
          <w:szCs w:val="18"/>
          <w:color w:val="231F20"/>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231F20"/>
        </w:rPr>
        <w:t>Long-term Debt</w:t>
      </w:r>
      <w:r>
        <w:rPr>
          <w:rFonts w:ascii="Times New Roman" w:cs="Times New Roman" w:eastAsia="Times New Roman" w:hAnsi="Times New Roman"/>
          <w:sz w:val="18"/>
          <w:szCs w:val="18"/>
          <w:color w:val="auto"/>
        </w:rPr>
        <w:t>, with the remaining proceeds invested in short-term investments classified as cash and cash equivalents on the Company’s consolidated balance sheet as of June 30, 2022.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i w:val="1"/>
          <w:iCs w:val="1"/>
          <w:color w:val="auto"/>
        </w:rPr>
        <w:t>Credit Ratings</w:t>
      </w:r>
    </w:p>
    <w:p>
      <w:pPr>
        <w:spacing w:after="0" w:line="163"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June 30,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16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r>
      <w:tr>
        <w:trPr>
          <w:trHeight w:val="24"/>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Clearway Energy, Inc.</w:t>
            </w:r>
          </w:p>
        </w:tc>
        <w:tc>
          <w:tcPr>
            <w:tcW w:w="15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4.750% Senior Notes, due 2028</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3.750% Senior Notes, due 2031</w:t>
            </w:r>
          </w:p>
        </w:tc>
        <w:tc>
          <w:tcPr>
            <w:tcW w:w="16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2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3.750% Senior Notes, due 2032</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Uses of Liquidity</w:t>
      </w:r>
    </w:p>
    <w:p>
      <w:pPr>
        <w:spacing w:after="0" w:line="16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The Company’s requirements for liquidity and capital resources, other than for operating its facilities, are categorized as: (i) debt service obligations, as described more fully in </w:t>
      </w:r>
      <w:r>
        <w:rPr>
          <w:rFonts w:ascii="Times New Roman" w:cs="Times New Roman" w:eastAsia="Times New Roman" w:hAnsi="Times New Roman"/>
          <w:sz w:val="18"/>
          <w:szCs w:val="18"/>
          <w:color w:val="000000"/>
        </w:rPr>
        <w:t>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color w:val="231F20"/>
        </w:rPr>
        <w:t xml:space="preserve"> to the consolidated financial statements; (ii) capital expenditures; (iii) off-balance sheet arrangements; (iv) acquisitions and investments; and (v) cash dividends to investors.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Capital Expenditures</w:t>
      </w:r>
    </w:p>
    <w:p>
      <w:pPr>
        <w:spacing w:after="0" w:line="165"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9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231F20"/>
        </w:rPr>
        <w:t xml:space="preserve">For the six months ended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the Company used approximately $81 million to fund capital expenditures, including growth </w:t>
      </w:r>
      <w:r>
        <w:rPr>
          <w:rFonts w:ascii="Times New Roman" w:cs="Times New Roman" w:eastAsia="Times New Roman" w:hAnsi="Times New Roman"/>
          <w:sz w:val="18"/>
          <w:szCs w:val="18"/>
          <w:color w:val="000000"/>
        </w:rPr>
        <w:t>expenditures of $65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 in the Renewables segment, funded through construction-related financing. Renewables segment capital expenditures included $21 million incurred in connection with the Mililani solar project, $21 million incurred in connection with the Mesquite Sky wind project, $13 million incurred in connection with the Black Rock wind project, $5 million incurred in connection with the Rattlesnake wind project and $5 million incurred by other wind and solar projects. Prior to the sale of the Thermal Business on May 1, 2022, the Company incurred $4 million of growth capital expenditures in the Thermal segment in connection with various development projects. In addition, the Company incurred $12 million in maintenance capital expenditures. The Company estimates $30 million of maintenance expenditures for 2022. These estimates are subject to continuing review and adjustment. Actual capital expenditures may vary from these estimates.</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Investments</w:t>
      </w:r>
    </w:p>
    <w:p>
      <w:pPr>
        <w:spacing w:after="0" w:line="15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6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Capistrano Portfolio Acquisition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23, 2022, an indirect subsidiary of the Company entered into a binding agreement to acquire the Capistrano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from Capistrano Wind Partners, LLC, an indirect subsidiary of CEG, for cash consideration of $255 million, plus the assumption of $160 million of non-recourse debt, subject to working capital and other closing adjustments. The Capistrano Portfolio consists of five wind projects located in Texas, Nebraska and Wyoming with a combined capacity of 413 MW. Concurrent with the acquisition, the Company has also entered into a development agreement with CEG, whereby CEG will pay $10 million to the Company to partially fund the acquisition of the Capistrano Portfolio for an exclusive right to develop, construct and repower the projects in the Capistrano Portfolio, or the Rights Fee. After factoring in estimated closing adjustments, proceeds from the Rights Fee and new non-recourse debt, the Company expects its long-term corporate capital commitment to acquire the Capistrano Portfolio to be between approximately $110 and $130 million, which the Company expects to fund with cash on hand. The transaction is subject to customary regulatory approvals and is expected to close in the second half of 2022.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jc w:val="both"/>
        <w:ind w:firstLine="39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Mililani I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25, 2022, the Company, through its indirect subsidiary, Lighthouse Renewable Holdco LLC, acquired Mililani BL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commenced in July 2022.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substantial completion, which is expected to occur in the second half of 2022.</w:t>
      </w:r>
    </w:p>
    <w:p>
      <w:pPr>
        <w:spacing w:after="0" w:line="138" w:lineRule="exact"/>
        <w:rPr>
          <w:sz w:val="20"/>
          <w:szCs w:val="20"/>
          <w:color w:val="auto"/>
        </w:rPr>
      </w:pPr>
    </w:p>
    <w:p>
      <w:pPr>
        <w:jc w:val="both"/>
        <w:ind w:firstLine="39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Black Rock Drop Down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February 2022, in connection with the Company’s 2021 acquisition of the Class B membership interests in Black Rock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 Holding LLC, through its indirect subsidiary Lighthouse Renewable Holding Sub LLC, from Clearway Renew LLC, as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w:t>
      </w:r>
    </w:p>
    <w:p>
      <w:pPr>
        <w:spacing w:after="0" w:line="16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May 3, 2022, the Company repaid the $335 million in outstanding borrowings under the Bridge Loan Agreement utilizing proceeds received from the Thermal Disposition.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Cash Dividends to Investors</w:t>
      </w:r>
    </w:p>
    <w:p>
      <w:pPr>
        <w:spacing w:after="0" w:line="15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8"/>
          <w:szCs w:val="18"/>
          <w:color w:val="000000"/>
        </w:rPr>
        <w:t>he Class A common stock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3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six months ended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6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 2022</w:t>
            </w:r>
          </w:p>
        </w:tc>
        <w:tc>
          <w:tcPr>
            <w:tcW w:w="13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First Quarter 2022</w:t>
            </w:r>
          </w:p>
        </w:tc>
      </w:tr>
      <w:tr>
        <w:trPr>
          <w:trHeight w:val="24"/>
        </w:trPr>
        <w:tc>
          <w:tcPr>
            <w:tcW w:w="8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Class A share</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0.3468</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per Class C share</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0.3468</w:t>
            </w:r>
          </w:p>
        </w:tc>
      </w:tr>
    </w:tbl>
    <w:p>
      <w:pPr>
        <w:spacing w:after="0" w:line="22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August 1, 2022, the Company declared quarterly dividends on its Class A and Class C common stock of $0.3604 per share payable on September 15, 2022 to stockholders of record as of September 1,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under Certain Guarantee Contracts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The Company may enter into guarantee arrangements in the normal course of business to facilitate commercial transactions with third parties.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Retained or Contingent Interests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Obligations Arising Out of a Variable Interest in an Unconsolidated Entity</w:t>
      </w:r>
    </w:p>
    <w:p>
      <w:pPr>
        <w:spacing w:after="0" w:line="16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June 30, 2022,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$338 million as of June 30, 2022. This indebtedness may restrict the ability of these subsidiaries to issue dividends or distributions to the Company.</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16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a variety of contractual obligations and other commercial commitments that represent prospective cash requirements in addition to the Company’s capital expenditure programs, as disclosed in the Company’s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reflects the changes in cash flows for the six months ended June 30, 2022, compared to the six months ended June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60" w:type="dxa"/>
            <w:vAlign w:val="bottom"/>
          </w:tcPr>
          <w:p>
            <w:pPr>
              <w:spacing w:after="0"/>
              <w:rPr>
                <w:sz w:val="16"/>
                <w:szCs w:val="16"/>
                <w:color w:val="auto"/>
              </w:rPr>
            </w:pPr>
          </w:p>
        </w:tc>
        <w:tc>
          <w:tcPr>
            <w:tcW w:w="29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7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7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1"/>
        </w:trPr>
        <w:tc>
          <w:tcPr>
            <w:tcW w:w="7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8"/>
                <w:szCs w:val="18"/>
                <w:color w:val="auto"/>
                <w:w w:val="96"/>
              </w:rPr>
              <w:t>241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2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8"/>
              </w:rPr>
              <w:t>1,331</w:t>
            </w:r>
          </w:p>
        </w:tc>
        <w:tc>
          <w:tcPr>
            <w:tcW w:w="240" w:type="dxa"/>
            <w:vAlign w:val="bottom"/>
          </w:tcPr>
          <w:p>
            <w:pPr>
              <w:spacing w:after="0"/>
              <w:rPr>
                <w:sz w:val="19"/>
                <w:szCs w:val="19"/>
                <w:color w:val="auto"/>
              </w:rPr>
            </w:pPr>
          </w:p>
        </w:tc>
        <w:tc>
          <w:tcPr>
            <w:tcW w:w="1140" w:type="dxa"/>
            <w:vAlign w:val="bottom"/>
          </w:tcPr>
          <w:p>
            <w:pPr>
              <w:jc w:val="center"/>
              <w:ind w:left="639"/>
              <w:spacing w:after="0"/>
              <w:rPr>
                <w:sz w:val="20"/>
                <w:szCs w:val="20"/>
                <w:color w:val="auto"/>
              </w:rPr>
            </w:pPr>
            <w:r>
              <w:rPr>
                <w:rFonts w:ascii="Times New Roman" w:cs="Times New Roman" w:eastAsia="Times New Roman" w:hAnsi="Times New Roman"/>
                <w:sz w:val="18"/>
                <w:szCs w:val="18"/>
                <w:color w:val="auto"/>
                <w:w w:val="97"/>
              </w:rPr>
              <w:t>(420)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4"/>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8"/>
                <w:szCs w:val="18"/>
                <w:color w:val="auto"/>
                <w:w w:val="96"/>
              </w:rPr>
              <w:t>184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r>
    </w:tbl>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ectPr>
          <w:pgSz w:w="11900" w:h="16838" w:orient="portrait"/>
          <w:cols w:equalWidth="0" w:num="1">
            <w:col w:w="11240"/>
          </w:cols>
          <w:pgMar w:left="320" w:top="1264" w:right="339" w:bottom="1440" w:gutter="0" w:footer="0" w:header="0"/>
        </w:sectPr>
      </w:pP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50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operating income adjusted for non-cash items</w:t>
      </w:r>
    </w:p>
    <w:p>
      <w:pPr>
        <w:spacing w:after="0" w:line="21" w:lineRule="exact"/>
        <w:rPr>
          <w:sz w:val="20"/>
          <w:szCs w:val="20"/>
          <w:color w:val="auto"/>
        </w:rPr>
      </w:pPr>
    </w:p>
    <w:p>
      <w:pPr>
        <w:ind w:left="120" w:right="217"/>
        <w:spacing w:after="0" w:line="259" w:lineRule="auto"/>
        <w:rPr>
          <w:sz w:val="20"/>
          <w:szCs w:val="20"/>
          <w:color w:val="auto"/>
        </w:rPr>
      </w:pPr>
      <w:r>
        <w:rPr>
          <w:rFonts w:ascii="Times New Roman" w:cs="Times New Roman" w:eastAsia="Times New Roman" w:hAnsi="Times New Roman"/>
          <w:sz w:val="18"/>
          <w:szCs w:val="18"/>
          <w:color w:val="auto"/>
        </w:rPr>
        <w:t>Increase in working capital primarily driven by the timing of accounts receivable collections and payments of accounts payable Increase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35495" cy="142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Transaction expenses paid on May 1, 2022 in connection with the sale of the Thermal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to net cash provided by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50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Proceeds from the sale of the Thermal Business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paid for Agua Caliente, net of cash acquired, in 2021</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cash paid for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Cash paid to CEG in 2021 for equipment for the Pinnacle wind project repowering</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Decrease in the return of investment from unconsolidated affiliates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net cash (used in) provided by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5495" cy="150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proceeds from the issuance of long-term debt, net of payments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proceeds from the revolving credit facility, net of payments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contributions from noncontrolling interest members,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Cash released from escrow distributed to CEG in 2022</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Increase in dividends paid to common stockholders and distributions paid to CEG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5495" cy="142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5495" cy="167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7" w:lineRule="exact"/>
        <w:rPr>
          <w:sz w:val="20"/>
          <w:szCs w:val="20"/>
          <w:color w:val="auto"/>
        </w:rPr>
      </w:pPr>
    </w:p>
    <w:p>
      <w:pPr>
        <w:ind w:left="1003" w:hanging="1003"/>
        <w:spacing w:after="0"/>
        <w:tabs>
          <w:tab w:leader="none" w:pos="10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p>
    <w:p>
      <w:pPr>
        <w:spacing w:after="0" w:line="21" w:lineRule="exact"/>
        <w:rPr>
          <w:rFonts w:ascii="Times New Roman" w:cs="Times New Roman" w:eastAsia="Times New Roman" w:hAnsi="Times New Roman"/>
          <w:sz w:val="18"/>
          <w:szCs w:val="18"/>
          <w:color w:val="auto"/>
        </w:rPr>
      </w:pPr>
    </w:p>
    <w:p>
      <w:pPr>
        <w:ind w:left="10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16" w:lineRule="exact"/>
        <w:rPr>
          <w:rFonts w:ascii="Times New Roman" w:cs="Times New Roman" w:eastAsia="Times New Roman" w:hAnsi="Times New Roman"/>
          <w:sz w:val="18"/>
          <w:szCs w:val="18"/>
          <w:color w:val="auto"/>
        </w:rPr>
      </w:pPr>
    </w:p>
    <w:p>
      <w:pPr>
        <w:ind w:left="108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17" w:lineRule="exact"/>
        <w:rPr>
          <w:sz w:val="20"/>
          <w:szCs w:val="20"/>
          <w:color w:val="auto"/>
        </w:rPr>
      </w:pPr>
    </w:p>
    <w:p>
      <w:pPr>
        <w:ind w:left="923"/>
        <w:spacing w:after="0"/>
        <w:rPr>
          <w:sz w:val="20"/>
          <w:szCs w:val="20"/>
          <w:color w:val="auto"/>
        </w:rPr>
      </w:pPr>
      <w:r>
        <w:rPr>
          <w:rFonts w:ascii="Times New Roman" w:cs="Times New Roman" w:eastAsia="Times New Roman" w:hAnsi="Times New Roman"/>
          <w:sz w:val="18"/>
          <w:szCs w:val="18"/>
          <w:color w:val="auto"/>
        </w:rPr>
        <w:t>(18)</w:t>
      </w:r>
    </w:p>
    <w:p>
      <w:pPr>
        <w:spacing w:after="0" w:line="25" w:lineRule="exact"/>
        <w:rPr>
          <w:sz w:val="20"/>
          <w:szCs w:val="20"/>
          <w:color w:val="auto"/>
        </w:rPr>
      </w:pPr>
    </w:p>
    <w:p>
      <w:pPr>
        <w:ind w:left="1003" w:hanging="1003"/>
        <w:spacing w:after="0"/>
        <w:tabs>
          <w:tab w:leader="none" w:pos="10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38735</wp:posOffset>
            </wp:positionV>
            <wp:extent cx="8020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7" w:lineRule="exact"/>
        <w:rPr>
          <w:sz w:val="20"/>
          <w:szCs w:val="20"/>
          <w:color w:val="auto"/>
        </w:rPr>
      </w:pPr>
    </w:p>
    <w:p>
      <w:pPr>
        <w:ind w:left="783" w:hanging="783"/>
        <w:spacing w:after="0"/>
        <w:tabs>
          <w:tab w:leader="none" w:pos="7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1,457</w:t>
      </w:r>
    </w:p>
    <w:p>
      <w:pPr>
        <w:spacing w:after="0" w:line="21" w:lineRule="exact"/>
        <w:rPr>
          <w:rFonts w:ascii="Times New Roman" w:cs="Times New Roman" w:eastAsia="Times New Roman" w:hAnsi="Times New Roman"/>
          <w:sz w:val="18"/>
          <w:szCs w:val="18"/>
          <w:color w:val="auto"/>
        </w:rPr>
      </w:pPr>
    </w:p>
    <w:p>
      <w:pPr>
        <w:ind w:left="9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w:t>
      </w:r>
    </w:p>
    <w:p>
      <w:pPr>
        <w:spacing w:after="0" w:line="16"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16"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16" w:lineRule="exact"/>
        <w:rPr>
          <w:rFonts w:ascii="Times New Roman" w:cs="Times New Roman" w:eastAsia="Times New Roman" w:hAnsi="Times New Roman"/>
          <w:sz w:val="18"/>
          <w:szCs w:val="18"/>
          <w:color w:val="auto"/>
        </w:rPr>
      </w:pPr>
    </w:p>
    <w:p>
      <w:pPr>
        <w:ind w:left="100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16" w:lineRule="exact"/>
        <w:rPr>
          <w:rFonts w:ascii="Times New Roman" w:cs="Times New Roman" w:eastAsia="Times New Roman" w:hAnsi="Times New Roman"/>
          <w:sz w:val="18"/>
          <w:szCs w:val="18"/>
          <w:color w:val="auto"/>
        </w:rPr>
      </w:pPr>
    </w:p>
    <w:p>
      <w:pPr>
        <w:ind w:left="9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16" w:lineRule="exact"/>
        <w:rPr>
          <w:rFonts w:ascii="Times New Roman" w:cs="Times New Roman" w:eastAsia="Times New Roman" w:hAnsi="Times New Roman"/>
          <w:sz w:val="18"/>
          <w:szCs w:val="18"/>
          <w:color w:val="auto"/>
        </w:rPr>
      </w:pPr>
    </w:p>
    <w:p>
      <w:pPr>
        <w:ind w:left="92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10795</wp:posOffset>
            </wp:positionV>
            <wp:extent cx="8020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5" w:lineRule="exact"/>
        <w:rPr>
          <w:sz w:val="20"/>
          <w:szCs w:val="20"/>
          <w:color w:val="auto"/>
        </w:rPr>
      </w:pPr>
    </w:p>
    <w:p>
      <w:pPr>
        <w:ind w:left="783" w:hanging="783"/>
        <w:spacing w:after="0"/>
        <w:tabs>
          <w:tab w:leader="none" w:pos="78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13970</wp:posOffset>
            </wp:positionV>
            <wp:extent cx="8020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0200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38735</wp:posOffset>
            </wp:positionV>
            <wp:extent cx="8020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3"/>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37" w:lineRule="exact"/>
        <w:rPr>
          <w:sz w:val="20"/>
          <w:szCs w:val="20"/>
          <w:color w:val="auto"/>
        </w:rPr>
      </w:pPr>
    </w:p>
    <w:p>
      <w:pPr>
        <w:ind w:left="843" w:hanging="843"/>
        <w:spacing w:after="0"/>
        <w:tabs>
          <w:tab w:leader="none" w:pos="84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(496)</w:t>
      </w:r>
    </w:p>
    <w:p>
      <w:pPr>
        <w:spacing w:after="0" w:line="44" w:lineRule="exact"/>
        <w:rPr>
          <w:rFonts w:ascii="Times New Roman" w:cs="Times New Roman" w:eastAsia="Times New Roman" w:hAnsi="Times New Roman"/>
          <w:sz w:val="16"/>
          <w:szCs w:val="16"/>
          <w:color w:val="auto"/>
        </w:rPr>
      </w:pPr>
    </w:p>
    <w:p>
      <w:pPr>
        <w:ind w:left="8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(312)</w:t>
      </w:r>
    </w:p>
    <w:p>
      <w:pPr>
        <w:spacing w:after="0" w:line="39" w:lineRule="exact"/>
        <w:rPr>
          <w:rFonts w:ascii="Times New Roman" w:cs="Times New Roman" w:eastAsia="Times New Roman" w:hAnsi="Times New Roman"/>
          <w:sz w:val="16"/>
          <w:szCs w:val="16"/>
          <w:color w:val="auto"/>
        </w:rPr>
      </w:pPr>
    </w:p>
    <w:p>
      <w:pPr>
        <w:ind w:left="84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(272)</w:t>
      </w:r>
    </w:p>
    <w:p>
      <w:pPr>
        <w:spacing w:after="0" w:line="39" w:lineRule="exact"/>
        <w:rPr>
          <w:rFonts w:ascii="Times New Roman" w:cs="Times New Roman" w:eastAsia="Times New Roman" w:hAnsi="Times New Roman"/>
          <w:sz w:val="16"/>
          <w:szCs w:val="16"/>
          <w:color w:val="auto"/>
        </w:rPr>
      </w:pPr>
    </w:p>
    <w:p>
      <w:pPr>
        <w:ind w:left="9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(64)</w:t>
      </w:r>
    </w:p>
    <w:p>
      <w:pPr>
        <w:spacing w:after="0" w:line="16" w:lineRule="exact"/>
        <w:rPr>
          <w:rFonts w:ascii="Times New Roman" w:cs="Times New Roman" w:eastAsia="Times New Roman" w:hAnsi="Times New Roman"/>
          <w:sz w:val="16"/>
          <w:szCs w:val="16"/>
          <w:color w:val="auto"/>
        </w:rPr>
      </w:pPr>
    </w:p>
    <w:p>
      <w:pPr>
        <w:ind w:left="10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w:t>
      </w:r>
    </w:p>
    <w:p>
      <w:pPr>
        <w:spacing w:after="0" w:line="39" w:lineRule="exact"/>
        <w:rPr>
          <w:rFonts w:ascii="Times New Roman" w:cs="Times New Roman" w:eastAsia="Times New Roman" w:hAnsi="Times New Roman"/>
          <w:sz w:val="16"/>
          <w:szCs w:val="16"/>
          <w:color w:val="auto"/>
        </w:rPr>
      </w:pPr>
    </w:p>
    <w:p>
      <w:pPr>
        <w:ind w:left="10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w:t>
      </w:r>
    </w:p>
    <w:p>
      <w:pPr>
        <w:spacing w:after="0" w:line="48" w:lineRule="exact"/>
        <w:rPr>
          <w:sz w:val="20"/>
          <w:szCs w:val="20"/>
          <w:color w:val="auto"/>
        </w:rPr>
      </w:pPr>
    </w:p>
    <w:p>
      <w:pPr>
        <w:ind w:left="703" w:hanging="703"/>
        <w:spacing w:after="0"/>
        <w:tabs>
          <w:tab w:leader="none" w:pos="70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8020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77" w:space="720"/>
            <w:col w:w="1243"/>
          </w:cols>
          <w:pgMar w:left="320" w:top="12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16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As of December 31, 2021, the Company had a cumulative federal NOL carryforward balance of $1.3 billion for financial statement purposes, of which $0.9 billion will begin expiring between 2033 to 2037 if unutilized. As a result of the sale of the Thermal Business, the Company estimates it will utilize $840 million of federal NOL carryforward. The Company does not anticipate any federal income tax payments for 2022, as a result of the federal NOL carryforward utilization. Additionally, as of December 31, 2021, the Company had a cumulative state NOL carryforward balance of $769 million for financial statement purposes, which will expire between 2023 to 2040 if unutilized. As a result of the sale of the Thermal Business, the Company expects, after the utilization of various state NOL carryforwards, to pay approximately $12 million in state income taxes before December 31, 2022, and pay an additional approximately $16 million in state income taxes by April 15, 2023.</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the Company has PTC and ITC carryforward balances totaling $15 million, which will expire between 2034 and 2041 if unutilized.</w:t>
      </w:r>
    </w:p>
    <w:p>
      <w:pPr>
        <w:spacing w:after="0" w:line="16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Based on the Company’s current portfolio of assets, which include renewable assets that benefit from accelerated tax depreciation deductions and federal tax credits, current and expected NOL balances, and after taking into account the taxable gain from the sale of the Thermal Business, the Company estimates that it will not pay material federal income tax through 2027, but does expect to pay material state income tax across certain jurisdictions beginning in 2022, as indicated above.</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an interest disallowance carryforward of $7 million as a result of the proposed and final regulations under §163(j) of the Internal Revenue Code, which was enacted as part of the Tax Act. The disallowed interest deduction has an indefinite carryforward period and any limitations on the utilization of this carryforward have been factored into our valuation allowance analysis.</w:t>
      </w:r>
    </w:p>
    <w:p>
      <w:pPr>
        <w:spacing w:after="0" w:line="127"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is subject to examination by taxing authorities for income tax returns filed in the U.S. federal jurisdiction and various state jurisdictions.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U.S. federal or state income tax examinations for years prior to 2013.</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no material uncertain tax benefits as of June 30,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5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based on their level within the fair value hierarchy defined in ASC 820; and indicate the maturities of contracts at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For a full discussion of the Company’s valuation methodology of its contracts, see </w:t>
      </w:r>
      <w:r>
        <w:rPr>
          <w:rFonts w:ascii="Times New Roman" w:cs="Times New Roman" w:eastAsia="Times New Roman" w:hAnsi="Times New Roman"/>
          <w:sz w:val="18"/>
          <w:szCs w:val="18"/>
          <w:i w:val="1"/>
          <w:iCs w:val="1"/>
          <w:color w:val="231F20"/>
        </w:rPr>
        <w:t>Derivative Fair Value Measurements</w:t>
      </w:r>
      <w:r>
        <w:rPr>
          <w:rFonts w:ascii="Times New Roman" w:cs="Times New Roman" w:eastAsia="Times New Roman" w:hAnsi="Times New Roman"/>
          <w:sz w:val="18"/>
          <w:szCs w:val="18"/>
          <w:color w:val="231F20"/>
        </w:rPr>
        <w:t xml:space="preserve"> in </w:t>
      </w:r>
      <w:r>
        <w:rPr>
          <w:rFonts w:ascii="Times New Roman" w:cs="Times New Roman" w:eastAsia="Times New Roman" w:hAnsi="Times New Roman"/>
          <w:sz w:val="18"/>
          <w:szCs w:val="18"/>
          <w:color w:val="000000"/>
        </w:rPr>
        <w:t>Note 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Fair Value of Financial Instruments</w:t>
      </w:r>
      <w:r>
        <w:rPr>
          <w:rFonts w:ascii="Times New Roman" w:cs="Times New Roman" w:eastAsia="Times New Roman" w:hAnsi="Times New Roman"/>
          <w:sz w:val="18"/>
          <w:szCs w:val="18"/>
          <w:color w:val="231F20"/>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December 31, 2021</w:t>
            </w:r>
          </w:p>
        </w:tc>
        <w:tc>
          <w:tcPr>
            <w:tcW w:w="5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Contracts acquired during the period</w:t>
            </w:r>
          </w:p>
        </w:tc>
        <w:tc>
          <w:tcPr>
            <w:tcW w:w="5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Contracts added due to loss of NPNS exception</w:t>
            </w: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fair value</w:t>
            </w:r>
          </w:p>
        </w:tc>
        <w:tc>
          <w:tcPr>
            <w:tcW w:w="50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contracts as of June 30, 2022</w:t>
            </w:r>
          </w:p>
        </w:tc>
        <w:tc>
          <w:tcPr>
            <w:tcW w:w="5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40" w:type="dxa"/>
            <w:vAlign w:val="bottom"/>
            <w:vMerge w:val="restart"/>
          </w:tcPr>
          <w:p>
            <w:pPr>
              <w:jc w:val="right"/>
              <w:ind w:right="4072"/>
              <w:spacing w:after="0"/>
              <w:rPr>
                <w:sz w:val="20"/>
                <w:szCs w:val="20"/>
                <w:color w:val="auto"/>
              </w:rPr>
            </w:pPr>
            <w:r>
              <w:rPr>
                <w:rFonts w:ascii="Times New Roman" w:cs="Times New Roman" w:eastAsia="Times New Roman" w:hAnsi="Times New Roman"/>
                <w:sz w:val="18"/>
                <w:szCs w:val="18"/>
                <w:color w:val="231F20"/>
              </w:rPr>
              <w:t>49</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 value of contracts as of June 30, 2022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Fair Value Hierarchy (Losses) Gains</w:t>
            </w: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Greater Than</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Greater Than</w:t>
            </w:r>
          </w:p>
        </w:tc>
        <w:tc>
          <w:tcPr>
            <w:tcW w:w="200" w:type="dxa"/>
            <w:vAlign w:val="bottom"/>
          </w:tcPr>
          <w:p>
            <w:pPr>
              <w:spacing w:after="0"/>
              <w:rPr>
                <w:sz w:val="15"/>
                <w:szCs w:val="15"/>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2180" w:type="dxa"/>
            <w:vAlign w:val="bottom"/>
            <w:tcBorders>
              <w:bottom w:val="single" w:sz="8" w:color="auto"/>
            </w:tcBorders>
            <w:vMerge w:val="continue"/>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38" w:lineRule="exact"/>
              <w:rPr>
                <w:sz w:val="20"/>
                <w:szCs w:val="20"/>
                <w:color w:val="auto"/>
              </w:rPr>
            </w:pPr>
            <w:r>
              <w:rPr>
                <w:rFonts w:ascii="Times New Roman" w:cs="Times New Roman" w:eastAsia="Times New Roman" w:hAnsi="Times New Roman"/>
                <w:sz w:val="14"/>
                <w:szCs w:val="14"/>
                <w:b w:val="1"/>
                <w:bCs w:val="1"/>
                <w:color w:val="auto"/>
              </w:rPr>
              <w:t>1 Year or Less</w:t>
            </w:r>
          </w:p>
        </w:tc>
        <w:tc>
          <w:tcPr>
            <w:tcW w:w="1260" w:type="dxa"/>
            <w:vAlign w:val="bottom"/>
            <w:gridSpan w:val="3"/>
          </w:tcPr>
          <w:p>
            <w:pPr>
              <w:jc w:val="center"/>
              <w:ind w:right="160"/>
              <w:spacing w:after="0" w:line="138" w:lineRule="exact"/>
              <w:rPr>
                <w:sz w:val="20"/>
                <w:szCs w:val="20"/>
                <w:color w:val="auto"/>
              </w:rPr>
            </w:pPr>
            <w:r>
              <w:rPr>
                <w:rFonts w:ascii="Times New Roman" w:cs="Times New Roman" w:eastAsia="Times New Roman" w:hAnsi="Times New Roman"/>
                <w:sz w:val="14"/>
                <w:szCs w:val="14"/>
                <w:b w:val="1"/>
                <w:bCs w:val="1"/>
                <w:color w:val="auto"/>
                <w:w w:val="97"/>
              </w:rPr>
              <w:t>1 Year to 3 Years</w:t>
            </w:r>
          </w:p>
        </w:tc>
        <w:tc>
          <w:tcPr>
            <w:tcW w:w="1260" w:type="dxa"/>
            <w:vAlign w:val="bottom"/>
            <w:gridSpan w:val="3"/>
          </w:tcPr>
          <w:p>
            <w:pPr>
              <w:jc w:val="center"/>
              <w:ind w:right="140"/>
              <w:spacing w:after="0" w:line="138" w:lineRule="exact"/>
              <w:rPr>
                <w:sz w:val="20"/>
                <w:szCs w:val="20"/>
                <w:color w:val="auto"/>
              </w:rPr>
            </w:pPr>
            <w:r>
              <w:rPr>
                <w:rFonts w:ascii="Times New Roman" w:cs="Times New Roman" w:eastAsia="Times New Roman" w:hAnsi="Times New Roman"/>
                <w:sz w:val="14"/>
                <w:szCs w:val="14"/>
                <w:b w:val="1"/>
                <w:bCs w:val="1"/>
                <w:color w:val="auto"/>
                <w:w w:val="98"/>
              </w:rPr>
              <w:t>3 Years to 5 Years</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w w:val="96"/>
              </w:rPr>
              <w:t>5 Years</w:t>
            </w:r>
          </w:p>
        </w:tc>
        <w:tc>
          <w:tcPr>
            <w:tcW w:w="200" w:type="dxa"/>
            <w:vAlign w:val="bottom"/>
          </w:tcPr>
          <w:p>
            <w:pPr>
              <w:spacing w:after="0"/>
              <w:rPr>
                <w:sz w:val="12"/>
                <w:szCs w:val="12"/>
                <w:color w:val="auto"/>
              </w:rPr>
            </w:pPr>
          </w:p>
        </w:tc>
        <w:tc>
          <w:tcPr>
            <w:tcW w:w="940" w:type="dxa"/>
            <w:vAlign w:val="bottom"/>
          </w:tcPr>
          <w:p>
            <w:pPr>
              <w:jc w:val="right"/>
              <w:ind w:right="319"/>
              <w:spacing w:after="0" w:line="138"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center"/>
              <w:ind w:left="601"/>
              <w:spacing w:after="0"/>
              <w:rPr>
                <w:sz w:val="20"/>
                <w:szCs w:val="20"/>
                <w:color w:val="auto"/>
              </w:rPr>
            </w:pPr>
            <w:r>
              <w:rPr>
                <w:rFonts w:ascii="Times New Roman" w:cs="Times New Roman" w:eastAsia="Times New Roman" w:hAnsi="Times New Roman"/>
                <w:sz w:val="18"/>
                <w:szCs w:val="18"/>
                <w:color w:val="auto"/>
                <w:w w:val="99"/>
              </w:rPr>
              <w:t>20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581"/>
              <w:spacing w:after="0"/>
              <w:rPr>
                <w:sz w:val="20"/>
                <w:szCs w:val="20"/>
                <w:color w:val="auto"/>
              </w:rPr>
            </w:pPr>
            <w:r>
              <w:rPr>
                <w:rFonts w:ascii="Times New Roman" w:cs="Times New Roman" w:eastAsia="Times New Roman" w:hAnsi="Times New Roman"/>
                <w:sz w:val="18"/>
                <w:szCs w:val="18"/>
                <w:color w:val="auto"/>
                <w:w w:val="93"/>
              </w:rPr>
              <w:t>(89)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8"/>
                <w:szCs w:val="18"/>
                <w:color w:val="auto"/>
                <w:w w:val="93"/>
              </w:rPr>
              <w:t>(69)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231F20"/>
        </w:rPr>
        <w:t>Quantitative and Qualitative Disclosures about Market Risk - Commodity Price Risk,</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color w:val="000000"/>
        </w:rPr>
        <w:t>Company, measures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3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6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6"/>
          <w:szCs w:val="16"/>
          <w:color w:val="000000"/>
        </w:rPr>
        <w:t>The following disclosures about market risk provide an update to, and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should be read in conjunction with, Item 7A — </w:t>
      </w:r>
      <w:r>
        <w:rPr>
          <w:rFonts w:ascii="Times New Roman" w:cs="Times New Roman" w:eastAsia="Times New Roman" w:hAnsi="Times New Roman"/>
          <w:sz w:val="16"/>
          <w:szCs w:val="16"/>
          <w:i w:val="1"/>
          <w:iCs w:val="1"/>
          <w:color w:val="000000"/>
        </w:rPr>
        <w:t>Quantitative and Qualitative Disclosures About Market Risk,</w:t>
      </w:r>
      <w:r>
        <w:rPr>
          <w:rFonts w:ascii="Times New Roman" w:cs="Times New Roman" w:eastAsia="Times New Roman" w:hAnsi="Times New Roman"/>
          <w:sz w:val="16"/>
          <w:szCs w:val="16"/>
          <w:color w:val="000000"/>
        </w:rPr>
        <w:t xml:space="preserve"> of the Company’s 2021 Form 10-K.</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w:t>
      </w:r>
      <w:r>
        <w:rPr>
          <w:rFonts w:ascii="Times New Roman" w:cs="Times New Roman" w:eastAsia="Times New Roman" w:hAnsi="Times New Roman"/>
          <w:sz w:val="18"/>
          <w:szCs w:val="18"/>
          <w:color w:val="000000"/>
        </w:rPr>
        <w:t>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Derivative Instruments and Hedging Activities</w:t>
      </w:r>
      <w:r>
        <w:rPr>
          <w:rFonts w:ascii="Times New Roman" w:cs="Times New Roman" w:eastAsia="Times New Roman" w:hAnsi="Times New Roman"/>
          <w:sz w:val="18"/>
          <w:szCs w:val="18"/>
          <w:color w:val="231F20"/>
        </w:rPr>
        <w:t>, for more information.</w:t>
      </w:r>
    </w:p>
    <w:p>
      <w:pPr>
        <w:spacing w:after="0" w:line="13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Most of the Company’s project subsidiaries enter into interest rate swaps, intended to hedge the risks associated with interest rates on non-recourse project-level debt. See Item 15 — </w:t>
      </w:r>
      <w:r>
        <w:rPr>
          <w:rFonts w:ascii="Times New Roman" w:cs="Times New Roman" w:eastAsia="Times New Roman" w:hAnsi="Times New Roman"/>
          <w:sz w:val="18"/>
          <w:szCs w:val="18"/>
          <w:color w:val="000000"/>
        </w:rPr>
        <w:t>Note 10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Long-term Debt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to the Company’s </w:t>
      </w:r>
      <w:r>
        <w:rPr>
          <w:rFonts w:ascii="Times New Roman" w:cs="Times New Roman" w:eastAsia="Times New Roman" w:hAnsi="Times New Roman"/>
          <w:sz w:val="18"/>
          <w:szCs w:val="18"/>
          <w:color w:val="000000"/>
        </w:rPr>
        <w:t>audited consolidated financial statements for the year ended December 31, 2021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included in the 2021 Form 10-K </w:t>
      </w:r>
      <w:r>
        <w:rPr>
          <w:rFonts w:ascii="Times New Roman" w:cs="Times New Roman" w:eastAsia="Times New Roman" w:hAnsi="Times New Roman"/>
          <w:sz w:val="18"/>
          <w:szCs w:val="18"/>
          <w:color w:val="231F20"/>
        </w:rPr>
        <w:t>for more information about interest rate swaps of the Company’s project subsidiaries.</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If all of the interest rate swaps had been discontinued on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xml:space="preserve">, the Company would have owed the counterparties </w:t>
      </w:r>
      <w:r>
        <w:rPr>
          <w:rFonts w:ascii="Times New Roman" w:cs="Times New Roman" w:eastAsia="Times New Roman" w:hAnsi="Times New Roman"/>
          <w:sz w:val="18"/>
          <w:szCs w:val="18"/>
          <w:color w:val="000000"/>
        </w:rPr>
        <w:t>$34 million.</w:t>
      </w:r>
      <w:r>
        <w:rPr>
          <w:rFonts w:ascii="Times New Roman" w:cs="Times New Roman" w:eastAsia="Times New Roman" w:hAnsi="Times New Roman"/>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a change of 1%, or 100 basis points, in interest rates would result in an approximately $1 million change in market interest expense on a rolling twelve-month basis.</w:t>
      </w:r>
    </w:p>
    <w:p>
      <w:pPr>
        <w:spacing w:after="0" w:line="12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June 30, 2022</w:t>
      </w:r>
      <w:r>
        <w:rPr>
          <w:rFonts w:ascii="Times New Roman" w:cs="Times New Roman" w:eastAsia="Times New Roman" w:hAnsi="Times New Roman"/>
          <w:sz w:val="18"/>
          <w:szCs w:val="18"/>
          <w:color w:val="231F20"/>
        </w:rPr>
        <w:t>, the fair value of the Company’s debt was $6.62 billion and the carrying value was $7.13 billion. The Company estimates that a decrease of 1%, or 100 basis points, in market interest rates would have increased the fair value of its long-term debt by approximately $389 million.</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Liquidity Risk</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Liquidity risk arises from the general funding needs of the Company’s activities and in the management of the Company’s assets and liabilities.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Commodity Price Risk</w:t>
      </w:r>
    </w:p>
    <w:p>
      <w:pPr>
        <w:spacing w:after="0" w:line="16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231F20"/>
        </w:rPr>
        <w:t>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w:t>
      </w:r>
    </w:p>
    <w:p>
      <w:pPr>
        <w:spacing w:after="0" w:line="13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231F20"/>
        </w:rPr>
        <w:t>Based on a sensitivity analysis using simplified assumptions, the impact of a $0.50 per MWh increase or decrease in power prices across the term of the derivatives contracts would cause a change of approximately $7 million to the net value of power derivatives as of June 30, 2022.</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Counterparty Credit Risk</w:t>
      </w:r>
    </w:p>
    <w:p>
      <w:pPr>
        <w:spacing w:after="0" w:line="165"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w:t>
      </w:r>
      <w:r>
        <w:rPr>
          <w:rFonts w:ascii="Times New Roman" w:cs="Times New Roman" w:eastAsia="Times New Roman" w:hAnsi="Times New Roman"/>
          <w:sz w:val="16"/>
          <w:szCs w:val="16"/>
          <w:color w:val="000000"/>
        </w:rPr>
        <w:t>Note 5</w:t>
      </w: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i w:val="1"/>
          <w:iCs w:val="1"/>
          <w:color w:val="000000"/>
        </w:rPr>
        <w:t>Fair Value of Financial Instruments</w:t>
      </w:r>
      <w:r>
        <w:rPr>
          <w:rFonts w:ascii="Times New Roman" w:cs="Times New Roman" w:eastAsia="Times New Roman" w:hAnsi="Times New Roman"/>
          <w:sz w:val="16"/>
          <w:szCs w:val="16"/>
          <w:color w:val="231F20"/>
        </w:rPr>
        <w:t>, to the consolidated financial statements for more information about concentration of credit risk.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16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6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 13a-15(f) under the Exchange Act) during the quarter ended June 30, 2022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61"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June 30, 2022, see Note 12,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61"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2021 Form 10-K. There have been no material changes in the Company’s risk factors since those reported in its 2021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Method of Filing</w:t>
            </w:r>
          </w:p>
        </w:tc>
      </w:tr>
      <w:tr>
        <w:trPr>
          <w:trHeight w:val="176"/>
        </w:trPr>
        <w:tc>
          <w:tcPr>
            <w:tcW w:w="2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4.1</w:t>
            </w:r>
          </w:p>
        </w:tc>
        <w:tc>
          <w:tcPr>
            <w:tcW w:w="740" w:type="dxa"/>
            <w:vAlign w:val="bottom"/>
          </w:tcPr>
          <w:p>
            <w:pPr>
              <w:spacing w:after="0"/>
              <w:rPr>
                <w:sz w:val="15"/>
                <w:szCs w:val="15"/>
                <w:color w:val="auto"/>
              </w:rPr>
            </w:pPr>
          </w:p>
        </w:tc>
        <w:tc>
          <w:tcPr>
            <w:tcW w:w="5700" w:type="dxa"/>
            <w:vAlign w:val="bottom"/>
            <w:gridSpan w:val="9"/>
          </w:tcPr>
          <w:p>
            <w:pPr>
              <w:spacing w:after="0" w:line="176"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Eleventh Supplemental Indenture, dated as of May 25, 2022, among Clearway Energy</w:t>
              </w:r>
            </w:hyperlink>
          </w:p>
        </w:tc>
        <w:tc>
          <w:tcPr>
            <w:tcW w:w="4280" w:type="dxa"/>
            <w:vAlign w:val="bottom"/>
          </w:tcPr>
          <w:p>
            <w:pPr>
              <w:ind w:left="180"/>
              <w:spacing w:after="0" w:line="176" w:lineRule="exact"/>
              <w:rPr>
                <w:sz w:val="20"/>
                <w:szCs w:val="20"/>
                <w:color w:val="auto"/>
              </w:rPr>
            </w:pPr>
            <w:r>
              <w:rPr>
                <w:rFonts w:ascii="Times New Roman" w:cs="Times New Roman" w:eastAsia="Times New Roman" w:hAnsi="Times New Roman"/>
                <w:sz w:val="16"/>
                <w:szCs w:val="16"/>
                <w:color w:val="auto"/>
                <w:w w:val="98"/>
              </w:rPr>
              <w:t>Incorporated herein by reference to Exhibit 4.1 to the Company's</w:t>
            </w:r>
          </w:p>
        </w:tc>
      </w:tr>
      <w:tr>
        <w:trPr>
          <w:trHeight w:val="164"/>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40" w:type="dxa"/>
            <w:vAlign w:val="bottom"/>
            <w:tcBorders>
              <w:top w:val="single" w:sz="8" w:color="0000FF"/>
            </w:tcBorders>
            <w:gridSpan w:val="8"/>
          </w:tcPr>
          <w:p>
            <w:pPr>
              <w:spacing w:after="0" w:line="16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Operating LLC, the guarantors named therein and Delaware Trust Company.</w:t>
              </w:r>
            </w:hyperlink>
          </w:p>
        </w:tc>
        <w:tc>
          <w:tcPr>
            <w:tcW w:w="260" w:type="dxa"/>
            <w:vAlign w:val="bottom"/>
          </w:tcPr>
          <w:p>
            <w:pPr>
              <w:spacing w:after="0"/>
              <w:rPr>
                <w:sz w:val="14"/>
                <w:szCs w:val="14"/>
                <w:color w:val="auto"/>
              </w:rPr>
            </w:pPr>
          </w:p>
        </w:tc>
        <w:tc>
          <w:tcPr>
            <w:tcW w:w="428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Current Report on Form 8-K filed on June 1, 2022.</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tcPr>
          <w:p>
            <w:pPr>
              <w:spacing w:after="0"/>
              <w:rPr>
                <w:sz w:val="18"/>
                <w:szCs w:val="18"/>
                <w:color w:val="auto"/>
              </w:rPr>
            </w:pPr>
          </w:p>
        </w:tc>
        <w:tc>
          <w:tcPr>
            <w:tcW w:w="5700" w:type="dxa"/>
            <w:vAlign w:val="bottom"/>
            <w:gridSpan w:val="9"/>
          </w:tcPr>
          <w:p>
            <w:pPr>
              <w:spacing w:after="0"/>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Third Supplemental Indenture, dated as of May 25, 2022, among Clearway Energy</w:t>
              </w:r>
            </w:hyperlink>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Incorporated herein by reference to Exhibit 4.2 to the Company's</w:t>
            </w:r>
          </w:p>
        </w:tc>
      </w:tr>
      <w:tr>
        <w:trPr>
          <w:trHeight w:val="164"/>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20" w:type="dxa"/>
            <w:vAlign w:val="bottom"/>
            <w:tcBorders>
              <w:top w:val="single" w:sz="8" w:color="0000FF"/>
            </w:tcBorders>
            <w:gridSpan w:val="6"/>
          </w:tcPr>
          <w:p>
            <w:pPr>
              <w:spacing w:after="0" w:line="16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Operating LLC, the guarantors named therein and Delaware Trust Company.</w:t>
              </w:r>
            </w:hyperlink>
          </w:p>
        </w:tc>
        <w:tc>
          <w:tcPr>
            <w:tcW w:w="1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428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Current Report on Form 8-K filed on June 1, 2022.</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1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740" w:type="dxa"/>
            <w:vAlign w:val="bottom"/>
          </w:tcPr>
          <w:p>
            <w:pPr>
              <w:spacing w:after="0"/>
              <w:rPr>
                <w:sz w:val="18"/>
                <w:szCs w:val="18"/>
                <w:color w:val="auto"/>
              </w:rPr>
            </w:pPr>
          </w:p>
        </w:tc>
        <w:tc>
          <w:tcPr>
            <w:tcW w:w="5700" w:type="dxa"/>
            <w:vAlign w:val="bottom"/>
            <w:gridSpan w:val="9"/>
          </w:tcPr>
          <w:p>
            <w:pPr>
              <w:spacing w:after="0"/>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Second Supplemental Indenture, dated as of May 25, 2022, among Clearway Energy</w:t>
              </w:r>
            </w:hyperlink>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8"/>
              </w:rPr>
              <w:t>Incorporated herein by reference to Exhibit 4.3 to the Company's</w:t>
            </w:r>
          </w:p>
        </w:tc>
      </w:tr>
      <w:tr>
        <w:trPr>
          <w:trHeight w:val="164"/>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340" w:type="dxa"/>
            <w:vAlign w:val="bottom"/>
            <w:tcBorders>
              <w:top w:val="single" w:sz="8" w:color="0000FF"/>
            </w:tcBorders>
            <w:gridSpan w:val="7"/>
          </w:tcPr>
          <w:p>
            <w:pPr>
              <w:spacing w:after="0" w:line="16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Operating LLC, the guarantors named therein and Delaware Trust Company.</w:t>
              </w:r>
            </w:hyperlink>
          </w:p>
        </w:tc>
        <w:tc>
          <w:tcPr>
            <w:tcW w:w="360" w:type="dxa"/>
            <w:vAlign w:val="bottom"/>
            <w:gridSpan w:val="2"/>
          </w:tcPr>
          <w:p>
            <w:pPr>
              <w:spacing w:after="0"/>
              <w:rPr>
                <w:sz w:val="14"/>
                <w:szCs w:val="14"/>
                <w:color w:val="auto"/>
              </w:rPr>
            </w:pPr>
          </w:p>
        </w:tc>
        <w:tc>
          <w:tcPr>
            <w:tcW w:w="4280" w:type="dxa"/>
            <w:vAlign w:val="bottom"/>
          </w:tcPr>
          <w:p>
            <w:pPr>
              <w:ind w:left="180"/>
              <w:spacing w:after="0" w:line="165" w:lineRule="exact"/>
              <w:rPr>
                <w:sz w:val="20"/>
                <w:szCs w:val="20"/>
                <w:color w:val="auto"/>
              </w:rPr>
            </w:pPr>
            <w:r>
              <w:rPr>
                <w:rFonts w:ascii="Times New Roman" w:cs="Times New Roman" w:eastAsia="Times New Roman" w:hAnsi="Times New Roman"/>
                <w:sz w:val="16"/>
                <w:szCs w:val="16"/>
                <w:color w:val="auto"/>
              </w:rPr>
              <w:t>Current Report on Form 8-K filed on June 1, 2022.</w:t>
            </w:r>
          </w:p>
        </w:tc>
      </w:tr>
      <w:tr>
        <w:trPr>
          <w:trHeight w:val="21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31.1</w:t>
            </w:r>
          </w:p>
        </w:tc>
        <w:tc>
          <w:tcPr>
            <w:tcW w:w="740" w:type="dxa"/>
            <w:vAlign w:val="bottom"/>
          </w:tcPr>
          <w:p>
            <w:pPr>
              <w:spacing w:after="0"/>
              <w:rPr>
                <w:sz w:val="18"/>
                <w:szCs w:val="18"/>
                <w:color w:val="auto"/>
              </w:rPr>
            </w:pPr>
          </w:p>
        </w:tc>
        <w:tc>
          <w:tcPr>
            <w:tcW w:w="48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Rule 13a-14(a)/15d-14(a) certification of Christopher S. Sotos.</w:t>
            </w:r>
          </w:p>
        </w:tc>
        <w:tc>
          <w:tcPr>
            <w:tcW w:w="860" w:type="dxa"/>
            <w:vAlign w:val="bottom"/>
            <w:gridSpan w:val="4"/>
          </w:tcPr>
          <w:p>
            <w:pPr>
              <w:spacing w:after="0"/>
              <w:rPr>
                <w:sz w:val="18"/>
                <w:szCs w:val="18"/>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31.2</w:t>
            </w:r>
          </w:p>
        </w:tc>
        <w:tc>
          <w:tcPr>
            <w:tcW w:w="740" w:type="dxa"/>
            <w:vAlign w:val="bottom"/>
          </w:tcPr>
          <w:p>
            <w:pPr>
              <w:spacing w:after="0"/>
              <w:rPr>
                <w:sz w:val="16"/>
                <w:szCs w:val="16"/>
                <w:color w:val="auto"/>
              </w:rPr>
            </w:pPr>
          </w:p>
        </w:tc>
        <w:tc>
          <w:tcPr>
            <w:tcW w:w="3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Rule 13a-14(a)/15d-14(a) certification of Chad Plotkin.</w:t>
            </w:r>
          </w:p>
        </w:tc>
        <w:tc>
          <w:tcPr>
            <w:tcW w:w="460" w:type="dxa"/>
            <w:vAlign w:val="bottom"/>
            <w:tcBorders>
              <w:top w:val="single" w:sz="8" w:color="0000FF"/>
            </w:tcBorders>
            <w:gridSpan w:val="2"/>
          </w:tcPr>
          <w:p>
            <w:pPr>
              <w:spacing w:after="0"/>
              <w:rPr>
                <w:sz w:val="16"/>
                <w:szCs w:val="16"/>
                <w:color w:val="auto"/>
              </w:rPr>
            </w:pPr>
          </w:p>
        </w:tc>
        <w:tc>
          <w:tcPr>
            <w:tcW w:w="1740" w:type="dxa"/>
            <w:vAlign w:val="bottom"/>
            <w:gridSpan w:val="5"/>
          </w:tcPr>
          <w:p>
            <w:pPr>
              <w:spacing w:after="0"/>
              <w:rPr>
                <w:sz w:val="16"/>
                <w:szCs w:val="16"/>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31.3</w:t>
            </w:r>
          </w:p>
        </w:tc>
        <w:tc>
          <w:tcPr>
            <w:tcW w:w="740" w:type="dxa"/>
            <w:vAlign w:val="bottom"/>
          </w:tcPr>
          <w:p>
            <w:pPr>
              <w:spacing w:after="0"/>
              <w:rPr>
                <w:sz w:val="16"/>
                <w:szCs w:val="16"/>
                <w:color w:val="auto"/>
              </w:rPr>
            </w:pPr>
          </w:p>
        </w:tc>
        <w:tc>
          <w:tcPr>
            <w:tcW w:w="3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Rule 13a-14(a)/15d-14(a) certification of Sarah Rubenstein.</w:t>
            </w:r>
          </w:p>
        </w:tc>
        <w:tc>
          <w:tcPr>
            <w:tcW w:w="1920" w:type="dxa"/>
            <w:vAlign w:val="bottom"/>
            <w:gridSpan w:val="6"/>
          </w:tcPr>
          <w:p>
            <w:pPr>
              <w:spacing w:after="0"/>
              <w:rPr>
                <w:sz w:val="16"/>
                <w:szCs w:val="16"/>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9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740" w:type="dxa"/>
            <w:vAlign w:val="bottom"/>
          </w:tcPr>
          <w:p>
            <w:pPr>
              <w:spacing w:after="0"/>
              <w:rPr>
                <w:sz w:val="16"/>
                <w:szCs w:val="16"/>
                <w:color w:val="auto"/>
              </w:rPr>
            </w:pP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Section 1350 Certification.</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Furnished herewith.</w:t>
            </w:r>
          </w:p>
        </w:tc>
      </w:tr>
      <w:tr>
        <w:trPr>
          <w:trHeight w:val="20"/>
        </w:trPr>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4000" w:type="dxa"/>
            <w:vAlign w:val="bottom"/>
            <w:gridSpan w:val="8"/>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22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INS</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SCH</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CAL</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DEF</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LAB</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11"/>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PRE</w:t>
            </w: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4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63"/>
        </w:trPr>
        <w:tc>
          <w:tcPr>
            <w:tcW w:w="28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14"/>
                <w:szCs w:val="14"/>
                <w:color w:val="auto"/>
              </w:rPr>
            </w:pPr>
          </w:p>
        </w:tc>
        <w:tc>
          <w:tcPr>
            <w:tcW w:w="5700" w:type="dxa"/>
            <w:vAlign w:val="bottom"/>
            <w:gridSpan w:val="9"/>
          </w:tcPr>
          <w:p>
            <w:pPr>
              <w:spacing w:after="0" w:line="163" w:lineRule="exact"/>
              <w:rPr>
                <w:sz w:val="20"/>
                <w:szCs w:val="20"/>
                <w:color w:val="auto"/>
              </w:rPr>
            </w:pPr>
            <w:r>
              <w:rPr>
                <w:rFonts w:ascii="Times New Roman" w:cs="Times New Roman" w:eastAsia="Times New Roman" w:hAnsi="Times New Roman"/>
                <w:sz w:val="16"/>
                <w:szCs w:val="16"/>
                <w:color w:val="auto"/>
              </w:rPr>
              <w:t>Cover Page Interactive Data File (the cover page interactive data file does not appear in</w:t>
            </w:r>
          </w:p>
        </w:tc>
        <w:tc>
          <w:tcPr>
            <w:tcW w:w="4280" w:type="dxa"/>
            <w:vAlign w:val="bottom"/>
          </w:tcPr>
          <w:p>
            <w:pPr>
              <w:ind w:left="180"/>
              <w:spacing w:after="0" w:line="163" w:lineRule="exact"/>
              <w:rPr>
                <w:sz w:val="20"/>
                <w:szCs w:val="20"/>
                <w:color w:val="auto"/>
              </w:rPr>
            </w:pPr>
            <w:r>
              <w:rPr>
                <w:rFonts w:ascii="Times New Roman" w:cs="Times New Roman" w:eastAsia="Times New Roman" w:hAnsi="Times New Roman"/>
                <w:sz w:val="16"/>
                <w:szCs w:val="16"/>
                <w:color w:val="auto"/>
              </w:rPr>
              <w:t>Filed herewith.</w:t>
            </w:r>
          </w:p>
        </w:tc>
      </w:tr>
      <w:tr>
        <w:trPr>
          <w:trHeight w:val="158"/>
        </w:trPr>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700" w:type="dxa"/>
            <w:vAlign w:val="bottom"/>
            <w:gridSpan w:val="9"/>
          </w:tcPr>
          <w:p>
            <w:pPr>
              <w:spacing w:after="0" w:line="158" w:lineRule="exact"/>
              <w:rPr>
                <w:sz w:val="20"/>
                <w:szCs w:val="20"/>
                <w:color w:val="auto"/>
              </w:rPr>
            </w:pPr>
            <w:r>
              <w:rPr>
                <w:rFonts w:ascii="Times New Roman" w:cs="Times New Roman" w:eastAsia="Times New Roman" w:hAnsi="Times New Roman"/>
                <w:sz w:val="16"/>
                <w:szCs w:val="16"/>
                <w:color w:val="auto"/>
              </w:rPr>
              <w:t>Exhibit 104 because its Inline XBRL tags are embedded within the Inline XBRL</w:t>
            </w:r>
          </w:p>
        </w:tc>
        <w:tc>
          <w:tcPr>
            <w:tcW w:w="4280" w:type="dxa"/>
            <w:vAlign w:val="bottom"/>
          </w:tcPr>
          <w:p>
            <w:pPr>
              <w:spacing w:after="0"/>
              <w:rPr>
                <w:sz w:val="13"/>
                <w:szCs w:val="13"/>
                <w:color w:val="auto"/>
              </w:rPr>
            </w:pPr>
          </w:p>
        </w:tc>
      </w:tr>
      <w:tr>
        <w:trPr>
          <w:trHeight w:val="207"/>
        </w:trPr>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7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document).</w:t>
            </w:r>
          </w:p>
        </w:tc>
        <w:tc>
          <w:tcPr>
            <w:tcW w:w="42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218440</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320" w:top="1106" w:right="5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w:t>
      </w:r>
    </w:p>
    <w:p>
      <w:pPr>
        <w:sectPr>
          <w:pgSz w:w="11900" w:h="16838" w:orient="portrait"/>
          <w:cols w:equalWidth="0" w:num="1">
            <w:col w:w="11240"/>
          </w:cols>
          <w:pgMar w:left="320" w:top="869" w:right="33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29076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29076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Chad Plotkin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p>
      <w:pPr>
        <w:spacing w:after="0" w:line="213" w:lineRule="auto"/>
        <w:rPr>
          <w:sz w:val="20"/>
          <w:szCs w:val="20"/>
          <w:color w:val="auto"/>
        </w:rPr>
      </w:pPr>
      <w:r>
        <w:rPr>
          <w:rFonts w:ascii="Times New Roman" w:cs="Times New Roman" w:eastAsia="Times New Roman" w:hAnsi="Times New Roman"/>
          <w:sz w:val="18"/>
          <w:szCs w:val="18"/>
          <w:i w:val="1"/>
          <w:iCs w:val="1"/>
          <w:color w:val="auto"/>
        </w:rPr>
        <w:t>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13970</wp:posOffset>
            </wp:positionV>
            <wp:extent cx="29076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290766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Vice President and Chief Accounting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ectPr>
          <w:pgSz w:w="11900" w:h="16838" w:orient="portrait"/>
          <w:cols w:equalWidth="0" w:num="2">
            <w:col w:w="5960" w:space="720"/>
            <w:col w:w="4560"/>
          </w:cols>
          <w:pgMar w:left="320" w:top="869" w:right="3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55</w:t>
      </w:r>
    </w:p>
    <w:p>
      <w:pPr>
        <w:sectPr>
          <w:pgSz w:w="11900" w:h="16838" w:orient="portrait"/>
          <w:cols w:equalWidth="0" w:num="1">
            <w:col w:w="11240"/>
          </w:cols>
          <w:pgMar w:left="320" w:top="869" w:right="3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333" w:lineRule="exact"/>
        <w:rPr>
          <w:sz w:val="20"/>
          <w:szCs w:val="20"/>
          <w:color w:val="auto"/>
        </w:rPr>
      </w:pPr>
    </w:p>
    <w:p>
      <w:pPr>
        <w:ind w:left="640" w:hanging="635"/>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14"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4557395</wp:posOffset>
            </wp:positionH>
            <wp:positionV relativeFrom="paragraph">
              <wp:posOffset>13970</wp:posOffset>
            </wp:positionV>
            <wp:extent cx="17964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ind w:left="7200"/>
        <w:spacing w:after="0"/>
        <w:rPr>
          <w:sz w:val="20"/>
          <w:szCs w:val="20"/>
          <w:color w:val="auto"/>
        </w:rPr>
      </w:pPr>
      <w:r>
        <w:rPr>
          <w:rFonts w:ascii="Times New Roman" w:cs="Times New Roman" w:eastAsia="Times New Roman" w:hAnsi="Times New Roman"/>
          <w:sz w:val="18"/>
          <w:szCs w:val="18"/>
          <w:color w:val="auto"/>
        </w:rPr>
        <w:t>Christopher S. Sotos</w:t>
      </w:r>
    </w:p>
    <w:p>
      <w:pPr>
        <w:ind w:left="7200"/>
        <w:spacing w:after="0" w:line="198"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ectPr>
          <w:pgSz w:w="11900" w:h="16838" w:orient="portrait"/>
          <w:cols w:equalWidth="0" w:num="1">
            <w:col w:w="11240"/>
          </w:cols>
          <w:pgMar w:left="320" w:top="96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333" w:lineRule="exact"/>
        <w:rPr>
          <w:sz w:val="20"/>
          <w:szCs w:val="20"/>
          <w:color w:val="auto"/>
        </w:rPr>
      </w:pPr>
    </w:p>
    <w:p>
      <w:pPr>
        <w:ind w:left="640" w:hanging="635"/>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14"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13970</wp:posOffset>
            </wp:positionV>
            <wp:extent cx="1846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ind w:left="7120"/>
        <w:spacing w:after="0"/>
        <w:rPr>
          <w:sz w:val="20"/>
          <w:szCs w:val="20"/>
          <w:color w:val="auto"/>
        </w:rPr>
      </w:pPr>
      <w:r>
        <w:rPr>
          <w:rFonts w:ascii="Times New Roman" w:cs="Times New Roman" w:eastAsia="Times New Roman" w:hAnsi="Times New Roman"/>
          <w:sz w:val="18"/>
          <w:szCs w:val="18"/>
          <w:color w:val="auto"/>
        </w:rPr>
        <w:t>Chad Plotkin</w:t>
      </w:r>
    </w:p>
    <w:p>
      <w:pPr>
        <w:ind w:left="7120"/>
        <w:spacing w:after="0" w:line="198"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ind w:left="7120"/>
        <w:spacing w:after="0" w:line="213" w:lineRule="auto"/>
        <w:rPr>
          <w:sz w:val="20"/>
          <w:szCs w:val="20"/>
          <w:color w:val="auto"/>
        </w:rPr>
      </w:pPr>
      <w:r>
        <w:rPr>
          <w:rFonts w:ascii="Times New Roman" w:cs="Times New Roman" w:eastAsia="Times New Roman" w:hAnsi="Times New Roman"/>
          <w:sz w:val="18"/>
          <w:szCs w:val="18"/>
          <w:i w:val="1"/>
          <w:iCs w:val="1"/>
          <w:color w:val="auto"/>
        </w:rPr>
        <w:t>Financial Officer</w:t>
      </w:r>
    </w:p>
    <w:p>
      <w:pPr>
        <w:ind w:left="7020"/>
        <w:spacing w:after="0" w:line="184" w:lineRule="auto"/>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i w:val="1"/>
          <w:iCs w:val="1"/>
          <w:color w:val="auto"/>
        </w:rPr>
        <w:t xml:space="preserve"> (Principal Financial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ectPr>
          <w:pgSz w:w="11900" w:h="16838" w:orient="portrait"/>
          <w:cols w:equalWidth="0" w:num="1">
            <w:col w:w="11240"/>
          </w:cols>
          <w:pgMar w:left="320" w:top="96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Rubenstein, certify that:</w:t>
      </w:r>
    </w:p>
    <w:p>
      <w:pPr>
        <w:spacing w:after="0" w:line="333" w:lineRule="exact"/>
        <w:rPr>
          <w:sz w:val="20"/>
          <w:szCs w:val="20"/>
          <w:color w:val="auto"/>
        </w:rPr>
      </w:pPr>
    </w:p>
    <w:p>
      <w:pPr>
        <w:ind w:left="640" w:hanging="635"/>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14"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jc w:val="both"/>
        <w:ind w:left="640" w:hanging="635"/>
        <w:spacing w:after="0" w:line="25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8"/>
          <w:szCs w:val="18"/>
          <w:color w:val="auto"/>
        </w:rPr>
      </w:pPr>
    </w:p>
    <w:p>
      <w:pPr>
        <w:jc w:val="both"/>
        <w:ind w:left="1260" w:hanging="623"/>
        <w:spacing w:after="0" w:line="256" w:lineRule="auto"/>
        <w:tabs>
          <w:tab w:leader="none" w:pos="12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40" w:hanging="635"/>
        <w:spacing w:after="0" w:line="268"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8"/>
          <w:szCs w:val="18"/>
          <w:color w:val="auto"/>
        </w:rPr>
      </w:pPr>
    </w:p>
    <w:p>
      <w:pPr>
        <w:ind w:left="1260" w:hanging="623"/>
        <w:spacing w:after="0" w:line="268" w:lineRule="auto"/>
        <w:tabs>
          <w:tab w:leader="none" w:pos="12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13970</wp:posOffset>
            </wp:positionV>
            <wp:extent cx="16960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ind w:left="7540"/>
        <w:spacing w:after="0"/>
        <w:rPr>
          <w:sz w:val="20"/>
          <w:szCs w:val="20"/>
          <w:color w:val="auto"/>
        </w:rPr>
      </w:pPr>
      <w:r>
        <w:rPr>
          <w:rFonts w:ascii="Times New Roman" w:cs="Times New Roman" w:eastAsia="Times New Roman" w:hAnsi="Times New Roman"/>
          <w:sz w:val="18"/>
          <w:szCs w:val="18"/>
          <w:color w:val="auto"/>
        </w:rPr>
        <w:t>Sarah Rubenstein</w:t>
      </w:r>
    </w:p>
    <w:p>
      <w:pPr>
        <w:ind w:left="7540"/>
        <w:spacing w:after="0" w:line="213" w:lineRule="auto"/>
        <w:rPr>
          <w:sz w:val="20"/>
          <w:szCs w:val="20"/>
          <w:color w:val="auto"/>
        </w:rPr>
      </w:pPr>
      <w:r>
        <w:rPr>
          <w:rFonts w:ascii="Times New Roman" w:cs="Times New Roman" w:eastAsia="Times New Roman" w:hAnsi="Times New Roman"/>
          <w:sz w:val="18"/>
          <w:szCs w:val="18"/>
          <w:i w:val="1"/>
          <w:iCs w:val="1"/>
          <w:color w:val="auto"/>
        </w:rPr>
        <w:t>Senior Vice President and Chief</w:t>
      </w:r>
    </w:p>
    <w:p>
      <w:pPr>
        <w:ind w:left="7540"/>
        <w:spacing w:after="0" w:line="198" w:lineRule="auto"/>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ectPr>
          <w:pgSz w:w="11900" w:h="16838" w:orient="portrait"/>
          <w:cols w:equalWidth="0" w:num="1">
            <w:col w:w="11240"/>
          </w:cols>
          <w:pgMar w:left="320" w:top="86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3"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June 30, 2022,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22" w:lineRule="exact"/>
        <w:rPr>
          <w:sz w:val="20"/>
          <w:szCs w:val="20"/>
          <w:color w:val="auto"/>
        </w:rPr>
      </w:pPr>
    </w:p>
    <w:p>
      <w:pPr>
        <w:ind w:left="640" w:hanging="319"/>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56" w:lineRule="exact"/>
        <w:rPr>
          <w:rFonts w:ascii="Times New Roman" w:cs="Times New Roman" w:eastAsia="Times New Roman" w:hAnsi="Times New Roman"/>
          <w:sz w:val="18"/>
          <w:szCs w:val="18"/>
          <w:color w:val="auto"/>
        </w:rPr>
      </w:pPr>
    </w:p>
    <w:p>
      <w:pPr>
        <w:ind w:left="640" w:hanging="319"/>
        <w:spacing w:after="0" w:line="268" w:lineRule="auto"/>
        <w:tabs>
          <w:tab w:leader="none" w:pos="6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2022</w:t>
      </w:r>
    </w:p>
    <w:p>
      <w:pPr>
        <w:spacing w:after="0" w:line="9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31000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31000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Chad Plotkin</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13970</wp:posOffset>
            </wp:positionV>
            <wp:extent cx="3100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spacing w:after="0" w:line="1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Senior Vice President and Chief Accounting Officer</w:t>
      </w:r>
    </w:p>
    <w:p>
      <w:pPr>
        <w:ind w:left="58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316"/>
        <w:spacing w:after="0" w:line="26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1" w:lineRule="exact"/>
        <w:rPr>
          <w:sz w:val="20"/>
          <w:szCs w:val="20"/>
          <w:color w:val="auto"/>
        </w:rPr>
      </w:pPr>
    </w:p>
    <w:p>
      <w:pPr>
        <w:jc w:val="both"/>
        <w:ind w:firstLine="316"/>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emdash "/>
      <w:numFmt w:val="bullet"/>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06" Type="http://schemas.openxmlformats.org/officeDocument/2006/relationships/hyperlink" Target="https://www.sec.gov/Archives/edgar/data/1567683/000110465922066895/tm2217299d1_ex4-1.htm" TargetMode="External"/><Relationship Id="rId107" Type="http://schemas.openxmlformats.org/officeDocument/2006/relationships/hyperlink" Target="https://www.sec.gov/Archives/edgar/data/1567683/000110465922066895/tm2217299d1_ex4-2.htm" TargetMode="External"/><Relationship Id="rId108" Type="http://schemas.openxmlformats.org/officeDocument/2006/relationships/hyperlink" Target="https://www.sec.gov/Archives/edgar/data/1567683/000110465922066895/tm2217299d1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2022-08-02T09:54:35Z</dcterms:created>
  <dcterms:modified xsi:type="dcterms:W3CDTF">2022-08-02T09:54:35Z</dcterms:modified>
</cp:coreProperties>
</file>