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MCCLEAN FERRELL P</w:t>
              </w:r>
            </w:hyperlink>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NYLD</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560" w:type="dxa"/>
            <w:vAlign w:val="bottom"/>
          </w:tcPr>
          <w:p>
            <w:pPr>
              <w:spacing w:after="0"/>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CLEARWAY ENERGY, INC.</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09/04/2018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6"/>
            <w:vMerge w:val="restart"/>
          </w:tcPr>
          <w:p>
            <w:pPr>
              <w:spacing w:after="0"/>
              <w:rPr>
                <w:sz w:val="20"/>
                <w:szCs w:val="20"/>
                <w:color w:val="auto"/>
              </w:rPr>
            </w:pPr>
            <w:r>
              <w:rPr>
                <w:rFonts w:ascii="Arial" w:cs="Arial" w:eastAsia="Arial" w:hAnsi="Arial"/>
                <w:sz w:val="18"/>
                <w:szCs w:val="18"/>
                <w:color w:val="0000FF"/>
              </w:rPr>
              <w:t>300 CARNEGIE CENTER, SUITE 300</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PRINCETON</w:t>
            </w:r>
          </w:p>
        </w:tc>
        <w:tc>
          <w:tcPr>
            <w:tcW w:w="260" w:type="dxa"/>
            <w:vAlign w:val="bottom"/>
          </w:tcPr>
          <w:p>
            <w:pPr>
              <w:ind w:left="40"/>
              <w:spacing w:after="0"/>
              <w:rPr>
                <w:sz w:val="20"/>
                <w:szCs w:val="20"/>
                <w:color w:val="auto"/>
              </w:rPr>
            </w:pPr>
            <w:r>
              <w:rPr>
                <w:rFonts w:ascii="Arial" w:cs="Arial" w:eastAsia="Arial" w:hAnsi="Arial"/>
                <w:sz w:val="18"/>
                <w:szCs w:val="18"/>
                <w:color w:val="0000FF"/>
                <w:w w:val="90"/>
              </w:rPr>
              <w:t>NJ</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560" w:type="dxa"/>
            <w:vAlign w:val="bottom"/>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22"/>
          </w:tcPr>
          <w:p>
            <w:pPr>
              <w:jc w:val="center"/>
              <w:ind w:right="5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5"/>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5"/>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A Common Stock, par value $.01 per</w:t>
            </w:r>
          </w:p>
        </w:tc>
        <w:tc>
          <w:tcPr>
            <w:tcW w:w="1300" w:type="dxa"/>
            <w:vAlign w:val="bottom"/>
            <w:gridSpan w:val="5"/>
            <w:vMerge w:val="restart"/>
          </w:tcPr>
          <w:p>
            <w:pPr>
              <w:jc w:val="right"/>
              <w:ind w:right="95"/>
              <w:spacing w:after="0"/>
              <w:rPr>
                <w:sz w:val="20"/>
                <w:szCs w:val="20"/>
                <w:color w:val="auto"/>
              </w:rPr>
            </w:pPr>
            <w:r>
              <w:rPr>
                <w:rFonts w:ascii="Arial" w:cs="Arial" w:eastAsia="Arial" w:hAnsi="Arial"/>
                <w:sz w:val="18"/>
                <w:szCs w:val="18"/>
                <w:color w:val="0000FF"/>
              </w:rPr>
              <w:t>09/04/2018</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Arial" w:cs="Arial" w:eastAsia="Arial" w:hAnsi="Arial"/>
                <w:sz w:val="18"/>
                <w:szCs w:val="18"/>
                <w:color w:val="0000FF"/>
                <w:w w:val="93"/>
              </w:rPr>
              <w:t>186</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240" w:type="dxa"/>
            <w:vAlign w:val="bottom"/>
          </w:tcPr>
          <w:p>
            <w:pPr>
              <w:spacing w:after="0"/>
              <w:rPr>
                <w:sz w:val="22"/>
                <w:szCs w:val="22"/>
                <w:color w:val="auto"/>
              </w:rPr>
            </w:pPr>
          </w:p>
        </w:tc>
        <w:tc>
          <w:tcPr>
            <w:tcW w:w="1260" w:type="dxa"/>
            <w:vAlign w:val="bottom"/>
            <w:gridSpan w:val="2"/>
            <w:vMerge w:val="restart"/>
          </w:tcPr>
          <w:p>
            <w:pPr>
              <w:ind w:left="300"/>
              <w:spacing w:after="0"/>
              <w:rPr>
                <w:sz w:val="20"/>
                <w:szCs w:val="20"/>
                <w:color w:val="auto"/>
              </w:rPr>
            </w:pPr>
            <w:r>
              <w:rPr>
                <w:rFonts w:ascii="Arial" w:cs="Arial" w:eastAsia="Arial" w:hAnsi="Arial"/>
                <w:sz w:val="18"/>
                <w:szCs w:val="18"/>
                <w:color w:val="0000FF"/>
              </w:rPr>
              <w:t>14,721</w:t>
            </w:r>
            <w:r>
              <w:rPr>
                <w:rFonts w:ascii="Arial" w:cs="Arial" w:eastAsia="Arial" w:hAnsi="Arial"/>
                <w:sz w:val="22"/>
                <w:szCs w:val="22"/>
                <w:color w:val="008000"/>
                <w:vertAlign w:val="superscript"/>
              </w:rPr>
              <w:t>(2)</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40" w:type="dxa"/>
            <w:vAlign w:val="bottom"/>
            <w:tcBorders>
              <w:bottom w:val="single" w:sz="8" w:color="2C2C2C"/>
            </w:tcBorders>
            <w:gridSpan w:val="4"/>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5"/>
            <w:vMerge w:val="restart"/>
          </w:tcPr>
          <w:p>
            <w:pPr>
              <w:jc w:val="right"/>
              <w:ind w:right="95"/>
              <w:spacing w:after="0"/>
              <w:rPr>
                <w:sz w:val="20"/>
                <w:szCs w:val="20"/>
                <w:color w:val="auto"/>
              </w:rPr>
            </w:pPr>
            <w:r>
              <w:rPr>
                <w:rFonts w:ascii="Arial" w:cs="Arial" w:eastAsia="Arial" w:hAnsi="Arial"/>
                <w:sz w:val="18"/>
                <w:szCs w:val="18"/>
                <w:color w:val="0000FF"/>
              </w:rPr>
              <w:t>06/01/2018</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Arial" w:cs="Arial" w:eastAsia="Arial" w:hAnsi="Arial"/>
                <w:sz w:val="18"/>
                <w:szCs w:val="18"/>
                <w:color w:val="0000FF"/>
                <w:w w:val="93"/>
              </w:rPr>
              <w:t>951</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240" w:type="dxa"/>
            <w:vAlign w:val="bottom"/>
          </w:tcPr>
          <w:p>
            <w:pPr>
              <w:spacing w:after="0"/>
              <w:rPr>
                <w:sz w:val="22"/>
                <w:szCs w:val="22"/>
                <w:color w:val="auto"/>
              </w:rPr>
            </w:pPr>
          </w:p>
        </w:tc>
        <w:tc>
          <w:tcPr>
            <w:tcW w:w="1260" w:type="dxa"/>
            <w:vAlign w:val="bottom"/>
            <w:gridSpan w:val="2"/>
            <w:vMerge w:val="restart"/>
          </w:tcPr>
          <w:p>
            <w:pPr>
              <w:ind w:left="300"/>
              <w:spacing w:after="0"/>
              <w:rPr>
                <w:sz w:val="20"/>
                <w:szCs w:val="20"/>
                <w:color w:val="auto"/>
              </w:rPr>
            </w:pPr>
            <w:r>
              <w:rPr>
                <w:rFonts w:ascii="Arial" w:cs="Arial" w:eastAsia="Arial" w:hAnsi="Arial"/>
                <w:sz w:val="18"/>
                <w:szCs w:val="18"/>
                <w:color w:val="0000FF"/>
              </w:rPr>
              <w:t>57,378</w:t>
            </w:r>
            <w:r>
              <w:rPr>
                <w:rFonts w:ascii="Arial" w:cs="Arial" w:eastAsia="Arial" w:hAnsi="Arial"/>
                <w:sz w:val="22"/>
                <w:szCs w:val="22"/>
                <w:color w:val="008000"/>
                <w:vertAlign w:val="superscript"/>
              </w:rPr>
              <w:t>(3)</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16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560" w:type="dxa"/>
            <w:vAlign w:val="bottom"/>
            <w:tcBorders>
              <w:top w:val="single" w:sz="8" w:color="2C2C2C"/>
            </w:tcBorders>
            <w:gridSpan w:val="21"/>
          </w:tcPr>
          <w:p>
            <w:pPr>
              <w:jc w:val="center"/>
              <w:ind w:left="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7"/>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2,628 dividend equivalent rights that may only be settled in Class A Common Stock.</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3,429 dividend equivalent rights that may only be settled in Class C Common Stock.</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Michael A. Brown, by</w:t>
            </w:r>
          </w:p>
        </w:tc>
        <w:tc>
          <w:tcPr>
            <w:tcW w:w="3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09/06/2018</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855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2019-12-23T22:32:48Z</dcterms:created>
  <dcterms:modified xsi:type="dcterms:W3CDTF">2019-12-23T22:32:48Z</dcterms:modified>
</cp:coreProperties>
</file>