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80" w:type="dxa"/>
        <w:tblCellMar>
          <w:top w:w="0" w:type="dxa"/>
          <w:left w:w="0" w:type="dxa"/>
          <w:bottom w:w="0" w:type="dxa"/>
          <w:right w:w="0" w:type="dxa"/>
        </w:tblCellMar>
      </w:tblPr>
      <w:tr>
        <w:trPr>
          <w:trHeight w:val="220"/>
        </w:trPr>
        <w:tc>
          <w:tcPr>
            <w:tcW w:w="50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5020" w:type="dxa"/>
            <w:vAlign w:val="bottom"/>
          </w:tcPr>
          <w:p>
            <w:pPr>
              <w:jc w:val="center"/>
              <w:ind w:right="1570"/>
              <w:spacing w:after="0"/>
              <w:rPr>
                <w:sz w:val="20"/>
                <w:szCs w:val="20"/>
                <w:color w:val="auto"/>
              </w:rPr>
            </w:pPr>
            <w:r>
              <w:rPr>
                <w:rFonts w:ascii="Arial" w:cs="Arial" w:eastAsia="Arial" w:hAnsi="Arial"/>
                <w:sz w:val="18"/>
                <w:szCs w:val="18"/>
                <w:color w:val="auto"/>
                <w:w w:val="91"/>
              </w:rPr>
              <w:t>(State or other jurisdiction</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1570"/>
              <w:spacing w:after="0"/>
              <w:rPr>
                <w:sz w:val="20"/>
                <w:szCs w:val="20"/>
                <w:color w:val="auto"/>
              </w:rPr>
            </w:pPr>
            <w:r>
              <w:rPr>
                <w:rFonts w:ascii="Arial" w:cs="Arial" w:eastAsia="Arial" w:hAnsi="Arial"/>
                <w:sz w:val="18"/>
                <w:szCs w:val="18"/>
                <w:color w:val="auto"/>
                <w:w w:val="92"/>
              </w:rPr>
              <w:t>of 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02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211 Carnegie Center, Princeton, New Jersey</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020" w:type="dxa"/>
            <w:vAlign w:val="bottom"/>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9" w:lineRule="exact"/>
        <w:rPr>
          <w:sz w:val="24"/>
          <w:szCs w:val="24"/>
          <w:color w:val="auto"/>
        </w:rPr>
      </w:pPr>
    </w:p>
    <w:p>
      <w:pPr>
        <w:ind w:left="6820"/>
        <w:spacing w:after="0"/>
        <w:tabs>
          <w:tab w:leader="none" w:pos="746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9" w:lineRule="exact"/>
        <w:rPr>
          <w:sz w:val="24"/>
          <w:szCs w:val="24"/>
          <w:color w:val="auto"/>
        </w:rPr>
      </w:pPr>
    </w:p>
    <w:p>
      <w:pPr>
        <w:ind w:left="6820"/>
        <w:spacing w:after="0"/>
        <w:tabs>
          <w:tab w:leader="none" w:pos="746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p>
      <w:pPr>
        <w:spacing w:after="0" w:line="121" w:lineRule="exact"/>
        <w:rPr>
          <w:sz w:val="24"/>
          <w:szCs w:val="24"/>
          <w:color w:val="auto"/>
        </w:rPr>
      </w:pPr>
    </w:p>
    <w:p>
      <w:pPr>
        <w:jc w:val="both"/>
        <w:ind w:firstLine="27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0" w:lineRule="exact"/>
        <w:rPr>
          <w:sz w:val="24"/>
          <w:szCs w:val="24"/>
          <w:color w:val="auto"/>
        </w:rPr>
      </w:pPr>
    </w:p>
    <w:p>
      <w:pPr>
        <w:ind w:left="480"/>
        <w:spacing w:after="0"/>
        <w:tabs>
          <w:tab w:leader="none" w:pos="3080" w:val="left"/>
          <w:tab w:leader="none" w:pos="5780" w:val="left"/>
          <w:tab w:leader="none" w:pos="8900" w:val="left"/>
        </w:tabs>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p>
    <w:p>
      <w:pPr>
        <w:spacing w:after="0" w:line="68" w:lineRule="exact"/>
        <w:rPr>
          <w:sz w:val="24"/>
          <w:szCs w:val="24"/>
          <w:color w:val="auto"/>
        </w:rPr>
      </w:pPr>
    </w:p>
    <w:p>
      <w:pPr>
        <w:ind w:left="5260"/>
        <w:spacing w:after="0"/>
        <w:rPr>
          <w:sz w:val="20"/>
          <w:szCs w:val="20"/>
          <w:color w:val="auto"/>
        </w:rPr>
      </w:pPr>
      <w:r>
        <w:rPr>
          <w:rFonts w:ascii="Arial" w:cs="Arial" w:eastAsia="Arial" w:hAnsi="Arial"/>
          <w:sz w:val="14"/>
          <w:szCs w:val="14"/>
          <w:color w:val="auto"/>
        </w:rPr>
        <w:t>(Do not check if a smaller reporting company)</w:t>
      </w:r>
    </w:p>
    <w:p>
      <w:pPr>
        <w:spacing w:after="0" w:line="195"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3" w:lineRule="exact"/>
        <w:rPr>
          <w:sz w:val="24"/>
          <w:szCs w:val="24"/>
          <w:color w:val="auto"/>
        </w:rPr>
      </w:pPr>
    </w:p>
    <w:p>
      <w:pPr>
        <w:ind w:left="5180"/>
        <w:spacing w:after="0"/>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p>
      <w:pPr>
        <w:spacing w:after="0" w:line="121" w:lineRule="exact"/>
        <w:rPr>
          <w:sz w:val="24"/>
          <w:szCs w:val="24"/>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October 31, 2015, there were 34,586,250 Class A units outstanding, 42,738,750 Class B units outstanding, 62,784,250 Class C units outstanding, and 42,738,750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357505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271780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46</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60</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61</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63</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64</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2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Risk Factors in Part II of the Company's Quarterly Report on Form 10-Q for the period ended June 30, 2015, and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and its subsidiaries that are contained in the project-level debt facilities and other agreements of certain subsidiaries and project-level subsidiaries generally, in the Yield Operating LLC revolving credit facility, in the indenture governing the Senior Notes and in the indenture governing the Company's convertible notes; and</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2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8580" w:type="dxa"/>
            <w:vAlign w:val="bottom"/>
          </w:tcPr>
          <w:p>
            <w:pPr>
              <w:ind w:left="192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0"/>
                <w:szCs w:val="20"/>
                <w:color w:val="auto"/>
              </w:rPr>
            </w:pPr>
            <w:r>
              <w:rPr>
                <w:rFonts w:ascii="Arial" w:cs="Arial" w:eastAsia="Arial" w:hAnsi="Arial"/>
                <w:sz w:val="18"/>
                <w:szCs w:val="18"/>
                <w:color w:val="auto"/>
              </w:rPr>
              <w:t>2020 Convertible Notes</w:t>
            </w:r>
          </w:p>
        </w:tc>
        <w:tc>
          <w:tcPr>
            <w:tcW w:w="8580" w:type="dxa"/>
            <w:vAlign w:val="bottom"/>
          </w:tcPr>
          <w:p>
            <w:pPr>
              <w:ind w:left="180"/>
              <w:spacing w:after="0"/>
              <w:rPr>
                <w:sz w:val="20"/>
                <w:szCs w:val="20"/>
                <w:color w:val="auto"/>
              </w:rPr>
            </w:pPr>
            <w:r>
              <w:rPr>
                <w:rFonts w:ascii="Arial" w:cs="Arial" w:eastAsia="Arial" w:hAnsi="Arial"/>
                <w:sz w:val="18"/>
                <w:szCs w:val="18"/>
                <w:color w:val="auto"/>
              </w:rPr>
              <w:t>Yield, Inc.'s $287.5 million aggregate principal amount of 3.25% Convertible Notes due 2020</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Alta TE Holdco</w:t>
            </w:r>
          </w:p>
        </w:tc>
        <w:tc>
          <w:tcPr>
            <w:tcW w:w="8580" w:type="dxa"/>
            <w:vAlign w:val="bottom"/>
          </w:tcPr>
          <w:p>
            <w:pPr>
              <w:ind w:left="180"/>
              <w:spacing w:after="0"/>
              <w:rPr>
                <w:sz w:val="20"/>
                <w:szCs w:val="20"/>
                <w:color w:val="auto"/>
              </w:rPr>
            </w:pPr>
            <w:r>
              <w:rPr>
                <w:rFonts w:ascii="Arial" w:cs="Arial" w:eastAsia="Arial" w:hAnsi="Arial"/>
                <w:sz w:val="18"/>
                <w:szCs w:val="18"/>
                <w:color w:val="auto"/>
              </w:rPr>
              <w:t>Alta Wind X-XI TE Holdco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Alta Wind Portfolio</w:t>
            </w: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Seven wind facilities that total 947 MW located in Tehachapi, California and a portfolio of associated land leases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AOCL</w:t>
            </w:r>
          </w:p>
        </w:tc>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ASC</w:t>
            </w:r>
          </w:p>
        </w:tc>
        <w:tc>
          <w:tcPr>
            <w:tcW w:w="8580" w:type="dxa"/>
            <w:vAlign w:val="bottom"/>
          </w:tcPr>
          <w:p>
            <w:pPr>
              <w:ind w:left="18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authoritative U.S. GAAP</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ASU</w:t>
            </w:r>
          </w:p>
        </w:tc>
        <w:tc>
          <w:tcPr>
            <w:tcW w:w="8580" w:type="dxa"/>
            <w:vAlign w:val="bottom"/>
          </w:tcPr>
          <w:p>
            <w:pPr>
              <w:ind w:left="1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Buffalo Bear</w:t>
            </w:r>
          </w:p>
        </w:tc>
        <w:tc>
          <w:tcPr>
            <w:tcW w:w="8580" w:type="dxa"/>
            <w:vAlign w:val="bottom"/>
          </w:tcPr>
          <w:p>
            <w:pPr>
              <w:ind w:left="18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CAFD</w:t>
            </w:r>
          </w:p>
        </w:tc>
        <w:tc>
          <w:tcPr>
            <w:tcW w:w="8580" w:type="dxa"/>
            <w:vAlign w:val="bottom"/>
          </w:tcPr>
          <w:p>
            <w:pPr>
              <w:ind w:left="180"/>
              <w:spacing w:after="0"/>
              <w:rPr>
                <w:sz w:val="20"/>
                <w:szCs w:val="20"/>
                <w:color w:val="auto"/>
              </w:rPr>
            </w:pPr>
            <w:r>
              <w:rPr>
                <w:rFonts w:ascii="Arial" w:cs="Arial" w:eastAsia="Arial" w:hAnsi="Arial"/>
                <w:sz w:val="18"/>
                <w:szCs w:val="18"/>
                <w:color w:val="auto"/>
              </w:rPr>
              <w:t>Cash Available For Distribution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COD</w:t>
            </w:r>
          </w:p>
        </w:tc>
        <w:tc>
          <w:tcPr>
            <w:tcW w:w="8580" w:type="dxa"/>
            <w:vAlign w:val="bottom"/>
          </w:tcPr>
          <w:p>
            <w:pPr>
              <w:ind w:left="180"/>
              <w:spacing w:after="0"/>
              <w:rPr>
                <w:sz w:val="20"/>
                <w:szCs w:val="20"/>
                <w:color w:val="auto"/>
              </w:rPr>
            </w:pPr>
            <w:r>
              <w:rPr>
                <w:rFonts w:ascii="Arial" w:cs="Arial" w:eastAsia="Arial" w:hAnsi="Arial"/>
                <w:sz w:val="18"/>
                <w:szCs w:val="18"/>
                <w:color w:val="auto"/>
              </w:rPr>
              <w:t>Commercial Operations Date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Company</w:t>
            </w:r>
          </w:p>
        </w:tc>
        <w:tc>
          <w:tcPr>
            <w:tcW w:w="8580" w:type="dxa"/>
            <w:vAlign w:val="bottom"/>
          </w:tcPr>
          <w:p>
            <w:pPr>
              <w:ind w:left="180"/>
              <w:spacing w:after="0"/>
              <w:rPr>
                <w:sz w:val="20"/>
                <w:szCs w:val="20"/>
                <w:color w:val="auto"/>
              </w:rPr>
            </w:pPr>
            <w:r>
              <w:rPr>
                <w:rFonts w:ascii="Arial" w:cs="Arial" w:eastAsia="Arial" w:hAnsi="Arial"/>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CVSR</w:t>
            </w:r>
          </w:p>
        </w:tc>
        <w:tc>
          <w:tcPr>
            <w:tcW w:w="8580" w:type="dxa"/>
            <w:vAlign w:val="bottom"/>
          </w:tcPr>
          <w:p>
            <w:pPr>
              <w:ind w:left="1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DGPV Holdco</w:t>
            </w:r>
          </w:p>
        </w:tc>
        <w:tc>
          <w:tcPr>
            <w:tcW w:w="8580" w:type="dxa"/>
            <w:vAlign w:val="bottom"/>
          </w:tcPr>
          <w:p>
            <w:pPr>
              <w:ind w:left="18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Distributed Solar</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rPr>
              <w:t>Collectively, the June 2014 Drop Down Assets and the January 2015 Drop Down Assets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Economic Gross Margin</w:t>
            </w:r>
          </w:p>
        </w:tc>
        <w:tc>
          <w:tcPr>
            <w:tcW w:w="8580" w:type="dxa"/>
            <w:vAlign w:val="bottom"/>
          </w:tcPr>
          <w:p>
            <w:pPr>
              <w:ind w:left="18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El Segundo</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EME</w:t>
            </w:r>
          </w:p>
        </w:tc>
        <w:tc>
          <w:tcPr>
            <w:tcW w:w="8580" w:type="dxa"/>
            <w:vAlign w:val="bottom"/>
          </w:tcPr>
          <w:p>
            <w:pPr>
              <w:ind w:left="180"/>
              <w:spacing w:after="0"/>
              <w:rPr>
                <w:sz w:val="20"/>
                <w:szCs w:val="20"/>
                <w:color w:val="auto"/>
              </w:rPr>
            </w:pPr>
            <w:r>
              <w:rPr>
                <w:rFonts w:ascii="Arial" w:cs="Arial" w:eastAsia="Arial" w:hAnsi="Arial"/>
                <w:sz w:val="18"/>
                <w:szCs w:val="18"/>
                <w:color w:val="auto"/>
              </w:rPr>
              <w:t>Edison Mission Energy</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ERCOT</w:t>
            </w: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Electric Reliability Council of Texas, the Independent System Operator and the regional reliability coordinator of</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the various electricity systems within Texas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EWG</w:t>
            </w:r>
          </w:p>
        </w:tc>
        <w:tc>
          <w:tcPr>
            <w:tcW w:w="8580" w:type="dxa"/>
            <w:vAlign w:val="bottom"/>
          </w:tcPr>
          <w:p>
            <w:pPr>
              <w:ind w:left="18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Exchange Act</w:t>
            </w:r>
          </w:p>
        </w:tc>
        <w:tc>
          <w:tcPr>
            <w:tcW w:w="8580" w:type="dxa"/>
            <w:vAlign w:val="bottom"/>
          </w:tcPr>
          <w:p>
            <w:pPr>
              <w:ind w:left="1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FASB</w:t>
            </w:r>
          </w:p>
        </w:tc>
        <w:tc>
          <w:tcPr>
            <w:tcW w:w="8580" w:type="dxa"/>
            <w:vAlign w:val="bottom"/>
          </w:tcPr>
          <w:p>
            <w:pPr>
              <w:ind w:left="1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FERC</w:t>
            </w:r>
          </w:p>
        </w:tc>
        <w:tc>
          <w:tcPr>
            <w:tcW w:w="8580" w:type="dxa"/>
            <w:vAlign w:val="bottom"/>
          </w:tcPr>
          <w:p>
            <w:pPr>
              <w:ind w:left="1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GenConn</w:t>
            </w:r>
          </w:p>
        </w:tc>
        <w:tc>
          <w:tcPr>
            <w:tcW w:w="8580" w:type="dxa"/>
            <w:vAlign w:val="bottom"/>
          </w:tcPr>
          <w:p>
            <w:pPr>
              <w:ind w:left="1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HLBV</w:t>
            </w:r>
          </w:p>
        </w:tc>
        <w:tc>
          <w:tcPr>
            <w:tcW w:w="8580" w:type="dxa"/>
            <w:vAlign w:val="bottom"/>
          </w:tcPr>
          <w:p>
            <w:pPr>
              <w:ind w:left="18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IASB</w:t>
            </w:r>
          </w:p>
        </w:tc>
        <w:tc>
          <w:tcPr>
            <w:tcW w:w="8580" w:type="dxa"/>
            <w:vAlign w:val="bottom"/>
          </w:tcPr>
          <w:p>
            <w:pPr>
              <w:ind w:left="1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0"/>
                <w:szCs w:val="20"/>
                <w:color w:val="auto"/>
              </w:rPr>
            </w:pPr>
            <w:r>
              <w:rPr>
                <w:rFonts w:ascii="Arial" w:cs="Arial" w:eastAsia="Arial" w:hAnsi="Arial"/>
                <w:sz w:val="18"/>
                <w:szCs w:val="18"/>
                <w:color w:val="auto"/>
              </w:rPr>
              <w:t>ISO</w:t>
            </w:r>
          </w:p>
        </w:tc>
        <w:tc>
          <w:tcPr>
            <w:tcW w:w="8580" w:type="dxa"/>
            <w:vAlign w:val="bottom"/>
          </w:tcPr>
          <w:p>
            <w:pPr>
              <w:ind w:left="1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580" w:type="dxa"/>
            <w:vAlign w:val="bottom"/>
            <w:vMerge w:val="restart"/>
          </w:tcPr>
          <w:p>
            <w:pPr>
              <w:ind w:left="18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780" w:type="dxa"/>
            <w:vAlign w:val="bottom"/>
          </w:tcPr>
          <w:p>
            <w:pPr>
              <w:spacing w:after="0"/>
              <w:rPr>
                <w:sz w:val="20"/>
                <w:szCs w:val="20"/>
                <w:color w:val="auto"/>
              </w:rPr>
            </w:pPr>
            <w:r>
              <w:rPr>
                <w:rFonts w:ascii="Arial" w:cs="Arial" w:eastAsia="Arial" w:hAnsi="Arial"/>
                <w:sz w:val="18"/>
                <w:szCs w:val="18"/>
                <w:color w:val="auto"/>
              </w:rPr>
              <w:t>June 2014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The TA High Desert, Kansas South and El Segundo projects, which were acquired by Yield Operating LLC from</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NRG on June 30, 2014</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Kansas South</w:t>
            </w: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Laredo Ridge</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LIBOR</w:t>
            </w:r>
          </w:p>
        </w:tc>
        <w:tc>
          <w:tcPr>
            <w:tcW w:w="858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Marsh Landing</w:t>
            </w:r>
          </w:p>
        </w:tc>
        <w:tc>
          <w:tcPr>
            <w:tcW w:w="8580" w:type="dxa"/>
            <w:vAlign w:val="bottom"/>
          </w:tcPr>
          <w:p>
            <w:pPr>
              <w:ind w:left="180"/>
              <w:spacing w:after="0"/>
              <w:rPr>
                <w:sz w:val="20"/>
                <w:szCs w:val="20"/>
                <w:color w:val="auto"/>
              </w:rPr>
            </w:pPr>
            <w:r>
              <w:rPr>
                <w:rFonts w:ascii="Arial" w:cs="Arial" w:eastAsia="Arial" w:hAnsi="Arial"/>
                <w:sz w:val="18"/>
                <w:szCs w:val="18"/>
                <w:color w:val="auto"/>
              </w:rPr>
              <w:t>NRG Marsh Landing LLC, formerly GenOn Marsh Landing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MMBtu</w:t>
            </w:r>
          </w:p>
        </w:tc>
        <w:tc>
          <w:tcPr>
            <w:tcW w:w="8580" w:type="dxa"/>
            <w:vAlign w:val="bottom"/>
          </w:tcPr>
          <w:p>
            <w:pPr>
              <w:ind w:left="1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MWh</w:t>
            </w:r>
          </w:p>
        </w:tc>
        <w:tc>
          <w:tcPr>
            <w:tcW w:w="8580" w:type="dxa"/>
            <w:vAlign w:val="bottom"/>
          </w:tcPr>
          <w:p>
            <w:pPr>
              <w:ind w:left="180"/>
              <w:spacing w:after="0"/>
              <w:rPr>
                <w:sz w:val="20"/>
                <w:szCs w:val="20"/>
                <w:color w:val="auto"/>
              </w:rPr>
            </w:pPr>
            <w:r>
              <w:rPr>
                <w:rFonts w:ascii="Arial" w:cs="Arial" w:eastAsia="Arial" w:hAnsi="Arial"/>
                <w:sz w:val="18"/>
                <w:szCs w:val="18"/>
                <w:color w:val="auto"/>
              </w:rPr>
              <w:t>Saleable megawatt hour, net of internal/parasitic load megawatt-hour</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MWt</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NERC</w:t>
            </w:r>
          </w:p>
        </w:tc>
        <w:tc>
          <w:tcPr>
            <w:tcW w:w="8580" w:type="dxa"/>
            <w:vAlign w:val="bottom"/>
          </w:tcPr>
          <w:p>
            <w:pPr>
              <w:ind w:left="18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180"/>
              <w:spacing w:after="0"/>
              <w:rPr>
                <w:sz w:val="20"/>
                <w:szCs w:val="20"/>
                <w:color w:val="auto"/>
              </w:rPr>
            </w:pPr>
            <w:r>
              <w:rPr>
                <w:rFonts w:ascii="Arial" w:cs="Arial" w:eastAsia="Arial" w:hAnsi="Arial"/>
                <w:sz w:val="18"/>
                <w:szCs w:val="18"/>
                <w:color w:val="auto"/>
              </w:rPr>
              <w:t>Counterparty credit exposure to NRG Yield, Inc. net of collateral</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w w:val="97"/>
              </w:rPr>
              <w:t>November 2015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75% of the Class B interests of NRG Wind TE Holdco, which owns a portfolio of 12 wind facilities totaling 814 net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MW</w:t>
            </w:r>
          </w:p>
        </w:tc>
        <w:tc>
          <w:tcPr>
            <w:tcW w:w="0" w:type="dxa"/>
            <w:vAlign w:val="bottom"/>
          </w:tcPr>
          <w:p>
            <w:pPr>
              <w:spacing w:after="0"/>
              <w:rPr>
                <w:sz w:val="1"/>
                <w:szCs w:val="1"/>
                <w:color w:val="auto"/>
              </w:rPr>
            </w:pPr>
          </w:p>
        </w:tc>
      </w:tr>
      <w:tr>
        <w:trPr>
          <w:trHeight w:val="486"/>
        </w:trPr>
        <w:tc>
          <w:tcPr>
            <w:tcW w:w="2780" w:type="dxa"/>
            <w:vAlign w:val="bottom"/>
          </w:tcPr>
          <w:p>
            <w:pPr>
              <w:spacing w:after="0"/>
              <w:rPr>
                <w:sz w:val="24"/>
                <w:szCs w:val="24"/>
                <w:color w:val="auto"/>
              </w:rPr>
            </w:pPr>
          </w:p>
        </w:tc>
        <w:tc>
          <w:tcPr>
            <w:tcW w:w="8580" w:type="dxa"/>
            <w:vAlign w:val="bottom"/>
          </w:tcPr>
          <w:p>
            <w:pPr>
              <w:ind w:left="2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02"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Energy, Inc.</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sectPr>
      </w:pPr>
    </w:p>
    <w:p>
      <w:pPr>
        <w:spacing w:after="0"/>
        <w:rPr>
          <w:sz w:val="20"/>
          <w:szCs w:val="20"/>
          <w:color w:val="auto"/>
        </w:rPr>
      </w:pPr>
      <w:r>
        <w:rPr>
          <w:rFonts w:ascii="Arial" w:cs="Arial" w:eastAsia="Arial" w:hAnsi="Arial"/>
          <w:sz w:val="17"/>
          <w:szCs w:val="17"/>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Wind TE Holdco LLC</w:t>
      </w:r>
    </w:p>
    <w:p>
      <w:pPr>
        <w:spacing w:after="0" w:line="75"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Pinnacle Wind, LLC, the operating subsidiary of Tapestry Wind LLC, which owns the Pinnacle project</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Public Utility Commission of Texas</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PURPA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Public Utility Regulatory Policies Act of 1978</w:t>
      </w:r>
    </w:p>
    <w:p>
      <w:pPr>
        <w:spacing w:after="0" w:line="75"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5"/>
          <w:szCs w:val="15"/>
          <w:color w:val="auto"/>
        </w:rPr>
        <w:t>QF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Qualifying Facility under PURPA</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ROFO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Amended and Restated Right of First Offer Agreement between Yield, Inc. and NRG</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RPV Holdco 1 LLC</w:t>
      </w:r>
    </w:p>
    <w:p>
      <w:pPr>
        <w:spacing w:after="0" w:line="75"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Organization</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6"/>
          <w:szCs w:val="16"/>
          <w:color w:val="auto"/>
        </w:rPr>
        <w:t>NRG Yield Operating LLC's $500 million of 5.375% unsecured senior notes due 2024</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TA-High Desert LLC, the operating subsidiary of NRG Solar Mayfair LLC, which owns the TA High Desert project</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Taloga Wind, LLC, the operating subsidiary of Tapestry Wind LLC, which owns the Taloga project</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Collection of the Pinnacle, Buffalo Bear and Taloga projects</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principles generally accepted in the U.S.</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86"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6"/>
          <w:szCs w:val="16"/>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Operating LLC</w:t>
      </w:r>
    </w:p>
    <w:p>
      <w:pPr>
        <w:spacing w:after="0" w:line="200"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80" w:top="868"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9"/>
                <w:szCs w:val="19"/>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c>
          <w:tcPr>
            <w:tcW w:w="140" w:type="dxa"/>
            <w:vAlign w:val="bottom"/>
          </w:tcPr>
          <w:p>
            <w:pPr>
              <w:spacing w:after="0"/>
              <w:rPr>
                <w:sz w:val="19"/>
                <w:szCs w:val="19"/>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14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 — affiliate</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40" w:type="dxa"/>
            <w:vAlign w:val="bottom"/>
          </w:tcPr>
          <w:p>
            <w:pPr>
              <w:spacing w:after="0"/>
              <w:rPr>
                <w:sz w:val="20"/>
                <w:szCs w:val="20"/>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37"/>
        </w:trPr>
        <w:tc>
          <w:tcPr>
            <w:tcW w:w="652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65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2"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1"/>
              </w:rPr>
              <w:t>Three months ended 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16"/>
        </w:trPr>
        <w:tc>
          <w:tcPr>
            <w:tcW w:w="63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c>
          <w:tcPr>
            <w:tcW w:w="16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r>
      <w:tr>
        <w:trPr>
          <w:trHeight w:val="243"/>
        </w:trPr>
        <w:tc>
          <w:tcPr>
            <w:tcW w:w="63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gain on derivatives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w:t>
            </w:r>
          </w:p>
        </w:tc>
      </w:tr>
      <w:tr>
        <w:trPr>
          <w:trHeight w:val="237"/>
        </w:trPr>
        <w:tc>
          <w:tcPr>
            <w:tcW w:w="40" w:type="dxa"/>
            <w:vAlign w:val="bottom"/>
          </w:tcPr>
          <w:p>
            <w:pPr>
              <w:spacing w:after="0"/>
              <w:rPr>
                <w:sz w:val="20"/>
                <w:szCs w:val="20"/>
                <w:color w:val="auto"/>
              </w:rPr>
            </w:pPr>
          </w:p>
        </w:tc>
        <w:tc>
          <w:tcPr>
            <w:tcW w:w="6260" w:type="dxa"/>
            <w:vAlign w:val="bottom"/>
            <w:gridSpan w:val="2"/>
          </w:tcPr>
          <w:p>
            <w:pPr>
              <w:ind w:left="56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96</w:t>
            </w:r>
          </w:p>
        </w:tc>
      </w:tr>
      <w:tr>
        <w:trPr>
          <w:trHeight w:val="237"/>
        </w:trPr>
        <w:tc>
          <w:tcPr>
            <w:tcW w:w="40" w:type="dxa"/>
            <w:vAlign w:val="bottom"/>
          </w:tcPr>
          <w:p>
            <w:pPr>
              <w:spacing w:after="0"/>
              <w:rPr>
                <w:sz w:val="20"/>
                <w:szCs w:val="20"/>
                <w:color w:val="auto"/>
              </w:rPr>
            </w:pPr>
          </w:p>
        </w:tc>
        <w:tc>
          <w:tcPr>
            <w:tcW w:w="626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96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02"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 xml:space="preserve">December 31, 2014 </w:t>
            </w:r>
            <w:r>
              <w:rPr>
                <w:rFonts w:ascii="Arial" w:cs="Arial" w:eastAsia="Arial" w:hAnsi="Arial"/>
                <w:sz w:val="8"/>
                <w:szCs w:val="8"/>
                <w:b w:val="1"/>
                <w:bCs w:val="1"/>
                <w:color w:val="auto"/>
                <w:w w:val="94"/>
              </w:rPr>
              <w:t>(a)</w:t>
            </w:r>
          </w:p>
        </w:tc>
      </w:tr>
      <w:tr>
        <w:trPr>
          <w:trHeight w:val="197"/>
        </w:trPr>
        <w:tc>
          <w:tcPr>
            <w:tcW w:w="7900" w:type="dxa"/>
            <w:vAlign w:val="bottom"/>
            <w:tcBorders>
              <w:bottom w:val="single" w:sz="8" w:color="CCEEFF"/>
            </w:tcBorders>
          </w:tcPr>
          <w:p>
            <w:pPr>
              <w:ind w:left="368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291"/>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 service</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4,796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 construction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227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Intangible assets, net of accumulated amortization of $80 and $36</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1,423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6,826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 xml:space="preserve">December 31, 2014 </w:t>
            </w:r>
            <w:r>
              <w:rPr>
                <w:rFonts w:ascii="Arial" w:cs="Arial" w:eastAsia="Arial" w:hAnsi="Arial"/>
                <w:sz w:val="8"/>
                <w:szCs w:val="8"/>
                <w:b w:val="1"/>
                <w:bCs w:val="1"/>
                <w:color w:val="auto"/>
                <w:w w:val="94"/>
              </w:rPr>
              <w:t>(a)</w:t>
            </w:r>
          </w:p>
        </w:tc>
      </w:tr>
      <w:tr>
        <w:trPr>
          <w:trHeight w:val="251"/>
        </w:trPr>
        <w:tc>
          <w:tcPr>
            <w:tcW w:w="7900" w:type="dxa"/>
            <w:vAlign w:val="bottom"/>
            <w:tcBorders>
              <w:bottom w:val="single" w:sz="8" w:color="CCEEFF"/>
            </w:tcBorders>
          </w:tcPr>
          <w:p>
            <w:pPr>
              <w:ind w:left="2280"/>
              <w:spacing w:after="0"/>
              <w:rPr>
                <w:sz w:val="20"/>
                <w:szCs w:val="20"/>
                <w:color w:val="auto"/>
              </w:rPr>
            </w:pPr>
            <w:r>
              <w:rPr>
                <w:rFonts w:ascii="Arial" w:cs="Arial" w:eastAsia="Arial" w:hAnsi="Arial"/>
                <w:sz w:val="18"/>
                <w:szCs w:val="18"/>
                <w:b w:val="1"/>
                <w:bCs w:val="1"/>
                <w:color w:val="auto"/>
              </w:rPr>
              <w:t>LIABILITIES AND MEMBERS' EQUITY</w:t>
            </w:r>
          </w:p>
        </w:tc>
        <w:tc>
          <w:tcPr>
            <w:tcW w:w="18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1291"/>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Current portion of long-term debt — external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5,090</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6"/>
                <w:szCs w:val="16"/>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Members’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6,826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0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4"/>
                <w:szCs w:val="14"/>
                <w:b w:val="1"/>
                <w:bCs w:val="1"/>
                <w:color w:val="auto"/>
              </w:rPr>
              <w:t>Nine months ended September 30,</w:t>
            </w:r>
          </w:p>
        </w:tc>
      </w:tr>
      <w:tr>
        <w:trPr>
          <w:trHeight w:val="250"/>
        </w:trPr>
        <w:tc>
          <w:tcPr>
            <w:tcW w:w="8580" w:type="dxa"/>
            <w:vAlign w:val="bottom"/>
          </w:tcPr>
          <w:p>
            <w:pPr>
              <w:spacing w:after="0"/>
              <w:rPr>
                <w:sz w:val="21"/>
                <w:szCs w:val="21"/>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r>
      <w:tr>
        <w:trPr>
          <w:trHeight w:val="250"/>
        </w:trPr>
        <w:tc>
          <w:tcPr>
            <w:tcW w:w="8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Distributions in excess of equity in earnings of unconsolidated affiliates</w:t>
            </w: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Amortization of financing costs and debt discount/premiums</w:t>
            </w: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 and out-of-market contracts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43"/>
        </w:trPr>
        <w:tc>
          <w:tcPr>
            <w:tcW w:w="8580" w:type="dxa"/>
            <w:vAlign w:val="bottom"/>
          </w:tcPr>
          <w:p>
            <w:pPr>
              <w:ind w:left="380"/>
              <w:spacing w:after="0"/>
              <w:rPr>
                <w:sz w:val="20"/>
                <w:szCs w:val="20"/>
                <w:color w:val="auto"/>
              </w:rPr>
            </w:pPr>
            <w:r>
              <w:rPr>
                <w:rFonts w:ascii="Arial" w:cs="Arial" w:eastAsia="Arial" w:hAnsi="Arial"/>
                <w:sz w:val="16"/>
                <w:szCs w:val="16"/>
                <w:color w:val="auto"/>
              </w:rPr>
              <w:t>Adjustment for debt extinguishment</w:t>
            </w:r>
          </w:p>
        </w:tc>
        <w:tc>
          <w:tcPr>
            <w:tcW w:w="9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derivative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Changes in other working capital</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businesses, net of cash acquired</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Acquisition of Drop Down Assets, net of cash acquired</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(Increase) decrease in restricted cash</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notes receivable</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renewable energy grants</w:t>
            </w:r>
          </w:p>
        </w:tc>
        <w:tc>
          <w:tcPr>
            <w:tcW w:w="9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investments in unconsolidated affiliates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w:t>
            </w:r>
          </w:p>
        </w:tc>
        <w:tc>
          <w:tcPr>
            <w:tcW w:w="9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Capital contributions from NRG</w:t>
            </w:r>
          </w:p>
        </w:tc>
        <w:tc>
          <w:tcPr>
            <w:tcW w:w="9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and return of capital to NRG</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the issuance of Class C and Class A units</w:t>
            </w: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630</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distributions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 external</w:t>
            </w: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579</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 — affiliate</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Payment of debt issuance costs</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long-term debt — external</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1,193</w:t>
            </w:r>
          </w:p>
        </w:tc>
      </w:tr>
      <w:tr>
        <w:trPr>
          <w:trHeight w:val="33"/>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9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2"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NRG Yield LLC, together with its consolidated subsidiaries, or the Company, was formed by NRG Energy, Inc., or NRG, as a Delaware limited liability company on March 5, 2013, to serve as the primary vehicle through which NRG owns, operates and acquires contracted renewable and conventional generation and thermal infrastructure assets. NRG owns 100% of the Company's Class B units and Class D units and receives distributions through its ownership of these units. NRG Yield, Inc., or Yield, Inc., owns 100% of the Company's Class A units and Class C units. NRG Yield LLC, through its wholly owned subsidiary, NRG Yield Operating LLC, or Yield Operating LLC, holds a portfolio of renewable and conventional generation and thermal infrastructure assets, primarily located in the Northeast, Southwest and California regions of the U.S.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June 29, 2015, Yield, Inc. issued 28,198,000 shares of Class C common stock at a price of $22 per share. Net proceeds to Yield, Inc. from the sale of the Class C common stock were $599 million, net of underwriting discounts and commissions of $21 million. Yield, Inc. utilized the proceeds of the offering to acquire 28,198,000 Class C units of NRG Yield LLC, increasing its voting interest to 44.9% and its economic interest to 53.3%. Yield, Inc. consolidates the results of the Company through its controlling interest as sole managing member.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14605</wp:posOffset>
            </wp:positionV>
            <wp:extent cx="5848985" cy="4322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2"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t>As of September 30, 2015, the Company's operating assets are comprised of the following projects: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Percentage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6"/>
              </w:rPr>
              <w:t>Net Capacity</w:t>
            </w: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Projects</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Ownership</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(MW)</w:t>
            </w:r>
            <w:r>
              <w:rPr>
                <w:rFonts w:ascii="Arial" w:cs="Arial" w:eastAsia="Arial" w:hAnsi="Arial"/>
                <w:sz w:val="21"/>
                <w:szCs w:val="21"/>
                <w:b w:val="1"/>
                <w:bCs w:val="1"/>
                <w:color w:val="auto"/>
                <w:vertAlign w:val="superscript"/>
              </w:rPr>
              <w:t>(a)</w:t>
            </w:r>
          </w:p>
        </w:tc>
        <w:tc>
          <w:tcPr>
            <w:tcW w:w="120" w:type="dxa"/>
            <w:vAlign w:val="bottom"/>
            <w:tcBorders>
              <w:bottom w:val="single" w:sz="8" w:color="CCEEFF"/>
            </w:tcBorders>
          </w:tcPr>
          <w:p>
            <w:pPr>
              <w:spacing w:after="0"/>
              <w:rPr>
                <w:sz w:val="21"/>
                <w:szCs w:val="21"/>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Offtake Counterparty</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Conventional</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GenConn Middletown</w:t>
            </w:r>
            <w:r>
              <w:rPr>
                <w:rFonts w:ascii="Arial" w:cs="Arial" w:eastAsia="Arial" w:hAnsi="Arial"/>
                <w:sz w:val="21"/>
                <w:szCs w:val="21"/>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3"/>
                <w:szCs w:val="23"/>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Connecticut Light &amp; Power</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2041</w:t>
            </w:r>
          </w:p>
        </w:tc>
      </w:tr>
      <w:tr>
        <w:trPr>
          <w:trHeight w:val="270"/>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GenConn Devon</w:t>
            </w:r>
            <w:r>
              <w:rPr>
                <w:rFonts w:ascii="Arial" w:cs="Arial" w:eastAsia="Arial" w:hAnsi="Arial"/>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2040</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Marsh Landing</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2023</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El Segundo</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Walnut Creek</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2023</w:t>
            </w:r>
          </w:p>
        </w:tc>
      </w:tr>
      <w:tr>
        <w:trPr>
          <w:trHeight w:val="33"/>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1"/>
        </w:trPr>
        <w:tc>
          <w:tcPr>
            <w:tcW w:w="4240" w:type="dxa"/>
            <w:vAlign w:val="bottom"/>
            <w:gridSpan w:val="2"/>
          </w:tcPr>
          <w:p>
            <w:pPr>
              <w:ind w:left="40"/>
              <w:spacing w:after="0"/>
              <w:rPr>
                <w:sz w:val="20"/>
                <w:szCs w:val="20"/>
                <w:color w:val="auto"/>
              </w:rPr>
            </w:pPr>
            <w:r>
              <w:rPr>
                <w:rFonts w:ascii="Arial" w:cs="Arial" w:eastAsia="Arial" w:hAnsi="Arial"/>
                <w:sz w:val="16"/>
                <w:szCs w:val="16"/>
                <w:i w:val="1"/>
                <w:iCs w:val="1"/>
                <w:color w:val="auto"/>
              </w:rPr>
              <w:t>Utility Scale Solar</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Alpine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7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Avenal</w:t>
            </w:r>
            <w:r>
              <w:rPr>
                <w:rFonts w:ascii="Arial" w:cs="Arial" w:eastAsia="Arial" w:hAnsi="Arial"/>
                <w:sz w:val="21"/>
                <w:szCs w:val="21"/>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Avra Valley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Tucson Electric Power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Blythe</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Borrego</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San Diego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Roadrunner</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El Paso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CVSR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Kansas South</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2033</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TA High Desert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Desert Sunlight 250</w:t>
            </w: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Desert Sunlight 300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2040</w:t>
            </w: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Distributed Solar</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AZ DG Solar Projects</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2025 - 2033</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PFMG DG Solar Projects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Wind</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Alta I</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Alta II</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Alta III</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Alta IV</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Alta V</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240" w:type="dxa"/>
            <w:vAlign w:val="bottom"/>
            <w:gridSpan w:val="2"/>
            <w:shd w:val="clear" w:color="auto" w:fill="CCEEFF"/>
          </w:tcPr>
          <w:p>
            <w:pPr>
              <w:ind w:left="280"/>
              <w:spacing w:after="0" w:line="269" w:lineRule="exact"/>
              <w:rPr>
                <w:sz w:val="20"/>
                <w:szCs w:val="20"/>
                <w:color w:val="auto"/>
              </w:rPr>
            </w:pPr>
            <w:r>
              <w:rPr>
                <w:rFonts w:ascii="Arial" w:cs="Arial" w:eastAsia="Arial" w:hAnsi="Arial"/>
                <w:sz w:val="31"/>
                <w:szCs w:val="31"/>
                <w:color w:val="auto"/>
                <w:vertAlign w:val="subscript"/>
              </w:rPr>
              <w:t>Alta X</w:t>
            </w:r>
            <w:r>
              <w:rPr>
                <w:rFonts w:ascii="Arial" w:cs="Arial" w:eastAsia="Arial" w:hAnsi="Arial"/>
                <w:sz w:val="11"/>
                <w:szCs w:val="11"/>
                <w:color w:val="auto"/>
              </w:rPr>
              <w:t xml:space="preserve"> (c)(d)</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2038</w:t>
            </w:r>
            <w:r>
              <w:rPr>
                <w:rFonts w:ascii="Arial" w:cs="Arial" w:eastAsia="Arial" w:hAnsi="Arial"/>
                <w:sz w:val="21"/>
                <w:szCs w:val="21"/>
                <w:color w:val="auto"/>
                <w:w w:val="84"/>
                <w:vertAlign w:val="superscript"/>
              </w:rPr>
              <w:t>(c)</w:t>
            </w:r>
          </w:p>
        </w:tc>
      </w:tr>
      <w:tr>
        <w:trPr>
          <w:trHeight w:val="27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 xml:space="preserve">Alta XI </w:t>
            </w:r>
            <w:r>
              <w:rPr>
                <w:rFonts w:ascii="Arial" w:cs="Arial" w:eastAsia="Arial" w:hAnsi="Arial"/>
                <w:sz w:val="21"/>
                <w:szCs w:val="21"/>
                <w:color w:val="auto"/>
                <w:vertAlign w:val="superscript"/>
              </w:rPr>
              <w:t>(c)(d)</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4"/>
              </w:rPr>
              <w:t>2038</w:t>
            </w:r>
            <w:r>
              <w:rPr>
                <w:rFonts w:ascii="Arial" w:cs="Arial" w:eastAsia="Arial" w:hAnsi="Arial"/>
                <w:sz w:val="21"/>
                <w:szCs w:val="21"/>
                <w:color w:val="auto"/>
                <w:w w:val="84"/>
                <w:vertAlign w:val="superscript"/>
              </w:rPr>
              <w:t>(c)</w:t>
            </w: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South Trent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AEP Energy Partners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2029</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Laredo Ridge</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Nebraska Public Power District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Taloga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Oklahoma Gas &amp;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r>
      <w:tr>
        <w:trPr>
          <w:trHeight w:val="220"/>
        </w:trPr>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Maryland Department of General Services and</w:t>
            </w:r>
          </w:p>
        </w:tc>
        <w:tc>
          <w:tcPr>
            <w:tcW w:w="1140" w:type="dxa"/>
            <w:vAlign w:val="bottom"/>
          </w:tcPr>
          <w:p>
            <w:pPr>
              <w:spacing w:after="0"/>
              <w:rPr>
                <w:sz w:val="19"/>
                <w:szCs w:val="19"/>
                <w:color w:val="auto"/>
              </w:rPr>
            </w:pPr>
          </w:p>
        </w:tc>
      </w:tr>
      <w:tr>
        <w:trPr>
          <w:trHeight w:val="206"/>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Pinnacle</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University System of Maryland</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Buffalo Bear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Western Farmers Electric Co-operative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7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 xml:space="preserve">Spring Canyon II </w:t>
            </w:r>
            <w:r>
              <w:rPr>
                <w:rFonts w:ascii="Arial" w:cs="Arial" w:eastAsia="Arial" w:hAnsi="Arial"/>
                <w:sz w:val="21"/>
                <w:szCs w:val="21"/>
                <w:color w:val="auto"/>
                <w:vertAlign w:val="superscript"/>
              </w:rPr>
              <w:t>(c)</w:t>
            </w:r>
          </w:p>
        </w:tc>
        <w:tc>
          <w:tcPr>
            <w:tcW w:w="118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Platte River Power Authority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2038</w:t>
            </w:r>
          </w:p>
        </w:tc>
      </w:tr>
      <w:tr>
        <w:trPr>
          <w:trHeight w:val="270"/>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Spring Canyon III </w:t>
            </w:r>
            <w:r>
              <w:rPr>
                <w:rFonts w:ascii="Arial" w:cs="Arial" w:eastAsia="Arial" w:hAnsi="Arial"/>
                <w:sz w:val="21"/>
                <w:szCs w:val="21"/>
                <w:color w:val="auto"/>
                <w:vertAlign w:val="superscript"/>
              </w:rPr>
              <w:t>(c)</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2039</w:t>
            </w: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Thermal</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Thermal equivalent MWt</w:t>
            </w:r>
            <w:r>
              <w:rPr>
                <w:rFonts w:ascii="Arial" w:cs="Arial" w:eastAsia="Arial" w:hAnsi="Arial"/>
                <w:sz w:val="21"/>
                <w:szCs w:val="21"/>
                <w:color w:val="auto"/>
                <w:vertAlign w:val="superscript"/>
              </w:rPr>
              <w:t>(e)</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3"/>
                <w:szCs w:val="23"/>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Various</w:t>
            </w: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Thermal generation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Various</w:t>
            </w:r>
          </w:p>
        </w:tc>
      </w:tr>
      <w:tr>
        <w:trPr>
          <w:trHeight w:val="122"/>
        </w:trPr>
        <w:tc>
          <w:tcPr>
            <w:tcW w:w="4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Total net capacity (excluding equivalent MWt)</w:t>
            </w:r>
            <w:r>
              <w:rPr>
                <w:rFonts w:ascii="Arial" w:cs="Arial" w:eastAsia="Arial" w:hAnsi="Arial"/>
                <w:sz w:val="21"/>
                <w:szCs w:val="21"/>
                <w:color w:val="auto"/>
                <w:vertAlign w:val="superscript"/>
              </w:rPr>
              <w:t>(f)</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3,948</w:t>
            </w: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5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September 30, 2015.</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September 30, 2015, the Company acquired NRG's remaining 0.05% for an immaterial amount.</w:t>
      </w:r>
    </w:p>
    <w:p>
      <w:pPr>
        <w:spacing w:after="0" w:line="9" w:lineRule="exact"/>
        <w:rPr>
          <w:rFonts w:ascii="Arial" w:cs="Arial" w:eastAsia="Arial" w:hAnsi="Arial"/>
          <w:sz w:val="14"/>
          <w:szCs w:val="14"/>
          <w:color w:val="auto"/>
        </w:rPr>
      </w:pPr>
    </w:p>
    <w:p>
      <w:pPr>
        <w:ind w:left="200" w:hanging="192"/>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Projects are part of tax equity arrangements, as further described in Note 2, </w:t>
      </w:r>
      <w:r>
        <w:rPr>
          <w:rFonts w:ascii="Arial" w:cs="Arial" w:eastAsia="Arial" w:hAnsi="Arial"/>
          <w:sz w:val="14"/>
          <w:szCs w:val="14"/>
          <w:i w:val="1"/>
          <w:iCs w:val="1"/>
          <w:color w:val="auto"/>
        </w:rPr>
        <w:t>Summary of Significant Accounting Policies.</w:t>
      </w:r>
    </w:p>
    <w:p>
      <w:pPr>
        <w:spacing w:after="0" w:line="6"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PPA begins on January 1, 2016.</w:t>
      </w:r>
    </w:p>
    <w:p>
      <w:pPr>
        <w:spacing w:after="0" w:line="1" w:lineRule="exact"/>
        <w:rPr>
          <w:rFonts w:ascii="Arial" w:cs="Arial" w:eastAsia="Arial" w:hAnsi="Arial"/>
          <w:sz w:val="14"/>
          <w:szCs w:val="14"/>
          <w:color w:val="auto"/>
        </w:rPr>
      </w:pPr>
    </w:p>
    <w:p>
      <w:pPr>
        <w:ind w:right="20" w:firstLine="8"/>
        <w:spacing w:after="0" w:line="241" w:lineRule="auto"/>
        <w:tabs>
          <w:tab w:leader="none" w:pos="209"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left="180" w:hanging="172"/>
        <w:spacing w:after="0"/>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Total net capacity excludes capacity for RPV Holdco and DGPV Holdco, which are consolidated by NRG, as further described in Note 5, </w:t>
      </w:r>
      <w:r>
        <w:rPr>
          <w:rFonts w:ascii="Arial" w:cs="Arial" w:eastAsia="Arial" w:hAnsi="Arial"/>
          <w:sz w:val="14"/>
          <w:szCs w:val="14"/>
          <w:i w:val="1"/>
          <w:iCs w:val="1"/>
          <w:color w:val="auto"/>
        </w:rPr>
        <w:t>Variable Interest Entities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-732155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6" w:right="239" w:bottom="586" w:gutter="0" w:footer="0" w:header="0"/>
        </w:sectPr>
      </w:pPr>
    </w:p>
    <w:bookmarkStart w:id="12" w:name="page13"/>
    <w:bookmarkEnd w:id="12"/>
    <w:p>
      <w:pPr>
        <w:jc w:val="both"/>
        <w:ind w:firstLine="405"/>
        <w:spacing w:after="0" w:line="259" w:lineRule="auto"/>
        <w:rPr>
          <w:sz w:val="20"/>
          <w:szCs w:val="20"/>
          <w:color w:val="auto"/>
        </w:rPr>
      </w:pPr>
      <w:r>
        <w:rPr>
          <w:rFonts w:ascii="Arial" w:cs="Arial" w:eastAsia="Arial" w:hAnsi="Arial"/>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Three of the district energy systems are subject to rate regulation by state public utility commissions while the other district energy systems have rates determined by negotiated bilateral contracts.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entered into a management services agreement with NRG for various services, including human resources, accounting, tax, legal, information systems, treasury, and risk management. Costs incurred by the Company under this agreement were $8 million and $7 million for the nine months ended September 30, 2015, and 2014, respectively, which included certain direct expenses incurred by NRG on behalf of the Company.</w:t>
      </w:r>
    </w:p>
    <w:p>
      <w:pPr>
        <w:spacing w:after="0" w:line="11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January 2, 2015, the Company acquired the Laredo Ridge, Tapestry, and Walnut Creek projects, or the January 2015 Drop Down Assets, for total cash consideration of $489 million, including $9 million for working capital, plus assumed debt of $737 million. Additionally, on June 30, 2014, the Company acquired the TA High Desert, Kansas South, and El Segundo projects, or the June 2014 Drop Down Assets, from NRG for total cash consideration of $357 million plus assumed project level debt. These acquisitions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 The January 2015 Drop Down Assets are reflected as if the transfer took place on April 1, 2014, which represents the date these entities were acquired by NRG.</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the SEC’s regulations for interim financial information. Accordingly, they do not include all of the information and notes required by U.S. GAAP for complete financial statements. The following notes should be read in conjunction with the accounting policies and other disclosures as set forth in the notes to the Company's audited consolidated financial statements for the year ended December 31, 2014, included in the Company's Prospectus dated June 22, 2015. Interim results are not necessarily indicative of results for a full year.</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2015, and the results of operations, comprehensive income and cash flows for the nine months ended September 30, 2015, and 2014.</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These estimates and assumptions impact the reported amount of assets and liabilities and disclosures of contingent assets and liabilities as of the date of the consolidated financial statements. They also impact the reported amount of net earnings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solar energy systems under operating leases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U.S. GAAP. The investors’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33" w:right="239" w:bottom="1440" w:gutter="0" w:footer="0" w:header="0"/>
        </w:sectPr>
      </w:pPr>
    </w:p>
    <w:bookmarkStart w:id="13" w:name="page14"/>
    <w:bookmarkEnd w:id="13"/>
    <w:p>
      <w:pPr>
        <w:jc w:val="both"/>
        <w:spacing w:after="0" w:line="312" w:lineRule="auto"/>
        <w:rPr>
          <w:sz w:val="20"/>
          <w:szCs w:val="20"/>
          <w:color w:val="auto"/>
        </w:rPr>
      </w:pPr>
      <w:r>
        <w:rPr>
          <w:rFonts w:ascii="Arial" w:cs="Arial" w:eastAsia="Arial" w:hAnsi="Arial"/>
          <w:sz w:val="16"/>
          <w:szCs w:val="16"/>
          <w:color w:val="auto"/>
        </w:rPr>
        <w:t>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from noncontrolling interest for Alta Wind X-X1 TE Holdco</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24"/>
        </w:trPr>
        <w:tc>
          <w:tcPr>
            <w:tcW w:w="9820" w:type="dxa"/>
            <w:vAlign w:val="bottom"/>
          </w:tcPr>
          <w:p>
            <w:pPr>
              <w:ind w:left="280"/>
              <w:spacing w:after="0"/>
              <w:rPr>
                <w:sz w:val="20"/>
                <w:szCs w:val="20"/>
                <w:color w:val="auto"/>
              </w:rPr>
            </w:pPr>
            <w:r>
              <w:rPr>
                <w:rFonts w:ascii="Arial" w:cs="Arial" w:eastAsia="Arial" w:hAnsi="Arial"/>
                <w:sz w:val="16"/>
                <w:szCs w:val="16"/>
                <w:color w:val="auto"/>
              </w:rPr>
              <w:t>Noncontrolling interest acquired in Spring Canyon acquisition</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44"/>
        </w:trPr>
        <w:tc>
          <w:tcPr>
            <w:tcW w:w="9820" w:type="dxa"/>
            <w:vAlign w:val="bottom"/>
          </w:tcPr>
          <w:p>
            <w:pPr>
              <w:ind w:left="40"/>
              <w:spacing w:after="0"/>
              <w:rPr>
                <w:sz w:val="20"/>
                <w:szCs w:val="20"/>
                <w:color w:val="auto"/>
              </w:rPr>
            </w:pPr>
            <w:r>
              <w:rPr>
                <w:rFonts w:ascii="Arial" w:cs="Arial" w:eastAsia="Arial" w:hAnsi="Arial"/>
                <w:sz w:val="16"/>
                <w:szCs w:val="16"/>
                <w:color w:val="auto"/>
              </w:rPr>
              <w:t>Balance as of September 30, 2015</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30, 2015, Yield Operating LLC sold an economic interest in Alta Wind X-XI TE Holdco, holder of the Alta Wind X and Alta Wind XI projects, to a financial institution in order to monetize cash and tax attributes, primarily production tax credits. The net proceeds of $119 million are reflected as noncontrolling interest in the Company's balance sheet.</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 acquired Spring Canyon on May 7, 2015. The Company owns 90.1% of the Class B shares of Spring Canyon. The seller, Invenergy, owns the remaining 9.9% of the Class B shares and the Class A shares are owned by a tax equity investor. The interests of Invenergy and the tax equity investor of $74 million are shown as noncontrolling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2015</w:t>
            </w: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First Quarter 2015</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unit A, B</w:t>
            </w:r>
          </w:p>
        </w:tc>
        <w:tc>
          <w:tcPr>
            <w:tcW w:w="50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Distributions per unit C, D</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November 4, 2015, the Company announced the declaration of a distribution on its Class A, Class B, Class C and Class D units of $0.215 per unit payable on December 15, 2015 to unit holders of record as of December 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ASU 2015-16 </w:t>
      </w:r>
      <w:r>
        <w:rPr>
          <w:rFonts w:ascii="Arial" w:cs="Arial" w:eastAsia="Arial" w:hAnsi="Arial"/>
          <w:sz w:val="16"/>
          <w:szCs w:val="16"/>
          <w:color w:val="auto"/>
        </w:rPr>
        <w:t>— In September 2015, the FASB issued ASU No. 2015-16,</w:t>
      </w:r>
      <w:r>
        <w:rPr>
          <w:rFonts w:ascii="Arial" w:cs="Arial" w:eastAsia="Arial" w:hAnsi="Arial"/>
          <w:sz w:val="16"/>
          <w:szCs w:val="16"/>
          <w:i w:val="1"/>
          <w:iCs w:val="1"/>
          <w:color w:val="auto"/>
        </w:rPr>
        <w:t xml:space="preserve"> Business Combinations (Topic 805): Simplifying the Accounting for Measurement-Period Adjustments</w:t>
      </w:r>
      <w:r>
        <w:rPr>
          <w:rFonts w:ascii="Arial" w:cs="Arial" w:eastAsia="Arial" w:hAnsi="Arial"/>
          <w:sz w:val="16"/>
          <w:szCs w:val="16"/>
          <w:color w:val="auto"/>
        </w:rPr>
        <w:t>, or ASU No. 2015-16. The amendments of ASU No. 2015-16 require that an acquirer recognize measurement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the provisional amounts recognized in a business combination in the reporting period during which the adjustments are determined. Additionally, the amendments of ASU No. 2015-16 require the acquirer to record in the same period's financial statements the effect on earnings of changes in depreciation, amortization or other income effects, if any, as a result of the measurement period adjustment, calculated as if the accounting had been completed at the acquisition date as well as disclosing on either the face of the income statement or in the notes the portion of the amount recorded in current period earnings that would have been recorded in previous reporting periods. The guidance in ASU No. 2015-16 is effective for financial statements issued for fiscal years beginning after December 15, 2015, and interim periods within those fiscal years. The amendments should be applied prospectively. The adoption of this standard is not expected to have a material impact on the Company's results of operations, cash flows or financial position.</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ASU 2015-03 and ASU 2015-15 </w:t>
      </w:r>
      <w:r>
        <w:rPr>
          <w:rFonts w:ascii="Arial" w:cs="Arial" w:eastAsia="Arial" w:hAnsi="Arial"/>
          <w:sz w:val="18"/>
          <w:szCs w:val="18"/>
          <w:color w:val="auto"/>
        </w:rPr>
        <w:t>— In April 2015, the FASB issued ASU No. 2015-03,</w:t>
      </w:r>
      <w:r>
        <w:rPr>
          <w:rFonts w:ascii="Arial" w:cs="Arial" w:eastAsia="Arial" w:hAnsi="Arial"/>
          <w:sz w:val="18"/>
          <w:szCs w:val="18"/>
          <w:i w:val="1"/>
          <w:iCs w:val="1"/>
          <w:color w:val="auto"/>
        </w:rPr>
        <w:t xml:space="preserve"> Interest - Imputation of Interest (Subtopic 835-30): Simplifying the Presentation of Debt Issuance Costs</w:t>
      </w:r>
      <w:r>
        <w:rPr>
          <w:rFonts w:ascii="Arial" w:cs="Arial" w:eastAsia="Arial" w:hAnsi="Arial"/>
          <w:sz w:val="18"/>
          <w:szCs w:val="18"/>
          <w:color w:val="auto"/>
        </w:rPr>
        <w:t>, or ASU No. 2015-03. The amendments of ASU No. 2015-03 were issued to reduce complexity in the 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debt issuance costs. ASU No. 2015-03 requires that debt issuance costs be presented in the balance sheet as a direct deduction from the carrying amount of debt liability, consistent with debt discounts or premiums. The recognition and measurement guidance for debt issuance costs are not affected by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6" w:right="239" w:bottom="1440" w:gutter="0" w:footer="0" w:header="0"/>
        </w:sectPr>
      </w:pPr>
    </w:p>
    <w:bookmarkStart w:id="14" w:name="page15"/>
    <w:bookmarkEnd w:id="14"/>
    <w:p>
      <w:pPr>
        <w:jc w:val="both"/>
        <w:spacing w:after="0" w:line="270" w:lineRule="auto"/>
        <w:rPr>
          <w:sz w:val="20"/>
          <w:szCs w:val="20"/>
          <w:color w:val="auto"/>
        </w:rPr>
      </w:pPr>
      <w:r>
        <w:rPr>
          <w:rFonts w:ascii="Arial" w:cs="Arial" w:eastAsia="Arial" w:hAnsi="Arial"/>
          <w:sz w:val="17"/>
          <w:szCs w:val="17"/>
          <w:color w:val="auto"/>
        </w:rPr>
        <w:t xml:space="preserve">amendments in this standard. Additionally, in August 2015, the FASB issued ASU No. 2015-15, </w:t>
      </w:r>
      <w:r>
        <w:rPr>
          <w:rFonts w:ascii="Arial" w:cs="Arial" w:eastAsia="Arial" w:hAnsi="Arial"/>
          <w:sz w:val="17"/>
          <w:szCs w:val="17"/>
          <w:i w:val="1"/>
          <w:iCs w:val="1"/>
          <w:color w:val="auto"/>
        </w:rPr>
        <w:t>Interest - Imputation of Interest (Subtopic 835-30):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and Subsequent Measurement of Debt Issuance Costs Associated with Line-of-Credit Arrangements, </w:t>
      </w:r>
      <w:r>
        <w:rPr>
          <w:rFonts w:ascii="Arial" w:cs="Arial" w:eastAsia="Arial" w:hAnsi="Arial"/>
          <w:sz w:val="17"/>
          <w:szCs w:val="17"/>
          <w:color w:val="auto"/>
        </w:rPr>
        <w:t>or ASU No. 2015-15, as ASU No. 2015-03</w:t>
      </w:r>
      <w:r>
        <w:rPr>
          <w:rFonts w:ascii="Arial" w:cs="Arial" w:eastAsia="Arial" w:hAnsi="Arial"/>
          <w:sz w:val="17"/>
          <w:szCs w:val="17"/>
          <w:i w:val="1"/>
          <w:iCs w:val="1"/>
          <w:color w:val="auto"/>
        </w:rPr>
        <w:t xml:space="preserve"> </w:t>
      </w:r>
      <w:r>
        <w:rPr>
          <w:rFonts w:ascii="Arial" w:cs="Arial" w:eastAsia="Arial" w:hAnsi="Arial"/>
          <w:sz w:val="17"/>
          <w:szCs w:val="17"/>
          <w:color w:val="auto"/>
        </w:rPr>
        <w:t>did not specifically address presentation or subsequent measurement of debt issuance costs related to line-of-credit arrangements. ASU No. 2015-15 allows an entity to continue to defer and present debt issuance costs ratably over the term of the line-of-credit arrangement, regardless of whether there are any outstanding borrowings on the line-of-credit arrangement. The guidance in ASU No. 2015-03 and ASU No. 2015-15 is effective for financial statements issued for fiscal years beginning after December 15, 2015, and interim periods within those fiscal years. Early adoption is permitted for financial statements that have not been previously issued. Had the Company adopted this guidance early, other assets would have been lower by $54 million and $61 million with corresponding decreases in debt as of September 30, 2015, and December 31, 2014, respectively. The adoption of this standard will have no impact on the Company's results of operations, cash flows or net assets.</w:t>
      </w:r>
    </w:p>
    <w:p>
      <w:pPr>
        <w:spacing w:after="0" w:line="18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ASU 2015-02 </w:t>
      </w:r>
      <w:r>
        <w:rPr>
          <w:rFonts w:ascii="Arial" w:cs="Arial" w:eastAsia="Arial" w:hAnsi="Arial"/>
          <w:sz w:val="18"/>
          <w:szCs w:val="18"/>
          <w:color w:val="auto"/>
        </w:rPr>
        <w:t>— In February 2015, the FASB issued ASU No. 2015-02,</w:t>
      </w:r>
      <w:r>
        <w:rPr>
          <w:rFonts w:ascii="Arial" w:cs="Arial" w:eastAsia="Arial" w:hAnsi="Arial"/>
          <w:sz w:val="18"/>
          <w:szCs w:val="18"/>
          <w:i w:val="1"/>
          <w:iCs w:val="1"/>
          <w:color w:val="auto"/>
        </w:rPr>
        <w:t xml:space="preserve"> Consolidation (Topic 810): Amendments to the Consolidation Analysis</w:t>
      </w:r>
      <w:r>
        <w:rPr>
          <w:rFonts w:ascii="Arial" w:cs="Arial" w:eastAsia="Arial" w:hAnsi="Arial"/>
          <w:sz w:val="18"/>
          <w:szCs w:val="18"/>
          <w:color w:val="auto"/>
        </w:rPr>
        <w:t>, or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2015-02. The amendments of ASU No. 2015-02 were issued in an effort to minimize situations under previously existing guidance in which a reporting entity was required to consolidate another legal entity in which that reporting entity did not have: (1) the ability through contractual rights to act primarily on its own behalf; (2) ownership of the majority of the legal entity's voting rights; or (3) the exposure to a majority of the legal entity's economic benefits. ASU No. 2015-02 affects reporting entities that are required to evaluate whether they should consolidate certain legal entities. All legal entities are subject to reevaluation under the revised consolidation model. The guidance in ASU No. 2015-02 is effective for periods beginning after December 15, 2015. Early adoption is permitted. The Company adopted the standard effective January 1, 2015 and the adoption of this standard did not impact the Company's results of operations, cash flows or financial position.</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ASU 2014-16 </w:t>
      </w:r>
      <w:r>
        <w:rPr>
          <w:rFonts w:ascii="Arial" w:cs="Arial" w:eastAsia="Arial" w:hAnsi="Arial"/>
          <w:sz w:val="18"/>
          <w:szCs w:val="18"/>
          <w:color w:val="auto"/>
        </w:rPr>
        <w:t>— In November 2014, the FASB issued ASU No. 2014-16,</w:t>
      </w:r>
      <w:r>
        <w:rPr>
          <w:rFonts w:ascii="Arial" w:cs="Arial" w:eastAsia="Arial" w:hAnsi="Arial"/>
          <w:sz w:val="18"/>
          <w:szCs w:val="18"/>
          <w:i w:val="1"/>
          <w:iCs w:val="1"/>
          <w:color w:val="auto"/>
        </w:rPr>
        <w:t xml:space="preserve"> Derivatives and Hedging (Topic 815): Determining Whether the Host Contract in a Hybrid Financial Instrument Issued in the Form of a Share Is More Akin to Debt or to Equity</w:t>
      </w:r>
      <w:r>
        <w:rPr>
          <w:rFonts w:ascii="Arial" w:cs="Arial" w:eastAsia="Arial" w:hAnsi="Arial"/>
          <w:sz w:val="18"/>
          <w:szCs w:val="18"/>
          <w:color w:val="auto"/>
        </w:rPr>
        <w:t>, or ASU No. 2014-16. The amendments of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2014-16 clarify how U.S. GAAP should be applied in determining whether the nature of a host contract is more akin to debt or equity and in evaluating whether the economic characteristics and risks of an embedded feature are "clearly and closely related" to its host contract. The guidance in ASU No. 2014-16 is effective for fiscal years, and interim periods within those fiscal years, beginning after December 15, 2015. Early adoption is permitted. The Company adopted the standard effective January 1, 2015 and the adoption of this standard did not impact the Company's results of operations, cash flows or financial position.</w:t>
      </w:r>
    </w:p>
    <w:p>
      <w:pPr>
        <w:spacing w:after="0" w:line="18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ASU 2014-09 </w:t>
      </w:r>
      <w:r>
        <w:rPr>
          <w:rFonts w:ascii="Arial" w:cs="Arial" w:eastAsia="Arial" w:hAnsi="Arial"/>
          <w:sz w:val="17"/>
          <w:szCs w:val="17"/>
          <w:color w:val="auto"/>
        </w:rPr>
        <w:t>— In May 2014, the FASB issued ASU No.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or ASU No. 2014-09.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of ASU No. 2014-09 complete the joint effort between the FASB and the International Accounting Standards Board, or IASB, to develop a common revenue standard for U.S. GAAP and International Financial Reporting Standards, or IFRS, and to improve financial reporting. The guidance in ASU No. 2014-09 provides that an entity should recognize revenue to depict the transfer of goods or services to customers in an amount that reflects the consideration to which the entity expects to be entitled to in exchange for the goods or services provided and establishes the following steps to be applied by an entity: (1) identify the contract with a customer; (2) identify the performance obligations in the contract; (3) determine the transaction price; (4) allocate the transaction price to the performance obligations in the contract; and (5) recognize revenue when (or as) the entity satisfies the performance obligation. In August 2015, the FASB issued ASU 2015-14, which formally deferred the effective date by one year to make the guidance of ASU No. 2014-09 effective for annual reporting periods beginning after December 15, 2017, including interim periods therein. Early adoption is permitted, but not prior to the original effective date, which was for annual reporting periods beginning after December 15, 2016. The Company is currently evaluating the impact of the standard on the Company's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2015 Drop Down Assets from NRG</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3, 2015, the Company acquired 75% of the Class B interests of NRG Wind TE Holdco, or the November 2015 Drop Down Assets, which owns a portfolio of 12 wind facilities totaling 814 net MW, from NRG for total cash consideration of $210 million, subject to working capital adjustments. The Company will be responsible for its pro-rata share of non-recourse project debt of $193 million and noncontrolling interest associated with a tax equity structure of $165 million (as of September 30,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jc w:val="both"/>
        <w:ind w:firstLine="405"/>
        <w:spacing w:after="0" w:line="276" w:lineRule="auto"/>
        <w:rPr>
          <w:sz w:val="20"/>
          <w:szCs w:val="20"/>
          <w:color w:val="auto"/>
        </w:rPr>
      </w:pPr>
      <w:r>
        <w:rPr>
          <w:rFonts w:ascii="Arial" w:cs="Arial" w:eastAsia="Arial" w:hAnsi="Arial"/>
          <w:sz w:val="17"/>
          <w:szCs w:val="17"/>
          <w:color w:val="auto"/>
        </w:rPr>
        <w:t xml:space="preserve">The Company funded the acquisition with borrowings from the revolving credit facility. 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entities' equity was recorded as a distribution to NRG and reduced the balance of its contributed capital.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Class A interests of NRG Wind TE Holdco are owned by a tax equity investor, or Investor, who receives 99% of allocations of taxable income and other items until the flip point, which occurs when the Investor obtains a specified return on its initial investment, at which time the allocations to the Investor change to 8.53%. The Company generally receives 75% of cash available for distribution until the flip point, at which time the allocations to the Company of cash available for distribution change to 68.60%. If the flip point has not occurred by a specified date, 100% of cash available for distribution is allocated to the Investor until the flip point occurs. NRG Wind TE Holdco is a VIE and the Company is the primary beneficiary, through its position as managing member, and consolidates NRG Wind TE Holdco.</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September 30, 2015:</w:t>
      </w: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NRG Wind TE Holdco</w:t>
            </w:r>
          </w:p>
        </w:tc>
      </w:tr>
      <w:tr>
        <w:trPr>
          <w:trHeight w:val="250"/>
        </w:trPr>
        <w:tc>
          <w:tcPr>
            <w:tcW w:w="6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57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673</w:t>
            </w: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37"/>
        </w:trPr>
        <w:tc>
          <w:tcPr>
            <w:tcW w:w="67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886</w:t>
            </w:r>
          </w:p>
        </w:tc>
      </w:tr>
      <w:tr>
        <w:trPr>
          <w:trHeight w:val="27"/>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99"/>
        </w:trPr>
        <w:tc>
          <w:tcPr>
            <w:tcW w:w="6720" w:type="dxa"/>
            <w:vAlign w:val="bottom"/>
          </w:tcPr>
          <w:p>
            <w:pPr>
              <w:ind w:left="2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24"/>
                <w:szCs w:val="24"/>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193</w:t>
            </w: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r>
      <w:tr>
        <w:trPr>
          <w:trHeight w:val="237"/>
        </w:trPr>
        <w:tc>
          <w:tcPr>
            <w:tcW w:w="67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226</w:t>
            </w:r>
          </w:p>
        </w:tc>
      </w:tr>
      <w:tr>
        <w:trPr>
          <w:trHeight w:val="27"/>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noncontrolling interest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r>
      <w:tr>
        <w:trPr>
          <w:trHeight w:val="257"/>
        </w:trPr>
        <w:tc>
          <w:tcPr>
            <w:tcW w:w="672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371</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Supplemental Pro Forma Information</w:t>
      </w:r>
    </w:p>
    <w:p>
      <w:pPr>
        <w:spacing w:after="0" w:line="229"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As described above, the Company's acquisition of the November 2015 Drop Down Assets was accounted for as a transfer of entities under common control. The following unaudited supplemental pro forma information represents the results of operations as if the Company had acquired the November 2015 Drop Down Assets on January 1, 2014, including the impact of acquisition accounting with respect to NRG's acquisition of the projects.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Borders>
              <w:bottom w:val="single" w:sz="8" w:color="auto"/>
            </w:tcBorders>
          </w:tcPr>
          <w:p>
            <w:pPr>
              <w:spacing w:after="0"/>
              <w:rPr>
                <w:sz w:val="16"/>
                <w:szCs w:val="16"/>
                <w:color w:val="auto"/>
              </w:rPr>
            </w:pPr>
          </w:p>
        </w:tc>
      </w:tr>
      <w:tr>
        <w:trPr>
          <w:trHeight w:val="26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3"/>
              </w:rPr>
              <w:t>September 30, 2015</w:t>
            </w: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2014</w:t>
            </w:r>
          </w:p>
        </w:tc>
        <w:tc>
          <w:tcPr>
            <w:tcW w:w="15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September 30, 2015</w:t>
            </w: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2014</w:t>
            </w:r>
          </w:p>
        </w:tc>
      </w:tr>
      <w:tr>
        <w:trPr>
          <w:trHeight w:val="135"/>
        </w:trPr>
        <w:tc>
          <w:tcPr>
            <w:tcW w:w="3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225</w:t>
            </w:r>
          </w:p>
        </w:tc>
        <w:tc>
          <w:tcPr>
            <w:tcW w:w="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660</w:t>
            </w:r>
          </w:p>
        </w:tc>
        <w:tc>
          <w:tcPr>
            <w:tcW w:w="10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57</w:t>
            </w:r>
          </w:p>
        </w:tc>
        <w:tc>
          <w:tcPr>
            <w:tcW w:w="10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96</w:t>
            </w:r>
          </w:p>
        </w:tc>
      </w:tr>
    </w:tbl>
    <w:p>
      <w:pPr>
        <w:spacing w:after="0" w:line="11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29, 2015, the Company acquired 25% of the membership interest in Desert Sunlight Investment Holdings,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two solar photovoltaic facilities that total 550 MW, located in 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18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Spring Canyon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7, 2015, the Company acquired a 90.1% interest in Spring Canyon II, a 34 MW wind facility, and Spring Canyon III, a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each located in Logan County, Colorado, from Invenergy Wind Global LLC. The purchase price was funded with cash on hand. Power generated by Spring Canyon II and Spring Canyon III is sold to Platte River Power Authority under long-term PPAs with approximately 24 years of remaining contract life.</w:t>
      </w:r>
    </w:p>
    <w:p>
      <w:pPr>
        <w:spacing w:after="0" w:line="18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i w:val="1"/>
          <w:iCs w:val="1"/>
          <w:color w:val="auto"/>
        </w:rPr>
        <w:t xml:space="preserve">University of Bridgeport Fuel Cell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30, 2015, the Company completed the acquisition of the University of Bridgeport Fuel Cell project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Bridgeport, Connecticut from FuelCell Energy, Inc. The project added an additional 1.4 MW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6"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thermal capacity to the Company's portfolio, with a 12 years contract, with the option for a 7-year extension. The acquisition is reflected in the Company's Thermal segment.</w:t>
      </w:r>
    </w:p>
    <w:p>
      <w:pPr>
        <w:spacing w:after="0" w:line="16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b w:val="1"/>
          <w:bCs w:val="1"/>
          <w:i w:val="1"/>
          <w:iCs w:val="1"/>
          <w:color w:val="auto"/>
        </w:rPr>
        <w:t xml:space="preserve">January 2015 Drop Down Assets from NRG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January 2, 2015, the Company acquired the following projects from NRG: (i) Laredo Ridge, an 80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MW wind facility located in Petersburg, Nebraska, (ii) Tapestry, which includes Buffalo Bear, a 19 MW wind facility in Buffalo, Oklahoma; Taloga, a 130 MW wind facility in Putnum,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 Related Issues</w:t>
      </w:r>
      <w:r>
        <w:rPr>
          <w:rFonts w:ascii="Arial" w:cs="Arial" w:eastAsia="Arial" w:hAnsi="Arial"/>
          <w:sz w:val="16"/>
          <w:szCs w:val="16"/>
          <w:color w:val="auto"/>
        </w:rPr>
        <w:t>. The difference between the cash paid and the historical value of the entities' equity of $61 million, as well as $23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AOCL, was recorded as a distribution to NRG and reduced the balance of its contributed capital. Since the transaction constituted a transfer of assets under common control, the guidance requires retrospective combination of the entities for all periods presented as if the combination has been in effect since the inception of common control. NRG acquired the majority of EME's assets, including Laredo Ridge, Tapestry and Walnut Creek, on April 1, 2014.</w:t>
      </w:r>
    </w:p>
    <w:p>
      <w:pPr>
        <w:spacing w:after="0" w:line="16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The following table presents the historical information summary combining the financial information for the January 2015 Drop Down Assets transferred in connection with the acquisition:</w:t>
      </w:r>
    </w:p>
    <w:p>
      <w:pPr>
        <w:spacing w:after="0" w:line="347"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6"/>
          </w:tcPr>
          <w:p>
            <w:pPr>
              <w:ind w:left="740"/>
              <w:spacing w:after="0"/>
              <w:rPr>
                <w:sz w:val="20"/>
                <w:szCs w:val="20"/>
                <w:color w:val="auto"/>
              </w:rPr>
            </w:pPr>
            <w:r>
              <w:rPr>
                <w:rFonts w:ascii="Arial" w:cs="Arial" w:eastAsia="Arial" w:hAnsi="Arial"/>
                <w:sz w:val="16"/>
                <w:szCs w:val="16"/>
                <w:b w:val="1"/>
                <w:bCs w:val="1"/>
                <w:color w:val="auto"/>
                <w:w w:val="88"/>
              </w:rPr>
              <w:t>December 31, 2014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52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09"/>
        </w:trPr>
        <w:tc>
          <w:tcPr>
            <w:tcW w:w="352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As Previously</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Walnut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Laredo</w:t>
            </w: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As Currently</w:t>
            </w:r>
          </w:p>
        </w:tc>
      </w:t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Reported</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Creek</w:t>
            </w:r>
          </w:p>
        </w:tc>
        <w:tc>
          <w:tcPr>
            <w:tcW w:w="14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Tapestry</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Ridge</w:t>
            </w:r>
          </w:p>
        </w:tc>
        <w:tc>
          <w:tcPr>
            <w:tcW w:w="1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Reported</w:t>
            </w: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(In millions)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37"/>
        </w:trPr>
        <w:tc>
          <w:tcPr>
            <w:tcW w:w="35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4,466</w:t>
            </w:r>
          </w:p>
        </w:tc>
      </w:tr>
      <w:tr>
        <w:trPr>
          <w:trHeight w:val="3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r>
      <w:tr>
        <w:trPr>
          <w:trHeight w:val="217"/>
        </w:trPr>
        <w:tc>
          <w:tcPr>
            <w:tcW w:w="352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5,613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6,826</w:t>
            </w: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6"/>
        </w:trPr>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43"/>
        </w:trPr>
        <w:tc>
          <w:tcPr>
            <w:tcW w:w="3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4,798</w:t>
            </w:r>
          </w:p>
        </w:tc>
      </w:tr>
      <w:tr>
        <w:trPr>
          <w:trHeight w:val="3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7"/>
        </w:trPr>
        <w:tc>
          <w:tcPr>
            <w:tcW w:w="35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5,090</w:t>
            </w:r>
          </w:p>
        </w:tc>
      </w:tr>
      <w:tr>
        <w:trPr>
          <w:trHeight w:val="33"/>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Supplemental Pro Forma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described above, the Company's acquisition of the January 2015 Drop Down Assets was accounted for as a transfer of entities under common control and all periods were retrospectively adjusted to reflect the entities as if they were transferred on the date the entities were under common control, which was April 1, 2014, the date NRG acquired Walnut Creek, Laredo Ridge and Tapestry. The following unaudited supplemental pro forma information represents the results of operations as if the Company had acquired the January 2015 Drop Down Assets on January 1, 2014, including the impact of acquisition accounting with respect to NRG's acquisition of the projects.</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0"/>
              </w:rPr>
              <w:t>For the nine months ended</w:t>
            </w:r>
          </w:p>
        </w:tc>
      </w:tr>
      <w:tr>
        <w:trPr>
          <w:trHeight w:val="264"/>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September 30, 2014</w:t>
            </w:r>
          </w:p>
        </w:tc>
      </w:tr>
      <w:tr>
        <w:trPr>
          <w:trHeight w:val="135"/>
        </w:trPr>
        <w:tc>
          <w:tcPr>
            <w:tcW w:w="5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Since the acquisition date, the January 2015 Drop Down Assets contributed $106 million in operating revenues and $31 million in net income.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2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i w:val="1"/>
          <w:iCs w:val="1"/>
          <w:color w:val="auto"/>
        </w:rPr>
        <w:t xml:space="preserve">Alta Wind Portfolio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12, 2014, the Company acquired 100% of the membership interests of Alta Wind Asset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Holdings, LLC, Alta Wind Company, LLC, Alta Wind X Holding Company, LLC and Alta Wind XI Holding Company, LLC, which collectively own seven wind facilities that total 947 MW located in Tehachapi, California and a portfolio of associated land leases, or the Alta Wind Portfolio. Power generated by the Alta Wind Portfolio is sold to Southern California Edison under long-term PPAs, with 21 years of remaining contract life for Alta Wind I-V. The Alta Wind X and XI PPAs begin in 2016 with a term of 22 years and currently sell energy and renewable energy credits on a merchant basis.</w:t>
      </w:r>
    </w:p>
    <w:p>
      <w:pPr>
        <w:spacing w:after="0" w:line="11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price for the Alta Wind Portfolio was $923 million, which consisted of a base purchase price of $870 million, as well as a payment for working capital of $53 million, plus the assumption of $1.6 billion of non-recourse project-level debt. In order to fund the purchase price, Yield, Inc. completed an equity offering of 12,075,000 shares of its Class A common stock at an offering price of $54.00 per share on July 29, 2014, which resulted in net proceeds of $630 million, after underwriting discounts and expenses. In addition, on August 5, 2014, Yield Operating LLC issued $500 million of Senior Notes, which bear interest at a rate of 5.375% and mature in August 2024.</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acquisition was recorded as a business combination under ASC 805-50, with identifiable assets acquired and liabilities assumed provisionally recorded at their estimated fair values on the acquisition date. The accounting for the business combination was completed as of August 11, 2015, at which point the fair values became final. The following table summarizes the provisional amounts recognized for assets acquired and liabilities assumed as of December 31, 2014, as well as adjustments made through August 11, 2015, when the allocation became final.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purchase price of $923 million was allocated as follows:</w:t>
      </w:r>
    </w:p>
    <w:p>
      <w:pPr>
        <w:spacing w:after="0" w:line="31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Acquisition Date Fair</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Measurement period</w:t>
            </w:r>
          </w:p>
        </w:tc>
        <w:tc>
          <w:tcPr>
            <w:tcW w:w="120" w:type="dxa"/>
            <w:vAlign w:val="bottom"/>
          </w:tcPr>
          <w:p>
            <w:pPr>
              <w:spacing w:after="0"/>
              <w:rPr>
                <w:sz w:val="14"/>
                <w:szCs w:val="14"/>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Revised Acquisition</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Value at December 31,</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Current and non-current assets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and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fair values of the property, plant and equipment and intangible assets were measured primarily based on significant inputs that are not observable in the market and thus represent a Level 3 measurement as defined in ASC 820. Significant inputs were as follows:</w:t>
      </w:r>
    </w:p>
    <w:p>
      <w:pPr>
        <w:spacing w:after="0" w:line="166" w:lineRule="exact"/>
        <w:rPr>
          <w:sz w:val="20"/>
          <w:szCs w:val="20"/>
          <w:color w:val="auto"/>
        </w:rPr>
      </w:pPr>
    </w:p>
    <w:p>
      <w:pPr>
        <w:jc w:val="both"/>
        <w:ind w:left="660" w:hanging="328"/>
        <w:spacing w:after="0" w:line="295" w:lineRule="auto"/>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values were determined primarily based on an income method using discounted cash flows and validated</w:t>
      </w:r>
      <w:r>
        <w:rPr>
          <w:rFonts w:ascii="Arial" w:cs="Arial" w:eastAsia="Arial" w:hAnsi="Arial"/>
          <w:sz w:val="16"/>
          <w:szCs w:val="16"/>
          <w:i w:val="1"/>
          <w:iCs w:val="1"/>
          <w:color w:val="auto"/>
        </w:rPr>
        <w:t xml:space="preserve"> </w:t>
      </w:r>
      <w:r>
        <w:rPr>
          <w:rFonts w:ascii="Arial" w:cs="Arial" w:eastAsia="Arial" w:hAnsi="Arial"/>
          <w:sz w:val="16"/>
          <w:szCs w:val="16"/>
          <w:color w:val="auto"/>
        </w:rPr>
        <w:t>using a cost approach based on the replacement cost of the assets less economic obsolescence. The income approach was applied by determining the enterprise value for each acquired entity and subtracting the fair value of the intangible assets and working capital to determine the implied value of the tangible fixed assets. This methodology was primarily relied upon as the forecasted cash flows incorporate the specific attributes of each asset including age, useful life, equipment condition and technology. The income approach also allows for an accurate reflection of current and expected market dynamics such as supply and demand and regulatory environment as of the acquisition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18" w:name="page19"/>
    <w:bookmarkEnd w:id="18"/>
    <w:p>
      <w:pPr>
        <w:jc w:val="both"/>
        <w:ind w:left="660" w:hanging="328"/>
        <w:spacing w:after="0" w:line="261"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Intangible Assets - PPAs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PPAs acquired were determined utilizing a variation of the income approach where the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resulting from the acquired PPAs compared to the cash flows based on current market prices were discounted to present value at a weighted average cost of capital reflective of a market participant. The values were corroborated with available market data. The PPA values will be amortized over the term of the PPAs, which approximate 22 years.</w:t>
      </w:r>
    </w:p>
    <w:p>
      <w:pPr>
        <w:spacing w:after="0" w:line="180" w:lineRule="exact"/>
        <w:rPr>
          <w:rFonts w:ascii="Arial" w:cs="Arial" w:eastAsia="Arial" w:hAnsi="Arial"/>
          <w:sz w:val="18"/>
          <w:szCs w:val="18"/>
          <w:i w:val="1"/>
          <w:iCs w:val="1"/>
          <w:color w:val="auto"/>
        </w:rPr>
      </w:pPr>
    </w:p>
    <w:p>
      <w:pPr>
        <w:jc w:val="both"/>
        <w:ind w:left="660" w:hanging="328"/>
        <w:spacing w:after="0" w:line="261"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Intangible Assets - Leasehold rights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leasehold rights acquired, which represent the contractual right to receive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equal to a percentage of PPA revenue from certain projects, were determined utilizing the income approach. The values were corroborated with available market data. The leasehold rights values will be amortized over a period of 21 years, which is equal to the average term of the contracts.</w:t>
      </w:r>
    </w:p>
    <w:p>
      <w:pPr>
        <w:spacing w:after="0" w:line="1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b w:val="1"/>
          <w:bCs w:val="1"/>
          <w:i w:val="1"/>
          <w:iCs w:val="1"/>
          <w:color w:val="auto"/>
        </w:rPr>
        <w:t xml:space="preserve">June 2014 Drop Down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June 30, 2014, the Company acquired from NRG: (i) El Segundo, a 550 MW fast-start, gas-fired facility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 Angeles County, California; (ii) TA High Desert, a 20 MW solar facility located in Los Angeles County, California; and (iii) Kansas South, a 20 MW solar facility located in Kings County, California. The Company paid total cash consideration of $357 million, which represents a base purchase price of $349 million and $8 million of working capital adjustments. In addition, the acquisition included the assumption of $612 million of project-level debt. The assets and liabilities transferred to the Company relate to interests under common control by NRG and were recorded at historical cost in accordance with ASC 805-</w:t>
      </w:r>
    </w:p>
    <w:p>
      <w:pPr>
        <w:spacing w:after="0" w:line="2" w:lineRule="exact"/>
        <w:rPr>
          <w:sz w:val="20"/>
          <w:szCs w:val="20"/>
          <w:color w:val="auto"/>
        </w:rPr>
      </w:pPr>
    </w:p>
    <w:p>
      <w:pPr>
        <w:jc w:val="both"/>
        <w:ind w:firstLine="8"/>
        <w:spacing w:after="0" w:line="273"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difference between the cash proceeds and the historical value of the net assets was recorded as a distribution to NRG and reduced the balance of its contributed capital. Since the transaction constituted a transfer of entities under common control, the guidance requires retrospective combination of the entities for all periods presented as if the combination has been in effect since the inception of common control. Accordingly, the Company prepared its consolidated financial statements to reflect the transfer as if it had taken place from the beginning of the financial statements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Depreciable Lives</w:t>
            </w:r>
          </w:p>
        </w:tc>
      </w:tr>
      <w:tr>
        <w:trPr>
          <w:trHeight w:val="264"/>
        </w:trPr>
        <w:tc>
          <w:tcPr>
            <w:tcW w:w="4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400" w:type="dxa"/>
            <w:vAlign w:val="bottom"/>
            <w:gridSpan w:val="3"/>
          </w:tcPr>
          <w:p>
            <w:pPr>
              <w:jc w:val="right"/>
              <w:ind w:right="133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equipment</w:t>
            </w:r>
          </w:p>
        </w:tc>
        <w:tc>
          <w:tcPr>
            <w:tcW w:w="1760" w:type="dxa"/>
            <w:vAlign w:val="bottom"/>
            <w:tcBorders>
              <w:bottom w:val="single" w:sz="8" w:color="CCEEFF"/>
            </w:tcBorders>
            <w:shd w:val="clear" w:color="auto" w:fill="CCEEFF"/>
          </w:tcPr>
          <w:p>
            <w:pPr>
              <w:jc w:val="right"/>
              <w:ind w:right="15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4,837</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4,709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2 - 40 Years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7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7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3"/>
              </w:rPr>
              <w:t>4,933</w:t>
            </w: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4,804</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1760" w:type="dxa"/>
            <w:vAlign w:val="bottom"/>
            <w:tcBorders>
              <w:top w:val="single" w:sz="8" w:color="auto"/>
              <w:bottom w:val="single" w:sz="8" w:color="auto"/>
            </w:tcBorders>
          </w:tcPr>
          <w:p>
            <w:pPr>
              <w:jc w:val="right"/>
              <w:ind w:right="15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4,434</w:t>
            </w:r>
          </w:p>
        </w:tc>
        <w:tc>
          <w:tcPr>
            <w:tcW w:w="10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ind w:right="15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4,466</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 that is Consolidated</w:t>
      </w:r>
    </w:p>
    <w:p>
      <w:pPr>
        <w:spacing w:after="0" w:line="16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b w:val="1"/>
          <w:bCs w:val="1"/>
          <w:i w:val="1"/>
          <w:iCs w:val="1"/>
          <w:color w:val="auto"/>
        </w:rPr>
        <w:t xml:space="preserve">Alta TE Holdco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30, 2015, the Company sold an economic interest in Alta TE Holdco to a financial institution in order to monetize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and tax attributes, primarily production tax credits. The financial institution, or Investor, receives 99% of allocations of taxable income and other items until the flip point, which occurs when the Investor obtains a specified return on its initial investment, at which time the allocations to the Investor change to 5%. The Company receives 100% of cash available for distribution in the first year and subsequently receives 94.34% until the flip point, at which time the allocations to the Company of cash available for distribution change to 97.12%, unless the flip point has not occurred by a specified date, which would result in 100% of cash available for distribution allocated to the Investor until the flip point occurs. Alta TE Holdco is a VIE and the Company is the primary beneficiary, through its position as managing member, and therefore consolidates Alta TE Holdco. The net proceeds of $119 million are reflected as noncontrolling interest in the Company's balance sheet.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2"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summarized financial information for Alta TE Holdco consisted of the following:</w:t>
      </w:r>
    </w:p>
    <w:p>
      <w:pPr>
        <w:spacing w:after="0" w:line="16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490</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797</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57"/>
        </w:trPr>
        <w:tc>
          <w:tcPr>
            <w:tcW w:w="7720" w:type="dxa"/>
            <w:vAlign w:val="bottom"/>
          </w:tcPr>
          <w:p>
            <w:pPr>
              <w:ind w:left="480"/>
              <w:spacing w:after="0"/>
              <w:rPr>
                <w:sz w:val="20"/>
                <w:szCs w:val="20"/>
                <w:color w:val="auto"/>
              </w:rPr>
            </w:pPr>
            <w:r>
              <w:rPr>
                <w:rFonts w:ascii="Arial" w:cs="Arial" w:eastAsia="Arial" w:hAnsi="Arial"/>
                <w:sz w:val="18"/>
                <w:szCs w:val="18"/>
                <w:color w:val="auto"/>
              </w:rPr>
              <w:t>Net assets less noncontrolling interests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660</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Entities that are not Consolidated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has interests in entities that are considered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but for which it is not considered the primary beneficiary. The Company accounts for its interests in these entities under the equity method of accounting.</w:t>
      </w:r>
    </w:p>
    <w:p>
      <w:pPr>
        <w:spacing w:after="0" w:line="11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NRG 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8, 2015, NRG Yield DGPV Holding LLC, a subsidiary of the Company and NRG Renew LLC, a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 entered into a partnership by forming NRG DGPV Holdco 1 LLC, or DGPV Holdco, the purpose of which is to own or purchase solar power generation projects and other ancillary related assets from NRG Renew LLC, via intermediate funds, including: (i) a tax equity-financed portfolio of 11 recently completed community solar projects representing approximately 11 MW with a weighted average remaining PPA term of 20 years; and (ii) a tax equity financed portfolio of approximately 29 commercial photovoltaic systems representing approximately 89 MW. The following illustrates the structure of DGPV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96520</wp:posOffset>
            </wp:positionV>
            <wp:extent cx="3293110" cy="2470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311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September 30, 2015, the Company's investment in DGPV Holdco related to the recently completed community solar projects was $17 million. Additionally, as of September 30, 2015, the Company's investment related to the commercial photovoltaic systems was $11 million, $9 million of which remained payable at September 30, 2015. DGPV Holdco is considered a VIE under ASC 810, however the Company is not the primary beneficiary and will account for its investment under the equity method. The Company's maximum exposure to loss is limited to its equity investment, which was $28 million as of September 30, 2015.</w:t>
      </w:r>
    </w:p>
    <w:p>
      <w:pPr>
        <w:spacing w:after="0" w:line="7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NRG RPV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9, 2015, NRG Yield RPV Holding LLC, a subsidiary of the Company and NRG Residential Solar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 subsidiary of NRG, entered into a partnership by forming NRG RPV Holdco 1 LLC, or RPV Holdco, that will invest in and hold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and (ii) a tax equity-financed portfolios of approximately 13,000 leases representing approximately 90 MW, with an average lease term for the existing and new leases of approximately 17 to 20 years. The following illustrates the structure of RPV Holdco:</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6"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2266950</wp:posOffset>
            </wp:positionH>
            <wp:positionV relativeFrom="page">
              <wp:posOffset>457835</wp:posOffset>
            </wp:positionV>
            <wp:extent cx="3293110" cy="2470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29311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invested $26 million in RPV Holdco in April 2015 related to the existing, unlevered portfolio of leases. The Company also invested $21 million of its $150 million commitment in the tax equity-financed portfolios through September 30, 2015. The Company's maximum exposure will be limited to its equity investment. RPV Holdco is considered a VIE under ASC 810, however the Company is not the primary beneficiary, and will account for its investment under the equity method. The Company's maximum exposure to loss is limited to its equity investment, which was $47 million as of September 30, 2015.</w:t>
      </w:r>
    </w:p>
    <w:p>
      <w:pPr>
        <w:spacing w:after="0" w:line="13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GenConn Energy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a 50% interest in GCE Holding LLC, the owner of GenConn, which owns and operates two 190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peaking generation facilities in Connecticut at the Devon and Middletown sites. Each of these facilities was constructed pursuant to a 30-year cost of service type contract with the Connecticut Light &amp; Power Company. GenConn is considered a VIE under ASC 810, however the Company is not the primary beneficiary, and accounts for its investment under the equity method. Effective September 30, 2015, the Company increased its 49.95% ownership by acquiring an additional 0.05% membership interest from NRG, bringing its total ownership interest to 50%.</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project was funded through equity contributions from the owners and non-recourse, project-level debt. As of September 30, 2015, the Company's investment in GenConn was $110 million and its maximum exposure to loss is limited to its equity investment. Additionally, GenConn has a $237 million project note with an interest rate of 4.73% and a maturity date of July 2041, and a 5-year, $35 million working capital facility that matures in 2018, which can be used to issue letters of credit at an interest rate of 1.875% per annum. As of September 30, 2015, $220 million was outstanding under the note and nothing was drawn on the working capital facility. The note is secured by all of the GenConn assets.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for GCE Holding LLC:</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3"/>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453"/>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rPr>
              <w:t>September 30, 2015</w:t>
            </w: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93"/>
              </w:rPr>
              <w:t>December 31, 2014</w:t>
            </w: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58"/>
              <w:spacing w:after="0"/>
              <w:rPr>
                <w:sz w:val="20"/>
                <w:szCs w:val="20"/>
                <w:color w:val="auto"/>
              </w:rPr>
            </w:pPr>
            <w:r>
              <w:rPr>
                <w:rFonts w:ascii="Arial" w:cs="Arial" w:eastAsia="Arial" w:hAnsi="Arial"/>
                <w:sz w:val="18"/>
                <w:szCs w:val="18"/>
                <w:color w:val="auto"/>
              </w:rPr>
              <w:t>420</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58"/>
              <w:spacing w:after="0"/>
              <w:rPr>
                <w:sz w:val="20"/>
                <w:szCs w:val="20"/>
                <w:color w:val="auto"/>
              </w:rPr>
            </w:pPr>
            <w:r>
              <w:rPr>
                <w:rFonts w:ascii="Arial" w:cs="Arial" w:eastAsia="Arial" w:hAnsi="Arial"/>
                <w:sz w:val="18"/>
                <w:szCs w:val="18"/>
                <w:color w:val="auto"/>
              </w:rPr>
              <w:t>216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223</w:t>
            </w:r>
          </w:p>
        </w:tc>
      </w:tr>
      <w:tr>
        <w:trPr>
          <w:trHeight w:val="810"/>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1" w:name="page22"/>
    <w:bookmarkEnd w:id="21"/>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 xml:space="preserve">Desert Sunlight Investment Holdings, LLC - </w:t>
      </w:r>
      <w:r>
        <w:rPr>
          <w:rFonts w:ascii="Arial" w:cs="Arial" w:eastAsia="Arial" w:hAnsi="Arial"/>
          <w:sz w:val="17"/>
          <w:szCs w:val="17"/>
          <w:color w:val="auto"/>
        </w:rPr>
        <w:t>The Company has a 25% membership interest in Desert Sunlight Investment Holdings, LLC, which owns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two solar photovoltaic facilities that total 550 MW in Desert Center, California. Power generated by the facilities is sold to Southern California Edison and Pacific Gas and Electric under long-term PPAs with approximately 20 years and 25 years of contract life, respectively. Desert Sunlight is considered a VIE under ASC 810, however the Company is not the primary beneficiary, and accounts for its investment under the equity method.</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September 30, 2015, the Company's investment in Desert Sunlight was $281 million and its maximum exposure to loss is limited to its equity investment.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Desert Sunlight Investment Holdings, LLC:</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9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7"/>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vMerge w:val="restart"/>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87"/>
        </w:trPr>
        <w:tc>
          <w:tcPr>
            <w:tcW w:w="5580" w:type="dxa"/>
            <w:vAlign w:val="bottom"/>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revenues</w:t>
            </w:r>
          </w:p>
        </w:tc>
        <w:tc>
          <w:tcPr>
            <w:tcW w:w="940" w:type="dxa"/>
            <w:vAlign w:val="bottom"/>
            <w:tcBorders>
              <w:bottom w:val="single" w:sz="8" w:color="BFE4FF"/>
            </w:tcBorders>
            <w:shd w:val="clear" w:color="auto" w:fill="BFE4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rPr>
              <w:t>73</w:t>
            </w:r>
          </w:p>
        </w:tc>
        <w:tc>
          <w:tcPr>
            <w:tcW w:w="4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170</w:t>
            </w:r>
          </w:p>
        </w:tc>
        <w:tc>
          <w:tcPr>
            <w:tcW w:w="500" w:type="dxa"/>
            <w:vAlign w:val="bottom"/>
            <w:tcBorders>
              <w:bottom w:val="single" w:sz="8" w:color="BFE4FF"/>
            </w:tcBorders>
            <w:shd w:val="clear" w:color="auto" w:fill="BFE4FF"/>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1"/>
                <w:szCs w:val="21"/>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BFE4FF"/>
            </w:tcBorders>
            <w:shd w:val="clear" w:color="auto" w:fill="BFE4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70</w:t>
            </w:r>
          </w:p>
        </w:tc>
        <w:tc>
          <w:tcPr>
            <w:tcW w:w="500" w:type="dxa"/>
            <w:vAlign w:val="bottom"/>
            <w:tcBorders>
              <w:bottom w:val="single" w:sz="8" w:color="BFE4FF"/>
            </w:tcBorders>
            <w:shd w:val="clear" w:color="auto" w:fill="BFE4FF"/>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723"/>
        </w:trPr>
        <w:tc>
          <w:tcPr>
            <w:tcW w:w="5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4"/>
                <w:szCs w:val="14"/>
                <w:b w:val="1"/>
                <w:bCs w:val="1"/>
                <w:color w:val="auto"/>
              </w:rPr>
              <w:t>September 30, 2015</w:t>
            </w: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1"/>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381</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1,508</w:t>
            </w: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w:t>
            </w: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1,141</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payable, accounts payable — affiliate,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September 30, 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2014</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w:t>
            </w: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3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386</w:t>
            </w: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 external, including current portion</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3,914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4,478</w:t>
            </w:r>
          </w:p>
        </w:tc>
      </w:tr>
      <w:tr>
        <w:trPr>
          <w:trHeight w:val="27"/>
        </w:trPr>
        <w:tc>
          <w:tcPr>
            <w:tcW w:w="6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notes receivable and long-term debt are based on expected future cash flows discounted at market interest rates, or current interest rates for similar instruments, and are classified as Level 3 within the fair value hierarchy.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vMerge w:val="restart"/>
          </w:tcPr>
          <w:p>
            <w:pPr>
              <w:jc w:val="right"/>
              <w:ind w:right="434"/>
              <w:spacing w:after="0"/>
              <w:rPr>
                <w:sz w:val="20"/>
                <w:szCs w:val="20"/>
                <w:color w:val="auto"/>
              </w:rPr>
            </w:pPr>
            <w:r>
              <w:rPr>
                <w:rFonts w:ascii="Arial" w:cs="Arial" w:eastAsia="Arial" w:hAnsi="Arial"/>
                <w:sz w:val="14"/>
                <w:szCs w:val="14"/>
                <w:b w:val="1"/>
                <w:bCs w:val="1"/>
                <w:color w:val="auto"/>
              </w:rPr>
              <w:t>As of September 30, 2015</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As of December</w:t>
            </w:r>
          </w:p>
        </w:tc>
        <w:tc>
          <w:tcPr>
            <w:tcW w:w="0" w:type="dxa"/>
            <w:vAlign w:val="bottom"/>
          </w:tcPr>
          <w:p>
            <w:pPr>
              <w:spacing w:after="0"/>
              <w:rPr>
                <w:sz w:val="1"/>
                <w:szCs w:val="1"/>
                <w:color w:val="auto"/>
              </w:rPr>
            </w:pPr>
          </w:p>
        </w:tc>
      </w:tr>
      <w:tr>
        <w:trPr>
          <w:trHeight w:val="192"/>
        </w:trPr>
        <w:tc>
          <w:tcPr>
            <w:tcW w:w="7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31, 2014</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 xml:space="preserve">Fair Value </w:t>
            </w:r>
            <w:r>
              <w:rPr>
                <w:rFonts w:ascii="Arial" w:cs="Arial" w:eastAsia="Arial" w:hAnsi="Arial"/>
                <w:sz w:val="8"/>
                <w:szCs w:val="8"/>
                <w:b w:val="1"/>
                <w:bCs w:val="1"/>
                <w:color w:val="auto"/>
                <w:w w:val="98"/>
              </w:rPr>
              <w:t>(b)</w:t>
            </w:r>
          </w:p>
        </w:tc>
        <w:tc>
          <w:tcPr>
            <w:tcW w:w="0" w:type="dxa"/>
            <w:vAlign w:val="bottom"/>
          </w:tcPr>
          <w:p>
            <w:pPr>
              <w:spacing w:after="0"/>
              <w:rPr>
                <w:sz w:val="1"/>
                <w:szCs w:val="1"/>
                <w:color w:val="auto"/>
              </w:rPr>
            </w:pPr>
          </w:p>
        </w:tc>
      </w:tr>
      <w:tr>
        <w:trPr>
          <w:trHeight w:val="264"/>
        </w:trPr>
        <w:tc>
          <w:tcPr>
            <w:tcW w:w="73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22"/>
                <w:szCs w:val="22"/>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Level 2</w:t>
            </w:r>
          </w:p>
        </w:tc>
        <w:tc>
          <w:tcPr>
            <w:tcW w:w="0" w:type="dxa"/>
            <w:vAlign w:val="bottom"/>
          </w:tcPr>
          <w:p>
            <w:pPr>
              <w:spacing w:after="0"/>
              <w:rPr>
                <w:sz w:val="1"/>
                <w:szCs w:val="1"/>
                <w:color w:val="auto"/>
              </w:rPr>
            </w:pPr>
          </w:p>
        </w:tc>
      </w:tr>
      <w:tr>
        <w:trPr>
          <w:trHeight w:val="250"/>
        </w:trPr>
        <w:tc>
          <w:tcPr>
            <w:tcW w:w="7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736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736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There were no assets or liabilities classified as Level 3 as of September 30, 2015.</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There were no assets or liabilities classified as Level 1 or Level 3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 portion of the Company's contracts are exchange-traded contracts with readily available quoted market prices. A majority of 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using various valuation techniques including, but not limited to, internal models that apply fundamental analysis of the market and corroboration with similar markets. As of September 30, 2015, there were no contracts valued with prices provided by models and other valuation techniques.</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fair value of each contract is discounted using a risk free interest rate. In addition, a credit reserve is applied to reflect credit risk, which is calculated based on credit default swaps. To the extent that the net exposure is an asset, the Company uses the counterparty’s default swap rate. If the net exposure is a liability, the Company uses its default swap rate. The credit reserve is added to the discounted fair value to reflect the exit price that a market participant would be willing to receive to assume the liabilities or that a market participant would be willing to pay for the assets. As of September 30, 2015, the credit reserve resulted in a $3 million increase in fair value in OCI. It is possible that future market prices could vary from those used in recording assets and liabilities and such variations could be material.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September 30, 2015, credit risk exposure to these counterparties attributable to the Company's ownership interests was approximately $2.9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Company's audited consolidated financial statements for the year ended December 31, 2014, </w:t>
      </w:r>
      <w:r>
        <w:rPr>
          <w:rFonts w:ascii="Arial" w:cs="Arial" w:eastAsia="Arial" w:hAnsi="Arial"/>
          <w:sz w:val="18"/>
          <w:szCs w:val="18"/>
          <w:color w:val="000000"/>
        </w:rPr>
        <w:t>included in the Company's Prospectus dated June 22,</w:t>
      </w:r>
      <w:r>
        <w:rPr>
          <w:rFonts w:ascii="Arial" w:cs="Arial" w:eastAsia="Arial" w:hAnsi="Arial"/>
          <w:sz w:val="18"/>
          <w:szCs w:val="18"/>
          <w:color w:val="231F20"/>
        </w:rPr>
        <w:t xml:space="preserve"> </w:t>
      </w:r>
      <w:r>
        <w:rPr>
          <w:rFonts w:ascii="Arial" w:cs="Arial" w:eastAsia="Arial" w:hAnsi="Arial"/>
          <w:sz w:val="18"/>
          <w:szCs w:val="18"/>
          <w:color w:val="000000"/>
        </w:rPr>
        <w:t>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2015, the Company had forward contracts with an NRG subsidiary, hedging the sale of power from the Alta X and Alta XI wind facilities, entered into in the first quarter of 2015 and extending through the end of 2015 and forward contracts for the purchase of fuel commodities relating to the forecasted usage of the Company’s district energy centers extending through 2017. At September 30, 2015, these contracts were not designated as cash flow or fair value hedges.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2015, the Company had interest rate derivative instruments on non-recourse debt extending through 2031, most of which are designated as cash flow hedges.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net notional volume buy/(sell) of the Company's open derivative transactions broken out by commodity as of September 30, 2015, and December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7"/>
              </w:rPr>
              <w:t>September 30, 2015</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2014</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1,786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2,817</w:t>
            </w:r>
          </w:p>
        </w:tc>
      </w:tr>
    </w:tbl>
    <w:p>
      <w:pPr>
        <w:spacing w:after="0" w:line="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decrease in the interest rate position is primarily the result of settling the Alta X and Alta XI interest rate swaps in connection with the repayment of the outstanding project-level debt during the second quarter of 2015, as further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w w:val="98"/>
              </w:rPr>
              <w:t>Fair Value</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Derivative Assets</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Derivative Liabilities</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280" w:type="dxa"/>
            <w:vAlign w:val="bottom"/>
          </w:tcPr>
          <w:p>
            <w:pPr>
              <w:spacing w:after="0"/>
              <w:rPr>
                <w:sz w:val="13"/>
                <w:szCs w:val="13"/>
                <w:color w:val="auto"/>
              </w:rPr>
            </w:pPr>
          </w:p>
        </w:tc>
        <w:tc>
          <w:tcPr>
            <w:tcW w:w="128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6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6"/>
              </w:rPr>
              <w:t>(In millions)</w:t>
            </w: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7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7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74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7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September 30, 2015, there was no outstanding collateral paid or received. The following table summarizes the offsetting of derivatives by counterparty master agreement level: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September 30, 2015</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040" w:type="dxa"/>
            <w:vAlign w:val="bottom"/>
            <w:tcBorders>
              <w:bottom w:val="single" w:sz="8" w:color="CCEEFF"/>
            </w:tcBorders>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1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8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1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1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920" w:type="dxa"/>
            <w:vAlign w:val="bottom"/>
          </w:tcPr>
          <w:p>
            <w:pPr>
              <w:spacing w:after="0"/>
              <w:rPr>
                <w:sz w:val="24"/>
                <w:szCs w:val="24"/>
                <w:color w:val="auto"/>
              </w:rPr>
            </w:pPr>
          </w:p>
        </w:tc>
        <w:tc>
          <w:tcPr>
            <w:tcW w:w="2040" w:type="dxa"/>
            <w:vAlign w:val="bottom"/>
            <w:gridSpan w:val="2"/>
          </w:tcPr>
          <w:p>
            <w:pPr>
              <w:jc w:val="right"/>
              <w:ind w:right="77"/>
              <w:spacing w:after="0"/>
              <w:rPr>
                <w:sz w:val="20"/>
                <w:szCs w:val="20"/>
                <w:color w:val="auto"/>
              </w:rPr>
            </w:pPr>
            <w:r>
              <w:rPr>
                <w:rFonts w:ascii="Arial" w:cs="Arial" w:eastAsia="Arial" w:hAnsi="Arial"/>
                <w:sz w:val="18"/>
                <w:szCs w:val="18"/>
                <w:color w:val="auto"/>
              </w:rPr>
              <w:t>25</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9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4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5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5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80" w:type="dxa"/>
            <w:vAlign w:val="bottom"/>
          </w:tcPr>
          <w:p>
            <w:pPr>
              <w:ind w:left="200"/>
              <w:spacing w:after="0"/>
              <w:rPr>
                <w:sz w:val="20"/>
                <w:szCs w:val="20"/>
                <w:color w:val="auto"/>
              </w:rPr>
            </w:pPr>
            <w:r>
              <w:rPr>
                <w:rFonts w:ascii="Arial" w:cs="Arial" w:eastAsia="Arial" w:hAnsi="Arial"/>
                <w:sz w:val="18"/>
                <w:szCs w:val="18"/>
                <w:color w:val="auto"/>
              </w:rPr>
              <w:t>Reclassified from accumulated OCL to income due to realization of</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previously deferred amounts</w:t>
            </w: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5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92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7"/>
        </w:trPr>
        <w:tc>
          <w:tcPr>
            <w:tcW w:w="5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Amounts reclassified from accumulated OCL into income and amounts recognized in income from the ineffective portion of cash flow hedges are recorded to interest expense. There was no ineffectiveness for the three or nine months ended September 30, 2015, and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September 30, 2015, and 2014, the impact to the consolidated statements of operations was a loss of $6 million and $0 million, respectively. For the nine months ended September 30, 2015, and 2014, the impact to the consolidated statements of operations was a gain of $13 million and a loss of $6 million, respectively.</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Commodity contracts also hedge the forecasted sale of power for the Alta X and Alta XI wind facilities until the start of the PPAs on January 1, 2016. The effect of these commodity hedges is recorded to operating revenues. For the three months ended September 30, 2015, the impact to the consolidated statements of operations was an unrealized loss of $1 million. For the nine months ended September 30, 2015, the impact to the consolidated statements of operations was an unrealized gain of $2 million.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8 — Long-term Debt</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9,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w:t>
      </w:r>
      <w:r>
        <w:rPr>
          <w:rFonts w:ascii="Arial" w:cs="Arial" w:eastAsia="Arial" w:hAnsi="Arial"/>
          <w:sz w:val="18"/>
          <w:szCs w:val="18"/>
          <w:color w:val="231F20"/>
        </w:rPr>
        <w:t>Company's audited consolidated</w:t>
      </w:r>
      <w:r>
        <w:rPr>
          <w:rFonts w:ascii="Arial" w:cs="Arial" w:eastAsia="Arial" w:hAnsi="Arial"/>
          <w:sz w:val="18"/>
          <w:szCs w:val="18"/>
          <w:color w:val="auto"/>
        </w:rPr>
        <w:t xml:space="preserve"> </w:t>
      </w:r>
      <w:r>
        <w:rPr>
          <w:rFonts w:ascii="Arial" w:cs="Arial" w:eastAsia="Arial" w:hAnsi="Arial"/>
          <w:sz w:val="18"/>
          <w:szCs w:val="18"/>
          <w:color w:val="231F20"/>
        </w:rPr>
        <w:t xml:space="preserve">financial statements for the year ended December 31, 2014, included </w:t>
      </w:r>
      <w:r>
        <w:rPr>
          <w:rFonts w:ascii="Arial" w:cs="Arial" w:eastAsia="Arial" w:hAnsi="Arial"/>
          <w:sz w:val="18"/>
          <w:szCs w:val="18"/>
          <w:color w:val="000000"/>
        </w:rPr>
        <w:t>in the Company's Prospectus dated June 22, 2015. Long-term debt consisted of the</w:t>
      </w:r>
      <w:r>
        <w:rPr>
          <w:rFonts w:ascii="Arial" w:cs="Arial" w:eastAsia="Arial" w:hAnsi="Arial"/>
          <w:sz w:val="18"/>
          <w:szCs w:val="18"/>
          <w:color w:val="231F20"/>
        </w:rPr>
        <w:t xml:space="preserve"> </w:t>
      </w:r>
      <w:r>
        <w:rPr>
          <w:rFonts w:ascii="Arial" w:cs="Arial" w:eastAsia="Arial" w:hAnsi="Arial"/>
          <w:sz w:val="18"/>
          <w:szCs w:val="18"/>
          <w:color w:val="000000"/>
        </w:rPr>
        <w:t>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2014</w:t>
            </w:r>
          </w:p>
        </w:tc>
        <w:tc>
          <w:tcPr>
            <w:tcW w:w="1860" w:type="dxa"/>
            <w:vAlign w:val="bottom"/>
          </w:tcPr>
          <w:p>
            <w:pPr>
              <w:jc w:val="right"/>
              <w:ind w:right="11"/>
              <w:spacing w:after="0"/>
              <w:rPr>
                <w:sz w:val="20"/>
                <w:szCs w:val="20"/>
                <w:color w:val="auto"/>
              </w:rPr>
            </w:pPr>
            <w:r>
              <w:rPr>
                <w:rFonts w:ascii="Arial" w:cs="Arial" w:eastAsia="Arial" w:hAnsi="Arial"/>
                <w:sz w:val="14"/>
                <w:szCs w:val="14"/>
                <w:b w:val="1"/>
                <w:bCs w:val="1"/>
                <w:color w:val="auto"/>
                <w:w w:val="91"/>
              </w:rPr>
              <w:t>September 30, 2015, interest</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8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(In millions, except rates)</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Long-term debt - affiliate, due 2019</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 affiliate, due 2020</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29"/>
        </w:trPr>
        <w:tc>
          <w:tcPr>
            <w:tcW w:w="6040" w:type="dxa"/>
            <w:vAlign w:val="bottom"/>
          </w:tcPr>
          <w:p>
            <w:pPr>
              <w:ind w:left="40"/>
              <w:spacing w:after="0"/>
              <w:rPr>
                <w:sz w:val="20"/>
                <w:szCs w:val="20"/>
                <w:color w:val="auto"/>
              </w:rPr>
            </w:pPr>
            <w:r>
              <w:rPr>
                <w:rFonts w:ascii="Arial" w:cs="Arial" w:eastAsia="Arial" w:hAnsi="Arial"/>
                <w:sz w:val="18"/>
                <w:szCs w:val="18"/>
                <w:color w:val="auto"/>
                <w:w w:val="98"/>
              </w:rPr>
              <w:t>NRG Yield LLC and NRG Yield Operating LLC Revolving Credit Facility, due</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(b)</w:t>
            </w:r>
          </w:p>
        </w:tc>
        <w:tc>
          <w:tcPr>
            <w:tcW w:w="16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L+2.75</w:t>
            </w:r>
          </w:p>
        </w:tc>
        <w:tc>
          <w:tcPr>
            <w:tcW w:w="0" w:type="dxa"/>
            <w:vAlign w:val="bottom"/>
          </w:tcPr>
          <w:p>
            <w:pPr>
              <w:spacing w:after="0"/>
              <w:rPr>
                <w:sz w:val="1"/>
                <w:szCs w:val="1"/>
                <w:color w:val="auto"/>
              </w:rPr>
            </w:pPr>
          </w:p>
        </w:tc>
      </w:tr>
      <w:tr>
        <w:trPr>
          <w:trHeight w:val="297"/>
        </w:trPr>
        <w:tc>
          <w:tcPr>
            <w:tcW w:w="6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Project-level debt: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I, lease financing arrangement, due 2034</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Alta Wind II, lease financing arrangement, due 2034</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III, lease financing arrangement, due 2034</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Alta Wind IV, lease financing arrangement, due 2034</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V, lease financing arrangement, due 2035</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Alta Wind X, due 2021</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L+2.00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XI, due 2021</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L+2.00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Alta Realty Investments, due 2031</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Asset Management, due 2031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L+2.375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West Holdings LLC, due 2023 (El Segundo Energy Center)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L+1.625 - L+2.25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Marsh Landing LLC, due 2017 and 2023</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L+1.75 - L+1.875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Walnut Creek Energy, due 2023</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L+1.625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Tapestry Wind LLC, due 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L+1.625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Solar Alpine LLC, due 2014 and 2022</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L+1.75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Energy Center Minneapolis LLC, due 2017 and 2025</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5.95 -7.25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Laredo Ridge LLC, due 2028</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L+1.875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Solar Borrego LLC, due 2025 and 2038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L+ 2.50/5.65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South Trent Wind LLC, due 2020</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L+1.625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Solar Avra Valley LLC, due 2031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L+1.75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 High Desert LLC, due 2020 and 2032</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L+2.50/5.15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WCEP Holdings LLC, due 2023</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L+3.00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Roadrunner LLC, due 2031</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L+1.625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Solar Kansas South LLC, due 2031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L+2.00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Solar Blythe LLC, due 2028</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L+1.625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PFMG and related subsidiaries financing agreement, due 2030</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Energy Center Princeton LLC, due 2017</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 project-level debt: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3,961</w:t>
            </w:r>
          </w:p>
        </w:tc>
        <w:tc>
          <w:tcPr>
            <w:tcW w:w="1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4,798</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4,584</w:t>
            </w:r>
          </w:p>
        </w:tc>
        <w:tc>
          <w:tcPr>
            <w:tcW w:w="1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39" w:lineRule="exact"/>
        <w:rPr>
          <w:sz w:val="20"/>
          <w:szCs w:val="20"/>
          <w:color w:val="auto"/>
        </w:rPr>
      </w:pPr>
    </w:p>
    <w:p>
      <w:pPr>
        <w:ind w:left="80" w:hanging="4"/>
        <w:spacing w:after="0" w:line="273" w:lineRule="auto"/>
        <w:tabs>
          <w:tab w:leader="none" w:pos="2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September 30, 2015, L+ equals 3 month LIBOR plus x%, except for the NRG Marsh Landing term loan, Walnut Creek term loan, and the Revolving Credit Facility where L+ equals 1 month LIBOR plus x% and Kansas South where L+ equals 6 month LIBOR plus x%.</w:t>
      </w:r>
    </w:p>
    <w:p>
      <w:pPr>
        <w:spacing w:after="0" w:line="119" w:lineRule="exact"/>
        <w:rPr>
          <w:rFonts w:ascii="Arial" w:cs="Arial" w:eastAsia="Arial" w:hAnsi="Arial"/>
          <w:sz w:val="14"/>
          <w:szCs w:val="14"/>
          <w:color w:val="auto"/>
        </w:rPr>
      </w:pPr>
    </w:p>
    <w:p>
      <w:pPr>
        <w:ind w:left="280" w:hanging="204"/>
        <w:spacing w:after="0"/>
        <w:tabs>
          <w:tab w:leader="none" w:pos="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Applicable rate is determined by the Borrower Leverage Ratio,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2" w:right="239" w:bottom="1440" w:gutter="0" w:footer="0" w:header="0"/>
        </w:sectPr>
      </w:pPr>
    </w:p>
    <w:bookmarkStart w:id="27" w:name="page28"/>
    <w:bookmarkEnd w:id="27"/>
    <w:p>
      <w:pPr>
        <w:jc w:val="both"/>
        <w:ind w:right="20" w:firstLine="324"/>
        <w:spacing w:after="0" w:line="308" w:lineRule="auto"/>
        <w:rPr>
          <w:sz w:val="20"/>
          <w:szCs w:val="20"/>
          <w:color w:val="auto"/>
        </w:rPr>
      </w:pPr>
      <w:r>
        <w:rPr>
          <w:rFonts w:ascii="Arial" w:cs="Arial" w:eastAsia="Arial" w:hAnsi="Arial"/>
          <w:sz w:val="17"/>
          <w:szCs w:val="17"/>
          <w:color w:val="auto"/>
        </w:rPr>
        <w:t>The financing arrangements listed above contain certain covenants, including financial covenants that the Company is required to comply with during the term of the respective arrangement. As of September 30, 2015, the Company was in compliance with all of the required covenants.</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discussion below lists changes to or additions of long-term debt for the nine months ended September 30,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On June 26, 2015, the Company amended the revolving credit facility to, among other things, increase the availability from $450 million to $495 million. As of </w:t>
      </w:r>
      <w:r>
        <w:rPr>
          <w:rFonts w:ascii="Arial" w:cs="Arial" w:eastAsia="Arial" w:hAnsi="Arial"/>
          <w:sz w:val="18"/>
          <w:szCs w:val="18"/>
          <w:color w:val="000000"/>
        </w:rPr>
        <w:t>September 30, 2015</w:t>
      </w:r>
      <w:r>
        <w:rPr>
          <w:rFonts w:ascii="Arial" w:cs="Arial" w:eastAsia="Arial" w:hAnsi="Arial"/>
          <w:sz w:val="18"/>
          <w:szCs w:val="18"/>
          <w:color w:val="231F20"/>
        </w:rPr>
        <w:t xml:space="preserve">, $92 million of borrowings and $25 million of letters of credit were outstanding. On November 3, 2015, the Company borrowed $209 million from the revolving credit facility to finance the acquisition of the November 2015 Drop Down Assets as discussed in </w:t>
      </w:r>
      <w:r>
        <w:rPr>
          <w:rFonts w:ascii="Arial" w:cs="Arial" w:eastAsia="Arial" w:hAnsi="Arial"/>
          <w:sz w:val="18"/>
          <w:szCs w:val="18"/>
          <w:color w:val="000000"/>
        </w:rPr>
        <w:t>Note 3</w:t>
      </w:r>
      <w:r>
        <w:rPr>
          <w:rFonts w:ascii="Arial" w:cs="Arial" w:eastAsia="Arial" w:hAnsi="Arial"/>
          <w:sz w:val="18"/>
          <w:szCs w:val="18"/>
          <w:color w:val="231F20"/>
        </w:rPr>
        <w:t xml:space="preserve">, </w:t>
      </w:r>
      <w:r>
        <w:rPr>
          <w:rFonts w:ascii="Arial" w:cs="Arial" w:eastAsia="Arial" w:hAnsi="Arial"/>
          <w:sz w:val="18"/>
          <w:szCs w:val="18"/>
          <w:i w:val="1"/>
          <w:iCs w:val="1"/>
          <w:color w:val="000000"/>
        </w:rPr>
        <w:t>Business</w:t>
      </w:r>
      <w:r>
        <w:rPr>
          <w:rFonts w:ascii="Arial" w:cs="Arial" w:eastAsia="Arial" w:hAnsi="Arial"/>
          <w:sz w:val="18"/>
          <w:szCs w:val="18"/>
          <w:color w:val="231F20"/>
        </w:rPr>
        <w:t xml:space="preserve"> </w:t>
      </w:r>
      <w:r>
        <w:rPr>
          <w:rFonts w:ascii="Arial" w:cs="Arial" w:eastAsia="Arial" w:hAnsi="Arial"/>
          <w:sz w:val="18"/>
          <w:szCs w:val="18"/>
          <w:i w:val="1"/>
          <w:iCs w:val="1"/>
          <w:color w:val="000000"/>
        </w:rPr>
        <w:t>Acquisitions</w:t>
      </w:r>
      <w:r>
        <w:rPr>
          <w:rFonts w:ascii="Arial" w:cs="Arial" w:eastAsia="Arial" w:hAnsi="Arial"/>
          <w:sz w:val="18"/>
          <w:szCs w:val="18"/>
          <w:color w:val="231F20"/>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 Inc. 2020 Convertible Notes and Related Intercompany Note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June 29, 2015, Yield, Inc. closed on its offering of $287.5 million aggregate principal amount of 3.25% Convertible Notes due 2020, or the 2020 Convertible Notes. The 2020 Convertible Notes are convertible, under certain circumstances, into Yield, Inc.’s Class C common stock, cash or a combination thereof at an initial conversion price of $27.50 per Class C common share, which is equivalent to an initial conversion rate of approximately 36.3636 shares of Class C common stock per $1,000 principal amount of 2020 Convertible Notes. The Company and Yield Operating LLC provided a guarantee to Yield, Inc. with respect to the 2020 Convertible Notes. In addition, Yield Operating LLC and Yield, Inc. entered into an intercompany borrowing arrangement, under which Yield Operating LLC received $281 million of the proceeds of the 2020 Convertible Notes. The intercompany note bears interest at a rate of 3.325% and matures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Alta Wind X and Alta Wind XI Financing Due 2021</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On June 30, 2015, Yield Operating LLC entered into a tax equity financing arrangement through which it has received $119 million in net proceeds, as described in Note 5, </w:t>
      </w:r>
      <w:r>
        <w:rPr>
          <w:rFonts w:ascii="Arial" w:cs="Arial" w:eastAsia="Arial" w:hAnsi="Arial"/>
          <w:sz w:val="17"/>
          <w:szCs w:val="17"/>
          <w:i w:val="1"/>
          <w:iCs w:val="1"/>
          <w:color w:val="auto"/>
        </w:rPr>
        <w:t>Variable Interest Entities, or VIEs</w:t>
      </w:r>
      <w:r>
        <w:rPr>
          <w:rFonts w:ascii="Arial" w:cs="Arial" w:eastAsia="Arial" w:hAnsi="Arial"/>
          <w:sz w:val="17"/>
          <w:szCs w:val="17"/>
          <w:color w:val="auto"/>
        </w:rPr>
        <w:t xml:space="preserve">. These proceeds, as well as proceeds obtained from the June 29, 2015, Yield, Inc. common stock issuance, as described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and 2020 Convertible Notes issuance, as described above, were utilized to repay all of the outstanding project indebtedness associated with the Alta Wind X and Alta Wind XI wind facilities. The Company also settled interest rate swaps associated with the project level debt for the Alta Wind X and Alta Wind XI wind facilities at a value of $17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Laredo Ridge</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July 27, 2010, Laredo Ridge entered into a credit agreement with a group of lenders for a $75 million construction loan that was convertible to a term loan upon completion of the project, a $53 million cash grant loan and a $3 million working capital loan facility. The project met the conditions to convert to a term loan on March 18, 2011. The cash grant loan was repaid in July 2011 with proceeds of the cash grant. The credit agreement also included a letter of credit facility on behalf of Laredo Ridge of up to $9 million. Laredo Ridge paid a fee equal to the applicable margin on issued letters of credit.</w:t>
      </w:r>
    </w:p>
    <w:p>
      <w:pPr>
        <w:spacing w:after="0" w:line="10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December 17, 2014, Laredo Ridge amended the credit agreement to increase its term loan borrowings by an additional $41 million to reduce the working capital facility by $1 million, to increase the letter of credit facility by $1 million and to reduce the related interest rate to LIBOR plus 1.875% through December 31, 2018, LIBOR plus 2.125% from January 1, 2019 through December 31, 2023 and LIBOR plus 2.375% from January 1, 2024 through the maturity date. The fee on the working capital facility was reduced to 0.5%. In addition, the maturity date was extended to December 31, 2028. The proceeds were utilized to make a distribution of $33 million to NRG Wind LLC, an NRG subsidiary, with the remaining $8 million utilized to fund the costs of the amendment. As of September 30, 2015, $105 million was outstanding under the term loan, nothing was outstanding under the working capital facility, and $10 million of letters of credit in support of the project were issued.</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the amendment to the credit agreement, Laredo Ridge entered into a series of fixed for floating interest rate swaps that would fix the interest rate for a minimum of 75% of the outstanding notional amount. Laredo Ridge pays its counterparty the equivalent of a 2.31% fixed interest payment on a predetermined notional value, and quarterly, Laredo Ridge will receive the equivalent of a floating interest payment based on the three-month LIBOR calculated on the same notional value through December 31, 2028. All interest rate swap payments by Laredo Ridge and its counterparties are made quarterly and LIBOR is determined in advance of each interest period.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6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Tapestry Wind LLC</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December 21, 2011, Tapestry Wind LLC entered into a credit agreement with a group of lenders for a $214 million term loan and an $8 million working capital loan facility. The term loan matures in December 2021. It is secured by Tapestry Wind LLC's interest in the Buffalo Bear, Taloga, and Pinnacle projects. The term loan amortizes based upon a predetermined schedule. The working capital facility is available to fund the operating needs of Tapestry Wind LLC. The commitment fee on this facility is 0.75%. The credit agreement also includes a letter of credit facility on behalf of Tapestry Wind LLC of up to $20 million. Tapestry Wind LLC pays a fee equal to the applicable margin on issued letters of credit.</w:t>
      </w:r>
    </w:p>
    <w:p>
      <w:pPr>
        <w:spacing w:after="0" w:line="11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Under the terms of the agreement, Tapestry Wind LLC entered into a series of fixed for floating interest rate swaps that would fix the interest rate for a minimum of 90% of the outstanding notional amount. Tapestry Wind LLC will pay its counterparty the equivalent of a 2.21% fixed interest payment on a predetermined notional value, and quarterly, Tapestry Wind LLC will receive the equivalent of a floating interest payment based on a three-month LIBOR calculated on the same notional value through December 21, 2021. All interest rate swap payments by Tapestry Wind LLC and its counterparties are made quarterly and the LIBOR is determined in advance of each interest period. Swaps became effective December 30, 2011, and amortize in proportion to the term loan. At the same time Tapestry Wind LLC entered into a series of forward starting swaps to hedge the refinancing risk. The swaps are effective December 21, 2021. Tapestry Wind LLC will pay its counterparty the equivalent of a 3.57% fixed interest payment on a predetermined notional value, and quarterly, Tapestry Wind LLC will receive the equivalent of a floating interest payment based on a three-month LIBOR calculated on the same notional value through December 21, 2029.</w:t>
      </w:r>
    </w:p>
    <w:p>
      <w:pPr>
        <w:spacing w:after="0" w:line="14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November 12, 2014, Tapestry Wind LLC amended the credit agreement to reduce the related interest rate to LIBOR plus 1.625% through December 20, 2018, and LIBOR plus 1.75% from December 21, 2018, through the maturity date. As of September 30, 2015, $184 million was outstanding under the term loan, nothing was outstanding under the working capital facility and $20 million of letters of credit in support of the project were issued.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Walnut Creek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July 27, 2011, Walnut Creek entered into a credit agreement with a group of lenders for a $442 million construction loan that was convertible to a term loan upon completion of the project, and a $5 million working capital loan facility. The project met the conditions to convert to a term loan on June 21, 2013, and matures in May 2023. The term loan amortizes based upon a predetermined schedule. The working capital facility is available to fund the operating needs of Walnut Creek. The commitment fee on this facility is 0.625%. The Walnut Creek agreement also includes a letter of credit facility on behalf of Walnut Creek of up to $117 million. Walnut Creek pays a fee equal to the applicable margin on issued letters of credit.</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Under the terms of the agreement, Walnut Creek entered into a series of fixed for floating interest rate swaps that would fix the interest rate for a minimum of 90% of the outstanding notional amount. Walnut Creek will pay its counterparty the equivalent of a 3.54% fixed interest payment on a predetermined notional value, and quarterly, Walnut Creek will receive the equivalent of a floating interest payment based on a three-month LIBOR calculated on the same notional value through May 31, 2023. All interest rate swap payments by Walnut Creek and its counterparties are made quarterly and the LIBOR is determined in advance of each interest period. Swaps became effective June 28, 2013, and amortize in proportion to the term loan.</w:t>
      </w:r>
    </w:p>
    <w:p>
      <w:pPr>
        <w:spacing w:after="0" w:line="10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October 21, 2014, Walnut Creek amended the credit agreement to increase its term loan borrowings by an additional $10 million, and to reduce the related interest rate to LIBOR plus 1.625% through September 30, 2018, LIBOR plus 1.75% from October 1, 2018, through September 30, 2022, and LIBOR plus 1.875% from October 1, 2022, through the maturity date. The fee on the working capital facility was reduced to 0.5%. The proceeds were utilized to make a distribution of $6 million to WCEP Holdings LLC with the remaining $4 million utilized to fund the costs of the amendment. In addition, Walnut Creek entered into an additional interest rate swap to maintain the minimum of 90% of the outstanding notional amount being swapped to a fixed interest rate. Walnut Creek pays its counterparty the equivalent of a 4.0025% fixed interest payment on a predetermined notional value, and quarterly, Walnut Creek receives the equivalent of a floating interest payment based on a three-month LIBOR calculated on the same notional value through July 31, 2020. All interest rate swap payments by Walnut Creek and its counterparties are made quarterly and the LIBOR is determined in advance of each interest period. Swaps became effective June 28, 2013, and amortize in proportion to the term loan. As of September 30, 2015, $363 million was outstanding under the term loan, nothing was outstanding under the working capital facility, and $49 million of letters of credit were issued.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WCEP Holdings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27, 2011, WCEP Holdings LLC entered into a credit agreement with a group of lenders for a $53 million construction loan that was convertible to a term loan upon completion of the Walnut Creek project. The Walnut Creek project met the conditions for the WCEP Holdings LLC loan to convert to a term loan on June 21, 2013. The term loan has an interest rate of LIBOR plus an applicable margin of 4%. The term loan matures in May 2023. The term loan amortizes based upon a predetermined schedule.</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Under the terms of the credit agreement, WCEP Holdings LLC entered into two fixed for floating interest rate swaps that would fix the interest rate for a minimum of 90% of the outstanding notional amount. WCEP Holdings LLC will pay its counterparty the equivalent of a 4% fixed interest payment on a predetermined notional value, and quarterly, WCEP Holdings LLC will receive the equivalent of a floating interest payment based on a three-month LIBOR calculated on the same notional value through May 31, 2023. All interest rate swap payments by WCEP Holdings LLC and its counterparties are made quarterly and the LIBOR is determined in advance of each interest period. Swaps became effective June 28, 2013, and amortize in proportion to the term loan.</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21, 2014, WCEP Holdings LLC amended the credit agreement to reduce the related interest rate to LIBOR plus 3%. The proceeds of the distribution from Walnut Creek were utilized to make an optional repayment of $6 million on the term loan. In addition, WCEP Holdings LLC partially terminated the interest rate agreements so that at least 90% and no more than 100% of the aggregate principal amount of the loans then outstanding will be subject to interest rate agreements. As of September 30, 2015, $46 million was outstanding under the term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Avenal Solar Holdings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18, 2015, Avenal Solar Holdings LLC, one of the Company's equity method investments, amended its credit agreement to increase its borrowings by $43 million and to reduce the related interest rate from 6 month LIBOR plus an applicable margin of 2.25% to 6 month LIBOR plus 1.75% from March 18, 2015, through March 17, 2022, 6 month LIBOR plus 2.00% from March 18, 2022, through March 17, 2027, and 6 month LIBOR plus 2.25% from March 18, 2027, through the maturity date. As a result of the credit agreement amendment, the Company received net proceeds of $20 million after fees from its 49.95% ownership in Avenal. Effective September 30, 2015, the Company increased its ownership to 50% by acquiring an additional 0.05% membership interest in Avenal.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West Holdings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May 29, 2015, NRG West Holdings LLC amended its financing agreement to increase borrowings under the Tranche A facility by $5 million and to reduce the related interest rate to LIBOR plus an applicable margin of 1.625% from May 29, 2015, to August 31, 2017, LIBOR plus an applicable margin of 1.75% from September 1, 2017, to August 31, 2020, and LIBOR plus 1.875% from September 1, 2020, through the maturity date; to reduce the Tranche B loan interest rate to LIBOR plus an applicable margin of 2.250% from May 29, 2015, to August 31, 2017, LIBOR plus 2.375% from September 1, 2017, to August 31, 2020, and LIBOR plus an applicable margin of 2.50% from September 1, 2020, through the maturity date and to reduce the working capital facility by $9 million. The proceeds of the increased borrowing were used to pay costs associated with the refinancing. Further, the amendment resulted in a $7 million loss on debt extinguishment.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0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9 — 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depreciation and amortization, or Adjusted EBITDA, and cash available for distribution, or CAFD, as well as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Three months ended September 30, 2015</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 — affiliate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2,132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4,214</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6,844</w:t>
            </w:r>
          </w:p>
        </w:tc>
        <w:tc>
          <w:tcPr>
            <w:tcW w:w="0" w:type="dxa"/>
            <w:vAlign w:val="bottom"/>
          </w:tcPr>
          <w:p>
            <w:pPr>
              <w:spacing w:after="0"/>
              <w:rPr>
                <w:sz w:val="1"/>
                <w:szCs w:val="1"/>
                <w:color w:val="auto"/>
              </w:rPr>
            </w:pPr>
          </w:p>
        </w:tc>
      </w:tr>
      <w:tr>
        <w:trPr>
          <w:trHeight w:val="486"/>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Three months ended September 30, 2014</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 — affiliate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Nine months ended September 30, 2015</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 — affiliate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0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Nine months ended September 30, 2014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 — affiliate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NRG provides the Company with various operation, management, and administrative services, which include human resources, accounting, tax, legal, information systems, treasury, and risk management, as set forth in the Management Services Agreement. As of September 30, 2015, the base management fee was approximately $7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nine months ended September 30, 2015, the fee was increased by approximately $1 million per year primarily due to the acquisition of the January 2015 Drop Down Assets. Costs incurred under this agreement were $8 million and $7 million for the nine months ended September 30, 2015, and 2014, respectively, which included certain direct expenses incurred by NRG on behalf of the Company in addition to the base management fee. There was a balance of $5 million due to NRG in accounts payable — affiliate as of September 30, 2015.</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Services (O&amp;M) Agreements by and between Thermal Entities and NRG</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October 1, 2014, NRG entered into Plant O&amp;M Services Agreements with certain wholly-owned subsidiaries of the Company. NRG provides necessary and appropriate services to operate and maintain the subsidiaries' plant operations, businesses and thermal facilities. NRG is to be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Prior to October 1, 2014, NRG provided the same services to the Thermal Business on an informal basis. Total fees incurred under the agreements were $21 million for the nine months ended September 30, 2015, and 2014. There was a balance of $30 million and $22 million due to NRG in accounts payable — affiliate as of September 30, 2015, and December 31, 2014, respectively. Subsequent to quarter end, $7 million of the outstanding balance has been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GenOn Energy Services,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Marsh Landing is a party to an administrative services agreement with GenOn Energy Services, LLC, a wholly-owned subsidiary of NRG, which provides invoice processing and payment on behalf of Marsh Landing. Marsh Landing reimburses GenOn Energy Services, LLC for the amounts paid by it. The Company reimbursed costs under this agreement of approximately $11 million for the nine months ended September 30, 2015, and 2014. There was a balance of $1 million and $4 million due to GenOn Energy Services, LLC in accounts payable — affiliate as of September 30, 2015, and December 31, 2014,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El Segundo and NRG El Segundo Operations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El Segundo incurs fees under an O&amp;M agreement with NRG El Segundo Operations, Inc., a wholly-owned subsidiary of NRG. Under the O&amp;M agreement, NRG El Segundo Operations, Inc. manages, operates and maintains the El Segundo facility for an initial term of ten years following the commercial operations date. For the nine months ended September 30, 2015, and 2014, the costs incurred under the agreement were approximately $4 million and $3 million, respectively. There was a balance of $1 million due to NRG El Segundo in accounts payable — affiliate as of September 30, 2015, and December 31, 2014.</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The fees incurred under the agreements were $3 million and $5 million for the nine months ended September 30, 2015, and 2014,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CVSR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CVSR is a party to an administrative services agreement with NRG Energy Services LLC, a wholly-owned subsidiary of NRG, which provides O&amp;M services on behalf of CVSR. CVSR reimburses NRG Energy Services LLC for the amounts paid by it. CVSR reimbursed costs under this agreement of $4 million and $5 million for the nine months ended September 30,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27" w:right="239" w:bottom="694"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11 — Condensed Consolidating Financial Information</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As of September 30, 2015, Yield Operating LLC had outstanding $500 million of Senior Notes as shown in Note 8, </w:t>
      </w:r>
      <w:r>
        <w:rPr>
          <w:rFonts w:ascii="Arial" w:cs="Arial" w:eastAsia="Arial" w:hAnsi="Arial"/>
          <w:sz w:val="17"/>
          <w:szCs w:val="17"/>
          <w:i w:val="1"/>
          <w:iCs w:val="1"/>
          <w:color w:val="auto"/>
        </w:rPr>
        <w:t>Long-term Debt</w:t>
      </w:r>
      <w:r>
        <w:rPr>
          <w:rFonts w:ascii="Arial" w:cs="Arial" w:eastAsia="Arial" w:hAnsi="Arial"/>
          <w:sz w:val="17"/>
          <w:szCs w:val="17"/>
          <w:color w:val="auto"/>
        </w:rPr>
        <w:t>. These Senior Notes are guaranteed by the Company,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1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September 30,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this presentation, Yield LLC consists of parent company operations. Guarantor subsidiaries and non-guarantor subsidiaries of Yield LLC are reported on an equity basis. For companies acquired, the fair values of the assets and liabilities acquired have been presented on a push-down accounting basis.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02" w:right="239" w:bottom="1440" w:gutter="0" w:footer="0" w:header="0"/>
        </w:sectPr>
      </w:pPr>
    </w:p>
    <w:bookmarkStart w:id="33" w:name="page34"/>
    <w:bookmarkEnd w:id="33"/>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September 30, 2015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 — affiliate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Equity in earnings (losses)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rPr>
              <w:t>Less: Net income (loss) attributable to</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(Loss)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702" w:right="439" w:bottom="1440" w:gutter="0" w:footer="0" w:header="0"/>
        </w:sectPr>
      </w:pPr>
    </w:p>
    <w:bookmarkStart w:id="34" w:name="page35"/>
    <w:bookmarkEnd w:id="34"/>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 — affiliate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Equity in earnings (losses)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3260" w:type="dxa"/>
            <w:vAlign w:val="bottom"/>
          </w:tcPr>
          <w:p>
            <w:pPr>
              <w:ind w:left="40"/>
              <w:spacing w:after="0"/>
              <w:rPr>
                <w:sz w:val="20"/>
                <w:szCs w:val="20"/>
                <w:color w:val="auto"/>
              </w:rPr>
            </w:pPr>
            <w:r>
              <w:rPr>
                <w:rFonts w:ascii="Arial" w:cs="Arial" w:eastAsia="Arial" w:hAnsi="Arial"/>
                <w:sz w:val="18"/>
                <w:szCs w:val="18"/>
                <w:color w:val="auto"/>
              </w:rPr>
              <w:t>Less: Net (loss) income attributable to</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(Loss)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1026" w:right="439" w:bottom="1440" w:gutter="0" w:footer="0" w:header="0"/>
        </w:sectPr>
      </w:pPr>
    </w:p>
    <w:bookmarkStart w:id="35" w:name="page36"/>
    <w:bookmarkEnd w:id="35"/>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September 30,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(loss) income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attributable to 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5"/>
        </w:trPr>
        <w:tc>
          <w:tcPr>
            <w:tcW w:w="3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Comprehensive Income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6"/>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derivatives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120" w:type="dxa"/>
            <w:vAlign w:val="bottom"/>
          </w:tcPr>
          <w:p>
            <w:pPr>
              <w:ind w:left="60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3120" w:type="dxa"/>
            <w:vAlign w:val="bottom"/>
          </w:tcPr>
          <w:p>
            <w:pPr>
              <w:ind w:left="180"/>
              <w:spacing w:after="0"/>
              <w:rPr>
                <w:sz w:val="20"/>
                <w:szCs w:val="20"/>
                <w:color w:val="auto"/>
              </w:rPr>
            </w:pPr>
            <w:r>
              <w:rPr>
                <w:rFonts w:ascii="Arial" w:cs="Arial" w:eastAsia="Arial" w:hAnsi="Arial"/>
                <w:sz w:val="18"/>
                <w:szCs w:val="18"/>
                <w:color w:val="auto"/>
              </w:rPr>
              <w:t>Less: Comprehensive (loss) income</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w w:val="97"/>
              </w:rPr>
              <w:t>attributable to noncontrolling interests</w:t>
            </w: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(Loss)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Attributable to NRG Yield LLC</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702" w:right="43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2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5"/>
          </w:tcPr>
          <w:p>
            <w:pPr>
              <w:ind w:left="6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4,434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23"/>
        </w:trPr>
        <w:tc>
          <w:tcPr>
            <w:tcW w:w="38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3,180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6,844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200" w:hanging="138"/>
        <w:spacing w:after="0"/>
        <w:tabs>
          <w:tab w:leader="none" w:pos="200" w:val="left"/>
        </w:tabs>
        <w:numPr>
          <w:ilvl w:val="0"/>
          <w:numId w:val="19"/>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702" w:right="359" w:bottom="1440" w:gutter="0" w:footer="0" w:header="0"/>
        </w:sectPr>
      </w:pPr>
    </w:p>
    <w:bookmarkStart w:id="37" w:name="page38"/>
    <w:bookmarkEnd w:id="37"/>
    <w:p>
      <w:pPr>
        <w:ind w:left="4060"/>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Current portion of long-term debt — external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Accounts payable — affiliate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31"/>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3,690</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Long-term debt — affiliate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Other non-current liabilities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4,435</w:t>
            </w:r>
          </w:p>
        </w:tc>
        <w:tc>
          <w:tcPr>
            <w:tcW w:w="0" w:type="dxa"/>
            <w:vAlign w:val="bottom"/>
          </w:tcPr>
          <w:p>
            <w:pPr>
              <w:spacing w:after="0"/>
              <w:rPr>
                <w:sz w:val="1"/>
                <w:szCs w:val="1"/>
                <w:color w:val="auto"/>
              </w:rPr>
            </w:pPr>
          </w:p>
        </w:tc>
      </w:tr>
      <w:tr>
        <w:trPr>
          <w:trHeight w:val="217"/>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4,859</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Contributed capital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Retained earnings (accumulated deficit)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44"/>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6,110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6,844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40" w:hanging="138"/>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-98425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300" w:top="918" w:right="299" w:bottom="1440" w:gutter="0" w:footer="0" w:header="0"/>
        </w:sectPr>
      </w:pPr>
    </w:p>
    <w:bookmarkStart w:id="38" w:name="page39"/>
    <w:bookmarkEnd w:id="38"/>
    <w:p>
      <w:pPr>
        <w:jc w:val="center"/>
        <w:ind w:left="960" w:right="2240"/>
        <w:spacing w:after="0" w:line="391" w:lineRule="auto"/>
        <w:rPr>
          <w:sz w:val="20"/>
          <w:szCs w:val="20"/>
          <w:color w:val="auto"/>
        </w:rPr>
      </w:pPr>
      <w:r>
        <w:rPr>
          <w:rFonts w:ascii="Arial" w:cs="Arial" w:eastAsia="Arial" w:hAnsi="Arial"/>
          <w:sz w:val="18"/>
          <w:szCs w:val="18"/>
          <w:b w:val="1"/>
          <w:bCs w:val="1"/>
          <w:color w:val="auto"/>
        </w:rPr>
        <w:t>NRG YIELD LLC AND SUBSIDIARIES CONDENSED CONSOLIDATING STATEMENTS OF CASH FLOWS For the Nine Months Ended September 30, 2015</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2C2C2C"/>
                <w:w w:val="98"/>
              </w:rPr>
              <w:t>LLC (Note</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LLC</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transactions between Yield LLC and</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Drop Down Assets,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Decrease in notes receivable</w:t>
            </w: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investments in unconsolidated affiliates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Transfer of funds under intercompany cash management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arrangement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Proceeds from the issuance of Class C units</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Proceeds from issuance of long-term debt — external</w:t>
            </w: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 — affiliate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for long-term debt — external</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900" w:top="702" w:right="9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5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General and administrative — affiliate</w:t>
            </w:r>
          </w:p>
        </w:tc>
        <w:tc>
          <w:tcPr>
            <w:tcW w:w="5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earnings of consolidated affiliates</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w w:val="99"/>
              </w:rPr>
              <w:t>Equity in earnings of unconsolidated affiliates</w:t>
            </w:r>
          </w:p>
        </w:tc>
        <w:tc>
          <w:tcPr>
            <w:tcW w:w="5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4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4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General and administrative — affiliate</w:t>
            </w:r>
          </w:p>
        </w:tc>
        <w:tc>
          <w:tcPr>
            <w:tcW w:w="4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earnings of consolidated affiliates</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w w:val="99"/>
              </w:rPr>
              <w:t>Equity in earnings of unconsolidated affiliates</w:t>
            </w:r>
          </w:p>
        </w:tc>
        <w:tc>
          <w:tcPr>
            <w:tcW w:w="4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4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26" w:right="239" w:bottom="1440" w:gutter="0" w:footer="0" w:header="0"/>
        </w:sectPr>
      </w:pPr>
    </w:p>
    <w:bookmarkStart w:id="41" w:name="page42"/>
    <w:bookmarkEnd w:id="41"/>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September 30, 2014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Gain (Loss)</w:t>
            </w: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w w:val="97"/>
              </w:rPr>
              <w:t>Unrealized gain (loss) on derivatives</w:t>
            </w:r>
          </w:p>
        </w:tc>
        <w:tc>
          <w:tcPr>
            <w:tcW w:w="5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5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2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702" w:right="439" w:bottom="1440" w:gutter="0" w:footer="0" w:header="0"/>
        </w:sectPr>
      </w:pPr>
    </w:p>
    <w:bookmarkStart w:id="42" w:name="page43"/>
    <w:bookmarkEnd w:id="42"/>
    <w:p>
      <w:pPr>
        <w:jc w:val="center"/>
        <w:ind w:right="-91"/>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December 31, 2014</w:t>
      </w:r>
    </w:p>
    <w:p>
      <w:pPr>
        <w:spacing w:after="0" w:line="370" w:lineRule="exact"/>
        <w:rPr>
          <w:sz w:val="20"/>
          <w:szCs w:val="20"/>
          <w:color w:val="auto"/>
        </w:rPr>
      </w:pPr>
    </w:p>
    <w:tbl>
      <w:tblPr>
        <w:tblLayout w:type="fixed"/>
        <w:tblInd w:w="92"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Operating LLC</w:t>
            </w:r>
          </w:p>
        </w:tc>
        <w:tc>
          <w:tcPr>
            <w:tcW w:w="16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5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receivable — trade</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44"/>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6,208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6,826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32" w:hanging="132"/>
        <w:spacing w:after="0"/>
        <w:tabs>
          <w:tab w:leader="none" w:pos="132" w:val="left"/>
        </w:tabs>
        <w:numPr>
          <w:ilvl w:val="0"/>
          <w:numId w:val="2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12"/>
          </w:cols>
          <w:pgMar w:left="248" w:top="702" w:right="339" w:bottom="1440" w:gutter="0" w:footer="0" w:header="0"/>
        </w:sectPr>
      </w:pPr>
    </w:p>
    <w:bookmarkStart w:id="43" w:name="page44"/>
    <w:bookmarkEnd w:id="43"/>
    <w:p>
      <w:pPr>
        <w:ind w:left="4120"/>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Guarantor</w:t>
            </w: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Non-Guarantor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1"/>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214</w:t>
            </w: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 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31"/>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Long-term debt — 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4,702</w:t>
            </w: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Total Members' Equity</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6,826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18" w:right="2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C2C2C"/>
                <w:w w:val="99"/>
              </w:rPr>
              <w:t>NRG Yield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2C2C2C"/>
                <w:w w:val="98"/>
              </w:rPr>
              <w:t>Operating LLC</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2C2C2C"/>
                <w:w w:val="93"/>
              </w:rPr>
              <w:t>(Note Issuer)</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7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Acquisition of Drop Down Assets, net of cash acquired</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notes receivable</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Proceeds from renewable energy grants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unconsolidated affiliates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contributions from NRG</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Distributions and return of capital to NRG</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Class A units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Payment of distributions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 - external</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w w:val="92"/>
              </w:rPr>
              <w:t>Transfer of funds under intercompany cash management arrangement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long-term debt- external</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Proceeds from long-term debt - affiliate</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53"/>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4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702"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following discussion analyzes the Company's historical financial condition and results of operations, which were recast to include the effect of the June 2014 Drop Down Assets and January 2015 Drop Down Assets on June 30, 2014, and January 2, 2015, respectively. As further discussed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to the Consolidated Financial Statements, the purchase of these assets was accounted for in accordance with ASC 850-50</w:t>
      </w:r>
      <w:r>
        <w:rPr>
          <w:rFonts w:ascii="Arial" w:cs="Arial" w:eastAsia="Arial" w:hAnsi="Arial"/>
          <w:sz w:val="17"/>
          <w:szCs w:val="17"/>
          <w:i w:val="1"/>
          <w:iCs w:val="1"/>
          <w:color w:val="auto"/>
        </w:rPr>
        <w:t>, Business Combinations - Related Issues</w:t>
      </w:r>
      <w:r>
        <w:rPr>
          <w:rFonts w:ascii="Arial" w:cs="Arial" w:eastAsia="Arial" w:hAnsi="Arial"/>
          <w:sz w:val="17"/>
          <w:szCs w:val="17"/>
          <w:color w:val="auto"/>
        </w:rPr>
        <w:t>, pursuant to which the assets and liabilities transferred to the Company relate to interests under common control by NRG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were recorded at historical cost. The difference between the cash proceeds and historical value of the net assets was recorded as a distribution to NRG and reduced the balance of its capital contributed to the Company. The guidance requires retrospective combination of the entities for all periods presented as if the combination has been in effect since the inception of common control.</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you read this discussion and analysis, refer to the Company's Consolidated Statements of Operations to this Form 10-Q, which present the results of operations for the nine months ended September 30, 2015, and 2014. Also refer to the Company's audited consolidated financial statements for the year ended December 31, 2014, included in the Company's Prospectus dated June 22, 2015, which includes detailed discussions of various items impacting the Company's business, results of operations and financial condition.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0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3,824 </w:t>
      </w:r>
      <w:r>
        <w:rPr>
          <w:rFonts w:ascii="Arial" w:cs="Arial" w:eastAsia="Arial" w:hAnsi="Arial"/>
          <w:sz w:val="17"/>
          <w:szCs w:val="17"/>
          <w:color w:val="231F20"/>
        </w:rPr>
        <w:t>net MW.</w:t>
      </w:r>
      <w:r>
        <w:rPr>
          <w:rFonts w:ascii="Arial" w:cs="Arial" w:eastAsia="Arial" w:hAnsi="Arial"/>
          <w:sz w:val="17"/>
          <w:szCs w:val="17"/>
          <w:color w:val="auto"/>
        </w:rPr>
        <w:t xml:space="preserve"> Each of these assets sells substantially all of its output pursuant to long-term offtake agreements with creditworthy counterparties. The average remaining contract duration of these offtake agreements was approximately </w:t>
      </w:r>
      <w:r>
        <w:rPr>
          <w:rFonts w:ascii="Arial" w:cs="Arial" w:eastAsia="Arial" w:hAnsi="Arial"/>
          <w:sz w:val="17"/>
          <w:szCs w:val="17"/>
          <w:color w:val="231F20"/>
        </w:rPr>
        <w:t>17 years</w:t>
      </w:r>
      <w:r>
        <w:rPr>
          <w:rFonts w:ascii="Arial" w:cs="Arial" w:eastAsia="Arial" w:hAnsi="Arial"/>
          <w:sz w:val="17"/>
          <w:szCs w:val="17"/>
          <w:color w:val="auto"/>
        </w:rPr>
        <w:t xml:space="preserve"> </w:t>
      </w:r>
      <w:r>
        <w:rPr>
          <w:rFonts w:ascii="Arial" w:cs="Arial" w:eastAsia="Arial" w:hAnsi="Arial"/>
          <w:sz w:val="17"/>
          <w:szCs w:val="17"/>
          <w:color w:val="231F20"/>
        </w:rPr>
        <w:t xml:space="preserve">as of </w:t>
      </w:r>
      <w:r>
        <w:rPr>
          <w:rFonts w:ascii="Arial" w:cs="Arial" w:eastAsia="Arial" w:hAnsi="Arial"/>
          <w:sz w:val="17"/>
          <w:szCs w:val="17"/>
          <w:color w:val="000000"/>
        </w:rPr>
        <w:t>September 30, 2015</w:t>
      </w:r>
      <w:r>
        <w:rPr>
          <w:rFonts w:ascii="Arial" w:cs="Arial" w:eastAsia="Arial" w:hAnsi="Arial"/>
          <w:sz w:val="17"/>
          <w:szCs w:val="17"/>
          <w:color w:val="231F20"/>
        </w:rPr>
        <w:t xml:space="preserve">, </w:t>
      </w:r>
      <w:r>
        <w:rPr>
          <w:rFonts w:ascii="Arial" w:cs="Arial" w:eastAsia="Arial" w:hAnsi="Arial"/>
          <w:sz w:val="17"/>
          <w:szCs w:val="17"/>
          <w:color w:val="000000"/>
        </w:rPr>
        <w:t>based on cash available for distribution</w:t>
      </w:r>
      <w:r>
        <w:rPr>
          <w:rFonts w:ascii="Arial" w:cs="Arial" w:eastAsia="Arial" w:hAnsi="Arial"/>
          <w:sz w:val="17"/>
          <w:szCs w:val="17"/>
          <w:color w:val="231F20"/>
        </w:rPr>
        <w:t>. The Company also owns thermal infrastructure assets with an aggregate steam and chilled water capacity of 1,310 net MWt and electric generation capacity of 124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 During Quarter</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significant event has occurred since the filing of the Company's last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2015 Drop Down Assets from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3, 2015, the Company acquired 75% of the Class B interests of NRG Wind TE Holdco, or the November 2015 Drop Down Assets, which owns a portfolio of 12 wind facilities totaling 814 net MW, from NRG for total cash consideration of $210 million, subject to working capital adjustments. The Company will be responsible for its pro-rata share of non-recourse project debt of $193 million and noncontrolling interest associated with a tax equity structure of $165 million (as of September 30, 2015).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and regulations surrounding the protection of wildlife, including migratory birds, eagles and threatened and endangered species. Environmental laws have become increasingly stringent and the Company expects this trend to continue.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acquisitions of the June 2014 Drop Down Assets from NRG on June 30, 2014, and the January 2015 Drop Down Assets on January 2, 2015, were accounted for as a transfer of entities under common control. The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 The January 2015 Drop Down Assets are reflected as if the transfer took place on April 1, 2014, which represents the date these entities were acquired by NRG.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0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Trends Affecting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 Segundo Forced Outage</w:t>
      </w:r>
    </w:p>
    <w:p>
      <w:pPr>
        <w:spacing w:after="0" w:line="171"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In January 2015, El Segundo experienced a steam turbine water intrusion resulting in a forced outage on Units 5 and 6. The units returned to service in April 2015. The Company completed a root cause analysis and has implemented steps to prevent a recurrence of the event. The Company reviewed the financial impact of repair costs and lost capacity revenue and expects to collect approximately $4 million of insurance proceeds in the fourth quarter of 2015.</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Wind Resource Availability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Company's results continue to be impacted by lower than normal wind resource availability. While the Company's wind facilities were available, adverse weather had a negative impact on wind resources. The Company cannot predict wind resource availability and its related impact on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0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0"/>
          </w:tcPr>
          <w:p>
            <w:pPr>
              <w:jc w:val="right"/>
              <w:ind w:right="276"/>
              <w:spacing w:after="0"/>
              <w:rPr>
                <w:sz w:val="20"/>
                <w:szCs w:val="20"/>
                <w:color w:val="auto"/>
              </w:rPr>
            </w:pPr>
            <w:r>
              <w:rPr>
                <w:rFonts w:ascii="Arial" w:cs="Arial" w:eastAsia="Arial" w:hAnsi="Arial"/>
                <w:sz w:val="14"/>
                <w:szCs w:val="14"/>
                <w:b w:val="1"/>
                <w:bCs w:val="1"/>
                <w:color w:val="auto"/>
                <w:w w:val="97"/>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right"/>
              <w:ind w:right="291"/>
              <w:spacing w:after="0"/>
              <w:rPr>
                <w:sz w:val="20"/>
                <w:szCs w:val="20"/>
                <w:color w:val="auto"/>
              </w:rPr>
            </w:pPr>
            <w:r>
              <w:rPr>
                <w:rFonts w:ascii="Arial" w:cs="Arial" w:eastAsia="Arial" w:hAnsi="Arial"/>
                <w:sz w:val="14"/>
                <w:szCs w:val="14"/>
                <w:b w:val="1"/>
                <w:bCs w:val="1"/>
                <w:color w:val="auto"/>
                <w:w w:val="91"/>
              </w:rPr>
              <w:t>Nine months ended September 30,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otherwise noted)</w:t>
            </w:r>
          </w:p>
        </w:tc>
        <w:tc>
          <w:tcPr>
            <w:tcW w:w="22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6"/>
              <w:spacing w:after="0"/>
              <w:rPr>
                <w:sz w:val="20"/>
                <w:szCs w:val="20"/>
                <w:color w:val="auto"/>
              </w:rPr>
            </w:pPr>
            <w:r>
              <w:rPr>
                <w:rFonts w:ascii="Arial" w:cs="Arial" w:eastAsia="Arial" w:hAnsi="Arial"/>
                <w:sz w:val="18"/>
                <w:szCs w:val="18"/>
                <w:color w:val="auto"/>
              </w:rPr>
              <w:t>11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645</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 — affiliate</w:t>
            </w:r>
          </w:p>
        </w:tc>
        <w:tc>
          <w:tcPr>
            <w:tcW w:w="2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294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7"/>
              </w:rPr>
              <w:t>Less: Net (loss) income attributable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Net Income Attributable to NRG Yield LLC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10"/>
            <w:vMerge w:val="restart"/>
          </w:tcPr>
          <w:p>
            <w:pPr>
              <w:jc w:val="right"/>
              <w:ind w:right="19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24"/>
                <w:szCs w:val="24"/>
                <w:color w:val="auto"/>
              </w:rPr>
            </w:pPr>
          </w:p>
        </w:tc>
        <w:tc>
          <w:tcPr>
            <w:tcW w:w="2740" w:type="dxa"/>
            <w:vAlign w:val="bottom"/>
            <w:gridSpan w:val="9"/>
            <w:vMerge w:val="restart"/>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vMerge w:val="continue"/>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Borders>
              <w:bottom w:val="single" w:sz="8" w:color="auto"/>
            </w:tcBorders>
            <w:gridSpan w:val="9"/>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Business metrics: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4800" w:type="dxa"/>
            <w:vAlign w:val="bottom"/>
            <w:tcBorders>
              <w:top w:val="single" w:sz="8" w:color="CCEEFF"/>
            </w:tcBorders>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Renewable MWh sold (in thousands) </w:t>
            </w:r>
            <w:r>
              <w:rPr>
                <w:rFonts w:ascii="Arial" w:cs="Arial" w:eastAsia="Arial" w:hAnsi="Arial"/>
                <w:sz w:val="25"/>
                <w:szCs w:val="25"/>
                <w:color w:val="auto"/>
                <w:vertAlign w:val="superscript"/>
              </w:rPr>
              <w:t>(a)</w:t>
            </w:r>
          </w:p>
        </w:tc>
        <w:tc>
          <w:tcPr>
            <w:tcW w:w="2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954</w:t>
            </w: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6"/>
              </w:rPr>
              <w:t>680</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2,858</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Thermal MWt sold (in thousands)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w w:val="86"/>
              </w:rPr>
              <w:t>467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1,519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Thermal MWh sold (in thousands)</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3920" w:hanging="5450"/>
        <w:spacing w:after="0"/>
        <w:tabs>
          <w:tab w:leader="none" w:pos="337"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Volumes sold do not include the MWh generated by the Company's equity method investments.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-144780</wp:posOffset>
            </wp:positionV>
            <wp:extent cx="13893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1140"/>
          </w:cols>
          <w:pgMar w:left="240" w:top="702" w:right="5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September 30, 2015, and 2014</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is defined as energy and capacity revenue less cost of fuels. Economic gross margin does not include mark-to-market gains or losses on economic hedging activities or contract amortization.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composition of economic gross margin for the three months ended September 30, 2015, and 2014:</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64"/>
        </w:trPr>
        <w:tc>
          <w:tcPr>
            <w:tcW w:w="626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2015</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225</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6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Economic gross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206</w:t>
            </w:r>
          </w:p>
        </w:tc>
      </w:tr>
      <w:tr>
        <w:trPr>
          <w:trHeight w:val="284"/>
        </w:trPr>
        <w:tc>
          <w:tcPr>
            <w:tcW w:w="6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Three months ended September 30, 2014</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Economic gross margin increased by $23 million during the three months ended September 30, 2015, compared to the same period in 2014, primarily due to the acquisition of the Alta Wind Portfolio in August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Conventional</w:t>
            </w: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Renewables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Total</w:t>
            </w:r>
          </w:p>
        </w:tc>
      </w:tr>
      <w:tr>
        <w:trPr>
          <w:trHeight w:val="264"/>
        </w:trPr>
        <w:tc>
          <w:tcPr>
            <w:tcW w:w="626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2015</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Three months ended September 30, 2014</w:t>
            </w:r>
          </w:p>
        </w:tc>
        <w:tc>
          <w:tcPr>
            <w:tcW w:w="112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11</w:t>
            </w:r>
          </w:p>
        </w:tc>
        <w:tc>
          <w:tcPr>
            <w:tcW w:w="3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27</w:t>
            </w: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Operations and maintenance expense increased by $6 million during the three months ended September 30, 2015, compared to the same period in 2014, primarily due to the Alta Wind Portfolio acquired in August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costs of operations increased by $4 million during the three months ended September 30, 2015, compared to the same period in 2014, primarily due to an increase in property taxes resulting from the acquisition of the Alta Wind Portfolio in August 2014.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increased by $16 million during the three months ended September 30, 2015, compared to the same period in 2014, due to the impact of the adjustments to the acquisition accounting for the January 2015 Drop Down Assets and the acquisition of the Alta Wind Portfolio in August 2014.</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$8 million during the three months ended September 30, 2015, compared to the same period in 2014, due primarily to the acquisition of Desert Sunlight on June 29, 2015, as well as increased equity in earnings from CVSR, partially offset by losses from RPV Holdco.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0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increased by $13 million during the three months ended September 30, 2015, compared to the same period in 2014, due primarily to:</w:t>
      </w:r>
    </w:p>
    <w:p>
      <w:pPr>
        <w:spacing w:after="0" w:line="200" w:lineRule="exact"/>
        <w:rPr>
          <w:sz w:val="20"/>
          <w:szCs w:val="20"/>
          <w:color w:val="auto"/>
        </w:rPr>
      </w:pPr>
    </w:p>
    <w:p>
      <w:pPr>
        <w:spacing w:after="0" w:line="215"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6"/>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the issuance of intercompany debt with Yield, Inc. due 2019 and the Senior Notes due 2024</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Increase due to acquisition of the Alta Wind Portfolio in August 2014</w:t>
            </w:r>
          </w:p>
        </w:tc>
        <w:tc>
          <w:tcPr>
            <w:tcW w:w="4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9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changes in the fair value of interest rate swaps</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Decrease from repricing of project-level financing arrangements and principal repayments</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9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September 30, 2015, the Company had a net loss of $5 million attributable to noncontrolling interests with respect to its tax equity financing arrangements and the application of the HLBV method.</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70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2015, and 2014</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is defined as energy and capacity revenue less cost of fuels. Economic gross margin does not include mark-to-market gains or losses on economic hedging activities or contract amortization.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composition of economic gross margin for the nine months ended September 30, 2015, and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Conventional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Nine months ended September 30, 2015</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645</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97"/>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Economic gross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588</w:t>
            </w:r>
          </w:p>
        </w:tc>
      </w:tr>
      <w:tr>
        <w:trPr>
          <w:trHeight w:val="284"/>
        </w:trPr>
        <w:tc>
          <w:tcPr>
            <w:tcW w:w="5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Nine months ended September 30, 2014</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444</w:t>
            </w: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Economic gross margin increased by $144 million during the nine months ended September 30, 2015, compared to the same period in 2014 due to:</w:t>
      </w:r>
    </w:p>
    <w:p>
      <w:pPr>
        <w:sectPr>
          <w:pgSz w:w="11900" w:h="16838" w:orient="portrait"/>
          <w:cols w:equalWidth="0" w:num="1">
            <w:col w:w="11420"/>
          </w:cols>
          <w:pgMar w:left="240" w:top="702" w:right="239" w:bottom="1440" w:gutter="0" w:footer="0" w:header="0"/>
        </w:sect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0" w:lineRule="exact"/>
        <w:rPr>
          <w:sz w:val="20"/>
          <w:szCs w:val="20"/>
          <w:color w:val="auto"/>
        </w:rPr>
      </w:pPr>
    </w:p>
    <w:p>
      <w:pPr>
        <w:ind w:left="200" w:right="240" w:hanging="161"/>
        <w:spacing w:after="0" w:line="277" w:lineRule="auto"/>
        <w:rPr>
          <w:sz w:val="20"/>
          <w:szCs w:val="20"/>
          <w:color w:val="auto"/>
        </w:rPr>
      </w:pPr>
      <w:r>
        <w:rPr>
          <w:rFonts w:ascii="Arial" w:cs="Arial" w:eastAsia="Arial" w:hAnsi="Arial"/>
          <w:sz w:val="18"/>
          <w:szCs w:val="18"/>
          <w:color w:val="auto"/>
        </w:rPr>
        <w:t>Increase in Renewables gross margin due to the acquisition of the Alta Wind Portfolio in August 2014 and the Tapestry and Laredo Ridge projects, which were acquired by NRG in April 2014 and sold to the Company on January 2, 2015</w:t>
      </w:r>
    </w:p>
    <w:p>
      <w:pPr>
        <w:spacing w:after="0" w:line="8" w:lineRule="exact"/>
        <w:rPr>
          <w:sz w:val="20"/>
          <w:szCs w:val="20"/>
          <w:color w:val="auto"/>
        </w:rPr>
      </w:pPr>
    </w:p>
    <w:p>
      <w:pPr>
        <w:ind w:left="200" w:hanging="161"/>
        <w:spacing w:after="0" w:line="264" w:lineRule="auto"/>
        <w:rPr>
          <w:sz w:val="20"/>
          <w:szCs w:val="20"/>
          <w:color w:val="auto"/>
        </w:rPr>
      </w:pPr>
      <w:r>
        <w:rPr>
          <w:rFonts w:ascii="Arial" w:cs="Arial" w:eastAsia="Arial" w:hAnsi="Arial"/>
          <w:sz w:val="18"/>
          <w:szCs w:val="18"/>
          <w:color w:val="auto"/>
        </w:rPr>
        <w:t>Increase in Conventional gross margin due to Walnut Creek, which was acquired by NRG in April 2014 and sold to the Company on January 2, 2015, partially offset by reduced revenues at El Segundo due to the forced outage in the first half of 2015, returning to service in April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Decrease in Thermal gross margin due to milder weather conditions in the first nine months of 2015 compared to 2014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9"/>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132</w:t>
      </w:r>
    </w:p>
    <w:p>
      <w:pPr>
        <w:spacing w:after="0" w:line="200" w:lineRule="exact"/>
        <w:rPr>
          <w:sz w:val="20"/>
          <w:szCs w:val="20"/>
          <w:color w:val="auto"/>
        </w:rPr>
      </w:pP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6515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57" w:lineRule="exact"/>
        <w:rPr>
          <w:sz w:val="20"/>
          <w:szCs w:val="20"/>
          <w:color w:val="auto"/>
        </w:rPr>
      </w:pPr>
    </w:p>
    <w:p>
      <w:pPr>
        <w:ind w:left="620" w:hanging="619"/>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6515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48895</wp:posOffset>
            </wp:positionV>
            <wp:extent cx="6515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10200" w:space="220"/>
            <w:col w:w="1000"/>
          </w:cols>
          <w:pgMar w:left="240" w:top="702" w:right="239" w:bottom="1440" w:gutter="0" w:footer="0" w:header="0"/>
          <w:type w:val="continuous"/>
        </w:sectPr>
      </w:pPr>
    </w:p>
    <w:p>
      <w:pPr>
        <w:jc w:val="both"/>
        <w:ind w:right="20" w:firstLine="405"/>
        <w:spacing w:after="0" w:line="313" w:lineRule="auto"/>
        <w:rPr>
          <w:sz w:val="20"/>
          <w:szCs w:val="20"/>
          <w:color w:val="auto"/>
        </w:rPr>
      </w:pPr>
      <w:r>
        <w:rPr>
          <w:rFonts w:ascii="Arial" w:cs="Arial" w:eastAsia="Arial" w:hAnsi="Arial"/>
          <w:sz w:val="17"/>
          <w:szCs w:val="17"/>
          <w:color w:val="auto"/>
        </w:rPr>
        <w:t>Contract amortization increased by $21 million during the nine months ended September 30, 2015</w:t>
      </w:r>
      <w:r>
        <w:rPr>
          <w:rFonts w:ascii="Arial" w:cs="Arial" w:eastAsia="Arial" w:hAnsi="Arial"/>
          <w:sz w:val="17"/>
          <w:szCs w:val="17"/>
          <w:b w:val="1"/>
          <w:bCs w:val="1"/>
          <w:color w:val="auto"/>
        </w:rPr>
        <w:t>,</w:t>
      </w:r>
      <w:r>
        <w:rPr>
          <w:rFonts w:ascii="Arial" w:cs="Arial" w:eastAsia="Arial" w:hAnsi="Arial"/>
          <w:sz w:val="17"/>
          <w:szCs w:val="17"/>
          <w:color w:val="auto"/>
        </w:rPr>
        <w:t xml:space="preserve"> compared to the same period in 2014 due to the amortization of the PPAs acquired in the acquisitions of the Alta Wind Portfolio in August 2014 and the January 2015 Drop Down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Mark-to-market for economic hedging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Mark-to-market results for the nine months ended September 30, 2015, represent the unrealized gains on forward contracts with an NRG subsidiary hedging the sale of power from the Alta X and Alta XI wind facilities extending through the end of 2015, as further described in Note 7 </w:t>
      </w:r>
      <w:r>
        <w:rPr>
          <w:rFonts w:ascii="Arial" w:cs="Arial" w:eastAsia="Arial" w:hAnsi="Arial"/>
          <w:sz w:val="18"/>
          <w:szCs w:val="18"/>
          <w:i w:val="1"/>
          <w:iCs w:val="1"/>
          <w:color w:val="auto"/>
        </w:rPr>
        <w:t>—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 .</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6"/>
                <w:szCs w:val="16"/>
                <w:color w:val="auto"/>
              </w:rPr>
            </w:pPr>
          </w:p>
        </w:tc>
        <w:tc>
          <w:tcPr>
            <w:tcW w:w="98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Renewables</w:t>
            </w:r>
          </w:p>
        </w:tc>
        <w:tc>
          <w:tcPr>
            <w:tcW w:w="300" w:type="dxa"/>
            <w:vAlign w:val="bottom"/>
          </w:tcPr>
          <w:p>
            <w:pPr>
              <w:spacing w:after="0"/>
              <w:rPr>
                <w:sz w:val="16"/>
                <w:szCs w:val="16"/>
                <w:color w:val="auto"/>
              </w:rPr>
            </w:pPr>
          </w:p>
        </w:tc>
        <w:tc>
          <w:tcPr>
            <w:tcW w:w="940" w:type="dxa"/>
            <w:vAlign w:val="bottom"/>
          </w:tcPr>
          <w:p>
            <w:pPr>
              <w:jc w:val="right"/>
              <w:ind w:right="216"/>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Total</w:t>
            </w:r>
          </w:p>
        </w:tc>
      </w:tr>
      <w:tr>
        <w:trPr>
          <w:trHeight w:val="264"/>
        </w:trPr>
        <w:tc>
          <w:tcPr>
            <w:tcW w:w="424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20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2015</w:t>
            </w:r>
          </w:p>
        </w:tc>
        <w:tc>
          <w:tcPr>
            <w:tcW w:w="2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Nine months ended September 30, 2014</w:t>
            </w:r>
          </w:p>
        </w:tc>
        <w:tc>
          <w:tcPr>
            <w:tcW w:w="2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73</w:t>
            </w:r>
          </w:p>
        </w:tc>
      </w:tr>
      <w:tr>
        <w:trPr>
          <w:trHeight w:val="621"/>
        </w:trPr>
        <w:tc>
          <w:tcPr>
            <w:tcW w:w="4240" w:type="dxa"/>
            <w:vAlign w:val="bottom"/>
          </w:tcPr>
          <w:p>
            <w:pPr>
              <w:spacing w:after="0"/>
              <w:rPr>
                <w:sz w:val="24"/>
                <w:szCs w:val="24"/>
                <w:color w:val="auto"/>
              </w:rPr>
            </w:pP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702" w:right="239" w:bottom="1440" w:gutter="0" w:footer="0" w:header="0"/>
          <w:type w:val="continuous"/>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Operations and maintenance expense increased by $33 million during the nine months ended September 30, 2015, compared to the same period in 2014, primarily due to the acquisitions of the Alta Wind Portfolio in August 2014 and the January 2015 Drop Down Assets, as well as El Segundo's forced outage in the first half of 2015, returning to service in April 2015.</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costs of operations increased by $21 million during the nine months ended September 30, 2015, compared to the same period in 2014, primarily due an increase in property taxes resulting from the acquisition of the Alta Wind Portfolio in August 2014 and the January 2015 Drop Down Assets.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increased by $51 million during the nine months ended September 30, 2015, compared to the same period in 2014, due primarily to the acquisition of the Alta Wind Portfolio in August 2014 and the January 2015 Drop Down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earnings of unconsolidated affiliates increased by $3 million during the nine months ended September 30, 2015, compared to the same period in 2014, due primarily to the acquisition of Desert Sunlight on June 29, 2015, partially offset by losses from RPV Holdco.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increased by $65 million during the nine months ended September 30, 2015, compared to the same period in 2014, due to:</w:t>
      </w:r>
    </w:p>
    <w:p>
      <w:pPr>
        <w:spacing w:after="0" w:line="200" w:lineRule="exact"/>
        <w:rPr>
          <w:sz w:val="20"/>
          <w:szCs w:val="20"/>
          <w:color w:val="auto"/>
        </w:rPr>
      </w:pP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6"/>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the acquisition of the Alta Wind Portfolio in August 2014 and the acquisition of the January 2015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Increase from the issuance of intercompany debt with Yield, Inc. due 2019 and the Senior Notes due 2024</w:t>
            </w:r>
          </w:p>
        </w:tc>
        <w:tc>
          <w:tcPr>
            <w:tcW w:w="4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9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from repricing of project-level financing arrangements and principal repayments</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Decrease from changes in the fair value of interest rate swaps</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225" w:lineRule="exact"/>
        <w:rPr>
          <w:sz w:val="20"/>
          <w:szCs w:val="20"/>
          <w:color w:val="auto"/>
        </w:rPr>
      </w:pPr>
    </w:p>
    <w:p>
      <w:pPr>
        <w:jc w:val="both"/>
        <w:ind w:right="300" w:firstLine="405"/>
        <w:spacing w:after="0" w:line="277" w:lineRule="auto"/>
        <w:rPr>
          <w:sz w:val="20"/>
          <w:szCs w:val="20"/>
          <w:color w:val="auto"/>
        </w:rPr>
      </w:pPr>
      <w:r>
        <w:rPr>
          <w:rFonts w:ascii="Arial" w:cs="Arial" w:eastAsia="Arial" w:hAnsi="Arial"/>
          <w:sz w:val="18"/>
          <w:szCs w:val="18"/>
          <w:color w:val="auto"/>
        </w:rPr>
        <w:t>For the nine months ended September 30, 2015, the Company had income of $2 million attributable to noncontrolling interests with respect to its tax equity financing arrangements and the application of the HLBV method.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0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to service debt and to pay distributions. Historically, the Company's predecessor operations were financed as part of NRG's integrated operations and largely relied on internally generated cash flows as well as corporate and/or project-level borrowings to satisfy its capital expenditure requirements. </w:t>
      </w:r>
      <w:r>
        <w:rPr>
          <w:rFonts w:ascii="Arial" w:cs="Arial" w:eastAsia="Arial" w:hAnsi="Arial"/>
          <w:sz w:val="17"/>
          <w:szCs w:val="17"/>
          <w:color w:val="000000"/>
        </w:rPr>
        <w:t>As a normal part of the Company's business, depending on market conditions, the Company will from time to time consider</w:t>
      </w:r>
      <w:r>
        <w:rPr>
          <w:rFonts w:ascii="Arial" w:cs="Arial" w:eastAsia="Arial" w:hAnsi="Arial"/>
          <w:sz w:val="17"/>
          <w:szCs w:val="17"/>
          <w:color w:val="231F20"/>
        </w:rPr>
        <w:t xml:space="preserve"> </w:t>
      </w:r>
      <w:r>
        <w:rPr>
          <w:rFonts w:ascii="Arial" w:cs="Arial" w:eastAsia="Arial" w:hAnsi="Arial"/>
          <w:sz w:val="17"/>
          <w:szCs w:val="17"/>
          <w:color w:val="000000"/>
        </w:rPr>
        <w:t>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2015</w:t>
      </w:r>
      <w:r>
        <w:rPr>
          <w:rFonts w:ascii="Arial" w:cs="Arial" w:eastAsia="Arial" w:hAnsi="Arial"/>
          <w:sz w:val="17"/>
          <w:szCs w:val="17"/>
          <w:color w:val="231F20"/>
        </w:rPr>
        <w:t xml:space="preserve">, and </w:t>
      </w:r>
      <w:r>
        <w:rPr>
          <w:rFonts w:ascii="Arial" w:cs="Arial" w:eastAsia="Arial" w:hAnsi="Arial"/>
          <w:sz w:val="17"/>
          <w:szCs w:val="17"/>
          <w:color w:val="000000"/>
        </w:rPr>
        <w:t>December 31, 2014</w:t>
      </w:r>
      <w:r>
        <w:rPr>
          <w:rFonts w:ascii="Arial" w:cs="Arial" w:eastAsia="Arial" w:hAnsi="Arial"/>
          <w:sz w:val="17"/>
          <w:szCs w:val="17"/>
          <w:color w:val="231F20"/>
        </w:rPr>
        <w:t xml:space="preserve">, the Company's liquidity was approximately </w:t>
      </w:r>
      <w:r>
        <w:rPr>
          <w:rFonts w:ascii="Arial" w:cs="Arial" w:eastAsia="Arial" w:hAnsi="Arial"/>
          <w:sz w:val="17"/>
          <w:szCs w:val="17"/>
          <w:color w:val="000000"/>
        </w:rPr>
        <w:t>$572 million</w:t>
      </w:r>
      <w:r>
        <w:rPr>
          <w:rFonts w:ascii="Arial" w:cs="Arial" w:eastAsia="Arial" w:hAnsi="Arial"/>
          <w:sz w:val="17"/>
          <w:szCs w:val="17"/>
          <w:color w:val="231F20"/>
        </w:rPr>
        <w:t xml:space="preserve"> and $863 million, respectively, comprised of cash, restricted cash, and availability under the Company's revolving credit facility. The decrease primarily relates to the acquisition of the January 2015 Drop Down Assets. The Company's various financing arrangements are described in Note 8, </w:t>
      </w:r>
      <w:r>
        <w:rPr>
          <w:rFonts w:ascii="Arial" w:cs="Arial" w:eastAsia="Arial" w:hAnsi="Arial"/>
          <w:sz w:val="17"/>
          <w:szCs w:val="17"/>
          <w:i w:val="1"/>
          <w:iCs w:val="1"/>
          <w:color w:val="231F20"/>
        </w:rPr>
        <w:t>Long-term Debt.</w:t>
      </w:r>
    </w:p>
    <w:p>
      <w:pPr>
        <w:spacing w:after="0" w:line="1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finance growth, operating and maintenance capital expenditures, and to fund distributions to Yield, Inc. and NRG, both in the near and longer term. Management continues to regularly monitor the Company's ability to finance the needs of its operating, financing and investing activity within the dictates of prudent balance sheet management.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September 18, 2015, S&amp;P reaffirmed its corporate credit rating of BB+ on the Company's Senior Notes due 2024. The rating outlook is stable.</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6, 2015, Moody's lowered its corporate credit ratings on the Company's Senior Notes due 2024 to Ba2 from Ba1. The rating outlook is stable.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securities by Yield, Inc. as appropriate given market conditions. As described in Note 8, </w:t>
      </w:r>
      <w:r>
        <w:rPr>
          <w:rFonts w:ascii="Arial" w:cs="Arial" w:eastAsia="Arial" w:hAnsi="Arial"/>
          <w:sz w:val="18"/>
          <w:szCs w:val="18"/>
          <w:i w:val="1"/>
          <w:iCs w:val="1"/>
          <w:color w:val="231F20"/>
        </w:rPr>
        <w:t>Long-term Debt</w:t>
      </w:r>
      <w:r>
        <w:rPr>
          <w:rFonts w:ascii="Arial" w:cs="Arial" w:eastAsia="Arial" w:hAnsi="Arial"/>
          <w:sz w:val="18"/>
          <w:szCs w:val="18"/>
          <w:color w:val="231F20"/>
        </w:rPr>
        <w:t>, the Company's financing arrangements consist of the revolving credit facility, the Senior Notes, its intercompany borrowings with Yield, Inc. and project-level financings for its various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Recapitalization</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The Recapitalization enhances Yield, Inc.’s and the Company's ability to focus on growth opportunities without the constraints of NRG’s capital allocation to the Company, while maintaining Yield, Inc.’s and the Company's relationship with NRG. The Company also amended its operating agreement to reflect the Recapitalization. Effective May 14, 2015, each Class A unit of the Company was automatically reclassified into one Class A unit and one Class C unit and each Class B unit of the Company was automatically reclassified into one Class B unit and one Class D unit. The Recapitalization preserves NRG’s management and operational expertise, asset development and acquisition track record, financing experience and provides flexibility to raise capital to fund the Company's growth.</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Class C common stock and Class D common stock have the same rights and privileges and rank equally, share ratably and are identical in all respects to the shares of Class A common stock and Class B common stock, respectively, as to all matters, except that each share of Class C common stock and Class D common stock is entitled to 1/100th of a vote on all stockholder matters. Generally, the rights associated with each Class C unit mirror the rights associated with each Class A unit, and the rights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02"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associated with each Class D unit mirror the rights associated with each Class B unit. Like holders of Class A units and Class B units, holders of Class C units and Class D units have no voting rights.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the amendments described above, the ROFO Agreement was amended to make additional assets available to the Company and Yield, Inc., should NRG choose to sell them, including (i) two natural gas facilities totaling 795 MW of net capacity that are expected to reach COD in 2017 and 2020, (ii) an equity interest in a wind portfolio that includes wind facilities totaling approximately 934 MW of net capacity, the majority of which was sold to the Company on November 3, 2015, and (iii) up to $250 million of equity interests in one or more residential or distributed solar generation portfolios developed by affiliates of NRG.</w:t>
      </w:r>
    </w:p>
    <w:p>
      <w:pPr>
        <w:spacing w:after="0" w:line="26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June 29, 2015, Yield, Inc. issued 28,198,000 shares of Class C common stock for net proceeds, after underwriting discounts and expenses, of $599 million, net of underwriting discounts and commissions of $21 million. Yield, Inc. utilized the proceeds of the offering to acquire 28,198,000 additional Class C units of NRG Yield LLC and, as a result, it currently owns 53.3% of the economic interests of the Company, with NRG retaining 46.7% of the economic interests of the Company. Additionally, on June 29, 2015, Yield, Inc. completed an offering of $287.5 million aggregate principal amount of 3.25% Convertible Notes due 2020, which proceeds were subsequently lent to Yield Operating LLC.</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8</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(ii) capital expenditures; (iii) acquisitions and investments; and (iv) distributions.</w:t>
      </w:r>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3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capital spending program is mainly focused on maintenance capital expenditures, or costs to maintain the assets currently operating, such as costs to replace or refurbish assets during routine maintenance. The Company develops annual capital spending plans based on projected requirements for maintenance capital. For the nine months ended </w:t>
      </w:r>
      <w:r>
        <w:rPr>
          <w:rFonts w:ascii="Arial" w:cs="Arial" w:eastAsia="Arial" w:hAnsi="Arial"/>
          <w:sz w:val="18"/>
          <w:szCs w:val="18"/>
          <w:color w:val="000000"/>
        </w:rPr>
        <w:t>September 30, 2015</w:t>
      </w:r>
      <w:r>
        <w:rPr>
          <w:rFonts w:ascii="Arial" w:cs="Arial" w:eastAsia="Arial" w:hAnsi="Arial"/>
          <w:sz w:val="18"/>
          <w:szCs w:val="18"/>
          <w:color w:val="231F20"/>
        </w:rPr>
        <w:t xml:space="preserve">, and 2014, the Company used approximately $16 million and $28 million, respectively, to fund capital expenditures. The capital expenditures in the first </w:t>
      </w:r>
      <w:r>
        <w:rPr>
          <w:rFonts w:ascii="Arial" w:cs="Arial" w:eastAsia="Arial" w:hAnsi="Arial"/>
          <w:sz w:val="18"/>
          <w:szCs w:val="18"/>
          <w:color w:val="000000"/>
        </w:rPr>
        <w:t>nine months</w:t>
      </w:r>
      <w:r>
        <w:rPr>
          <w:rFonts w:ascii="Arial" w:cs="Arial" w:eastAsia="Arial" w:hAnsi="Arial"/>
          <w:sz w:val="18"/>
          <w:szCs w:val="18"/>
          <w:color w:val="231F20"/>
        </w:rPr>
        <w:t xml:space="preserve"> of 2015 relate to maintenance expenses in the amount of $7 million as well as growth expenditures for the thermal projects in the amount of $9 million.</w:t>
      </w:r>
    </w:p>
    <w:p>
      <w:pPr>
        <w:spacing w:after="0" w:line="134"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In January 2015, El Segundo experienced a steam turbine water intrusion resulting in a forced outage on Units 5 and 6. The units returned to service in April 2015. The Company completed a root cause analysis and has implemented steps to prevent a recurrence of the event. The Company reviewed the financial impact of repair costs and lost capacity revenue and expects to collect approximately $4 million of insurance proceeds in the fourth quarter of 2015.</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intends to acquire generation assets developed and constructed by NRG in the future, as well as generation and thermal infrastructure assets from third parties where the Company believes its knowledge of the market, operating expertise and access to capital provides a competitive advantage, and to utilize such acquisitions as a means to grow its cash available for distribution. The following acquisitions and investments have occurred to date in 2015:</w:t>
      </w:r>
    </w:p>
    <w:p>
      <w:pPr>
        <w:spacing w:after="0" w:line="133" w:lineRule="exact"/>
        <w:rPr>
          <w:sz w:val="20"/>
          <w:szCs w:val="20"/>
          <w:color w:val="auto"/>
        </w:rPr>
      </w:pPr>
    </w:p>
    <w:p>
      <w:pPr>
        <w:jc w:val="both"/>
        <w:ind w:left="6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November 3, 2015, the Company acquired 75% of the Class B interests of NRG Wind TE Holdco, which owns a portfolio of 12 wind facilities totaling 814 net MW, from NRG for total cash consideration of $210 million, subject to working capital adjustments. The Company will be responsible for its pro-rata share of non-recourse project debt of $193 million and noncontrolling interest associated with a tax equity structure of $165 million (as of September 30, 2015).</w:t>
      </w:r>
    </w:p>
    <w:p>
      <w:pPr>
        <w:spacing w:after="0" w:line="14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June 30, 2015, the Company sold an economic interest in the Alta X and Alta XI wind facilities through a tax equity financing arrangement and received $119 million in net proceeds. These proceeds, as well as proceeds obtained from Yield, Inc.'s equity and debt offerings completed in the second quarter of 2015, were utilized to repay all of the outstanding project indebtedness associated with the Alta X and Alta XI wind facilities.</w:t>
      </w:r>
    </w:p>
    <w:p>
      <w:pPr>
        <w:spacing w:after="0" w:line="10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June 29, 2015, Yield Operating acquired 25% of the membership interest in Desert Sunlight Investment Holdings, LLC, which owns two solar photovoltaic facilities totaling 550 MW, located in Desert Center, California, from EFS Desert Sun, LLC, a subsidiary of GE Energy Financial Services, for a purchase price of $285 million, utilizing a portion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06" w:right="239" w:bottom="1440" w:gutter="0" w:footer="0" w:header="0"/>
        </w:sectPr>
      </w:pPr>
    </w:p>
    <w:bookmarkStart w:id="55" w:name="page56"/>
    <w:bookmarkEnd w:id="55"/>
    <w:p>
      <w:pPr>
        <w:ind w:left="660" w:right="20"/>
        <w:spacing w:after="0" w:line="324" w:lineRule="auto"/>
        <w:rPr>
          <w:sz w:val="20"/>
          <w:szCs w:val="20"/>
          <w:color w:val="auto"/>
        </w:rPr>
      </w:pPr>
      <w:r>
        <w:rPr>
          <w:rFonts w:ascii="Arial" w:cs="Arial" w:eastAsia="Arial" w:hAnsi="Arial"/>
          <w:sz w:val="18"/>
          <w:szCs w:val="18"/>
          <w:color w:val="auto"/>
        </w:rPr>
        <w:t>of the proceeds from the Yield, Inc. Class C common stock issuance. The Company's pro-rata share of non-recourse project level debt was $285 million as of September 30, 2015.</w:t>
      </w:r>
    </w:p>
    <w:p>
      <w:pPr>
        <w:spacing w:after="0" w:line="143" w:lineRule="exact"/>
        <w:rPr>
          <w:sz w:val="20"/>
          <w:szCs w:val="20"/>
          <w:color w:val="auto"/>
        </w:rPr>
      </w:pPr>
    </w:p>
    <w:p>
      <w:pPr>
        <w:jc w:val="both"/>
        <w:ind w:left="660" w:right="2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May 7, 2015, the Company acquired a 90.1% interest in Spring Canyon II, a 34 MW wind facility, and Spring Canyon III, a 29 MW wind facility, each located in Logan County, Colorado, from Invenergy Wind Global LLC. The purchase price was funded with cash on hand. Power generated by Spring Canyon II and Spring Canyon III is sold to Platte River Power Authority under long-term PPAs with approximately 24 years of remaining contract life.</w:t>
      </w:r>
    </w:p>
    <w:p>
      <w:pPr>
        <w:spacing w:after="0" w:line="186"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May 2015, the Company and NRG formed a partnership that will invest in and hold operating portfolios of distributed solar assets developed by NRG Renew, a subsidiary of NRG. The partnership will allow NRG to periodically monetize its distributed solar investments and the Company to invest in a growing segment of the solar market. Under the terms of the partnership agreement, the Company will receive 95% of the economics until achieving a targeted return, expected to be achieved commensurate with the end of the customer contract period, after which NRG will receive 95% of the economics. The Company has initially committed to invest up to $100 million of cash contributions into the partnership over time. The partnership is expected to be fully invested over the next 15 months.</w:t>
      </w:r>
    </w:p>
    <w:p>
      <w:pPr>
        <w:spacing w:after="0" w:line="124"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April 30, 2015, the Company completed the acquisition of the University of Bridgeport Fuel Cell project in Bridgeport, Connecticut from FuelCell Energy, Inc. The project added an additional 1.4 MW of thermal capacity with a 12 year contract, with the option for a 7-year extension.</w:t>
      </w:r>
    </w:p>
    <w:p>
      <w:pPr>
        <w:spacing w:after="0" w:line="69"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April 9, 2015, NRG and the Company entered into a partnership that will invest in and hold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in which the Company invested $26 million in April 2015; and (ii) tax equity financed portfolios of approximately 13,000 leases representing approximately 90 MW, with an average lease term for the existing and new leases of approximately 17 to 20 years, in which the Company invested $21 million of its $150 million commitment through September 30, 2015.</w:t>
      </w:r>
    </w:p>
    <w:p>
      <w:pPr>
        <w:spacing w:after="0" w:line="139"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January 2, 2015, the Company acquired the following projects from NRG: (i) Laredo Ridge, an 80 MW wind facility located in Nebraska; (ii) the Tapestry projects, which include Buffalo Bear, a 19 MW wind facility in Oklahoma; Taloga, a 130 MW wind facility in Oklahoma; and Pinnacle, a 55 MW wind facility in West Virginia; and (iii) Walnut Creek, a 485 MW natural gas facility located in California, for total cash consideration of $489 million including adjustments of $9 million for working capital, plus assumed project level debt of $737 million. The Company funded the acquisition with cash on hand and approximately $210 million borrowed under the Company's revolving credit facility.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Cash Distributions to Yield, Inc. and NRG</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231F20"/>
        </w:rPr>
        <w:t xml:space="preserve">The Company intends to distribute to its unit holders in the form of a quarterly distribution all of the cash available for distribution that is generated each quarter less reserves for the prudent conduct of the business, including among others, maintenance capital expenditures to maintain the operating capacity of the assets. Cash available for distribution is defined as earnings before income taxes, depreciation and amortization, excluding contract amortization, cash interest paid, income taxes paid, maintenance capital expenditures, investments in unconsolidated affiliates, growth capital expenditures, net of capital and debt funding, and principal amortization of indebtedness, and including cash distributions from unconsolidated affiliates. Distributions on units </w:t>
      </w:r>
      <w:r>
        <w:rPr>
          <w:rFonts w:ascii="Arial" w:cs="Arial" w:eastAsia="Arial" w:hAnsi="Arial"/>
          <w:sz w:val="17"/>
          <w:szCs w:val="17"/>
          <w:color w:val="000000"/>
        </w:rPr>
        <w:t>are subject to available capital, market conditions, and compliance with associated laws, regulations and other contractual obligations. The Company</w:t>
      </w:r>
      <w:r>
        <w:rPr>
          <w:rFonts w:ascii="Arial" w:cs="Arial" w:eastAsia="Arial" w:hAnsi="Arial"/>
          <w:sz w:val="17"/>
          <w:szCs w:val="17"/>
          <w:color w:val="231F20"/>
        </w:rPr>
        <w:t xml:space="preserve"> </w:t>
      </w:r>
      <w:r>
        <w:rPr>
          <w:rFonts w:ascii="Arial" w:cs="Arial" w:eastAsia="Arial" w:hAnsi="Arial"/>
          <w:sz w:val="17"/>
          <w:szCs w:val="17"/>
          <w:color w:val="000000"/>
        </w:rPr>
        <w:t>expects that, based on current circumstances, comparable distributions will continue to be paid in the foreseeable future.</w:t>
      </w:r>
    </w:p>
    <w:p>
      <w:pPr>
        <w:spacing w:after="0" w:line="12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As a result of the Yield, Inc. recapitalization, the Company adjusted its distribution policy to reflect the additional number of Class C and Class D units outstanding. The following table lists the distributions paid on the Company's Class A, B, C and D units during the nine months ended September 30, 2015:</w:t>
      </w:r>
    </w:p>
    <w:p>
      <w:pPr>
        <w:spacing w:after="0" w:line="4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2015</w:t>
            </w:r>
          </w:p>
        </w:tc>
        <w:tc>
          <w:tcPr>
            <w:tcW w:w="1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Second Quarter</w:t>
            </w: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First Quarter 2015</w:t>
            </w: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unit A, B</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Distributions per unit C, D</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November 4, 2015, the Company announced the declaration of a distribution on its Class A, Class B, Class C and Class D units of $0.215 per unit payable on December 15, 2015 to unit holders of record as of December 1, 2015.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3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Cash Flow Discussion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cash flows for the nine months ended September 30, 2015, compared to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269</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(896)</w:t>
            </w:r>
          </w:p>
        </w:tc>
        <w:tc>
          <w:tcPr>
            <w:tcW w:w="36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(1,108)</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346</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1,193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432"/>
        </w:trPr>
        <w:tc>
          <w:tcPr>
            <w:tcW w:w="81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12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net distributions from unconsolidated affiliates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Increase in operating income adjusted for non-cash items and changes in working capital</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12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acquire businesses, net of cash acquired (primarily the Alta acquisition in 2014)</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9"/>
        </w:trPr>
        <w:tc>
          <w:tcPr>
            <w:tcW w:w="10340" w:type="dxa"/>
            <w:vAlign w:val="bottom"/>
            <w:gridSpan w:val="6"/>
          </w:tcPr>
          <w:p>
            <w:pPr>
              <w:ind w:left="40"/>
              <w:spacing w:after="0"/>
              <w:rPr>
                <w:sz w:val="20"/>
                <w:szCs w:val="20"/>
                <w:color w:val="auto"/>
              </w:rPr>
            </w:pPr>
            <w:r>
              <w:rPr>
                <w:rFonts w:ascii="Arial" w:cs="Arial" w:eastAsia="Arial" w:hAnsi="Arial"/>
                <w:sz w:val="18"/>
                <w:szCs w:val="18"/>
                <w:color w:val="auto"/>
                <w:w w:val="91"/>
              </w:rPr>
              <w:t>Higher payments made to acquire January 2015 Drop Down Assets on January 2, 2015, compared to the payments made on June 30, 2014,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for the June 2014 Drop Down Assets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capital expenditures due to several projects being placed in service in early 2014</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w w:val="90"/>
              </w:rPr>
              <w:t>Changes in restricted cash primarily due to cash transfers in connection with higher debt principal payments in 2015</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renewable grants in 2014</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10340" w:type="dxa"/>
            <w:vAlign w:val="bottom"/>
            <w:gridSpan w:val="6"/>
          </w:tcPr>
          <w:p>
            <w:pPr>
              <w:ind w:left="40"/>
              <w:spacing w:after="0"/>
              <w:rPr>
                <w:sz w:val="20"/>
                <w:szCs w:val="20"/>
                <w:color w:val="auto"/>
              </w:rPr>
            </w:pPr>
            <w:r>
              <w:rPr>
                <w:rFonts w:ascii="Arial" w:cs="Arial" w:eastAsia="Arial" w:hAnsi="Arial"/>
                <w:sz w:val="18"/>
                <w:szCs w:val="18"/>
                <w:color w:val="auto"/>
                <w:w w:val="92"/>
              </w:rPr>
              <w:t>Increase in net investments in unconsolidated affiliates in 2015, compared to 2014, primarily due to the investment in Desert Sunlight made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on June 29, 2015</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Provided By Financing Activities</w:t>
            </w: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120" w:type="dxa"/>
            <w:vAlign w:val="bottom"/>
          </w:tcPr>
          <w:p>
            <w:pPr>
              <w:ind w:left="40"/>
              <w:spacing w:after="0"/>
              <w:rPr>
                <w:sz w:val="20"/>
                <w:szCs w:val="20"/>
                <w:color w:val="auto"/>
              </w:rPr>
            </w:pPr>
            <w:r>
              <w:rPr>
                <w:rFonts w:ascii="Arial" w:cs="Arial" w:eastAsia="Arial" w:hAnsi="Arial"/>
                <w:sz w:val="18"/>
                <w:szCs w:val="18"/>
                <w:color w:val="auto"/>
              </w:rPr>
              <w:t>Changes in net cash provided by financing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from non-controlling interests in 2015</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9560" w:type="dxa"/>
            <w:vAlign w:val="bottom"/>
            <w:gridSpan w:val="4"/>
          </w:tcPr>
          <w:p>
            <w:pPr>
              <w:ind w:left="40"/>
              <w:spacing w:after="0"/>
              <w:rPr>
                <w:sz w:val="20"/>
                <w:szCs w:val="20"/>
                <w:color w:val="auto"/>
              </w:rPr>
            </w:pPr>
            <w:r>
              <w:rPr>
                <w:rFonts w:ascii="Arial" w:cs="Arial" w:eastAsia="Arial" w:hAnsi="Arial"/>
                <w:sz w:val="18"/>
                <w:szCs w:val="18"/>
                <w:color w:val="auto"/>
                <w:w w:val="93"/>
              </w:rPr>
              <w:t>Payment of distributions and returns of capital to NRG, partially offset by contributions from NRG in the first nine months of 2014</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distributions paid</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10340" w:type="dxa"/>
            <w:vAlign w:val="bottom"/>
            <w:gridSpan w:val="6"/>
          </w:tcPr>
          <w:p>
            <w:pPr>
              <w:ind w:left="40"/>
              <w:spacing w:after="0"/>
              <w:rPr>
                <w:sz w:val="20"/>
                <w:szCs w:val="20"/>
                <w:color w:val="auto"/>
              </w:rPr>
            </w:pPr>
            <w:r>
              <w:rPr>
                <w:rFonts w:ascii="Arial" w:cs="Arial" w:eastAsia="Arial" w:hAnsi="Arial"/>
                <w:sz w:val="18"/>
                <w:szCs w:val="18"/>
                <w:color w:val="auto"/>
                <w:w w:val="92"/>
              </w:rPr>
              <w:t>Proceeds from the issuance of Class C units on June 29, 2015 compared to the net proceeds from the issuance of Class A units on July 29,</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9560" w:type="dxa"/>
            <w:vAlign w:val="bottom"/>
            <w:gridSpan w:val="4"/>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0"/>
              </w:rPr>
              <w:t>Increase in debt payments, as well as decrease in proceeds from long-term debt in the first nine months of 2015, compared to 2014</w:t>
            </w: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Decrease in debt issuance costs due to lower borrowings in the first nine months of 2015</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57</w:t>
            </w: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8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September 30, 2015, the Company has several investments with an ownership interest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50% or less in energy and energy-related entities that are accounted for under the equity method. GenConn Energy LLC and Desert Sunlight Investment Holdings LLC are both variable interest entities for which the Company is not the primary beneficiary.</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$857 million as of September 30, 2015. This indebtedness may restrict the ability of these subsidiaries to issue dividends or distributions to the Company. See also Note 5, </w:t>
      </w:r>
      <w:r>
        <w:rPr>
          <w:rFonts w:ascii="Arial" w:cs="Arial" w:eastAsia="Arial" w:hAnsi="Arial"/>
          <w:sz w:val="18"/>
          <w:szCs w:val="18"/>
          <w:i w:val="1"/>
          <w:iCs w:val="1"/>
          <w:color w:val="auto"/>
        </w:rPr>
        <w:t>Variable Interest Entities, or</w:t>
      </w:r>
      <w:r>
        <w:rPr>
          <w:rFonts w:ascii="Arial" w:cs="Arial" w:eastAsia="Arial" w:hAnsi="Arial"/>
          <w:sz w:val="18"/>
          <w:szCs w:val="18"/>
          <w:color w:val="auto"/>
        </w:rPr>
        <w:t xml:space="preserve"> </w:t>
      </w:r>
      <w:r>
        <w:rPr>
          <w:rFonts w:ascii="Arial" w:cs="Arial" w:eastAsia="Arial" w:hAnsi="Arial"/>
          <w:sz w:val="18"/>
          <w:szCs w:val="18"/>
          <w:i w:val="1"/>
          <w:iCs w:val="1"/>
          <w:color w:val="auto"/>
        </w:rPr>
        <w:t>VIEs</w:t>
      </w:r>
      <w:r>
        <w:rPr>
          <w:rFonts w:ascii="Arial" w:cs="Arial" w:eastAsia="Arial" w:hAnsi="Arial"/>
          <w:sz w:val="18"/>
          <w:szCs w:val="18"/>
          <w:color w:val="auto"/>
        </w:rPr>
        <w:t>.</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our capital expenditure programs, as disclosed in the Company's audited consolidated financial statements </w:t>
      </w:r>
      <w:r>
        <w:rPr>
          <w:rFonts w:ascii="Arial" w:cs="Arial" w:eastAsia="Arial" w:hAnsi="Arial"/>
          <w:sz w:val="18"/>
          <w:szCs w:val="18"/>
          <w:color w:val="231F20"/>
        </w:rPr>
        <w:t>for the year ended December 31, 2014, included</w:t>
      </w:r>
      <w:r>
        <w:rPr>
          <w:rFonts w:ascii="Arial" w:cs="Arial" w:eastAsia="Arial" w:hAnsi="Arial"/>
          <w:sz w:val="18"/>
          <w:szCs w:val="18"/>
          <w:color w:val="auto"/>
        </w:rPr>
        <w:t xml:space="preserve"> in the Company's Prospectus dated June 22, 2015. See also </w:t>
      </w:r>
      <w:r>
        <w:rPr>
          <w:rFonts w:ascii="Arial" w:cs="Arial" w:eastAsia="Arial" w:hAnsi="Arial"/>
          <w:sz w:val="18"/>
          <w:szCs w:val="18"/>
          <w:color w:val="231F20"/>
        </w:rPr>
        <w:t>Note 8,</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additional discussion of contractual obligations incurred during the nine months ended September 30,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231F20"/>
        </w:rPr>
        <w:t xml:space="preserve">The tables below disclose the activities that include both exchange and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6"/>
          <w:szCs w:val="16"/>
          <w:color w:val="000000"/>
        </w:rPr>
        <w:t>September 30, 2015</w:t>
      </w:r>
      <w:r>
        <w:rPr>
          <w:rFonts w:ascii="Arial" w:cs="Arial" w:eastAsia="Arial" w:hAnsi="Arial"/>
          <w:sz w:val="16"/>
          <w:szCs w:val="16"/>
          <w:color w:val="231F20"/>
        </w:rPr>
        <w:t xml:space="preserve">, based on their level within the fair value hierarchy defined in ASC 820; and indicate the maturities of contracts at </w:t>
      </w:r>
      <w:r>
        <w:rPr>
          <w:rFonts w:ascii="Arial" w:cs="Arial" w:eastAsia="Arial" w:hAnsi="Arial"/>
          <w:sz w:val="16"/>
          <w:szCs w:val="16"/>
          <w:color w:val="000000"/>
        </w:rPr>
        <w:t>September 30, 2015</w:t>
      </w:r>
      <w:r>
        <w:rPr>
          <w:rFonts w:ascii="Arial" w:cs="Arial" w:eastAsia="Arial" w:hAnsi="Arial"/>
          <w:sz w:val="16"/>
          <w:szCs w:val="16"/>
          <w:color w:val="231F20"/>
        </w:rPr>
        <w:t xml:space="preserve">. For a full discussion of the Company's valuation methodology of its contracts, see </w:t>
      </w:r>
      <w:r>
        <w:rPr>
          <w:rFonts w:ascii="Arial" w:cs="Arial" w:eastAsia="Arial" w:hAnsi="Arial"/>
          <w:sz w:val="16"/>
          <w:szCs w:val="16"/>
          <w:i w:val="1"/>
          <w:iCs w:val="1"/>
          <w:color w:val="231F20"/>
        </w:rPr>
        <w:t>Derivative Fair Value Measurements</w:t>
      </w:r>
      <w:r>
        <w:rPr>
          <w:rFonts w:ascii="Arial" w:cs="Arial" w:eastAsia="Arial" w:hAnsi="Arial"/>
          <w:sz w:val="16"/>
          <w:szCs w:val="16"/>
          <w:color w:val="231F20"/>
        </w:rPr>
        <w:t xml:space="preserve"> in </w:t>
      </w:r>
      <w:r>
        <w:rPr>
          <w:rFonts w:ascii="Arial" w:cs="Arial" w:eastAsia="Arial" w:hAnsi="Arial"/>
          <w:sz w:val="16"/>
          <w:szCs w:val="16"/>
          <w:color w:val="000000"/>
        </w:rPr>
        <w:t>Note 6</w:t>
      </w:r>
      <w:r>
        <w:rPr>
          <w:rFonts w:ascii="Arial" w:cs="Arial" w:eastAsia="Arial" w:hAnsi="Arial"/>
          <w:sz w:val="16"/>
          <w:szCs w:val="16"/>
          <w:color w:val="231F20"/>
        </w:rPr>
        <w:t xml:space="preserve">, </w:t>
      </w:r>
      <w:r>
        <w:rPr>
          <w:rFonts w:ascii="Arial" w:cs="Arial" w:eastAsia="Arial" w:hAnsi="Arial"/>
          <w:sz w:val="16"/>
          <w:szCs w:val="16"/>
          <w:i w:val="1"/>
          <w:iCs w:val="1"/>
          <w:color w:val="000000"/>
        </w:rPr>
        <w:t>Fair Value of Financial Instruments</w:t>
      </w:r>
      <w:r>
        <w:rPr>
          <w:rFonts w:ascii="Arial" w:cs="Arial" w:eastAsia="Arial" w:hAnsi="Arial"/>
          <w:sz w:val="16"/>
          <w:szCs w:val="16"/>
          <w:color w:val="231F20"/>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Gains/(Losses)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2014</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w w:val="98"/>
              </w:rPr>
              <w:t>Contracts realized or otherwise settled during the period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Fair Value of Contracts as of September 30, 2015</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Fair Value of Contracts as of September 30, 2015</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Gains/(Losses)</w:t>
            </w: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3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3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3 Years to 5 Years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5 Years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7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58" w:name="page59"/>
    <w:bookmarkEnd w:id="58"/>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-Commodity Price Risk,</w:t>
      </w:r>
      <w:r>
        <w:rPr>
          <w:rFonts w:ascii="Arial" w:cs="Arial" w:eastAsia="Arial" w:hAnsi="Arial"/>
          <w:sz w:val="16"/>
          <w:szCs w:val="16"/>
          <w:color w:val="231F20"/>
        </w:rPr>
        <w:t xml:space="preserve">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U.S. GAAP. The preparation of these financial statements and related disclosures in compliance with U.S.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The Company's significant accounting policies are summarized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92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no change to the net value of derivatives as of </w:t>
      </w:r>
      <w:r>
        <w:rPr>
          <w:rFonts w:ascii="Arial" w:cs="Arial" w:eastAsia="Arial" w:hAnsi="Arial"/>
          <w:sz w:val="18"/>
          <w:szCs w:val="18"/>
          <w:color w:val="000000"/>
        </w:rPr>
        <w:t>September 30, 2015</w:t>
      </w:r>
      <w:r>
        <w:rPr>
          <w:rFonts w:ascii="Arial" w:cs="Arial" w:eastAsia="Arial" w:hAnsi="Arial"/>
          <w:sz w:val="18"/>
          <w:szCs w:val="18"/>
          <w:color w:val="231F20"/>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Note 9,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the Company's audited consolidated </w:t>
      </w:r>
      <w:r>
        <w:rPr>
          <w:rFonts w:ascii="Arial" w:cs="Arial" w:eastAsia="Arial" w:hAnsi="Arial"/>
          <w:sz w:val="18"/>
          <w:szCs w:val="18"/>
          <w:color w:val="000000"/>
        </w:rPr>
        <w:t>financial statements for the year ended December 31, 2014, included</w:t>
      </w:r>
      <w:r>
        <w:rPr>
          <w:rFonts w:ascii="Arial" w:cs="Arial" w:eastAsia="Arial" w:hAnsi="Arial"/>
          <w:sz w:val="18"/>
          <w:szCs w:val="18"/>
          <w:color w:val="231F20"/>
        </w:rPr>
        <w:t xml:space="preserve"> </w:t>
      </w:r>
      <w:r>
        <w:rPr>
          <w:rFonts w:ascii="Arial" w:cs="Arial" w:eastAsia="Arial" w:hAnsi="Arial"/>
          <w:sz w:val="18"/>
          <w:szCs w:val="18"/>
          <w:color w:val="000000"/>
        </w:rPr>
        <w:t>in the Company's Prospectus dated June 22, 2015</w:t>
      </w:r>
      <w:r>
        <w:rPr>
          <w:rFonts w:ascii="Arial" w:cs="Arial" w:eastAsia="Arial" w:hAnsi="Arial"/>
          <w:sz w:val="18"/>
          <w:szCs w:val="18"/>
          <w:color w:val="231F20"/>
        </w:rPr>
        <w:t>. See</w:t>
      </w:r>
      <w:r>
        <w:rPr>
          <w:rFonts w:ascii="Arial" w:cs="Arial" w:eastAsia="Arial" w:hAnsi="Arial"/>
          <w:sz w:val="18"/>
          <w:szCs w:val="18"/>
          <w:color w:val="000000"/>
        </w:rPr>
        <w:t xml:space="preserve"> Note 8, </w:t>
      </w:r>
      <w:r>
        <w:rPr>
          <w:rFonts w:ascii="Arial" w:cs="Arial" w:eastAsia="Arial" w:hAnsi="Arial"/>
          <w:sz w:val="18"/>
          <w:szCs w:val="18"/>
          <w:i w:val="1"/>
          <w:iCs w:val="1"/>
          <w:color w:val="000000"/>
        </w:rPr>
        <w:t>Long-term Debt</w:t>
      </w:r>
      <w:r>
        <w:rPr>
          <w:rFonts w:ascii="Arial" w:cs="Arial" w:eastAsia="Arial" w:hAnsi="Arial"/>
          <w:sz w:val="18"/>
          <w:szCs w:val="18"/>
          <w:color w:val="231F20"/>
        </w:rPr>
        <w:t>, to this Form 10-Q for more information about interest rate swaps of the</w:t>
      </w:r>
      <w:r>
        <w:rPr>
          <w:rFonts w:ascii="Arial" w:cs="Arial" w:eastAsia="Arial" w:hAnsi="Arial"/>
          <w:sz w:val="18"/>
          <w:szCs w:val="18"/>
          <w:color w:val="000000"/>
        </w:rPr>
        <w:t xml:space="preserve"> </w:t>
      </w:r>
      <w:r>
        <w:rPr>
          <w:rFonts w:ascii="Arial" w:cs="Arial" w:eastAsia="Arial" w:hAnsi="Arial"/>
          <w:sz w:val="18"/>
          <w:szCs w:val="18"/>
          <w:color w:val="231F20"/>
        </w:rPr>
        <w:t>Company's project subsidiaries.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If all of the above swaps had been discontinued on </w:t>
      </w:r>
      <w:r>
        <w:rPr>
          <w:rFonts w:ascii="Arial" w:cs="Arial" w:eastAsia="Arial" w:hAnsi="Arial"/>
          <w:sz w:val="18"/>
          <w:szCs w:val="18"/>
          <w:color w:val="000000"/>
        </w:rPr>
        <w:t>September 30, 2015</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$116 million</w:t>
      </w:r>
      <w:r>
        <w:rPr>
          <w:rFonts w:ascii="Arial" w:cs="Arial" w:eastAsia="Arial" w:hAnsi="Arial"/>
          <w:sz w:val="18"/>
          <w:szCs w:val="18"/>
          <w:color w:val="231F20"/>
        </w:rPr>
        <w:t>. Based on the investment grade rating of the counterparties, the Company believes its exposure to credit risk due to nonperformance by counterparties to its hedge contracts to be insignificant.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w:t>
      </w:r>
      <w:r>
        <w:rPr>
          <w:rFonts w:ascii="Arial" w:cs="Arial" w:eastAsia="Arial" w:hAnsi="Arial"/>
          <w:sz w:val="17"/>
          <w:szCs w:val="17"/>
          <w:color w:val="231F20"/>
        </w:rPr>
        <w:t>, a 1% change in interest rates would result in an approximately $3 million change in market interest expense on a rolling twelve 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2015</w:t>
      </w:r>
      <w:r>
        <w:rPr>
          <w:rFonts w:ascii="Arial" w:cs="Arial" w:eastAsia="Arial" w:hAnsi="Arial"/>
          <w:sz w:val="18"/>
          <w:szCs w:val="18"/>
          <w:color w:val="231F20"/>
        </w:rPr>
        <w:t>, the fair value of the Company's debt was $</w:t>
      </w:r>
      <w:r>
        <w:rPr>
          <w:rFonts w:ascii="Arial" w:cs="Arial" w:eastAsia="Arial" w:hAnsi="Arial"/>
          <w:sz w:val="18"/>
          <w:szCs w:val="18"/>
          <w:color w:val="000000"/>
        </w:rPr>
        <w:t>4,394 million</w:t>
      </w:r>
      <w:r>
        <w:rPr>
          <w:rFonts w:ascii="Arial" w:cs="Arial" w:eastAsia="Arial" w:hAnsi="Arial"/>
          <w:sz w:val="18"/>
          <w:szCs w:val="18"/>
          <w:color w:val="231F20"/>
        </w:rPr>
        <w:t xml:space="preserve"> and the carrying value was $4,532 million. The Company estimates that a 1% decrease in market interest rates would have increased the fair value of its long-term debt by </w:t>
      </w:r>
      <w:r>
        <w:rPr>
          <w:rFonts w:ascii="Arial" w:cs="Arial" w:eastAsia="Arial" w:hAnsi="Arial"/>
          <w:sz w:val="18"/>
          <w:szCs w:val="18"/>
          <w:color w:val="000000"/>
        </w:rPr>
        <w:t>$372 million</w:t>
      </w:r>
      <w:r>
        <w:rPr>
          <w:rFonts w:ascii="Arial" w:cs="Arial" w:eastAsia="Arial" w:hAnsi="Arial"/>
          <w:sz w:val="18"/>
          <w:szCs w:val="18"/>
          <w:color w:val="231F20"/>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0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third quarter of 2015 that materially affected, or are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02"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Information regarding risk factors appears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Quarterly Report on Form 10-Q for the period ended June 30, 2015. There have been no material changes in the Company's risk factors since those reported in the Company's Quarterly Report on Form 10-Q for the period ended June 30,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September 17, 2015, Yield Operating LLC, a subsidiary of the Company, entered into a purchase and sale agreement with NRG Energy Gas &amp; Wind Holdings, Inc., a wholly-owned subsidiary of NRG. Pursuant to the terms of the purchase and sale agreement, Yield Operating LLC agreed to acquire 75% of the Class B Interests of NRG Wind TE Holdco LLC, which owns a portfolio of 12 wind facilities totaling 814 net MW. The purchase price for the transaction is $210 million, subject to working capital adjustments. The Company will be responsible for its pro-rata share of non-recourse project debt of $193 million and noncontrolling interest associated with a tax equity structure of $165 million (as of September 30, 2015).</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0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6000" w:type="dxa"/>
            <w:vAlign w:val="bottom"/>
          </w:tcPr>
          <w:p>
            <w:pPr>
              <w:ind w:left="220"/>
              <w:spacing w:after="0"/>
              <w:rPr>
                <w:sz w:val="20"/>
                <w:szCs w:val="20"/>
                <w:color w:val="auto"/>
              </w:rPr>
            </w:pPr>
            <w:r>
              <w:rPr>
                <w:rFonts w:ascii="Arial" w:cs="Arial" w:eastAsia="Arial" w:hAnsi="Arial"/>
                <w:sz w:val="16"/>
                <w:szCs w:val="16"/>
                <w:b w:val="1"/>
                <w:bCs w:val="1"/>
                <w:color w:val="auto"/>
              </w:rPr>
              <w:t>Description</w:t>
            </w:r>
          </w:p>
        </w:tc>
        <w:tc>
          <w:tcPr>
            <w:tcW w:w="4420" w:type="dxa"/>
            <w:vAlign w:val="bottom"/>
          </w:tcPr>
          <w:p>
            <w:pPr>
              <w:ind w:left="260"/>
              <w:spacing w:after="0"/>
              <w:rPr>
                <w:sz w:val="20"/>
                <w:szCs w:val="20"/>
                <w:color w:val="auto"/>
              </w:rPr>
            </w:pPr>
            <w:r>
              <w:rPr>
                <w:rFonts w:ascii="Arial" w:cs="Arial" w:eastAsia="Arial" w:hAnsi="Arial"/>
                <w:sz w:val="16"/>
                <w:szCs w:val="16"/>
                <w:b w:val="1"/>
                <w:bCs w:val="1"/>
                <w:color w:val="auto"/>
              </w:rPr>
              <w:t>Method of Filing</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rPr>
              <w:t>2.1</w:t>
            </w:r>
          </w:p>
        </w:tc>
        <w:tc>
          <w:tcPr>
            <w:tcW w:w="540" w:type="dxa"/>
            <w:vAlign w:val="bottom"/>
          </w:tcPr>
          <w:p>
            <w:pPr>
              <w:spacing w:after="0"/>
              <w:rPr>
                <w:sz w:val="21"/>
                <w:szCs w:val="21"/>
                <w:color w:val="auto"/>
              </w:rPr>
            </w:pPr>
          </w:p>
        </w:tc>
        <w:tc>
          <w:tcPr>
            <w:tcW w:w="6000" w:type="dxa"/>
            <w:vAlign w:val="bottom"/>
          </w:tcPr>
          <w:p>
            <w:pPr>
              <w:ind w:left="220"/>
              <w:spacing w:after="0"/>
              <w:rPr>
                <w:sz w:val="20"/>
                <w:szCs w:val="20"/>
                <w:color w:val="auto"/>
              </w:rPr>
            </w:pPr>
            <w:r>
              <w:rPr>
                <w:rFonts w:ascii="Arial" w:cs="Arial" w:eastAsia="Arial" w:hAnsi="Arial"/>
                <w:sz w:val="16"/>
                <w:szCs w:val="16"/>
                <w:color w:val="auto"/>
                <w:w w:val="93"/>
              </w:rPr>
              <w:t>Purchase and Sale Agreement, dated as of September 17, 2015, by and between NRG</w:t>
            </w:r>
          </w:p>
        </w:tc>
        <w:tc>
          <w:tcPr>
            <w:tcW w:w="4420" w:type="dxa"/>
            <w:vAlign w:val="bottom"/>
          </w:tcPr>
          <w:p>
            <w:pPr>
              <w:ind w:left="260"/>
              <w:spacing w:after="0"/>
              <w:rPr>
                <w:sz w:val="20"/>
                <w:szCs w:val="20"/>
                <w:color w:val="auto"/>
              </w:rPr>
            </w:pPr>
            <w:r>
              <w:rPr>
                <w:rFonts w:ascii="Arial" w:cs="Arial" w:eastAsia="Arial" w:hAnsi="Arial"/>
                <w:sz w:val="16"/>
                <w:szCs w:val="16"/>
                <w:color w:val="auto"/>
                <w:w w:val="95"/>
              </w:rPr>
              <w:t>Incorporated herein by reference to Exhibit 2.1 to NRG Yield,</w:t>
            </w:r>
          </w:p>
        </w:tc>
      </w:tr>
      <w:tr>
        <w:trPr>
          <w:trHeight w:val="206"/>
        </w:trPr>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0" w:type="dxa"/>
            <w:vAlign w:val="bottom"/>
          </w:tcPr>
          <w:p>
            <w:pPr>
              <w:ind w:left="220"/>
              <w:spacing w:after="0"/>
              <w:rPr>
                <w:sz w:val="20"/>
                <w:szCs w:val="20"/>
                <w:color w:val="auto"/>
              </w:rPr>
            </w:pPr>
            <w:r>
              <w:rPr>
                <w:rFonts w:ascii="Arial" w:cs="Arial" w:eastAsia="Arial" w:hAnsi="Arial"/>
                <w:sz w:val="16"/>
                <w:szCs w:val="16"/>
                <w:color w:val="auto"/>
              </w:rPr>
              <w:t>Energy Gas &amp; Wind Holdings, Inc. and NRG Yield Operating LLC.</w:t>
            </w:r>
          </w:p>
        </w:tc>
        <w:tc>
          <w:tcPr>
            <w:tcW w:w="4420" w:type="dxa"/>
            <w:vAlign w:val="bottom"/>
          </w:tcPr>
          <w:p>
            <w:pPr>
              <w:ind w:left="260"/>
              <w:spacing w:after="0"/>
              <w:rPr>
                <w:sz w:val="20"/>
                <w:szCs w:val="20"/>
                <w:color w:val="auto"/>
              </w:rPr>
            </w:pPr>
            <w:r>
              <w:rPr>
                <w:rFonts w:ascii="Arial" w:cs="Arial" w:eastAsia="Arial" w:hAnsi="Arial"/>
                <w:sz w:val="16"/>
                <w:szCs w:val="16"/>
                <w:color w:val="auto"/>
                <w:w w:val="91"/>
              </w:rPr>
              <w:t>Inc.'s Current Report on Form 8-K filed on September 21, 2015.</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540" w:type="dxa"/>
            <w:vAlign w:val="bottom"/>
          </w:tcPr>
          <w:p>
            <w:pPr>
              <w:spacing w:after="0"/>
              <w:rPr>
                <w:sz w:val="23"/>
                <w:szCs w:val="23"/>
                <w:color w:val="auto"/>
              </w:rPr>
            </w:pPr>
          </w:p>
        </w:tc>
        <w:tc>
          <w:tcPr>
            <w:tcW w:w="600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Crane.</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540" w:type="dxa"/>
            <w:vAlign w:val="bottom"/>
          </w:tcPr>
          <w:p>
            <w:pPr>
              <w:spacing w:after="0"/>
              <w:rPr>
                <w:sz w:val="23"/>
                <w:szCs w:val="23"/>
                <w:color w:val="auto"/>
              </w:rPr>
            </w:pPr>
          </w:p>
        </w:tc>
        <w:tc>
          <w:tcPr>
            <w:tcW w:w="6000" w:type="dxa"/>
            <w:vAlign w:val="bottom"/>
          </w:tcPr>
          <w:p>
            <w:pPr>
              <w:ind w:left="220"/>
              <w:spacing w:after="0"/>
              <w:rPr>
                <w:sz w:val="20"/>
                <w:szCs w:val="20"/>
                <w:color w:val="auto"/>
              </w:rPr>
            </w:pPr>
            <w:r>
              <w:rPr>
                <w:rFonts w:ascii="Arial" w:cs="Arial" w:eastAsia="Arial" w:hAnsi="Arial"/>
                <w:sz w:val="16"/>
                <w:szCs w:val="16"/>
                <w:color w:val="auto"/>
              </w:rPr>
              <w:t>Rule 13a-14(a)/15d-14(a) certification of Kirkland B. Andrews.</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540" w:type="dxa"/>
            <w:vAlign w:val="bottom"/>
          </w:tcPr>
          <w:p>
            <w:pPr>
              <w:spacing w:after="0"/>
              <w:rPr>
                <w:sz w:val="23"/>
                <w:szCs w:val="23"/>
                <w:color w:val="auto"/>
              </w:rPr>
            </w:pPr>
          </w:p>
        </w:tc>
        <w:tc>
          <w:tcPr>
            <w:tcW w:w="600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Callen.</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540" w:type="dxa"/>
            <w:vAlign w:val="bottom"/>
          </w:tcPr>
          <w:p>
            <w:pPr>
              <w:spacing w:after="0"/>
              <w:rPr>
                <w:sz w:val="23"/>
                <w:szCs w:val="23"/>
                <w:color w:val="auto"/>
              </w:rPr>
            </w:pPr>
          </w:p>
        </w:tc>
        <w:tc>
          <w:tcPr>
            <w:tcW w:w="6000" w:type="dxa"/>
            <w:vAlign w:val="bottom"/>
          </w:tcPr>
          <w:p>
            <w:pPr>
              <w:ind w:left="220"/>
              <w:spacing w:after="0"/>
              <w:rPr>
                <w:sz w:val="20"/>
                <w:szCs w:val="20"/>
                <w:color w:val="auto"/>
              </w:rPr>
            </w:pPr>
            <w:r>
              <w:rPr>
                <w:rFonts w:ascii="Arial" w:cs="Arial" w:eastAsia="Arial" w:hAnsi="Arial"/>
                <w:sz w:val="16"/>
                <w:szCs w:val="16"/>
                <w:color w:val="auto"/>
              </w:rPr>
              <w:t>Section 1350 Certification.</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INS</w:t>
            </w:r>
          </w:p>
        </w:tc>
        <w:tc>
          <w:tcPr>
            <w:tcW w:w="6000" w:type="dxa"/>
            <w:vAlign w:val="bottom"/>
          </w:tcPr>
          <w:p>
            <w:pPr>
              <w:ind w:left="220"/>
              <w:spacing w:after="0"/>
              <w:rPr>
                <w:sz w:val="20"/>
                <w:szCs w:val="20"/>
                <w:color w:val="auto"/>
              </w:rPr>
            </w:pPr>
            <w:r>
              <w:rPr>
                <w:rFonts w:ascii="Arial" w:cs="Arial" w:eastAsia="Arial" w:hAnsi="Arial"/>
                <w:sz w:val="16"/>
                <w:szCs w:val="16"/>
                <w:color w:val="auto"/>
              </w:rPr>
              <w:t>XBRL Instance Document.</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SCH</w:t>
            </w:r>
          </w:p>
        </w:tc>
        <w:tc>
          <w:tcPr>
            <w:tcW w:w="600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CAL</w:t>
            </w:r>
          </w:p>
        </w:tc>
        <w:tc>
          <w:tcPr>
            <w:tcW w:w="600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DEF</w:t>
            </w:r>
          </w:p>
        </w:tc>
        <w:tc>
          <w:tcPr>
            <w:tcW w:w="600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LAB</w:t>
            </w:r>
          </w:p>
        </w:tc>
        <w:tc>
          <w:tcPr>
            <w:tcW w:w="600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PRE</w:t>
            </w:r>
          </w:p>
        </w:tc>
        <w:tc>
          <w:tcPr>
            <w:tcW w:w="600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4420" w:type="dxa"/>
            <w:vAlign w:val="bottom"/>
          </w:tcPr>
          <w:p>
            <w:pPr>
              <w:ind w:left="26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80"/>
          </w:cols>
          <w:pgMar w:left="240" w:top="702" w:right="3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CRANE</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Crane</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KIRKLAND B. ANDREWS</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Kirkland B. Andrews</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4, 2015</w:t>
            </w: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68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auto"/>
              </w:rPr>
              <w:t>64</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64" w:name="page65"/>
    <w:bookmarkEnd w:id="64"/>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Crane, certify that:</w:t>
      </w:r>
    </w:p>
    <w:p>
      <w:pPr>
        <w:spacing w:after="0" w:line="306"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DAVID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31750</wp:posOffset>
            </wp:positionV>
            <wp:extent cx="17837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Crane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ectPr>
          <w:pgSz w:w="11900" w:h="16838" w:orient="portrait"/>
          <w:cols w:equalWidth="0" w:num="1">
            <w:col w:w="11420"/>
          </w:cols>
          <w:pgMar w:left="240" w:top="661" w:right="239" w:bottom="1440" w:gutter="0" w:footer="0" w:header="0"/>
        </w:sectPr>
      </w:pPr>
    </w:p>
    <w:bookmarkStart w:id="65" w:name="page66"/>
    <w:bookmarkEnd w:id="65"/>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30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Kirkland B. Andrews</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ectPr>
          <w:pgSz w:w="11900" w:h="16838" w:orient="portrait"/>
          <w:cols w:equalWidth="0" w:num="1">
            <w:col w:w="11420"/>
          </w:cols>
          <w:pgMar w:left="240" w:top="661" w:right="239" w:bottom="1440" w:gutter="0" w:footer="0" w:header="0"/>
        </w:sectPr>
      </w:pPr>
    </w:p>
    <w:bookmarkStart w:id="66" w:name="page67"/>
    <w:bookmarkEnd w:id="66"/>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September 30, 2015,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Crane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Kirkland B. Andrews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50"/>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2019-12-29T15:06:20Z</dcterms:created>
  <dcterms:modified xsi:type="dcterms:W3CDTF">2019-12-29T15:06:20Z</dcterms:modified>
</cp:coreProperties>
</file>