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17,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760" w:right="339" w:bottom="1440" w:gutter="0" w:footer="0" w:header="0"/>
          <w:type w:val="continuous"/>
        </w:sectPr>
      </w:pPr>
    </w:p>
    <w:p>
      <w:pPr>
        <w:spacing w:after="0" w:line="217" w:lineRule="exact"/>
        <w:rPr>
          <w:sz w:val="24"/>
          <w:szCs w:val="24"/>
          <w:color w:val="auto"/>
        </w:rPr>
      </w:pPr>
    </w:p>
    <w:p>
      <w:pPr>
        <w:jc w:val="center"/>
        <w:ind w:right="36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5"/>
          <w:szCs w:val="15"/>
          <w:b w:val="1"/>
          <w:bCs w:val="1"/>
          <w:color w:val="auto"/>
        </w:rPr>
        <w:t>Name of each exchange on which</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registered</w:t>
      </w:r>
    </w:p>
    <w:p>
      <w:pPr>
        <w:spacing w:after="0" w:line="9"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None</w:t>
      </w:r>
    </w:p>
    <w:p>
      <w:pPr>
        <w:spacing w:after="0" w:line="200" w:lineRule="exact"/>
        <w:rPr>
          <w:sz w:val="24"/>
          <w:szCs w:val="24"/>
          <w:color w:val="auto"/>
        </w:rPr>
      </w:pPr>
    </w:p>
    <w:p>
      <w:pPr>
        <w:sectPr>
          <w:pgSz w:w="11900" w:h="16838" w:orient="portrait"/>
          <w:cols w:equalWidth="0" w:num="3">
            <w:col w:w="4320" w:space="720"/>
            <w:col w:w="2360" w:space="720"/>
            <w:col w:w="3120"/>
          </w:cols>
          <w:pgMar w:left="320" w:top="760" w:right="339" w:bottom="1440" w:gutter="0" w:footer="0" w:header="0"/>
          <w:type w:val="continuous"/>
        </w:sectPr>
      </w:pPr>
    </w:p>
    <w:p>
      <w:pPr>
        <w:spacing w:after="0" w:line="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Amendment to Mesquite Sky Membership Interest Purchase Agreement</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December 17, 2021, Lighthouse Renewable Class A LLC (“</w:t>
      </w:r>
      <w:r>
        <w:rPr>
          <w:rFonts w:ascii="Arial" w:cs="Arial" w:eastAsia="Arial" w:hAnsi="Arial"/>
          <w:sz w:val="16"/>
          <w:szCs w:val="16"/>
          <w:u w:val="single" w:color="auto"/>
          <w:color w:val="auto"/>
        </w:rPr>
        <w:t>Lighthouse Purchaser</w:t>
      </w:r>
      <w:r>
        <w:rPr>
          <w:rFonts w:ascii="Arial" w:cs="Arial" w:eastAsia="Arial" w:hAnsi="Arial"/>
          <w:sz w:val="16"/>
          <w:szCs w:val="16"/>
          <w:color w:val="auto"/>
        </w:rPr>
        <w:t>”) and Clearway Energy Operating LLC, each subsidiaries of Clearway Energy LLC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the First Amendment to Membership Interest Purchase Agreement (the “</w:t>
      </w:r>
      <w:r>
        <w:rPr>
          <w:rFonts w:ascii="Arial" w:cs="Arial" w:eastAsia="Arial" w:hAnsi="Arial"/>
          <w:sz w:val="16"/>
          <w:szCs w:val="16"/>
          <w:u w:val="single" w:color="auto"/>
          <w:color w:val="auto"/>
        </w:rPr>
        <w:t>Mesquite Sky Amendment</w:t>
      </w:r>
      <w:r>
        <w:rPr>
          <w:rFonts w:ascii="Arial" w:cs="Arial" w:eastAsia="Arial" w:hAnsi="Arial"/>
          <w:sz w:val="16"/>
          <w:szCs w:val="16"/>
          <w:color w:val="auto"/>
        </w:rPr>
        <w:t>”) with Clearway Renew LLC ( “</w:t>
      </w:r>
      <w:r>
        <w:rPr>
          <w:rFonts w:ascii="Arial" w:cs="Arial" w:eastAsia="Arial" w:hAnsi="Arial"/>
          <w:sz w:val="16"/>
          <w:szCs w:val="16"/>
          <w:u w:val="single" w:color="auto"/>
          <w:color w:val="auto"/>
        </w:rPr>
        <w:t>Clearway Renew</w:t>
      </w:r>
      <w:r>
        <w:rPr>
          <w:rFonts w:ascii="Arial" w:cs="Arial" w:eastAsia="Arial" w:hAnsi="Arial"/>
          <w:sz w:val="16"/>
          <w:szCs w:val="16"/>
          <w:color w:val="auto"/>
        </w:rPr>
        <w:t>”), a subsidiary of Clearway Energy Group LLC. The Mesquite Sky Amendment amends the previously disclosed Membership Interest Purchase Agreement, dated as of December 21, 2020, by and between Lighthouse Purchaser and Clearway Renew with respect to Mesquite Sky Holding LLC (“</w:t>
      </w:r>
      <w:r>
        <w:rPr>
          <w:rFonts w:ascii="Arial" w:cs="Arial" w:eastAsia="Arial" w:hAnsi="Arial"/>
          <w:sz w:val="16"/>
          <w:szCs w:val="16"/>
          <w:u w:val="single" w:color="auto"/>
          <w:color w:val="auto"/>
        </w:rPr>
        <w:t>Mesquite Sky</w:t>
      </w:r>
      <w:r>
        <w:rPr>
          <w:rFonts w:ascii="Arial" w:cs="Arial" w:eastAsia="Arial" w:hAnsi="Arial"/>
          <w:sz w:val="16"/>
          <w:szCs w:val="16"/>
          <w:color w:val="auto"/>
        </w:rPr>
        <w:t>”), which owns and is developing the 345 MW Mesquite Sky wind project, located in Callahan County, Texas. The Mesquite Sky Amendment provides for, among other things, (i) the amendment of the purchase price payable by Lighthouse Purchaser to Clearway Renew for 50.01% of the Class B Membership Interests of Mesquite Sky (the “</w:t>
      </w:r>
      <w:r>
        <w:rPr>
          <w:rFonts w:ascii="Arial" w:cs="Arial" w:eastAsia="Arial" w:hAnsi="Arial"/>
          <w:sz w:val="16"/>
          <w:szCs w:val="16"/>
          <w:u w:val="single" w:color="auto"/>
          <w:color w:val="auto"/>
        </w:rPr>
        <w:t>Mesquite Sky Class B Interests</w:t>
      </w:r>
      <w:r>
        <w:rPr>
          <w:rFonts w:ascii="Arial" w:cs="Arial" w:eastAsia="Arial" w:hAnsi="Arial"/>
          <w:sz w:val="16"/>
          <w:szCs w:val="16"/>
          <w:color w:val="auto"/>
        </w:rPr>
        <w:t>”) to approximately $62 million,</w:t>
      </w:r>
    </w:p>
    <w:p>
      <w:pPr>
        <w:spacing w:after="0" w:line="2" w:lineRule="exact"/>
        <w:rPr>
          <w:sz w:val="20"/>
          <w:szCs w:val="20"/>
          <w:color w:val="auto"/>
        </w:rPr>
      </w:pPr>
    </w:p>
    <w:p>
      <w:pPr>
        <w:ind w:right="220" w:firstLine="8"/>
        <w:spacing w:after="0" w:line="295"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purchase by Lighthouse Purchaser of 50.01% of the Class A Membership Interests of Mesquite Sky (the “</w:t>
      </w:r>
      <w:r>
        <w:rPr>
          <w:rFonts w:ascii="Arial" w:cs="Arial" w:eastAsia="Arial" w:hAnsi="Arial"/>
          <w:sz w:val="16"/>
          <w:szCs w:val="16"/>
          <w:u w:val="single" w:color="auto"/>
          <w:color w:val="auto"/>
        </w:rPr>
        <w:t>Mesquite Sky Class A Interests</w:t>
      </w:r>
      <w:r>
        <w:rPr>
          <w:rFonts w:ascii="Arial" w:cs="Arial" w:eastAsia="Arial" w:hAnsi="Arial"/>
          <w:sz w:val="16"/>
          <w:szCs w:val="16"/>
          <w:color w:val="auto"/>
        </w:rPr>
        <w:t>”) from Clearway Renew for a purchase price of approximately $2.4 million and (iii) the amendment of certain adjustments to the purchase price payable by Lighthouse Purchaser for the Mesquite Sky Class A Interests and the Mesquite Sky Class B Interests in connection with the number of turbines placed in service for the Mesquite Sky wind project owned by Mesquite Sky and the sale of renewable energy certificates by a subsidiary of Mesquite Sky.</w:t>
      </w:r>
    </w:p>
    <w:p>
      <w:pPr>
        <w:spacing w:after="0" w:line="16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consummation of the acquisition of the Mesquite Sky Class B Interests occurred on December 17, 2021 and the consummation of the acquisition of the Mesquite Sky Class A Interests is subject to customary closing conditions, including Clearway Renew’s acquisition of the Class A Membership Interests of Mesquite Sky. The Company expects the acquisition of the Mesquite Sky Class A Interests to close in the first half of 2022.</w:t>
      </w:r>
    </w:p>
    <w:p>
      <w:pPr>
        <w:spacing w:after="0" w:line="1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foregoing description of the Mesquite Sky Amendment does not purport to be complete and is qualified in its entirety by reference to the full text of the Mesquite Sky Amendment, a copy of which is filed as Exhibit 10.1 to this Current Report on Form 8-K (this “</w:t>
      </w:r>
      <w:r>
        <w:rPr>
          <w:rFonts w:ascii="Arial" w:cs="Arial" w:eastAsia="Arial" w:hAnsi="Arial"/>
          <w:sz w:val="18"/>
          <w:szCs w:val="18"/>
          <w:u w:val="single" w:color="auto"/>
          <w:color w:val="auto"/>
        </w:rPr>
        <w:t>Current Report</w:t>
      </w:r>
      <w:r>
        <w:rPr>
          <w:rFonts w:ascii="Arial" w:cs="Arial" w:eastAsia="Arial" w:hAnsi="Arial"/>
          <w:sz w:val="18"/>
          <w:szCs w:val="18"/>
          <w:color w:val="auto"/>
        </w:rPr>
        <w:t>”)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Amendment to Black Rock Membership Interest Purchase Agreement</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December 29, 2021, Lighthouse Purchaser entered into the First Amendment to Membership Interest Purchase Agreement (the “</w:t>
      </w:r>
      <w:r>
        <w:rPr>
          <w:rFonts w:ascii="Arial" w:cs="Arial" w:eastAsia="Arial" w:hAnsi="Arial"/>
          <w:sz w:val="17"/>
          <w:szCs w:val="17"/>
          <w:u w:val="single" w:color="auto"/>
          <w:color w:val="auto"/>
        </w:rPr>
        <w:t>Black Rock</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w:t>
      </w:r>
      <w:r>
        <w:rPr>
          <w:rFonts w:ascii="Arial" w:cs="Arial" w:eastAsia="Arial" w:hAnsi="Arial"/>
          <w:sz w:val="17"/>
          <w:szCs w:val="17"/>
          <w:color w:val="auto"/>
        </w:rPr>
        <w:t>”) with Clearway Renew. The Black Rock Amendment amends the previously disclosed Membership Interest Purchase Agreement, dated as of December 21, 2020, by and between Lighthouse Purchaser and Clearway Renew with respect to Black Rock Wind Holding LLC (“</w:t>
      </w:r>
      <w:r>
        <w:rPr>
          <w:rFonts w:ascii="Arial" w:cs="Arial" w:eastAsia="Arial" w:hAnsi="Arial"/>
          <w:sz w:val="17"/>
          <w:szCs w:val="17"/>
          <w:u w:val="single" w:color="auto"/>
          <w:color w:val="auto"/>
        </w:rPr>
        <w:t>Black Rock</w:t>
      </w:r>
      <w:r>
        <w:rPr>
          <w:rFonts w:ascii="Arial" w:cs="Arial" w:eastAsia="Arial" w:hAnsi="Arial"/>
          <w:sz w:val="17"/>
          <w:szCs w:val="17"/>
          <w:color w:val="auto"/>
        </w:rPr>
        <w:t>”), which owns and is developing the 110 MW Black Rock wind project, located in Grant and Mineral Counties, West Virginia. The Black Rock Amendment provides for, among other things, (i) the amendment of the purchase price payable by Lighthouse Purchaser to Clearway Renew for 50.01% of the Class B Membership Interests of Black Rock (the “</w:t>
      </w:r>
      <w:r>
        <w:rPr>
          <w:rFonts w:ascii="Arial" w:cs="Arial" w:eastAsia="Arial" w:hAnsi="Arial"/>
          <w:sz w:val="17"/>
          <w:szCs w:val="17"/>
          <w:u w:val="single" w:color="auto"/>
          <w:color w:val="auto"/>
        </w:rPr>
        <w:t>Black Rock Class B Interests</w:t>
      </w:r>
      <w:r>
        <w:rPr>
          <w:rFonts w:ascii="Arial" w:cs="Arial" w:eastAsia="Arial" w:hAnsi="Arial"/>
          <w:sz w:val="17"/>
          <w:szCs w:val="17"/>
          <w:color w:val="auto"/>
        </w:rPr>
        <w:t>”) to approximately $61.6 million, (ii) the purchase by Lighthouse Purchaser of 50.01% of the Class A Membership Interests of Black Rock (the “</w:t>
      </w:r>
      <w:r>
        <w:rPr>
          <w:rFonts w:ascii="Arial" w:cs="Arial" w:eastAsia="Arial" w:hAnsi="Arial"/>
          <w:sz w:val="17"/>
          <w:szCs w:val="17"/>
          <w:u w:val="single" w:color="auto"/>
          <w:color w:val="auto"/>
        </w:rPr>
        <w:t>Black Rock Class A Interests</w:t>
      </w:r>
      <w:r>
        <w:rPr>
          <w:rFonts w:ascii="Arial" w:cs="Arial" w:eastAsia="Arial" w:hAnsi="Arial"/>
          <w:sz w:val="17"/>
          <w:szCs w:val="17"/>
          <w:color w:val="auto"/>
        </w:rPr>
        <w:t>”) from Clearway Renew for a purchase price of approximately $1.1 million and (iii) the amendment of (A) certain adjustments to the purchase price payable by Lighthouse Purchaser for the Black Rock Class A Interests and the Black Rock Class B Interests and (B) certain indemnification rights of Lighthouse Purchaser, in each case, in connection with the placement in service of turbines for the Black Rock wind project owned by Black Rock.</w:t>
      </w:r>
    </w:p>
    <w:p>
      <w:pPr>
        <w:spacing w:after="0" w:line="18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consummation of the acquisition of the Black Rock Class B Interests occurred on December 29, 2021 and the consummation of the acquisition of the Black Rock Class A Interests is subject to customary closing conditions, including Clearway Renew’s acquisition of the Class A Membership Interests of Black Rock. The Company expects the acquisition of the Black Rock Class A Interests to close in the first half of 2022.</w:t>
      </w:r>
    </w:p>
    <w:p>
      <w:pPr>
        <w:spacing w:after="0" w:line="165"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The foregoing description of the Black Rock Amendment does not purport to be complete and is qualified in its entirety by reference to the full text of the Black Rock Amendment, a copy of which is filed as Exhibit 10.2 to this Current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9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gridSpan w:val="3"/>
          </w:tcPr>
          <w:p>
            <w:pPr>
              <w:ind w:left="158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3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9880" w:type="dxa"/>
            <w:vAlign w:val="bottom"/>
            <w:gridSpan w:val="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First Amendment to Membership Interest Purchase Agreement, dated as of December 17, 2021, by and among Lighthouse Renewable</w:t>
              </w:r>
            </w:hyperlink>
          </w:p>
        </w:tc>
      </w:tr>
      <w:tr>
        <w:trPr>
          <w:trHeight w:val="196"/>
        </w:trPr>
        <w:tc>
          <w:tcPr>
            <w:tcW w:w="50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Class A LLC, Clearway Renew LLC and Clearway Energy Operating LLC.</w:t>
              </w:r>
            </w:hyperlink>
          </w:p>
        </w:tc>
        <w:tc>
          <w:tcPr>
            <w:tcW w:w="220" w:type="dxa"/>
            <w:vAlign w:val="bottom"/>
          </w:tcPr>
          <w:p>
            <w:pPr>
              <w:spacing w:after="0"/>
              <w:rPr>
                <w:sz w:val="17"/>
                <w:szCs w:val="17"/>
                <w:color w:val="auto"/>
              </w:rPr>
            </w:pPr>
          </w:p>
        </w:tc>
      </w:tr>
      <w:tr>
        <w:trPr>
          <w:trHeight w:val="20"/>
        </w:trPr>
        <w:tc>
          <w:tcPr>
            <w:tcW w:w="1360" w:type="dxa"/>
            <w:vAlign w:val="bottom"/>
            <w:gridSpan w:val="3"/>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r>
      <w:tr>
        <w:trPr>
          <w:trHeight w:val="196"/>
        </w:trPr>
        <w:tc>
          <w:tcPr>
            <w:tcW w:w="1360" w:type="dxa"/>
            <w:vAlign w:val="bottom"/>
            <w:gridSpan w:val="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9880" w:type="dxa"/>
            <w:vAlign w:val="bottom"/>
            <w:gridSpan w:val="4"/>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First Amendment to Membership Interest Purchase Agreement, dated as of December 29, 2021, by and among Lighthouse Renewable</w:t>
              </w:r>
            </w:hyperlink>
          </w:p>
        </w:tc>
      </w:tr>
      <w:tr>
        <w:trPr>
          <w:trHeight w:val="196"/>
        </w:trPr>
        <w:tc>
          <w:tcPr>
            <w:tcW w:w="50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Class A LLC and Clearway Renew LLC.</w:t>
              </w:r>
            </w:hyperlink>
          </w:p>
        </w:tc>
        <w:tc>
          <w:tcPr>
            <w:tcW w:w="6700" w:type="dxa"/>
            <w:vAlign w:val="bottom"/>
            <w:tcBorders>
              <w:top w:val="single" w:sz="8" w:color="0000EE"/>
            </w:tcBorders>
            <w:gridSpan w:val="2"/>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40" w:right="320" w:hanging="332"/>
        <w:spacing w:after="0" w:line="274"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upon request.</w:t>
      </w:r>
    </w:p>
    <w:p>
      <w:pPr>
        <w:jc w:val="both"/>
        <w:ind w:left="340" w:right="10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ind w:left="10260"/>
        <w:spacing w:after="0"/>
        <w:rPr>
          <w:sz w:val="20"/>
          <w:szCs w:val="20"/>
          <w:color w:val="auto"/>
        </w:rPr>
      </w:pPr>
      <w:r>
        <w:rPr>
          <w:rFonts w:ascii="Arial" w:cs="Arial" w:eastAsia="Arial" w:hAnsi="Arial"/>
          <w:sz w:val="17"/>
          <w:szCs w:val="17"/>
          <w:b w:val="1"/>
          <w:bCs w:val="1"/>
          <w:color w:val="auto"/>
        </w:rPr>
        <w:t>Exhibit 10.1</w:t>
      </w:r>
    </w:p>
    <w:p>
      <w:pPr>
        <w:spacing w:after="0" w:line="241"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MEMBERSHIP INTEREST PURCHASE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First Amendment to Membership Interest Purchase Agreement (this “</w:t>
      </w:r>
      <w:r>
        <w:rPr>
          <w:rFonts w:ascii="Arial" w:cs="Arial" w:eastAsia="Arial" w:hAnsi="Arial"/>
          <w:sz w:val="17"/>
          <w:szCs w:val="17"/>
          <w:i w:val="1"/>
          <w:iCs w:val="1"/>
          <w:color w:val="auto"/>
        </w:rPr>
        <w:t>Amendment</w:t>
      </w:r>
      <w:r>
        <w:rPr>
          <w:rFonts w:ascii="Arial" w:cs="Arial" w:eastAsia="Arial" w:hAnsi="Arial"/>
          <w:sz w:val="17"/>
          <w:szCs w:val="17"/>
          <w:color w:val="auto"/>
        </w:rPr>
        <w:t>”) is entered into as of December 17, 2021 (the “</w:t>
      </w:r>
      <w:r>
        <w:rPr>
          <w:rFonts w:ascii="Arial" w:cs="Arial" w:eastAsia="Arial" w:hAnsi="Arial"/>
          <w:sz w:val="17"/>
          <w:szCs w:val="17"/>
          <w:i w:val="1"/>
          <w:iCs w:val="1"/>
          <w:color w:val="auto"/>
        </w:rPr>
        <w:t>Amendment</w:t>
      </w:r>
      <w:r>
        <w:rPr>
          <w:rFonts w:ascii="Arial" w:cs="Arial" w:eastAsia="Arial" w:hAnsi="Arial"/>
          <w:sz w:val="17"/>
          <w:szCs w:val="17"/>
          <w:color w:val="auto"/>
        </w:rPr>
        <w:t xml:space="preserve"> </w:t>
      </w:r>
      <w:r>
        <w:rPr>
          <w:rFonts w:ascii="Arial" w:cs="Arial" w:eastAsia="Arial" w:hAnsi="Arial"/>
          <w:sz w:val="17"/>
          <w:szCs w:val="17"/>
          <w:i w:val="1"/>
          <w:iCs w:val="1"/>
          <w:color w:val="auto"/>
        </w:rPr>
        <w:t>Effective Date</w:t>
      </w:r>
      <w:r>
        <w:rPr>
          <w:rFonts w:ascii="Arial" w:cs="Arial" w:eastAsia="Arial" w:hAnsi="Arial"/>
          <w:sz w:val="17"/>
          <w:szCs w:val="17"/>
          <w:color w:val="auto"/>
        </w:rPr>
        <w:t>”), by and among Lighthouse Renewable Class A LLC, a Delaware limited liability company (“</w:t>
      </w:r>
      <w:r>
        <w:rPr>
          <w:rFonts w:ascii="Arial" w:cs="Arial" w:eastAsia="Arial" w:hAnsi="Arial"/>
          <w:sz w:val="17"/>
          <w:szCs w:val="17"/>
          <w:i w:val="1"/>
          <w:iCs w:val="1"/>
          <w:color w:val="auto"/>
        </w:rPr>
        <w:t>Purchaser</w:t>
      </w:r>
      <w:r>
        <w:rPr>
          <w:rFonts w:ascii="Arial" w:cs="Arial" w:eastAsia="Arial" w:hAnsi="Arial"/>
          <w:sz w:val="17"/>
          <w:szCs w:val="17"/>
          <w:color w:val="auto"/>
        </w:rPr>
        <w:t>”), Clearway Renew LLC, a</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limited liability company (“</w:t>
      </w:r>
      <w:r>
        <w:rPr>
          <w:rFonts w:ascii="Arial" w:cs="Arial" w:eastAsia="Arial" w:hAnsi="Arial"/>
          <w:sz w:val="17"/>
          <w:szCs w:val="17"/>
          <w:i w:val="1"/>
          <w:iCs w:val="1"/>
          <w:color w:val="auto"/>
        </w:rPr>
        <w:t>Seller</w:t>
      </w:r>
      <w:r>
        <w:rPr>
          <w:rFonts w:ascii="Arial" w:cs="Arial" w:eastAsia="Arial" w:hAnsi="Arial"/>
          <w:sz w:val="17"/>
          <w:szCs w:val="17"/>
          <w:color w:val="auto"/>
        </w:rPr>
        <w:t xml:space="preserve">”), and, solely with respect to </w:t>
      </w:r>
      <w:r>
        <w:rPr>
          <w:rFonts w:ascii="Arial" w:cs="Arial" w:eastAsia="Arial" w:hAnsi="Arial"/>
          <w:sz w:val="17"/>
          <w:szCs w:val="17"/>
          <w:i w:val="1"/>
          <w:iCs w:val="1"/>
          <w:color w:val="auto"/>
        </w:rPr>
        <w:t>Section 5</w:t>
      </w:r>
      <w:r>
        <w:rPr>
          <w:rFonts w:ascii="Arial" w:cs="Arial" w:eastAsia="Arial" w:hAnsi="Arial"/>
          <w:sz w:val="17"/>
          <w:szCs w:val="17"/>
          <w:color w:val="auto"/>
        </w:rPr>
        <w:t>, Clearway Energy Operating LLC, a Delaware limited liability company (“</w:t>
      </w:r>
      <w:r>
        <w:rPr>
          <w:rFonts w:ascii="Arial" w:cs="Arial" w:eastAsia="Arial" w:hAnsi="Arial"/>
          <w:sz w:val="17"/>
          <w:szCs w:val="17"/>
          <w:i w:val="1"/>
          <w:iCs w:val="1"/>
          <w:color w:val="auto"/>
        </w:rPr>
        <w:t>Purchaser Guarantor</w:t>
      </w:r>
      <w:r>
        <w:rPr>
          <w:rFonts w:ascii="Arial" w:cs="Arial" w:eastAsia="Arial" w:hAnsi="Arial"/>
          <w:sz w:val="17"/>
          <w:szCs w:val="17"/>
          <w:color w:val="auto"/>
        </w:rPr>
        <w:t>”). Purchaser and Seller are each referred to herein individually as a “</w:t>
      </w:r>
      <w:r>
        <w:rPr>
          <w:rFonts w:ascii="Arial" w:cs="Arial" w:eastAsia="Arial" w:hAnsi="Arial"/>
          <w:sz w:val="17"/>
          <w:szCs w:val="17"/>
          <w:i w:val="1"/>
          <w:iCs w:val="1"/>
          <w:color w:val="auto"/>
        </w:rPr>
        <w:t>Party</w:t>
      </w:r>
      <w:r>
        <w:rPr>
          <w:rFonts w:ascii="Arial" w:cs="Arial" w:eastAsia="Arial" w:hAnsi="Arial"/>
          <w:sz w:val="17"/>
          <w:szCs w:val="17"/>
          <w:color w:val="auto"/>
        </w:rPr>
        <w:t>” and, jointly, the “</w:t>
      </w:r>
      <w:r>
        <w:rPr>
          <w:rFonts w:ascii="Arial" w:cs="Arial" w:eastAsia="Arial" w:hAnsi="Arial"/>
          <w:sz w:val="17"/>
          <w:szCs w:val="17"/>
          <w:i w:val="1"/>
          <w:iCs w:val="1"/>
          <w:color w:val="auto"/>
        </w:rPr>
        <w:t>Parties</w:t>
      </w:r>
      <w:r>
        <w:rPr>
          <w:rFonts w:ascii="Arial" w:cs="Arial" w:eastAsia="Arial" w:hAnsi="Arial"/>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right="20" w:firstLine="656"/>
        <w:spacing w:after="0" w:line="277" w:lineRule="auto"/>
        <w:tabs>
          <w:tab w:leader="none" w:pos="1093"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Purchaser and Seller are parties to that certain Membership Interest Purchase Agreement (the “</w:t>
      </w:r>
      <w:r>
        <w:rPr>
          <w:rFonts w:ascii="Arial" w:cs="Arial" w:eastAsia="Arial" w:hAnsi="Arial"/>
          <w:sz w:val="18"/>
          <w:szCs w:val="18"/>
          <w:i w:val="1"/>
          <w:iCs w:val="1"/>
          <w:color w:val="auto"/>
        </w:rPr>
        <w:t>MIPA</w:t>
      </w:r>
      <w:r>
        <w:rPr>
          <w:rFonts w:ascii="Arial" w:cs="Arial" w:eastAsia="Arial" w:hAnsi="Arial"/>
          <w:sz w:val="18"/>
          <w:szCs w:val="18"/>
          <w:color w:val="auto"/>
        </w:rPr>
        <w:t>”), dated as of December 21, 2020, with respect to Mesquite Sky Holding LLC.</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Purchaser and Seller desire to amend the MIPA as set forth herein.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is hereby acknowledged, the parties hereto agree as follows:</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defined in this Amendment, each capitalized term used herein has the meaning assigned to such term in the MIPA.</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AMENDMENTS TO MIPA.</w:t>
      </w: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The fifth recital to the MIPA is hereby amended by adding the words “Base” immediately before the words “Purchase Price”.</w:t>
      </w: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The sixth recital to the MIPA is hereby deleted and replaced with the following:</w:t>
      </w:r>
    </w:p>
    <w:p>
      <w:pPr>
        <w:spacing w:after="0" w:line="229"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“Purchaser and HASI have agreed that, as shareholders of Lighthouse Renewable HoldCo 2 LLC (the “</w:t>
      </w:r>
      <w:r>
        <w:rPr>
          <w:rFonts w:ascii="Arial" w:cs="Arial" w:eastAsia="Arial" w:hAnsi="Arial"/>
          <w:sz w:val="18"/>
          <w:szCs w:val="18"/>
          <w:i w:val="1"/>
          <w:iCs w:val="1"/>
          <w:color w:val="auto"/>
        </w:rPr>
        <w:t>Master JV HoldCo</w:t>
      </w:r>
      <w:r>
        <w:rPr>
          <w:rFonts w:ascii="Arial" w:cs="Arial" w:eastAsia="Arial" w:hAnsi="Arial"/>
          <w:sz w:val="18"/>
          <w:szCs w:val="18"/>
          <w:color w:val="auto"/>
        </w:rPr>
        <w:t>”), they shall, immediately upon the Closing, contribute their respective Class B Units to the Master JV HoldCo and cause Master JV HoldCo to be admitted as the Class B Member of the Company (the “</w:t>
      </w:r>
      <w:r>
        <w:rPr>
          <w:rFonts w:ascii="Arial" w:cs="Arial" w:eastAsia="Arial" w:hAnsi="Arial"/>
          <w:sz w:val="18"/>
          <w:szCs w:val="18"/>
          <w:i w:val="1"/>
          <w:iCs w:val="1"/>
          <w:color w:val="auto"/>
        </w:rPr>
        <w:t>Drop Down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color w:val="auto"/>
        </w:rPr>
        <w:t>The Recitals to the MIPA are hereby amended by inserting the following new recitals immediately after the last recital:</w:t>
      </w:r>
    </w:p>
    <w:p>
      <w:pPr>
        <w:spacing w:after="0" w:line="229" w:lineRule="exact"/>
        <w:rPr>
          <w:sz w:val="20"/>
          <w:szCs w:val="20"/>
          <w:color w:val="auto"/>
        </w:rPr>
      </w:pPr>
    </w:p>
    <w:p>
      <w:pPr>
        <w:jc w:val="both"/>
        <w:ind w:left="640"/>
        <w:spacing w:after="0" w:line="263" w:lineRule="auto"/>
        <w:rPr>
          <w:sz w:val="20"/>
          <w:szCs w:val="20"/>
          <w:color w:val="auto"/>
        </w:rPr>
      </w:pPr>
      <w:r>
        <w:rPr>
          <w:rFonts w:ascii="Arial" w:cs="Arial" w:eastAsia="Arial" w:hAnsi="Arial"/>
          <w:sz w:val="18"/>
          <w:szCs w:val="18"/>
          <w:color w:val="auto"/>
        </w:rPr>
        <w:t>“7. At least ninety-one (91) days after the Tax Equity Funding Date, Seller will purchase from the Class A Member, one hundred percent (100%) of the Class A membership interests of the Company (the “</w:t>
      </w:r>
      <w:r>
        <w:rPr>
          <w:rFonts w:ascii="Arial" w:cs="Arial" w:eastAsia="Arial" w:hAnsi="Arial"/>
          <w:sz w:val="18"/>
          <w:szCs w:val="18"/>
          <w:i w:val="1"/>
          <w:iCs w:val="1"/>
          <w:color w:val="auto"/>
        </w:rPr>
        <w:t>Class A Units</w:t>
      </w:r>
      <w:r>
        <w:rPr>
          <w:rFonts w:ascii="Arial" w:cs="Arial" w:eastAsia="Arial" w:hAnsi="Arial"/>
          <w:sz w:val="18"/>
          <w:szCs w:val="18"/>
          <w:color w:val="auto"/>
        </w:rPr>
        <w:t>”) pursuant to the Apex Purchase Agreement (the “</w:t>
      </w:r>
      <w:r>
        <w:rPr>
          <w:rFonts w:ascii="Arial" w:cs="Arial" w:eastAsia="Arial" w:hAnsi="Arial"/>
          <w:sz w:val="18"/>
          <w:szCs w:val="18"/>
          <w:i w:val="1"/>
          <w:iCs w:val="1"/>
          <w:color w:val="auto"/>
        </w:rPr>
        <w:t>Class A Transfer</w:t>
      </w:r>
      <w:r>
        <w:rPr>
          <w:rFonts w:ascii="Arial" w:cs="Arial" w:eastAsia="Arial" w:hAnsi="Arial"/>
          <w:sz w:val="18"/>
          <w:szCs w:val="18"/>
          <w:color w:val="auto"/>
        </w:rPr>
        <w:t>”).</w:t>
      </w:r>
    </w:p>
    <w:p>
      <w:pPr>
        <w:spacing w:after="0" w:line="184" w:lineRule="exact"/>
        <w:rPr>
          <w:sz w:val="20"/>
          <w:szCs w:val="20"/>
          <w:color w:val="auto"/>
        </w:rPr>
      </w:pPr>
    </w:p>
    <w:p>
      <w:pPr>
        <w:jc w:val="both"/>
        <w:ind w:left="640" w:firstLine="4"/>
        <w:spacing w:after="0" w:line="263" w:lineRule="auto"/>
        <w:tabs>
          <w:tab w:leader="none" w:pos="1045" w:val="left"/>
        </w:tabs>
        <w:numPr>
          <w:ilvl w:val="0"/>
          <w:numId w:val="7"/>
        </w:numPr>
        <w:rPr>
          <w:rFonts w:ascii="Arial" w:cs="Arial" w:eastAsia="Arial" w:hAnsi="Arial"/>
          <w:sz w:val="18"/>
          <w:szCs w:val="18"/>
          <w:color w:val="auto"/>
        </w:rPr>
      </w:pPr>
      <w:r>
        <w:rPr>
          <w:rFonts w:ascii="Arial" w:cs="Arial" w:eastAsia="Arial" w:hAnsi="Arial"/>
          <w:sz w:val="18"/>
          <w:szCs w:val="18"/>
          <w:color w:val="auto"/>
        </w:rPr>
        <w:t>Immediately following the Class A Transfer and subject to the satisfaction or waiver of the applicable conditions precedent set forth herein, fifty and one one-hundredth percent (50.01%) of the Class A Units (the “</w:t>
      </w:r>
      <w:r>
        <w:rPr>
          <w:rFonts w:ascii="Arial" w:cs="Arial" w:eastAsia="Arial" w:hAnsi="Arial"/>
          <w:sz w:val="18"/>
          <w:szCs w:val="18"/>
          <w:i w:val="1"/>
          <w:iCs w:val="1"/>
          <w:color w:val="auto"/>
        </w:rPr>
        <w:t>Class A Interests</w:t>
      </w:r>
      <w:r>
        <w:rPr>
          <w:rFonts w:ascii="Arial" w:cs="Arial" w:eastAsia="Arial" w:hAnsi="Arial"/>
          <w:sz w:val="18"/>
          <w:szCs w:val="18"/>
          <w:color w:val="auto"/>
        </w:rPr>
        <w:t>”) will be sold to Purchaser for the Class A Purchase Price as provided herein.</w:t>
      </w:r>
    </w:p>
    <w:p>
      <w:pPr>
        <w:spacing w:after="0" w:line="183" w:lineRule="exact"/>
        <w:rPr>
          <w:rFonts w:ascii="Arial" w:cs="Arial" w:eastAsia="Arial" w:hAnsi="Arial"/>
          <w:sz w:val="18"/>
          <w:szCs w:val="18"/>
          <w:color w:val="auto"/>
        </w:rPr>
      </w:pPr>
    </w:p>
    <w:p>
      <w:pPr>
        <w:ind w:left="640" w:firstLine="4"/>
        <w:spacing w:after="0" w:line="277" w:lineRule="auto"/>
        <w:tabs>
          <w:tab w:leader="none" w:pos="1045"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Purchaser and HASI have agreed that they shall, immediately upon the Second Closing, contribute their respective Class A Units to the Master JV HoldCo and cause Master JV HoldCo to be the sole member of the Company.”</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color w:val="auto"/>
        </w:rPr>
        <w:t>Section 1.01 of the MIPA is hereby amended by inserting in the appropriate alphabetical order the following new definitions:</w:t>
      </w:r>
    </w:p>
    <w:p>
      <w:pPr>
        <w:spacing w:after="0" w:line="229"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Apex Purchase Agreement</w:t>
      </w:r>
      <w:r>
        <w:rPr>
          <w:rFonts w:ascii="Arial" w:cs="Arial" w:eastAsia="Arial" w:hAnsi="Arial"/>
          <w:sz w:val="18"/>
          <w:szCs w:val="18"/>
          <w:color w:val="auto"/>
        </w:rPr>
        <w:t>” means the membership interest purchase agreement pursuant to which Seller will acquire 100% of the Class A Units in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Interests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Purchase Price</w:t>
      </w:r>
      <w:r>
        <w:rPr>
          <w:rFonts w:ascii="Arial" w:cs="Arial" w:eastAsia="Arial" w:hAnsi="Arial"/>
          <w:sz w:val="18"/>
          <w:szCs w:val="18"/>
          <w:color w:val="auto"/>
        </w:rPr>
        <w:t>” means an amount equal to $2,358,859.85.</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Transfer</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Units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Purchase Price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2.02</w:t>
      </w:r>
      <w:r>
        <w:rPr>
          <w:rFonts w:ascii="Arial" w:cs="Arial" w:eastAsia="Arial" w:hAnsi="Arial"/>
          <w:sz w:val="18"/>
          <w:szCs w:val="18"/>
          <w:color w:val="auto"/>
        </w:rPr>
        <w:t>.</w:t>
      </w:r>
    </w:p>
    <w:p>
      <w:pPr>
        <w:spacing w:after="0" w:line="225" w:lineRule="exact"/>
        <w:rPr>
          <w:sz w:val="20"/>
          <w:szCs w:val="20"/>
          <w:color w:val="auto"/>
        </w:rPr>
      </w:pPr>
    </w:p>
    <w:p>
      <w:pPr>
        <w:jc w:val="both"/>
        <w:ind w:left="6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Equity Encumbrances</w:t>
      </w:r>
      <w:r>
        <w:rPr>
          <w:rFonts w:ascii="Arial" w:cs="Arial" w:eastAsia="Arial" w:hAnsi="Arial"/>
          <w:sz w:val="18"/>
          <w:szCs w:val="18"/>
          <w:color w:val="auto"/>
        </w:rPr>
        <w:t>” means (</w:t>
      </w:r>
      <w:r>
        <w:rPr>
          <w:rFonts w:ascii="Arial" w:cs="Arial" w:eastAsia="Arial" w:hAnsi="Arial"/>
          <w:sz w:val="18"/>
          <w:szCs w:val="18"/>
          <w:i w:val="1"/>
          <w:iCs w:val="1"/>
          <w:color w:val="auto"/>
        </w:rPr>
        <w:t>a</w:t>
      </w:r>
      <w:r>
        <w:rPr>
          <w:rFonts w:ascii="Arial" w:cs="Arial" w:eastAsia="Arial" w:hAnsi="Arial"/>
          <w:sz w:val="18"/>
          <w:szCs w:val="18"/>
          <w:color w:val="auto"/>
        </w:rPr>
        <w:t>) those restrictions on transfer imposed by applicable securities laws, (</w:t>
      </w:r>
      <w:r>
        <w:rPr>
          <w:rFonts w:ascii="Arial" w:cs="Arial" w:eastAsia="Arial" w:hAnsi="Arial"/>
          <w:sz w:val="18"/>
          <w:szCs w:val="18"/>
          <w:i w:val="1"/>
          <w:iCs w:val="1"/>
          <w:color w:val="auto"/>
        </w:rPr>
        <w:t>b</w:t>
      </w:r>
      <w:r>
        <w:rPr>
          <w:rFonts w:ascii="Arial" w:cs="Arial" w:eastAsia="Arial" w:hAnsi="Arial"/>
          <w:sz w:val="18"/>
          <w:szCs w:val="18"/>
          <w:color w:val="auto"/>
        </w:rPr>
        <w:t>) Liens or restrictions imposed on transfers set forth in the Constitutive Documents of the Company and (</w:t>
      </w:r>
      <w:r>
        <w:rPr>
          <w:rFonts w:ascii="Arial" w:cs="Arial" w:eastAsia="Arial" w:hAnsi="Arial"/>
          <w:sz w:val="18"/>
          <w:szCs w:val="18"/>
          <w:i w:val="1"/>
          <w:iCs w:val="1"/>
          <w:color w:val="auto"/>
        </w:rPr>
        <w:t>c</w:t>
      </w:r>
      <w:r>
        <w:rPr>
          <w:rFonts w:ascii="Arial" w:cs="Arial" w:eastAsia="Arial" w:hAnsi="Arial"/>
          <w:sz w:val="18"/>
          <w:szCs w:val="18"/>
          <w:color w:val="auto"/>
        </w:rPr>
        <w:t>) any Lien in favor of Purchaser arising under or created by this Agreement.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 Price</w:t>
      </w:r>
      <w:r>
        <w:rPr>
          <w:rFonts w:ascii="Arial" w:cs="Arial" w:eastAsia="Arial" w:hAnsi="Arial"/>
          <w:sz w:val="16"/>
          <w:szCs w:val="16"/>
          <w:color w:val="auto"/>
        </w:rPr>
        <w:t xml:space="preserve">” means the Class A Purchase Price plus the Class B Purchase Price subject to adjustment pursuant to </w:t>
      </w:r>
      <w:r>
        <w:rPr>
          <w:rFonts w:ascii="Arial" w:cs="Arial" w:eastAsia="Arial" w:hAnsi="Arial"/>
          <w:sz w:val="16"/>
          <w:szCs w:val="16"/>
          <w:i w:val="1"/>
          <w:iCs w:val="1"/>
          <w:color w:val="auto"/>
        </w:rPr>
        <w:t>Section 2.04(b)</w:t>
      </w:r>
      <w:r>
        <w:rPr>
          <w:rFonts w:ascii="Arial" w:cs="Arial" w:eastAsia="Arial" w:hAnsi="Arial"/>
          <w:sz w:val="16"/>
          <w:szCs w:val="16"/>
          <w:color w:val="auto"/>
        </w:rPr>
        <w:t>.</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Second Closing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3.02</w:t>
      </w:r>
      <w:r>
        <w:rPr>
          <w:rFonts w:ascii="Arial" w:cs="Arial" w:eastAsia="Arial" w:hAnsi="Arial"/>
          <w:sz w:val="18"/>
          <w:szCs w:val="18"/>
          <w:color w:val="auto"/>
        </w:rPr>
        <w:t>.</w:t>
      </w:r>
    </w:p>
    <w:p>
      <w:pPr>
        <w:spacing w:after="0" w:line="225" w:lineRule="exact"/>
        <w:rPr>
          <w:sz w:val="20"/>
          <w:szCs w:val="20"/>
          <w:color w:val="auto"/>
        </w:rPr>
      </w:pPr>
    </w:p>
    <w:p>
      <w:pPr>
        <w:jc w:val="both"/>
        <w:ind w:left="64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 Contract</w:t>
      </w:r>
      <w:r>
        <w:rPr>
          <w:rFonts w:ascii="Arial" w:cs="Arial" w:eastAsia="Arial" w:hAnsi="Arial"/>
          <w:sz w:val="18"/>
          <w:szCs w:val="18"/>
          <w:color w:val="auto"/>
        </w:rPr>
        <w:t>” means an agreement between [***] and the Target Company for [***], which agreement shall include the following terms: [***].</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 w:name="page7"/>
    <w:bookmarkEnd w:id="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 Contract Execution Date</w:t>
      </w:r>
      <w:r>
        <w:rPr>
          <w:rFonts w:ascii="Arial" w:cs="Arial" w:eastAsia="Arial" w:hAnsi="Arial"/>
          <w:sz w:val="18"/>
          <w:szCs w:val="18"/>
          <w:color w:val="auto"/>
        </w:rPr>
        <w:t>” means the date on which the REC Contract is executed.</w:t>
      </w:r>
    </w:p>
    <w:p>
      <w:pPr>
        <w:spacing w:after="0" w:line="225" w:lineRule="exact"/>
        <w:rPr>
          <w:sz w:val="20"/>
          <w:szCs w:val="20"/>
          <w:color w:val="auto"/>
        </w:rPr>
      </w:pPr>
    </w:p>
    <w:p>
      <w:pPr>
        <w:jc w:val="both"/>
        <w:ind w:left="13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Second Additional Turbine Holdback Amount</w:t>
      </w:r>
      <w:r>
        <w:rPr>
          <w:rFonts w:ascii="Arial" w:cs="Arial" w:eastAsia="Arial" w:hAnsi="Arial"/>
          <w:sz w:val="16"/>
          <w:szCs w:val="16"/>
          <w:color w:val="auto"/>
        </w:rPr>
        <w:t>” means an amount of money that is equal to (</w:t>
      </w:r>
      <w:r>
        <w:rPr>
          <w:rFonts w:ascii="Arial" w:cs="Arial" w:eastAsia="Arial" w:hAnsi="Arial"/>
          <w:sz w:val="16"/>
          <w:szCs w:val="16"/>
          <w:i w:val="1"/>
          <w:iCs w:val="1"/>
          <w:color w:val="auto"/>
        </w:rPr>
        <w:t>a</w:t>
      </w:r>
      <w:r>
        <w:rPr>
          <w:rFonts w:ascii="Arial" w:cs="Arial" w:eastAsia="Arial" w:hAnsi="Arial"/>
          <w:sz w:val="16"/>
          <w:szCs w:val="16"/>
          <w:color w:val="auto"/>
        </w:rPr>
        <w:t xml:space="preserve">) the Class A Purchase Price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w:t>
      </w:r>
      <w:r>
        <w:rPr>
          <w:rFonts w:ascii="Arial" w:cs="Arial" w:eastAsia="Arial" w:hAnsi="Arial"/>
          <w:sz w:val="16"/>
          <w:szCs w:val="16"/>
          <w:i w:val="1"/>
          <w:iCs w:val="1"/>
          <w:color w:val="auto"/>
        </w:rPr>
        <w:t>b</w:t>
      </w:r>
      <w:r>
        <w:rPr>
          <w:rFonts w:ascii="Arial" w:cs="Arial" w:eastAsia="Arial" w:hAnsi="Arial"/>
          <w:sz w:val="16"/>
          <w:szCs w:val="16"/>
          <w:color w:val="auto"/>
        </w:rPr>
        <w:t>) the fraction that is the result of (</w:t>
      </w:r>
      <w:r>
        <w:rPr>
          <w:rFonts w:ascii="Arial" w:cs="Arial" w:eastAsia="Arial" w:hAnsi="Arial"/>
          <w:sz w:val="16"/>
          <w:szCs w:val="16"/>
          <w:i w:val="1"/>
          <w:iCs w:val="1"/>
          <w:color w:val="auto"/>
        </w:rPr>
        <w:t>i</w:t>
      </w:r>
      <w:r>
        <w:rPr>
          <w:rFonts w:ascii="Arial" w:cs="Arial" w:eastAsia="Arial" w:hAnsi="Arial"/>
          <w:sz w:val="16"/>
          <w:szCs w:val="16"/>
          <w:color w:val="auto"/>
        </w:rPr>
        <w:t xml:space="preserve">) the total number of Additional Turbines as of the Second Closing Date,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w:t>
      </w:r>
      <w:r>
        <w:rPr>
          <w:rFonts w:ascii="Arial" w:cs="Arial" w:eastAsia="Arial" w:hAnsi="Arial"/>
          <w:sz w:val="16"/>
          <w:szCs w:val="16"/>
          <w:i w:val="1"/>
          <w:iCs w:val="1"/>
          <w:color w:val="auto"/>
        </w:rPr>
        <w:t>ii</w:t>
      </w:r>
      <w:r>
        <w:rPr>
          <w:rFonts w:ascii="Arial" w:cs="Arial" w:eastAsia="Arial" w:hAnsi="Arial"/>
          <w:sz w:val="16"/>
          <w:szCs w:val="16"/>
          <w:color w:val="auto"/>
        </w:rPr>
        <w:t>) 68.</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Closing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Closing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Second Closing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w:t>
      </w:r>
      <w:r>
        <w:rPr>
          <w:rFonts w:ascii="Arial" w:cs="Arial" w:eastAsia="Arial" w:hAnsi="Arial"/>
          <w:sz w:val="18"/>
          <w:szCs w:val="18"/>
          <w:color w:val="auto"/>
        </w:rPr>
        <w:t>.</w:t>
      </w:r>
    </w:p>
    <w:p>
      <w:pPr>
        <w:spacing w:after="0" w:line="22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Guaranty”</w:t>
      </w:r>
      <w:r>
        <w:rPr>
          <w:rFonts w:ascii="Arial" w:cs="Arial" w:eastAsia="Arial" w:hAnsi="Arial"/>
          <w:sz w:val="18"/>
          <w:szCs w:val="18"/>
          <w:color w:val="auto"/>
        </w:rPr>
        <w:t xml:space="preserve"> means the Guaranty Agreement dated on or about the date hereof by Clearway Energy Operating LLC on behalf of TE Holdco granted to [***].</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The definition of “Additional Turbine Amount” in Section 1.01 of the MIPA is hereby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6"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Turbine Amount</w:t>
      </w:r>
      <w:r>
        <w:rPr>
          <w:rFonts w:ascii="Arial" w:cs="Arial" w:eastAsia="Arial" w:hAnsi="Arial"/>
          <w:sz w:val="18"/>
          <w:szCs w:val="18"/>
          <w:color w:val="auto"/>
        </w:rPr>
        <w:t>” means, with respect to each Additional Turbine, (</w:t>
      </w:r>
      <w:r>
        <w:rPr>
          <w:rFonts w:ascii="Arial" w:cs="Arial" w:eastAsia="Arial" w:hAnsi="Arial"/>
          <w:sz w:val="18"/>
          <w:szCs w:val="18"/>
          <w:i w:val="1"/>
          <w:iCs w:val="1"/>
          <w:color w:val="auto"/>
        </w:rPr>
        <w:t>a</w:t>
      </w:r>
      <w:r>
        <w:rPr>
          <w:rFonts w:ascii="Arial" w:cs="Arial" w:eastAsia="Arial" w:hAnsi="Arial"/>
          <w:sz w:val="18"/>
          <w:szCs w:val="18"/>
          <w:color w:val="auto"/>
        </w:rPr>
        <w:t>) if the Additional Turbine Deadline occurs before the Second Closing Date, an amount of money that is equal to (</w:t>
      </w:r>
      <w:r>
        <w:rPr>
          <w:rFonts w:ascii="Arial" w:cs="Arial" w:eastAsia="Arial" w:hAnsi="Arial"/>
          <w:sz w:val="18"/>
          <w:szCs w:val="18"/>
          <w:i w:val="1"/>
          <w:iCs w:val="1"/>
          <w:color w:val="auto"/>
        </w:rPr>
        <w:t>i</w:t>
      </w:r>
      <w:r>
        <w:rPr>
          <w:rFonts w:ascii="Arial" w:cs="Arial" w:eastAsia="Arial" w:hAnsi="Arial"/>
          <w:sz w:val="18"/>
          <w:szCs w:val="18"/>
          <w:color w:val="auto"/>
        </w:rPr>
        <w:t xml:space="preserve">) the Additional Turbine Holdback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w:t>
      </w:r>
      <w:r>
        <w:rPr>
          <w:rFonts w:ascii="Arial" w:cs="Arial" w:eastAsia="Arial" w:hAnsi="Arial"/>
          <w:sz w:val="18"/>
          <w:szCs w:val="18"/>
          <w:i w:val="1"/>
          <w:iCs w:val="1"/>
          <w:color w:val="auto"/>
        </w:rPr>
        <w:t>ii</w:t>
      </w:r>
      <w:r>
        <w:rPr>
          <w:rFonts w:ascii="Arial" w:cs="Arial" w:eastAsia="Arial" w:hAnsi="Arial"/>
          <w:sz w:val="18"/>
          <w:szCs w:val="18"/>
          <w:color w:val="auto"/>
        </w:rPr>
        <w:t>) the number of Additional Turbines as of the Closing Date, and (</w:t>
      </w:r>
      <w:r>
        <w:rPr>
          <w:rFonts w:ascii="Arial" w:cs="Arial" w:eastAsia="Arial" w:hAnsi="Arial"/>
          <w:sz w:val="18"/>
          <w:szCs w:val="18"/>
          <w:i w:val="1"/>
          <w:iCs w:val="1"/>
          <w:color w:val="auto"/>
        </w:rPr>
        <w:t>b</w:t>
      </w:r>
      <w:r>
        <w:rPr>
          <w:rFonts w:ascii="Arial" w:cs="Arial" w:eastAsia="Arial" w:hAnsi="Arial"/>
          <w:sz w:val="18"/>
          <w:szCs w:val="18"/>
          <w:color w:val="auto"/>
        </w:rPr>
        <w:t>) if the Additional Turbine Deadline occurs after the Second Closing Date, an amount of money that is equal to the sum of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A</w:t>
      </w:r>
      <w:r>
        <w:rPr>
          <w:rFonts w:ascii="Arial" w:cs="Arial" w:eastAsia="Arial" w:hAnsi="Arial"/>
          <w:sz w:val="18"/>
          <w:szCs w:val="18"/>
          <w:color w:val="auto"/>
        </w:rPr>
        <w:t xml:space="preserve">) the Additional Turbine Holdback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w:t>
      </w:r>
      <w:r>
        <w:rPr>
          <w:rFonts w:ascii="Arial" w:cs="Arial" w:eastAsia="Arial" w:hAnsi="Arial"/>
          <w:sz w:val="18"/>
          <w:szCs w:val="18"/>
          <w:i w:val="1"/>
          <w:iCs w:val="1"/>
          <w:color w:val="auto"/>
        </w:rPr>
        <w:t>B</w:t>
      </w:r>
      <w:r>
        <w:rPr>
          <w:rFonts w:ascii="Arial" w:cs="Arial" w:eastAsia="Arial" w:hAnsi="Arial"/>
          <w:sz w:val="18"/>
          <w:szCs w:val="18"/>
          <w:color w:val="auto"/>
        </w:rPr>
        <w:t xml:space="preserve">) the number of Additional Turbines as of the Closing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w:t>
      </w:r>
      <w:r>
        <w:rPr>
          <w:rFonts w:ascii="Arial" w:cs="Arial" w:eastAsia="Arial" w:hAnsi="Arial"/>
          <w:sz w:val="18"/>
          <w:szCs w:val="18"/>
          <w:i w:val="1"/>
          <w:iCs w:val="1"/>
          <w:color w:val="auto"/>
        </w:rPr>
        <w:t>ii</w:t>
      </w:r>
      <w:r>
        <w:rPr>
          <w:rFonts w:ascii="Arial" w:cs="Arial" w:eastAsia="Arial" w:hAnsi="Arial"/>
          <w:sz w:val="18"/>
          <w:szCs w:val="18"/>
          <w:color w:val="auto"/>
        </w:rPr>
        <w:t>)(</w:t>
      </w:r>
      <w:r>
        <w:rPr>
          <w:rFonts w:ascii="Arial" w:cs="Arial" w:eastAsia="Arial" w:hAnsi="Arial"/>
          <w:sz w:val="18"/>
          <w:szCs w:val="18"/>
          <w:i w:val="1"/>
          <w:iCs w:val="1"/>
          <w:color w:val="auto"/>
        </w:rPr>
        <w:t>A</w:t>
      </w:r>
      <w:r>
        <w:rPr>
          <w:rFonts w:ascii="Arial" w:cs="Arial" w:eastAsia="Arial" w:hAnsi="Arial"/>
          <w:sz w:val="18"/>
          <w:szCs w:val="18"/>
          <w:color w:val="auto"/>
        </w:rPr>
        <w:t xml:space="preserve">) the Second Additional Turbine Holdback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w:t>
      </w:r>
      <w:r>
        <w:rPr>
          <w:rFonts w:ascii="Arial" w:cs="Arial" w:eastAsia="Arial" w:hAnsi="Arial"/>
          <w:sz w:val="18"/>
          <w:szCs w:val="18"/>
          <w:i w:val="1"/>
          <w:iCs w:val="1"/>
          <w:color w:val="auto"/>
        </w:rPr>
        <w:t>ii</w:t>
      </w:r>
      <w:r>
        <w:rPr>
          <w:rFonts w:ascii="Arial" w:cs="Arial" w:eastAsia="Arial" w:hAnsi="Arial"/>
          <w:sz w:val="18"/>
          <w:szCs w:val="18"/>
          <w:color w:val="auto"/>
        </w:rPr>
        <w:t>) the number of Additional Turbines as of the Second Closing Date.</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The definition of “Additional Turbine Holdback Amount” in Section 1.01 of the MIPA is hereby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6"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Turbine Holdback Amount</w:t>
      </w:r>
      <w:r>
        <w:rPr>
          <w:rFonts w:ascii="Arial" w:cs="Arial" w:eastAsia="Arial" w:hAnsi="Arial"/>
          <w:sz w:val="18"/>
          <w:szCs w:val="18"/>
          <w:color w:val="auto"/>
        </w:rPr>
        <w:t>” means an amount of money that is equal to (</w:t>
      </w:r>
      <w:r>
        <w:rPr>
          <w:rFonts w:ascii="Arial" w:cs="Arial" w:eastAsia="Arial" w:hAnsi="Arial"/>
          <w:sz w:val="18"/>
          <w:szCs w:val="18"/>
          <w:i w:val="1"/>
          <w:iCs w:val="1"/>
          <w:color w:val="auto"/>
        </w:rPr>
        <w:t>a</w:t>
      </w:r>
      <w:r>
        <w:rPr>
          <w:rFonts w:ascii="Arial" w:cs="Arial" w:eastAsia="Arial" w:hAnsi="Arial"/>
          <w:sz w:val="18"/>
          <w:szCs w:val="18"/>
          <w:color w:val="auto"/>
        </w:rPr>
        <w:t xml:space="preserve">) the Base Purchase Price (as adjusted pursuant to </w:t>
      </w:r>
      <w:r>
        <w:rPr>
          <w:rFonts w:ascii="Arial" w:cs="Arial" w:eastAsia="Arial" w:hAnsi="Arial"/>
          <w:sz w:val="18"/>
          <w:szCs w:val="18"/>
          <w:i w:val="1"/>
          <w:iCs w:val="1"/>
          <w:color w:val="auto"/>
        </w:rPr>
        <w:t>Section 2.04</w:t>
      </w:r>
      <w:r>
        <w:rPr>
          <w:rFonts w:ascii="Arial" w:cs="Arial" w:eastAsia="Arial" w:hAnsi="Arial"/>
          <w:sz w:val="18"/>
          <w:szCs w:val="18"/>
          <w:color w:val="auto"/>
        </w:rPr>
        <w:t>)</w:t>
      </w:r>
      <w:r>
        <w:rPr>
          <w:rFonts w:ascii="Arial" w:cs="Arial" w:eastAsia="Arial" w:hAnsi="Arial"/>
          <w:sz w:val="18"/>
          <w:szCs w:val="18"/>
          <w:i w:val="1"/>
          <w:iCs w:val="1"/>
          <w:color w:val="auto"/>
        </w:rPr>
        <w:t xml:space="preserve"> multiplied by </w:t>
      </w:r>
      <w:r>
        <w:rPr>
          <w:rFonts w:ascii="Arial" w:cs="Arial" w:eastAsia="Arial" w:hAnsi="Arial"/>
          <w:sz w:val="18"/>
          <w:szCs w:val="18"/>
          <w:color w:val="auto"/>
        </w:rPr>
        <w:t>(</w:t>
      </w:r>
      <w:r>
        <w:rPr>
          <w:rFonts w:ascii="Arial" w:cs="Arial" w:eastAsia="Arial" w:hAnsi="Arial"/>
          <w:sz w:val="18"/>
          <w:szCs w:val="18"/>
          <w:i w:val="1"/>
          <w:iCs w:val="1"/>
          <w:color w:val="auto"/>
        </w:rPr>
        <w:t>b</w:t>
      </w:r>
      <w:r>
        <w:rPr>
          <w:rFonts w:ascii="Arial" w:cs="Arial" w:eastAsia="Arial" w:hAnsi="Arial"/>
          <w:sz w:val="18"/>
          <w:szCs w:val="18"/>
          <w:color w:val="auto"/>
        </w:rPr>
        <w:t>) the fraction that is the result of (</w:t>
      </w:r>
      <w:r>
        <w:rPr>
          <w:rFonts w:ascii="Arial" w:cs="Arial" w:eastAsia="Arial" w:hAnsi="Arial"/>
          <w:sz w:val="18"/>
          <w:szCs w:val="18"/>
          <w:i w:val="1"/>
          <w:iCs w:val="1"/>
          <w:color w:val="auto"/>
        </w:rPr>
        <w:t>i</w:t>
      </w:r>
      <w:r>
        <w:rPr>
          <w:rFonts w:ascii="Arial" w:cs="Arial" w:eastAsia="Arial" w:hAnsi="Arial"/>
          <w:sz w:val="18"/>
          <w:szCs w:val="18"/>
          <w:color w:val="auto"/>
        </w:rPr>
        <w:t>) the total number of Additional Turbines as of the Closing Date,</w:t>
      </w:r>
      <w:r>
        <w:rPr>
          <w:rFonts w:ascii="Arial" w:cs="Arial" w:eastAsia="Arial" w:hAnsi="Arial"/>
          <w:sz w:val="18"/>
          <w:szCs w:val="18"/>
          <w:i w:val="1"/>
          <w:iCs w:val="1"/>
          <w:color w:val="auto"/>
        </w:rPr>
        <w:t xml:space="preserve"> divided by </w:t>
      </w:r>
      <w:r>
        <w:rPr>
          <w:rFonts w:ascii="Arial" w:cs="Arial" w:eastAsia="Arial" w:hAnsi="Arial"/>
          <w:sz w:val="18"/>
          <w:szCs w:val="18"/>
          <w:color w:val="auto"/>
        </w:rPr>
        <w:t>(</w:t>
      </w:r>
      <w:r>
        <w:rPr>
          <w:rFonts w:ascii="Arial" w:cs="Arial" w:eastAsia="Arial" w:hAnsi="Arial"/>
          <w:sz w:val="18"/>
          <w:szCs w:val="18"/>
          <w:i w:val="1"/>
          <w:iCs w:val="1"/>
          <w:color w:val="auto"/>
        </w:rPr>
        <w:t>ii</w:t>
      </w:r>
      <w:r>
        <w:rPr>
          <w:rFonts w:ascii="Arial" w:cs="Arial" w:eastAsia="Arial" w:hAnsi="Arial"/>
          <w:sz w:val="18"/>
          <w:szCs w:val="18"/>
          <w:color w:val="auto"/>
        </w:rPr>
        <w:t>) 68.</w:t>
      </w:r>
    </w:p>
    <w:p>
      <w:pPr>
        <w:spacing w:after="0" w:line="18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color w:val="auto"/>
        </w:rPr>
        <w:t>The defined term “Certain Seller Proceeds Agreement” in Section 1.01 of the MIPA is hereby deleted.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firstLine="648"/>
        <w:spacing w:after="0" w:line="282"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The definition of “Drop Down Assignment &amp; Assumption Agreement” in Section 1.01 of the MIPA is hereby deleted in its entirety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with the following:</w:t>
      </w:r>
    </w:p>
    <w:p>
      <w:pPr>
        <w:spacing w:after="0" w:line="166"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Drop Down Assignment &amp; Assumption Agreement</w:t>
      </w:r>
      <w:r>
        <w:rPr>
          <w:rFonts w:ascii="Arial" w:cs="Arial" w:eastAsia="Arial" w:hAnsi="Arial"/>
          <w:sz w:val="18"/>
          <w:szCs w:val="18"/>
          <w:color w:val="auto"/>
        </w:rPr>
        <w:t xml:space="preserve">” means the assignment of the Acquired Interests or the Class A Interests, as applicable, to be executed by Purchaser and the Master JV HoldCo immediately upon the Closing or the Second Closing, as applicable, in the form attached hereto as </w:t>
      </w:r>
      <w:r>
        <w:rPr>
          <w:rFonts w:ascii="Arial" w:cs="Arial" w:eastAsia="Arial" w:hAnsi="Arial"/>
          <w:sz w:val="18"/>
          <w:szCs w:val="18"/>
          <w:i w:val="1"/>
          <w:iCs w:val="1"/>
          <w:color w:val="auto"/>
        </w:rPr>
        <w:t>Exhibit I</w:t>
      </w:r>
      <w:r>
        <w:rPr>
          <w:rFonts w:ascii="Arial" w:cs="Arial" w:eastAsia="Arial" w:hAnsi="Arial"/>
          <w:sz w:val="18"/>
          <w:szCs w:val="18"/>
          <w:color w:val="auto"/>
        </w:rPr>
        <w:t>.</w:t>
      </w:r>
    </w:p>
    <w:p>
      <w:pPr>
        <w:spacing w:after="0" w:line="18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color w:val="auto"/>
        </w:rPr>
        <w:t>The definition of “HASI Purchase Agreement” in Section 1.01 of the MIPA is hereby deleted in its entirety and replaced with the following:</w:t>
      </w:r>
    </w:p>
    <w:p>
      <w:pPr>
        <w:spacing w:after="0" w:line="229"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HASI Purchase Agreement</w:t>
      </w:r>
      <w:r>
        <w:rPr>
          <w:rFonts w:ascii="Arial" w:cs="Arial" w:eastAsia="Arial" w:hAnsi="Arial"/>
          <w:sz w:val="18"/>
          <w:szCs w:val="18"/>
          <w:color w:val="auto"/>
        </w:rPr>
        <w:t>” means the membership interest purchase and sale agreement pursuant to which HASI will acquire the remaining (</w:t>
      </w:r>
      <w:r>
        <w:rPr>
          <w:rFonts w:ascii="Arial" w:cs="Arial" w:eastAsia="Arial" w:hAnsi="Arial"/>
          <w:sz w:val="18"/>
          <w:szCs w:val="18"/>
          <w:i w:val="1"/>
          <w:iCs w:val="1"/>
          <w:color w:val="auto"/>
        </w:rPr>
        <w:t>a</w:t>
      </w:r>
      <w:r>
        <w:rPr>
          <w:rFonts w:ascii="Arial" w:cs="Arial" w:eastAsia="Arial" w:hAnsi="Arial"/>
          <w:sz w:val="18"/>
          <w:szCs w:val="18"/>
          <w:color w:val="auto"/>
        </w:rPr>
        <w:t>) 49.99% of the Class B Units from Seller simultaneously with the Closing, and (</w:t>
      </w:r>
      <w:r>
        <w:rPr>
          <w:rFonts w:ascii="Arial" w:cs="Arial" w:eastAsia="Arial" w:hAnsi="Arial"/>
          <w:sz w:val="18"/>
          <w:szCs w:val="18"/>
          <w:i w:val="1"/>
          <w:iCs w:val="1"/>
          <w:color w:val="auto"/>
        </w:rPr>
        <w:t>b</w:t>
      </w:r>
      <w:r>
        <w:rPr>
          <w:rFonts w:ascii="Arial" w:cs="Arial" w:eastAsia="Arial" w:hAnsi="Arial"/>
          <w:sz w:val="18"/>
          <w:szCs w:val="18"/>
          <w:color w:val="auto"/>
        </w:rPr>
        <w:t>) 49.99% of the Class A Units from Seller simultaneously with the Second Closing.</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color w:val="auto"/>
        </w:rPr>
        <w:t>The definition of “Outside Date” in Section 1.01 of the MIPA is hereby deleted in its entirety and replaced with the following: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7.01(a)(ii)</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color w:val="auto"/>
        </w:rPr>
        <w:t>The defined term [***] in Section 1.01 of the MIPA is hereby deleted.</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color w:val="auto"/>
        </w:rPr>
        <w:t>Section 2.01 of the MIPA is hereby deleted in its entirety and replaced with the following:</w:t>
      </w:r>
    </w:p>
    <w:p>
      <w:pPr>
        <w:spacing w:after="0" w:line="225" w:lineRule="exact"/>
        <w:rPr>
          <w:sz w:val="20"/>
          <w:szCs w:val="20"/>
          <w:color w:val="auto"/>
        </w:rPr>
      </w:pPr>
    </w:p>
    <w:p>
      <w:pPr>
        <w:jc w:val="both"/>
        <w:ind w:left="13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Purchase and Sale</w:t>
      </w:r>
      <w:r>
        <w:rPr>
          <w:rFonts w:ascii="Arial" w:cs="Arial" w:eastAsia="Arial" w:hAnsi="Arial"/>
          <w:sz w:val="18"/>
          <w:szCs w:val="18"/>
          <w:color w:val="auto"/>
        </w:rPr>
        <w:t>. Seller agrees to sell to Purchaser, and Purchaser agrees to purchase from Seller, all of the right, title and interest of Seller in and to (</w:t>
      </w:r>
      <w:r>
        <w:rPr>
          <w:rFonts w:ascii="Arial" w:cs="Arial" w:eastAsia="Arial" w:hAnsi="Arial"/>
          <w:sz w:val="18"/>
          <w:szCs w:val="18"/>
          <w:i w:val="1"/>
          <w:iCs w:val="1"/>
          <w:color w:val="auto"/>
        </w:rPr>
        <w:t>a</w:t>
      </w:r>
      <w:r>
        <w:rPr>
          <w:rFonts w:ascii="Arial" w:cs="Arial" w:eastAsia="Arial" w:hAnsi="Arial"/>
          <w:sz w:val="18"/>
          <w:szCs w:val="18"/>
          <w:color w:val="auto"/>
        </w:rPr>
        <w:t>) the Acquired Interests at the Closing, and (</w:t>
      </w:r>
      <w:r>
        <w:rPr>
          <w:rFonts w:ascii="Arial" w:cs="Arial" w:eastAsia="Arial" w:hAnsi="Arial"/>
          <w:sz w:val="18"/>
          <w:szCs w:val="18"/>
          <w:i w:val="1"/>
          <w:iCs w:val="1"/>
          <w:color w:val="auto"/>
        </w:rPr>
        <w:t>b</w:t>
      </w:r>
      <w:r>
        <w:rPr>
          <w:rFonts w:ascii="Arial" w:cs="Arial" w:eastAsia="Arial" w:hAnsi="Arial"/>
          <w:sz w:val="18"/>
          <w:szCs w:val="18"/>
          <w:color w:val="auto"/>
        </w:rPr>
        <w:t>) the Class A Interests at the Second Closing, in each case, on the terms and subject to the conditions set forth in this Agreement.”</w:t>
      </w:r>
    </w:p>
    <w:p>
      <w:pPr>
        <w:spacing w:after="0" w:line="17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color w:val="auto"/>
        </w:rPr>
        <w:t>Section 2.02 of the MIPA is hereby deleted in its entirety and replaced with the following:</w:t>
      </w:r>
    </w:p>
    <w:p>
      <w:pPr>
        <w:spacing w:after="0" w:line="225" w:lineRule="exact"/>
        <w:rPr>
          <w:sz w:val="20"/>
          <w:szCs w:val="20"/>
          <w:color w:val="auto"/>
        </w:rPr>
      </w:pPr>
    </w:p>
    <w:p>
      <w:pPr>
        <w:jc w:val="both"/>
        <w:ind w:left="130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 of Purchase Price</w:t>
      </w:r>
      <w:r>
        <w:rPr>
          <w:rFonts w:ascii="Arial" w:cs="Arial" w:eastAsia="Arial" w:hAnsi="Arial"/>
          <w:sz w:val="16"/>
          <w:szCs w:val="16"/>
          <w:color w:val="auto"/>
        </w:rPr>
        <w:t>. Upon the terms and subject to the conditions hereinafter set forth, in consideration of the delivery by Seller of (</w:t>
      </w:r>
      <w:r>
        <w:rPr>
          <w:rFonts w:ascii="Arial" w:cs="Arial" w:eastAsia="Arial" w:hAnsi="Arial"/>
          <w:sz w:val="16"/>
          <w:szCs w:val="16"/>
          <w:i w:val="1"/>
          <w:iCs w:val="1"/>
          <w:color w:val="auto"/>
        </w:rPr>
        <w:t>a</w:t>
      </w:r>
      <w:r>
        <w:rPr>
          <w:rFonts w:ascii="Arial" w:cs="Arial" w:eastAsia="Arial" w:hAnsi="Arial"/>
          <w:sz w:val="16"/>
          <w:szCs w:val="16"/>
          <w:color w:val="auto"/>
        </w:rPr>
        <w:t>) the Acquired Interests, Purchaser, by wire transfer of immediately available United States funds, shall pay to Seller at the Closing an amount equal to sixty one million nine hundred seventy eight thousand one hundred seventy two dollars and ninety eight cents ($61,978,172.98) (the “</w:t>
      </w:r>
      <w:r>
        <w:rPr>
          <w:rFonts w:ascii="Arial" w:cs="Arial" w:eastAsia="Arial" w:hAnsi="Arial"/>
          <w:sz w:val="16"/>
          <w:szCs w:val="16"/>
          <w:i w:val="1"/>
          <w:iCs w:val="1"/>
          <w:color w:val="auto"/>
        </w:rPr>
        <w:t>Base Purchase Price</w:t>
      </w:r>
      <w:r>
        <w:rPr>
          <w:rFonts w:ascii="Arial" w:cs="Arial" w:eastAsia="Arial" w:hAnsi="Arial"/>
          <w:sz w:val="16"/>
          <w:szCs w:val="16"/>
          <w:color w:val="auto"/>
        </w:rPr>
        <w:t xml:space="preserve">” and, as adjusted pursuant to </w:t>
      </w:r>
      <w:r>
        <w:rPr>
          <w:rFonts w:ascii="Arial" w:cs="Arial" w:eastAsia="Arial" w:hAnsi="Arial"/>
          <w:sz w:val="16"/>
          <w:szCs w:val="16"/>
          <w:i w:val="1"/>
          <w:iCs w:val="1"/>
          <w:color w:val="auto"/>
        </w:rPr>
        <w:t>Section 2.04</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2.05</w:t>
      </w:r>
      <w:r>
        <w:rPr>
          <w:rFonts w:ascii="Arial" w:cs="Arial" w:eastAsia="Arial" w:hAnsi="Arial"/>
          <w:sz w:val="16"/>
          <w:szCs w:val="16"/>
          <w:color w:val="auto"/>
        </w:rPr>
        <w:t>, the “</w:t>
      </w:r>
      <w:r>
        <w:rPr>
          <w:rFonts w:ascii="Arial" w:cs="Arial" w:eastAsia="Arial" w:hAnsi="Arial"/>
          <w:sz w:val="16"/>
          <w:szCs w:val="16"/>
          <w:i w:val="1"/>
          <w:iCs w:val="1"/>
          <w:color w:val="auto"/>
        </w:rPr>
        <w:t>Class B Purchase Price</w:t>
      </w:r>
      <w:r>
        <w:rPr>
          <w:rFonts w:ascii="Arial" w:cs="Arial" w:eastAsia="Arial" w:hAnsi="Arial"/>
          <w:sz w:val="16"/>
          <w:szCs w:val="16"/>
          <w:color w:val="auto"/>
        </w:rPr>
        <w:t>”), and (</w:t>
      </w:r>
      <w:r>
        <w:rPr>
          <w:rFonts w:ascii="Arial" w:cs="Arial" w:eastAsia="Arial" w:hAnsi="Arial"/>
          <w:sz w:val="16"/>
          <w:szCs w:val="16"/>
          <w:i w:val="1"/>
          <w:iCs w:val="1"/>
          <w:color w:val="auto"/>
        </w:rPr>
        <w:t>b</w:t>
      </w:r>
      <w:r>
        <w:rPr>
          <w:rFonts w:ascii="Arial" w:cs="Arial" w:eastAsia="Arial" w:hAnsi="Arial"/>
          <w:sz w:val="16"/>
          <w:szCs w:val="16"/>
          <w:color w:val="auto"/>
        </w:rPr>
        <w:t xml:space="preserve">) the Class A Interests, Purchaser, by wire transfer of immediately available United States funds, shall pay to Seller at the Second Closing an amount equal to the Class A Purchase Price, which shall be subject to adjustment pursuant to </w:t>
      </w:r>
      <w:r>
        <w:rPr>
          <w:rFonts w:ascii="Arial" w:cs="Arial" w:eastAsia="Arial" w:hAnsi="Arial"/>
          <w:sz w:val="16"/>
          <w:szCs w:val="16"/>
          <w:i w:val="1"/>
          <w:iCs w:val="1"/>
          <w:color w:val="auto"/>
        </w:rPr>
        <w:t>Section 2.05</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660"/>
        <w:spacing w:after="0"/>
        <w:tabs>
          <w:tab w:leader="none" w:pos="11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color w:val="auto"/>
        </w:rPr>
        <w:t>Section 2.03(a) of the MIPA is hereby deleted in its entirety and replaced with the following:</w:t>
      </w:r>
    </w:p>
    <w:p>
      <w:pPr>
        <w:spacing w:after="0" w:line="229"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 xml:space="preserve">“(a) Subject to the terms and conditions of this Agreement, the closing of the transactions described in </w:t>
      </w:r>
      <w:r>
        <w:rPr>
          <w:rFonts w:ascii="Arial" w:cs="Arial" w:eastAsia="Arial" w:hAnsi="Arial"/>
          <w:sz w:val="18"/>
          <w:szCs w:val="18"/>
          <w:i w:val="1"/>
          <w:iCs w:val="1"/>
          <w:color w:val="auto"/>
        </w:rPr>
        <w:t>Section 2.01(a)</w:t>
      </w:r>
      <w:r>
        <w:rPr>
          <w:rFonts w:ascii="Arial" w:cs="Arial" w:eastAsia="Arial" w:hAnsi="Arial"/>
          <w:sz w:val="18"/>
          <w:szCs w:val="18"/>
          <w:color w:val="auto"/>
        </w:rPr>
        <w:t xml:space="preserve"> (the “</w:t>
      </w:r>
      <w:r>
        <w:rPr>
          <w:rFonts w:ascii="Arial" w:cs="Arial" w:eastAsia="Arial" w:hAnsi="Arial"/>
          <w:sz w:val="18"/>
          <w:szCs w:val="18"/>
          <w:i w:val="1"/>
          <w:iCs w:val="1"/>
          <w:color w:val="auto"/>
        </w:rPr>
        <w:t>Closing</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2.01(b)</w:t>
      </w:r>
      <w:r>
        <w:rPr>
          <w:rFonts w:ascii="Arial" w:cs="Arial" w:eastAsia="Arial" w:hAnsi="Arial"/>
          <w:sz w:val="18"/>
          <w:szCs w:val="18"/>
          <w:color w:val="auto"/>
        </w:rPr>
        <w:t xml:space="preserve"> (the “</w:t>
      </w:r>
      <w:r>
        <w:rPr>
          <w:rFonts w:ascii="Arial" w:cs="Arial" w:eastAsia="Arial" w:hAnsi="Arial"/>
          <w:sz w:val="18"/>
          <w:szCs w:val="18"/>
          <w:i w:val="1"/>
          <w:iCs w:val="1"/>
          <w:color w:val="auto"/>
        </w:rPr>
        <w:t>Second Closing</w:t>
      </w:r>
      <w:r>
        <w:rPr>
          <w:rFonts w:ascii="Arial" w:cs="Arial" w:eastAsia="Arial" w:hAnsi="Arial"/>
          <w:sz w:val="18"/>
          <w:szCs w:val="18"/>
          <w:color w:val="auto"/>
        </w:rPr>
        <w:t>”) will each take place remotely via the electronic exchange of documents and signatures no later than (</w:t>
      </w:r>
      <w:r>
        <w:rPr>
          <w:rFonts w:ascii="Arial" w:cs="Arial" w:eastAsia="Arial" w:hAnsi="Arial"/>
          <w:sz w:val="18"/>
          <w:szCs w:val="18"/>
          <w:i w:val="1"/>
          <w:iCs w:val="1"/>
          <w:color w:val="auto"/>
        </w:rPr>
        <w:t>i</w:t>
      </w:r>
      <w:r>
        <w:rPr>
          <w:rFonts w:ascii="Arial" w:cs="Arial" w:eastAsia="Arial" w:hAnsi="Arial"/>
          <w:sz w:val="18"/>
          <w:szCs w:val="18"/>
          <w:color w:val="auto"/>
        </w:rPr>
        <w:t xml:space="preserve">) in respect of the Closing, two (2) Business Days following the fulfillment or waiver of the conditions set forth in </w:t>
      </w:r>
      <w:r>
        <w:rPr>
          <w:rFonts w:ascii="Arial" w:cs="Arial" w:eastAsia="Arial" w:hAnsi="Arial"/>
          <w:sz w:val="18"/>
          <w:szCs w:val="18"/>
          <w:i w:val="1"/>
          <w:iCs w:val="1"/>
          <w:color w:val="auto"/>
        </w:rPr>
        <w:t xml:space="preserve">Section 4.01 </w:t>
      </w:r>
      <w:r>
        <w:rPr>
          <w:rFonts w:ascii="Arial" w:cs="Arial" w:eastAsia="Arial" w:hAnsi="Arial"/>
          <w:sz w:val="18"/>
          <w:szCs w:val="18"/>
          <w:color w:val="auto"/>
        </w:rPr>
        <w:t>(other than those conditions that by their nature are to be satisfied on the Closing Date) or such other time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mutual agreement of Seller and Purchaser (the day on which the Closing takes place being the “</w:t>
      </w:r>
      <w:r>
        <w:rPr>
          <w:rFonts w:ascii="Arial" w:cs="Arial" w:eastAsia="Arial" w:hAnsi="Arial"/>
          <w:sz w:val="18"/>
          <w:szCs w:val="18"/>
          <w:i w:val="1"/>
          <w:iCs w:val="1"/>
          <w:color w:val="auto"/>
        </w:rPr>
        <w:t>Closing Date</w:t>
      </w:r>
      <w:r>
        <w:rPr>
          <w:rFonts w:ascii="Arial" w:cs="Arial" w:eastAsia="Arial" w:hAnsi="Arial"/>
          <w:sz w:val="18"/>
          <w:szCs w:val="18"/>
          <w:color w:val="auto"/>
        </w:rPr>
        <w:t>”), and (</w:t>
      </w:r>
      <w:r>
        <w:rPr>
          <w:rFonts w:ascii="Arial" w:cs="Arial" w:eastAsia="Arial" w:hAnsi="Arial"/>
          <w:sz w:val="18"/>
          <w:szCs w:val="18"/>
          <w:i w:val="1"/>
          <w:iCs w:val="1"/>
          <w:color w:val="auto"/>
        </w:rPr>
        <w:t>ii</w:t>
      </w:r>
      <w:r>
        <w:rPr>
          <w:rFonts w:ascii="Arial" w:cs="Arial" w:eastAsia="Arial" w:hAnsi="Arial"/>
          <w:sz w:val="18"/>
          <w:szCs w:val="18"/>
          <w:color w:val="auto"/>
        </w:rPr>
        <w:t xml:space="preserve">) in respect of the Second Closing, two (2) Business Days following the Class A Transfer and the fulfillment or waiver of the conditions set forth in </w:t>
      </w:r>
      <w:r>
        <w:rPr>
          <w:rFonts w:ascii="Arial" w:cs="Arial" w:eastAsia="Arial" w:hAnsi="Arial"/>
          <w:sz w:val="18"/>
          <w:szCs w:val="18"/>
          <w:i w:val="1"/>
          <w:iCs w:val="1"/>
          <w:color w:val="auto"/>
        </w:rPr>
        <w:t>Section 4.02</w:t>
      </w:r>
      <w:r>
        <w:rPr>
          <w:rFonts w:ascii="Arial" w:cs="Arial" w:eastAsia="Arial" w:hAnsi="Arial"/>
          <w:sz w:val="18"/>
          <w:szCs w:val="18"/>
          <w:color w:val="auto"/>
        </w:rPr>
        <w:t xml:space="preserve"> (other than those conditions that by their nature are to be satisfied on the Second Closing Date) or such other time as may be determined by mutual agreement of Seller and Purchaser (the day on which the Second Closing takes place being the “</w:t>
      </w:r>
      <w:r>
        <w:rPr>
          <w:rFonts w:ascii="Arial" w:cs="Arial" w:eastAsia="Arial" w:hAnsi="Arial"/>
          <w:sz w:val="18"/>
          <w:szCs w:val="18"/>
          <w:i w:val="1"/>
          <w:iCs w:val="1"/>
          <w:color w:val="auto"/>
        </w:rPr>
        <w:t>Second</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Date</w:t>
      </w:r>
      <w:r>
        <w:rPr>
          <w:rFonts w:ascii="Arial" w:cs="Arial" w:eastAsia="Arial" w:hAnsi="Arial"/>
          <w:sz w:val="18"/>
          <w:szCs w:val="18"/>
          <w:color w:val="auto"/>
        </w:rPr>
        <w:t>”).”</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color w:val="auto"/>
        </w:rPr>
        <w:t>Section 2.03(b)(i) of the MIPA is hereby amended by adding the words “Class B” immediately before the words “Purchase Price”.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Sections 2.03(b)(ii) and 2.03(b)(iii) of the MIPA are hereby amended by replacing the references to “</w:t>
      </w:r>
      <w:r>
        <w:rPr>
          <w:rFonts w:ascii="Arial" w:cs="Arial" w:eastAsia="Arial" w:hAnsi="Arial"/>
          <w:sz w:val="18"/>
          <w:szCs w:val="18"/>
          <w:i w:val="1"/>
          <w:iCs w:val="1"/>
          <w:color w:val="auto"/>
        </w:rPr>
        <w:t>Article 4</w:t>
      </w:r>
      <w:r>
        <w:rPr>
          <w:rFonts w:ascii="Arial" w:cs="Arial" w:eastAsia="Arial" w:hAnsi="Arial"/>
          <w:sz w:val="18"/>
          <w:szCs w:val="18"/>
          <w:color w:val="auto"/>
        </w:rPr>
        <w:t>” with references to</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Section 4.01</w:t>
      </w:r>
      <w:r>
        <w:rPr>
          <w:rFonts w:ascii="Arial" w:cs="Arial" w:eastAsia="Arial" w:hAnsi="Arial"/>
          <w:sz w:val="18"/>
          <w:szCs w:val="18"/>
          <w:color w:val="auto"/>
        </w:rPr>
        <w:t>”.</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color w:val="auto"/>
        </w:rPr>
        <w:t>Section 2.03 of the MIPA is hereby amended by adding the following new Section 2.03(c):</w:t>
      </w:r>
    </w:p>
    <w:p>
      <w:pPr>
        <w:spacing w:after="0" w:line="22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At the Second Closing, the following shall occur:</w:t>
      </w:r>
    </w:p>
    <w:p>
      <w:pPr>
        <w:spacing w:after="0" w:line="225" w:lineRule="exact"/>
        <w:rPr>
          <w:sz w:val="20"/>
          <w:szCs w:val="20"/>
          <w:color w:val="auto"/>
        </w:rPr>
      </w:pPr>
    </w:p>
    <w:p>
      <w:pPr>
        <w:ind w:left="1300" w:firstLine="652"/>
        <w:spacing w:after="0" w:line="342" w:lineRule="auto"/>
        <w:tabs>
          <w:tab w:leader="none" w:pos="2388" w:val="left"/>
        </w:tabs>
        <w:numPr>
          <w:ilvl w:val="0"/>
          <w:numId w:val="8"/>
        </w:numPr>
        <w:rPr>
          <w:rFonts w:ascii="Arial" w:cs="Arial" w:eastAsia="Arial" w:hAnsi="Arial"/>
          <w:sz w:val="16"/>
          <w:szCs w:val="16"/>
          <w:color w:val="auto"/>
        </w:rPr>
      </w:pPr>
      <w:r>
        <w:rPr>
          <w:rFonts w:ascii="Arial" w:cs="Arial" w:eastAsia="Arial" w:hAnsi="Arial"/>
          <w:sz w:val="16"/>
          <w:szCs w:val="16"/>
          <w:color w:val="auto"/>
        </w:rPr>
        <w:t>Purchaser shall pay the Class A Purchase Price by wire transfer of immediately available funds to Seller’s account, which account shall be communicated by Seller to Purchaser in writing no later than two (2) Business Days prior to the Second Closing;</w:t>
      </w:r>
    </w:p>
    <w:p>
      <w:pPr>
        <w:spacing w:after="0" w:line="123" w:lineRule="exact"/>
        <w:rPr>
          <w:rFonts w:ascii="Arial" w:cs="Arial" w:eastAsia="Arial" w:hAnsi="Arial"/>
          <w:sz w:val="16"/>
          <w:szCs w:val="16"/>
          <w:color w:val="auto"/>
        </w:rPr>
      </w:pPr>
    </w:p>
    <w:p>
      <w:pPr>
        <w:ind w:left="1300" w:firstLine="652"/>
        <w:spacing w:after="0" w:line="308" w:lineRule="auto"/>
        <w:tabs>
          <w:tab w:leader="none" w:pos="2438"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execution by both Parties of the Assignment of Membership Interests and all other agreements, documents, instruments or certificates required to be delivered at or prior to the Second Closing pursuant to </w:t>
      </w:r>
      <w:r>
        <w:rPr>
          <w:rFonts w:ascii="Arial" w:cs="Arial" w:eastAsia="Arial" w:hAnsi="Arial"/>
          <w:sz w:val="17"/>
          <w:szCs w:val="17"/>
          <w:i w:val="1"/>
          <w:iCs w:val="1"/>
          <w:color w:val="auto"/>
        </w:rPr>
        <w:t>Section 4.02</w:t>
      </w:r>
      <w:r>
        <w:rPr>
          <w:rFonts w:ascii="Arial" w:cs="Arial" w:eastAsia="Arial" w:hAnsi="Arial"/>
          <w:sz w:val="17"/>
          <w:szCs w:val="17"/>
          <w:color w:val="auto"/>
        </w:rPr>
        <w:t>; and</w:t>
      </w:r>
    </w:p>
    <w:p>
      <w:pPr>
        <w:spacing w:after="0" w:line="146" w:lineRule="exact"/>
        <w:rPr>
          <w:rFonts w:ascii="Arial" w:cs="Arial" w:eastAsia="Arial" w:hAnsi="Arial"/>
          <w:sz w:val="17"/>
          <w:szCs w:val="17"/>
          <w:color w:val="auto"/>
        </w:rPr>
      </w:pPr>
    </w:p>
    <w:p>
      <w:pPr>
        <w:ind w:left="1300" w:firstLine="652"/>
        <w:spacing w:after="0" w:line="308" w:lineRule="auto"/>
        <w:tabs>
          <w:tab w:leader="none" w:pos="2488" w:val="left"/>
        </w:tabs>
        <w:numPr>
          <w:ilvl w:val="0"/>
          <w:numId w:val="8"/>
        </w:numPr>
        <w:rPr>
          <w:rFonts w:ascii="Arial" w:cs="Arial" w:eastAsia="Arial" w:hAnsi="Arial"/>
          <w:sz w:val="17"/>
          <w:szCs w:val="17"/>
          <w:color w:val="auto"/>
        </w:rPr>
      </w:pPr>
      <w:r>
        <w:rPr>
          <w:rFonts w:ascii="Arial" w:cs="Arial" w:eastAsia="Arial" w:hAnsi="Arial"/>
          <w:sz w:val="17"/>
          <w:szCs w:val="17"/>
          <w:color w:val="auto"/>
        </w:rPr>
        <w:t>Seller shall deliver to Purchaser a certificate or certificates representing the Class A Interests, duly endorsed for transfer to Purchaser or accompanied by one or more membership interests powers duly endorsed for transfer to Purchaser.”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tabs>
          <w:tab w:leader="none" w:pos="5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color w:val="auto"/>
        </w:rPr>
        <w:t>Section 2.04 of the MIPA is hereby deleted in its entirety and replaced with the following: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2.04.</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Adjusted Purchase Price Amounts</w:t>
      </w:r>
      <w:r>
        <w:rPr>
          <w:rFonts w:ascii="Arial" w:cs="Arial" w:eastAsia="Arial" w:hAnsi="Arial"/>
          <w:sz w:val="18"/>
          <w:szCs w:val="18"/>
          <w:color w:val="auto"/>
        </w:rPr>
        <w:t>.</w:t>
      </w:r>
    </w:p>
    <w:p>
      <w:pPr>
        <w:spacing w:after="0" w:line="225" w:lineRule="exact"/>
        <w:rPr>
          <w:sz w:val="20"/>
          <w:szCs w:val="20"/>
          <w:color w:val="auto"/>
        </w:rPr>
      </w:pPr>
    </w:p>
    <w:p>
      <w:pPr>
        <w:ind w:left="1760" w:hanging="468"/>
        <w:spacing w:after="0"/>
        <w:tabs>
          <w:tab w:leader="none" w:pos="17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Adjusted Base Purchase Price Amount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40" w:firstLine="1300"/>
        <w:spacing w:after="0" w:line="277" w:lineRule="auto"/>
        <w:tabs>
          <w:tab w:leader="none" w:pos="2376"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less than five (5) Business Days prior to the Closing Date, Seller shall provide to Purchaser an Adjusted Purchase Price Model for purposes of calculating the Adjusted Purchase Price Amount.</w:t>
      </w:r>
    </w:p>
    <w:p>
      <w:pPr>
        <w:spacing w:after="0" w:line="170" w:lineRule="exact"/>
        <w:rPr>
          <w:rFonts w:ascii="Arial" w:cs="Arial" w:eastAsia="Arial" w:hAnsi="Arial"/>
          <w:sz w:val="18"/>
          <w:szCs w:val="18"/>
          <w:color w:val="auto"/>
        </w:rPr>
      </w:pPr>
    </w:p>
    <w:p>
      <w:pPr>
        <w:jc w:val="both"/>
        <w:ind w:left="640" w:firstLine="1300"/>
        <w:spacing w:after="0" w:line="259" w:lineRule="auto"/>
        <w:tabs>
          <w:tab w:leader="none" w:pos="2426"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If the Adjusted Purchase Price Amount is positive, then the Base Purchase Price shall be increased by the Adjusted Purchase Price Amount. If the Adjusted Purchase Price Amount is negative, then the Base Purchase Price shall be decreased by the absolute value of the Adjusted Purchase Price Amount. Any adjustment made under this </w:t>
      </w:r>
      <w:r>
        <w:rPr>
          <w:rFonts w:ascii="Arial" w:cs="Arial" w:eastAsia="Arial" w:hAnsi="Arial"/>
          <w:sz w:val="18"/>
          <w:szCs w:val="18"/>
          <w:i w:val="1"/>
          <w:iCs w:val="1"/>
          <w:color w:val="auto"/>
        </w:rPr>
        <w:t>Section 2.04(a)</w:t>
      </w:r>
      <w:r>
        <w:rPr>
          <w:rFonts w:ascii="Arial" w:cs="Arial" w:eastAsia="Arial" w:hAnsi="Arial"/>
          <w:sz w:val="18"/>
          <w:szCs w:val="18"/>
          <w:color w:val="auto"/>
        </w:rPr>
        <w:t xml:space="preserve"> will be treated as an adjustment to the Base Purchase Price for Tax purposes.</w:t>
      </w:r>
    </w:p>
    <w:p>
      <w:pPr>
        <w:spacing w:after="0" w:line="186" w:lineRule="exact"/>
        <w:rPr>
          <w:rFonts w:ascii="Arial" w:cs="Arial" w:eastAsia="Arial" w:hAnsi="Arial"/>
          <w:sz w:val="18"/>
          <w:szCs w:val="18"/>
          <w:color w:val="auto"/>
        </w:rPr>
      </w:pPr>
    </w:p>
    <w:p>
      <w:pPr>
        <w:ind w:left="640" w:firstLine="1300"/>
        <w:spacing w:after="0" w:line="277" w:lineRule="auto"/>
        <w:tabs>
          <w:tab w:leader="none" w:pos="2476"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Purchase Price Amount</w:t>
      </w:r>
      <w:r>
        <w:rPr>
          <w:rFonts w:ascii="Arial" w:cs="Arial" w:eastAsia="Arial" w:hAnsi="Arial"/>
          <w:sz w:val="18"/>
          <w:szCs w:val="18"/>
          <w:color w:val="auto"/>
        </w:rPr>
        <w:t>” shall equal the number set forth in cell PP Adj Table Cell T9 of the Adjusted Purchase Price Model.</w:t>
      </w:r>
    </w:p>
    <w:p>
      <w:pPr>
        <w:spacing w:after="0" w:line="166" w:lineRule="exact"/>
        <w:rPr>
          <w:rFonts w:ascii="Arial" w:cs="Arial" w:eastAsia="Arial" w:hAnsi="Arial"/>
          <w:sz w:val="18"/>
          <w:szCs w:val="18"/>
          <w:color w:val="auto"/>
        </w:rPr>
      </w:pPr>
    </w:p>
    <w:p>
      <w:pPr>
        <w:jc w:val="both"/>
        <w:ind w:left="640" w:firstLine="652"/>
        <w:spacing w:after="0" w:line="258" w:lineRule="auto"/>
        <w:tabs>
          <w:tab w:leader="none" w:pos="176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REC Contract Adder</w:t>
      </w:r>
      <w:r>
        <w:rPr>
          <w:rFonts w:ascii="Arial" w:cs="Arial" w:eastAsia="Arial" w:hAnsi="Arial"/>
          <w:sz w:val="18"/>
          <w:szCs w:val="18"/>
          <w:color w:val="auto"/>
        </w:rPr>
        <w:t>. On the latest of the Second Closing Date, the REC Contract Execution Date and the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Turbine Deadline the Parties shall re-run the Base Case Model to reflect the execution of the REC Contract by adjusting [***]. The Purchase Price shall be increased by the REC Contract Adder and Buyer shall pay the amount of such REC Contract Adder to Seller within three (3) Business Days from the date on which the Parties agree on the adjustment to the Base Case Model pursuant to this </w:t>
      </w:r>
      <w:r>
        <w:rPr>
          <w:rFonts w:ascii="Arial" w:cs="Arial" w:eastAsia="Arial" w:hAnsi="Arial"/>
          <w:sz w:val="18"/>
          <w:szCs w:val="18"/>
          <w:i w:val="1"/>
          <w:iCs w:val="1"/>
          <w:color w:val="auto"/>
        </w:rPr>
        <w:t>Section 2.04(b)</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color w:val="auto"/>
        </w:rPr>
        <w:t>Section 2.05 of the MIPA is hereby deleted in its entirety and replaced with the following: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Post-Closing Additional Turbine Adjustments</w:t>
      </w:r>
      <w:r>
        <w:rPr>
          <w:rFonts w:ascii="Arial" w:cs="Arial" w:eastAsia="Arial" w:hAnsi="Arial"/>
          <w:sz w:val="18"/>
          <w:szCs w:val="18"/>
          <w:b w:val="1"/>
          <w:bCs w:val="1"/>
          <w:color w:val="auto"/>
        </w:rPr>
        <w:t>.</w:t>
      </w:r>
    </w:p>
    <w:p>
      <w:pPr>
        <w:spacing w:after="0" w:line="229" w:lineRule="exact"/>
        <w:rPr>
          <w:sz w:val="20"/>
          <w:szCs w:val="20"/>
          <w:color w:val="auto"/>
        </w:rPr>
      </w:pPr>
    </w:p>
    <w:p>
      <w:pPr>
        <w:ind w:left="640" w:firstLine="652"/>
        <w:spacing w:after="0" w:line="277" w:lineRule="auto"/>
        <w:tabs>
          <w:tab w:leader="none" w:pos="17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If at the Closing Date there are no Additional Turbines, then neither the Base Purchase Price nor the Class A Purchase Price shall be adjusted by this </w:t>
      </w:r>
      <w:r>
        <w:rPr>
          <w:rFonts w:ascii="Arial" w:cs="Arial" w:eastAsia="Arial" w:hAnsi="Arial"/>
          <w:sz w:val="18"/>
          <w:szCs w:val="18"/>
          <w:i w:val="1"/>
          <w:iCs w:val="1"/>
          <w:color w:val="auto"/>
        </w:rPr>
        <w:t>Section 2.05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780" w:hanging="488"/>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at the Closing Date there are any Additional Turbines, then:</w:t>
      </w:r>
    </w:p>
    <w:p>
      <w:pPr>
        <w:spacing w:after="0" w:line="225" w:lineRule="exact"/>
        <w:rPr>
          <w:rFonts w:ascii="Arial" w:cs="Arial" w:eastAsia="Arial" w:hAnsi="Arial"/>
          <w:sz w:val="18"/>
          <w:szCs w:val="18"/>
          <w:color w:val="auto"/>
        </w:rPr>
      </w:pPr>
    </w:p>
    <w:p>
      <w:pPr>
        <w:ind w:left="2380" w:hanging="440"/>
        <w:spacing w:after="0"/>
        <w:tabs>
          <w:tab w:leader="none" w:pos="23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Base Purchase Price shall be decreased by an amount equal to the Additional Turbine Holdback Amount; and</w:t>
      </w: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left="1300" w:firstLine="640"/>
        <w:spacing w:after="0" w:line="257" w:lineRule="auto"/>
        <w:tabs>
          <w:tab w:leader="none" w:pos="2438"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w:t>
      </w:r>
      <w:r>
        <w:rPr>
          <w:rFonts w:ascii="Arial" w:cs="Arial" w:eastAsia="Arial" w:hAnsi="Arial"/>
          <w:sz w:val="18"/>
          <w:szCs w:val="18"/>
          <w:i w:val="1"/>
          <w:iCs w:val="1"/>
          <w:color w:val="auto"/>
        </w:rPr>
        <w:t>A</w:t>
      </w:r>
      <w:r>
        <w:rPr>
          <w:rFonts w:ascii="Arial" w:cs="Arial" w:eastAsia="Arial" w:hAnsi="Arial"/>
          <w:sz w:val="18"/>
          <w:szCs w:val="18"/>
          <w:color w:val="auto"/>
        </w:rPr>
        <w:t>) the Additional Turbine Deadline occurs before the Second Closing Date, (</w:t>
      </w:r>
      <w:r>
        <w:rPr>
          <w:rFonts w:ascii="Arial" w:cs="Arial" w:eastAsia="Arial" w:hAnsi="Arial"/>
          <w:sz w:val="18"/>
          <w:szCs w:val="18"/>
          <w:i w:val="1"/>
          <w:iCs w:val="1"/>
          <w:color w:val="auto"/>
        </w:rPr>
        <w:t>B</w:t>
      </w:r>
      <w:r>
        <w:rPr>
          <w:rFonts w:ascii="Arial" w:cs="Arial" w:eastAsia="Arial" w:hAnsi="Arial"/>
          <w:sz w:val="18"/>
          <w:szCs w:val="18"/>
          <w:color w:val="auto"/>
        </w:rPr>
        <w:t xml:space="preserve">) there has been an adjustment to the Base Purchase Price pursuant to </w:t>
      </w:r>
      <w:r>
        <w:rPr>
          <w:rFonts w:ascii="Arial" w:cs="Arial" w:eastAsia="Arial" w:hAnsi="Arial"/>
          <w:sz w:val="18"/>
          <w:szCs w:val="18"/>
          <w:i w:val="1"/>
          <w:iCs w:val="1"/>
          <w:color w:val="auto"/>
        </w:rPr>
        <w:t>Section 2.05(b)(i)</w:t>
      </w:r>
      <w:r>
        <w:rPr>
          <w:rFonts w:ascii="Arial" w:cs="Arial" w:eastAsia="Arial" w:hAnsi="Arial"/>
          <w:sz w:val="18"/>
          <w:szCs w:val="18"/>
          <w:color w:val="auto"/>
        </w:rPr>
        <w:t xml:space="preserve"> above and (</w:t>
      </w:r>
      <w:r>
        <w:rPr>
          <w:rFonts w:ascii="Arial" w:cs="Arial" w:eastAsia="Arial" w:hAnsi="Arial"/>
          <w:sz w:val="18"/>
          <w:szCs w:val="18"/>
          <w:i w:val="1"/>
          <w:iCs w:val="1"/>
          <w:color w:val="auto"/>
        </w:rPr>
        <w:t>C</w:t>
      </w:r>
      <w:r>
        <w:rPr>
          <w:rFonts w:ascii="Arial" w:cs="Arial" w:eastAsia="Arial" w:hAnsi="Arial"/>
          <w:sz w:val="18"/>
          <w:szCs w:val="18"/>
          <w:color w:val="auto"/>
        </w:rPr>
        <w:t>) there are any Additional Turbines that have been Placed in Service during the period between the Closing Date and the Additional Turbine Deadline, Purchaser shall calculate the Additional Turbine Funding Amount and, within five (5) Business Days after the Additional Turbine Deadline, Purchaser shall pay to Seller the Additional Turbine Funding Amount.</w:t>
      </w:r>
    </w:p>
    <w:p>
      <w:pPr>
        <w:spacing w:after="0" w:line="187" w:lineRule="exact"/>
        <w:rPr>
          <w:rFonts w:ascii="Arial" w:cs="Arial" w:eastAsia="Arial" w:hAnsi="Arial"/>
          <w:sz w:val="18"/>
          <w:szCs w:val="18"/>
          <w:color w:val="auto"/>
        </w:rPr>
      </w:pPr>
    </w:p>
    <w:p>
      <w:pPr>
        <w:ind w:left="1760" w:hanging="468"/>
        <w:spacing w:after="0"/>
        <w:tabs>
          <w:tab w:leader="none" w:pos="1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at the Second Closing Date, the Additional Turbine Deadline has not occurred and there are any Additional Turbines,</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then:</w:t>
      </w:r>
    </w:p>
    <w:p>
      <w:pPr>
        <w:spacing w:after="0" w:line="211" w:lineRule="exact"/>
        <w:rPr>
          <w:sz w:val="20"/>
          <w:szCs w:val="20"/>
          <w:color w:val="auto"/>
        </w:rPr>
      </w:pPr>
    </w:p>
    <w:p>
      <w:pPr>
        <w:ind w:left="2380" w:hanging="440"/>
        <w:spacing w:after="0"/>
        <w:tabs>
          <w:tab w:leader="none" w:pos="23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Class A Purchase Price shall be decreased by an amount equal to the Second Additional Turbine Holdback</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Amount; and</w:t>
      </w:r>
    </w:p>
    <w:p>
      <w:pPr>
        <w:spacing w:after="0" w:line="210" w:lineRule="exact"/>
        <w:rPr>
          <w:rFonts w:ascii="Arial" w:cs="Arial" w:eastAsia="Arial" w:hAnsi="Arial"/>
          <w:sz w:val="16"/>
          <w:szCs w:val="16"/>
          <w:color w:val="auto"/>
        </w:rPr>
      </w:pPr>
    </w:p>
    <w:p>
      <w:pPr>
        <w:ind w:left="2420" w:hanging="480"/>
        <w:spacing w:after="0"/>
        <w:tabs>
          <w:tab w:leader="none" w:pos="24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if (</w:t>
      </w:r>
      <w:r>
        <w:rPr>
          <w:rFonts w:ascii="Arial" w:cs="Arial" w:eastAsia="Arial" w:hAnsi="Arial"/>
          <w:sz w:val="17"/>
          <w:szCs w:val="17"/>
          <w:i w:val="1"/>
          <w:iCs w:val="1"/>
          <w:color w:val="auto"/>
        </w:rPr>
        <w:t>A</w:t>
      </w:r>
      <w:r>
        <w:rPr>
          <w:rFonts w:ascii="Arial" w:cs="Arial" w:eastAsia="Arial" w:hAnsi="Arial"/>
          <w:sz w:val="17"/>
          <w:szCs w:val="17"/>
          <w:color w:val="auto"/>
        </w:rPr>
        <w:t xml:space="preserve">) there have been adjustments to the Purchase Price pursuant to </w:t>
      </w:r>
      <w:r>
        <w:rPr>
          <w:rFonts w:ascii="Arial" w:cs="Arial" w:eastAsia="Arial" w:hAnsi="Arial"/>
          <w:sz w:val="17"/>
          <w:szCs w:val="17"/>
          <w:i w:val="1"/>
          <w:iCs w:val="1"/>
          <w:color w:val="auto"/>
        </w:rPr>
        <w:t>Section 2.05(b)(i)</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2.05(c)</w:t>
      </w:r>
    </w:p>
    <w:p>
      <w:pPr>
        <w:spacing w:after="0" w:line="34" w:lineRule="exact"/>
        <w:rPr>
          <w:rFonts w:ascii="Arial" w:cs="Arial" w:eastAsia="Arial" w:hAnsi="Arial"/>
          <w:sz w:val="17"/>
          <w:szCs w:val="17"/>
          <w:color w:val="auto"/>
        </w:rPr>
      </w:pPr>
    </w:p>
    <w:p>
      <w:pPr>
        <w:jc w:val="both"/>
        <w:ind w:left="1300" w:hanging="8"/>
        <w:spacing w:after="0" w:line="265" w:lineRule="auto"/>
        <w:tabs>
          <w:tab w:leader="none" w:pos="1515" w:val="left"/>
        </w:tabs>
        <w:numPr>
          <w:ilvl w:val="0"/>
          <w:numId w:val="14"/>
        </w:numPr>
        <w:rPr>
          <w:rFonts w:ascii="Arial" w:cs="Arial" w:eastAsia="Arial" w:hAnsi="Arial"/>
          <w:sz w:val="17"/>
          <w:szCs w:val="17"/>
          <w:i w:val="1"/>
          <w:iCs w:val="1"/>
          <w:color w:val="auto"/>
        </w:rPr>
      </w:pPr>
      <w:r>
        <w:rPr>
          <w:rFonts w:ascii="Arial" w:cs="Arial" w:eastAsia="Arial" w:hAnsi="Arial"/>
          <w:sz w:val="17"/>
          <w:szCs w:val="17"/>
          <w:color w:val="auto"/>
        </w:rPr>
        <w:t>above and (</w:t>
      </w:r>
      <w:r>
        <w:rPr>
          <w:rFonts w:ascii="Arial" w:cs="Arial" w:eastAsia="Arial" w:hAnsi="Arial"/>
          <w:sz w:val="17"/>
          <w:szCs w:val="17"/>
          <w:i w:val="1"/>
          <w:iCs w:val="1"/>
          <w:color w:val="auto"/>
        </w:rPr>
        <w:t>B</w:t>
      </w:r>
      <w:r>
        <w:rPr>
          <w:rFonts w:ascii="Arial" w:cs="Arial" w:eastAsia="Arial" w:hAnsi="Arial"/>
          <w:sz w:val="17"/>
          <w:szCs w:val="17"/>
          <w:color w:val="auto"/>
        </w:rPr>
        <w:t>) there are any Additional Turbines that have been Placed in Service during the period between the Closing Date and the Additional Turbine Deadline, Purchaser shall calculate the Additional Turbine Funding Amount and, within five</w:t>
      </w:r>
    </w:p>
    <w:p>
      <w:pPr>
        <w:ind w:left="1300"/>
        <w:spacing w:after="0"/>
        <w:rPr>
          <w:rFonts w:ascii="Arial" w:cs="Arial" w:eastAsia="Arial" w:hAnsi="Arial"/>
          <w:sz w:val="17"/>
          <w:szCs w:val="17"/>
          <w:i w:val="1"/>
          <w:iCs w:val="1"/>
          <w:color w:val="auto"/>
        </w:rPr>
      </w:pPr>
      <w:r>
        <w:rPr>
          <w:rFonts w:ascii="Arial" w:cs="Arial" w:eastAsia="Arial" w:hAnsi="Arial"/>
          <w:sz w:val="16"/>
          <w:szCs w:val="16"/>
          <w:color w:val="auto"/>
        </w:rPr>
        <w:t>(5) Business Days after the Additional Turbine Deadline, Purchaser shall pay to Seller the Additional Turbine Funding Amount.</w:t>
      </w:r>
    </w:p>
    <w:p>
      <w:pPr>
        <w:spacing w:after="0" w:line="234" w:lineRule="exact"/>
        <w:rPr>
          <w:sz w:val="20"/>
          <w:szCs w:val="20"/>
          <w:color w:val="auto"/>
        </w:rPr>
      </w:pPr>
    </w:p>
    <w:p>
      <w:pPr>
        <w:ind w:left="640" w:firstLine="652"/>
        <w:spacing w:after="0" w:line="308" w:lineRule="auto"/>
        <w:tabs>
          <w:tab w:leader="none" w:pos="176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i w:val="1"/>
          <w:iCs w:val="1"/>
          <w:color w:val="auto"/>
        </w:rPr>
        <w:t>Additional Turbine Funding Amount</w:t>
      </w:r>
      <w:r>
        <w:rPr>
          <w:rFonts w:ascii="Arial" w:cs="Arial" w:eastAsia="Arial" w:hAnsi="Arial"/>
          <w:sz w:val="17"/>
          <w:szCs w:val="17"/>
          <w:color w:val="auto"/>
        </w:rPr>
        <w:t xml:space="preserve">” shall be an amount of money that is equal to the product of the applicable Additional Turbine Amount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Additional Turbines Placed in Service by the Additional Turbine Deadline.”</w:t>
      </w:r>
    </w:p>
    <w:p>
      <w:pPr>
        <w:spacing w:after="0" w:line="14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color w:val="auto"/>
        </w:rPr>
        <w:t>Section 3.01 of the MIPA is hereby deleted in its entirety and replaced with the following:</w:t>
      </w:r>
    </w:p>
    <w:p>
      <w:pPr>
        <w:spacing w:after="0" w:line="225" w:lineRule="exact"/>
        <w:rPr>
          <w:sz w:val="20"/>
          <w:szCs w:val="20"/>
          <w:color w:val="auto"/>
        </w:rPr>
      </w:pPr>
    </w:p>
    <w:p>
      <w:pPr>
        <w:jc w:val="both"/>
        <w:ind w:left="6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3.01.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Representations and Warranties with respect to Seller, the Company and the Mesquite Sky Entities</w:t>
      </w:r>
      <w:r>
        <w:rPr>
          <w:rFonts w:ascii="Arial" w:cs="Arial" w:eastAsia="Arial" w:hAnsi="Arial"/>
          <w:sz w:val="18"/>
          <w:szCs w:val="18"/>
          <w:color w:val="auto"/>
        </w:rPr>
        <w:t xml:space="preserve">. Seller hereby represents and warrants to Purchaser, as of the Execution Date, the Closing Date and, solely with respect to </w:t>
      </w:r>
      <w:r>
        <w:rPr>
          <w:rFonts w:ascii="Arial" w:cs="Arial" w:eastAsia="Arial" w:hAnsi="Arial"/>
          <w:sz w:val="18"/>
          <w:szCs w:val="18"/>
          <w:i w:val="1"/>
          <w:iCs w:val="1"/>
          <w:color w:val="auto"/>
        </w:rPr>
        <w:t>Section 3.01(a)</w:t>
      </w:r>
      <w:r>
        <w:rPr>
          <w:rFonts w:ascii="Arial" w:cs="Arial" w:eastAsia="Arial" w:hAnsi="Arial"/>
          <w:sz w:val="18"/>
          <w:szCs w:val="18"/>
          <w:color w:val="auto"/>
        </w:rPr>
        <w:t xml:space="preserve"> (Existence), </w:t>
      </w:r>
      <w:r>
        <w:rPr>
          <w:rFonts w:ascii="Arial" w:cs="Arial" w:eastAsia="Arial" w:hAnsi="Arial"/>
          <w:sz w:val="18"/>
          <w:szCs w:val="18"/>
          <w:i w:val="1"/>
          <w:iCs w:val="1"/>
          <w:color w:val="auto"/>
        </w:rPr>
        <w:t xml:space="preserve">Section 3.01(b) </w:t>
      </w:r>
      <w:r>
        <w:rPr>
          <w:rFonts w:ascii="Arial" w:cs="Arial" w:eastAsia="Arial" w:hAnsi="Arial"/>
          <w:sz w:val="18"/>
          <w:szCs w:val="18"/>
          <w:color w:val="auto"/>
        </w:rPr>
        <w:t>(Authority),</w:t>
      </w:r>
      <w:r>
        <w:rPr>
          <w:rFonts w:ascii="Arial" w:cs="Arial" w:eastAsia="Arial" w:hAnsi="Arial"/>
          <w:sz w:val="18"/>
          <w:szCs w:val="18"/>
          <w:i w:val="1"/>
          <w:iCs w:val="1"/>
          <w:color w:val="auto"/>
        </w:rPr>
        <w:t xml:space="preserve"> Section 3.01(c) </w:t>
      </w:r>
      <w:r>
        <w:rPr>
          <w:rFonts w:ascii="Arial" w:cs="Arial" w:eastAsia="Arial" w:hAnsi="Arial"/>
          <w:sz w:val="18"/>
          <w:szCs w:val="18"/>
          <w:color w:val="auto"/>
        </w:rPr>
        <w:t>(No Consent),</w:t>
      </w:r>
      <w:r>
        <w:rPr>
          <w:rFonts w:ascii="Arial" w:cs="Arial" w:eastAsia="Arial" w:hAnsi="Arial"/>
          <w:sz w:val="18"/>
          <w:szCs w:val="18"/>
          <w:i w:val="1"/>
          <w:iCs w:val="1"/>
          <w:color w:val="auto"/>
        </w:rPr>
        <w:t xml:space="preserve"> Section 3.01(d)(i), 3.01(d)(iii) and 3.01(d)(iv) </w:t>
      </w:r>
      <w:r>
        <w:rPr>
          <w:rFonts w:ascii="Arial" w:cs="Arial" w:eastAsia="Arial" w:hAnsi="Arial"/>
          <w:sz w:val="18"/>
          <w:szCs w:val="18"/>
          <w:color w:val="auto"/>
        </w:rPr>
        <w:t>(No Conflicts),</w:t>
      </w:r>
      <w:r>
        <w:rPr>
          <w:rFonts w:ascii="Arial" w:cs="Arial" w:eastAsia="Arial" w:hAnsi="Arial"/>
          <w:sz w:val="18"/>
          <w:szCs w:val="18"/>
          <w:i w:val="1"/>
          <w:iCs w:val="1"/>
          <w:color w:val="auto"/>
        </w:rPr>
        <w:t xml:space="preserve"> Section 3.01(e</w:t>
      </w:r>
      <w:r>
        <w:rPr>
          <w:rFonts w:ascii="Arial" w:cs="Arial" w:eastAsia="Arial" w:hAnsi="Arial"/>
          <w:sz w:val="18"/>
          <w:szCs w:val="18"/>
          <w:color w:val="auto"/>
        </w:rPr>
        <w:t>) (Regulatory Matters),</w:t>
      </w:r>
      <w:r>
        <w:rPr>
          <w:rFonts w:ascii="Arial" w:cs="Arial" w:eastAsia="Arial" w:hAnsi="Arial"/>
          <w:sz w:val="18"/>
          <w:szCs w:val="18"/>
          <w:i w:val="1"/>
          <w:iCs w:val="1"/>
          <w:color w:val="auto"/>
        </w:rPr>
        <w:t xml:space="preserve"> Section 3.01(f) </w:t>
      </w:r>
      <w:r>
        <w:rPr>
          <w:rFonts w:ascii="Arial" w:cs="Arial" w:eastAsia="Arial" w:hAnsi="Arial"/>
          <w:sz w:val="18"/>
          <w:szCs w:val="18"/>
          <w:color w:val="auto"/>
        </w:rPr>
        <w:t>(Legal Proceedings),</w:t>
      </w:r>
      <w:r>
        <w:rPr>
          <w:rFonts w:ascii="Arial" w:cs="Arial" w:eastAsia="Arial" w:hAnsi="Arial"/>
          <w:sz w:val="18"/>
          <w:szCs w:val="18"/>
          <w:i w:val="1"/>
          <w:iCs w:val="1"/>
          <w:color w:val="auto"/>
        </w:rPr>
        <w:t xml:space="preserve"> Section 3.01(g) </w:t>
      </w:r>
      <w:r>
        <w:rPr>
          <w:rFonts w:ascii="Arial" w:cs="Arial" w:eastAsia="Arial" w:hAnsi="Arial"/>
          <w:sz w:val="18"/>
          <w:szCs w:val="18"/>
          <w:color w:val="auto"/>
        </w:rPr>
        <w:t>(Brokers),</w:t>
      </w:r>
      <w:r>
        <w:rPr>
          <w:rFonts w:ascii="Arial" w:cs="Arial" w:eastAsia="Arial" w:hAnsi="Arial"/>
          <w:sz w:val="18"/>
          <w:szCs w:val="18"/>
          <w:i w:val="1"/>
          <w:iCs w:val="1"/>
          <w:color w:val="auto"/>
        </w:rPr>
        <w:t xml:space="preserve"> Sections 3.01(i)(x), 3.01(i)(xi) </w:t>
      </w:r>
      <w:r>
        <w:rPr>
          <w:rFonts w:ascii="Arial" w:cs="Arial" w:eastAsia="Arial" w:hAnsi="Arial"/>
          <w:sz w:val="18"/>
          <w:szCs w:val="18"/>
          <w:color w:val="auto"/>
        </w:rPr>
        <w:t>and</w:t>
      </w:r>
      <w:r>
        <w:rPr>
          <w:rFonts w:ascii="Arial" w:cs="Arial" w:eastAsia="Arial" w:hAnsi="Arial"/>
          <w:sz w:val="18"/>
          <w:szCs w:val="18"/>
          <w:i w:val="1"/>
          <w:iCs w:val="1"/>
          <w:color w:val="auto"/>
        </w:rPr>
        <w:t xml:space="preserve"> 3.01(i)(xii) </w:t>
      </w:r>
      <w:r>
        <w:rPr>
          <w:rFonts w:ascii="Arial" w:cs="Arial" w:eastAsia="Arial" w:hAnsi="Arial"/>
          <w:sz w:val="18"/>
          <w:szCs w:val="18"/>
          <w:color w:val="auto"/>
        </w:rPr>
        <w:t>(Company and the Mesquite Sky Entities) and</w:t>
      </w:r>
      <w:r>
        <w:rPr>
          <w:rFonts w:ascii="Arial" w:cs="Arial" w:eastAsia="Arial" w:hAnsi="Arial"/>
          <w:sz w:val="18"/>
          <w:szCs w:val="18"/>
          <w:i w:val="1"/>
          <w:iCs w:val="1"/>
          <w:color w:val="auto"/>
        </w:rPr>
        <w:t xml:space="preserve"> Section 3.01(cc) </w:t>
      </w:r>
      <w:r>
        <w:rPr>
          <w:rFonts w:ascii="Arial" w:cs="Arial" w:eastAsia="Arial" w:hAnsi="Arial"/>
          <w:sz w:val="18"/>
          <w:szCs w:val="18"/>
          <w:color w:val="auto"/>
        </w:rPr>
        <w:t>(No Other Warranties) (collectively, the “</w:t>
      </w:r>
      <w:r>
        <w:rPr>
          <w:rFonts w:ascii="Arial" w:cs="Arial" w:eastAsia="Arial" w:hAnsi="Arial"/>
          <w:sz w:val="18"/>
          <w:szCs w:val="18"/>
          <w:i w:val="1"/>
          <w:iCs w:val="1"/>
          <w:color w:val="auto"/>
        </w:rPr>
        <w:t>Seller Second Closing Representations</w:t>
      </w:r>
      <w:r>
        <w:rPr>
          <w:rFonts w:ascii="Arial" w:cs="Arial" w:eastAsia="Arial" w:hAnsi="Arial"/>
          <w:sz w:val="18"/>
          <w:szCs w:val="18"/>
          <w:color w:val="auto"/>
        </w:rPr>
        <w:t>”), the Second Closing Date, as follows;</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any representation and warranty set forth in this</w:t>
      </w:r>
      <w:r>
        <w:rPr>
          <w:rFonts w:ascii="Arial" w:cs="Arial" w:eastAsia="Arial" w:hAnsi="Arial"/>
          <w:sz w:val="18"/>
          <w:szCs w:val="18"/>
          <w:i w:val="1"/>
          <w:iCs w:val="1"/>
          <w:color w:val="auto"/>
        </w:rPr>
        <w:t xml:space="preserve"> Section 3.01 </w:t>
      </w:r>
      <w:r>
        <w:rPr>
          <w:rFonts w:ascii="Arial" w:cs="Arial" w:eastAsia="Arial" w:hAnsi="Arial"/>
          <w:sz w:val="18"/>
          <w:szCs w:val="18"/>
          <w:color w:val="auto"/>
        </w:rPr>
        <w:t>and expressly stated to be made only as of a specified date shall be made solely as of such date;</w:t>
      </w:r>
      <w:r>
        <w:rPr>
          <w:rFonts w:ascii="Arial" w:cs="Arial" w:eastAsia="Arial" w:hAnsi="Arial"/>
          <w:sz w:val="18"/>
          <w:szCs w:val="18"/>
          <w:i w:val="1"/>
          <w:iCs w:val="1"/>
          <w:color w:val="auto"/>
        </w:rPr>
        <w:t xml:space="preserve"> provided further </w:t>
      </w:r>
      <w:r>
        <w:rPr>
          <w:rFonts w:ascii="Arial" w:cs="Arial" w:eastAsia="Arial" w:hAnsi="Arial"/>
          <w:sz w:val="18"/>
          <w:szCs w:val="18"/>
          <w:color w:val="auto"/>
        </w:rPr>
        <w:t>that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each of the Seller Second Closing Date Representations, references to the Company and the Mesquite Sky Entities shall be disregarded and deemed deleted.”</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1" w:name="page12"/>
    <w:bookmarkEnd w:id="11"/>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Section 3.01(d) of the MIPA is hereby amended by adding the words “or, solely on the Second Closing Date, the Class A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words “the Acquired Interests”.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color w:val="auto"/>
        </w:rPr>
        <w:t>Section 3.01(i) of the MIPA is hereby amended by adding the following new Sections 3.01(i)(x), 3.01(i)(xi) and 3.01(i)(xii):</w:t>
      </w:r>
    </w:p>
    <w:p>
      <w:pPr>
        <w:spacing w:after="0" w:line="229"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“(x) As of the Second Closing Date, all of the issued and outstanding Class A Interests are owned directly, beneficially and of record by Seller free and clear of all Liens, except Permitted Equity Encumbrances.</w:t>
      </w:r>
    </w:p>
    <w:p>
      <w:pPr>
        <w:spacing w:after="0" w:line="170" w:lineRule="exact"/>
        <w:rPr>
          <w:sz w:val="20"/>
          <w:szCs w:val="20"/>
          <w:color w:val="auto"/>
        </w:rPr>
      </w:pPr>
    </w:p>
    <w:p>
      <w:pPr>
        <w:jc w:val="both"/>
        <w:ind w:left="1300" w:firstLine="4"/>
        <w:spacing w:after="0" w:line="263" w:lineRule="auto"/>
        <w:tabs>
          <w:tab w:leader="none" w:pos="17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Except as set forth in Part II of </w:t>
      </w:r>
      <w:r>
        <w:rPr>
          <w:rFonts w:ascii="Arial" w:cs="Arial" w:eastAsia="Arial" w:hAnsi="Arial"/>
          <w:sz w:val="18"/>
          <w:szCs w:val="18"/>
          <w:i w:val="1"/>
          <w:iCs w:val="1"/>
          <w:color w:val="auto"/>
        </w:rPr>
        <w:t>Schedule 3.01(i)(v)</w:t>
      </w:r>
      <w:r>
        <w:rPr>
          <w:rFonts w:ascii="Arial" w:cs="Arial" w:eastAsia="Arial" w:hAnsi="Arial"/>
          <w:sz w:val="18"/>
          <w:szCs w:val="18"/>
          <w:color w:val="auto"/>
        </w:rPr>
        <w:t xml:space="preserve"> of the Disclosure Schedules, as of the Second Closing Date, none of the Class A Interests are subject to any voting trust or voting trust agreement, voting agreement, pledge agreement, buy-sell agreement, right of first refusal, preemptive right or proxy.</w:t>
      </w:r>
    </w:p>
    <w:p>
      <w:pPr>
        <w:spacing w:after="0" w:line="183" w:lineRule="exact"/>
        <w:rPr>
          <w:rFonts w:ascii="Arial" w:cs="Arial" w:eastAsia="Arial" w:hAnsi="Arial"/>
          <w:sz w:val="18"/>
          <w:szCs w:val="18"/>
          <w:color w:val="auto"/>
        </w:rPr>
      </w:pPr>
    </w:p>
    <w:p>
      <w:pPr>
        <w:jc w:val="both"/>
        <w:ind w:left="1300" w:firstLine="4"/>
        <w:spacing w:after="0" w:line="259" w:lineRule="auto"/>
        <w:tabs>
          <w:tab w:leader="none" w:pos="18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w:t>
      </w:r>
      <w:r>
        <w:rPr>
          <w:rFonts w:ascii="Arial" w:cs="Arial" w:eastAsia="Arial" w:hAnsi="Arial"/>
          <w:sz w:val="18"/>
          <w:szCs w:val="18"/>
          <w:color w:val="auto"/>
        </w:rPr>
        <w:t>) execution and delivery by Seller of the Assignment of Membership Interests and (</w:t>
      </w:r>
      <w:r>
        <w:rPr>
          <w:rFonts w:ascii="Arial" w:cs="Arial" w:eastAsia="Arial" w:hAnsi="Arial"/>
          <w:sz w:val="18"/>
          <w:szCs w:val="18"/>
          <w:i w:val="1"/>
          <w:iCs w:val="1"/>
          <w:color w:val="auto"/>
        </w:rPr>
        <w:t>B</w:t>
      </w:r>
      <w:r>
        <w:rPr>
          <w:rFonts w:ascii="Arial" w:cs="Arial" w:eastAsia="Arial" w:hAnsi="Arial"/>
          <w:sz w:val="18"/>
          <w:szCs w:val="18"/>
          <w:color w:val="auto"/>
        </w:rPr>
        <w:t>) if applicable, the delivery of certificates representing the Class A Interests, duly endorsed for transfer to Purchaser or accompanied by one or more membership interest powers duly endorsed for transfer to Purchaser, will transfer to Purchaser good, valid and marketable title to the Class A Interests, free and clear of all Liens, except Permitted Equity Encumbrances.”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Section 3.01(k)(ii) of the MIPA is hereby amended by adding the words “or, as of the Second Closing Date, the Class A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words “the Acquired Interests”.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Section 3.01(m)(i)(E) of the MIPA is hereby amended by adding “, solely as of the Second Closing Date, the Class A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words “the Acquired Interests”.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Section 3.01(cc) of the MIPA is hereby amended by (a) adding the words “AND THE CLASS A INTERESTS” immediately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“ACQUIRED INTERESTS” in the first sentence thereof, (b) adding “, THE CLASS A INTERESTS” immediately following the words “ACQUIRED INTERESTS” in the second sentence thereof, and (c) adding “, THE CLASS A INTERESTS” immediately before the words “OR THE ACQUIRED INTERESTS” in the last sentence thereof.</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color w:val="auto"/>
        </w:rPr>
        <w:t>Section 3.02 of the MIPA is hereby deleted in its entirety and replaced with the following:</w:t>
      </w:r>
    </w:p>
    <w:p>
      <w:pPr>
        <w:spacing w:after="0" w:line="225" w:lineRule="exact"/>
        <w:rPr>
          <w:sz w:val="20"/>
          <w:szCs w:val="20"/>
          <w:color w:val="auto"/>
        </w:rPr>
      </w:pPr>
    </w:p>
    <w:p>
      <w:pPr>
        <w:jc w:val="both"/>
        <w:ind w:left="13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3.02.</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Representations and Warranties with Respect to Purchaser</w:t>
      </w:r>
      <w:r>
        <w:rPr>
          <w:rFonts w:ascii="Arial" w:cs="Arial" w:eastAsia="Arial" w:hAnsi="Arial"/>
          <w:sz w:val="18"/>
          <w:szCs w:val="18"/>
          <w:color w:val="auto"/>
        </w:rPr>
        <w:t xml:space="preserve">. Purchaser hereby represents to Seller as of the Execution Date, the Closing Date and, solely with respect to </w:t>
      </w:r>
      <w:r>
        <w:rPr>
          <w:rFonts w:ascii="Arial" w:cs="Arial" w:eastAsia="Arial" w:hAnsi="Arial"/>
          <w:sz w:val="18"/>
          <w:szCs w:val="18"/>
          <w:i w:val="1"/>
          <w:iCs w:val="1"/>
          <w:color w:val="auto"/>
        </w:rPr>
        <w:t>Section 3.02(a)</w:t>
      </w:r>
      <w:r>
        <w:rPr>
          <w:rFonts w:ascii="Arial" w:cs="Arial" w:eastAsia="Arial" w:hAnsi="Arial"/>
          <w:sz w:val="18"/>
          <w:szCs w:val="18"/>
          <w:color w:val="auto"/>
        </w:rPr>
        <w:t xml:space="preserve"> (Existence), </w:t>
      </w:r>
      <w:r>
        <w:rPr>
          <w:rFonts w:ascii="Arial" w:cs="Arial" w:eastAsia="Arial" w:hAnsi="Arial"/>
          <w:sz w:val="18"/>
          <w:szCs w:val="18"/>
          <w:i w:val="1"/>
          <w:iCs w:val="1"/>
          <w:color w:val="auto"/>
        </w:rPr>
        <w:t>Section 3.02(b)</w:t>
      </w:r>
      <w:r>
        <w:rPr>
          <w:rFonts w:ascii="Arial" w:cs="Arial" w:eastAsia="Arial" w:hAnsi="Arial"/>
          <w:sz w:val="18"/>
          <w:szCs w:val="18"/>
          <w:color w:val="auto"/>
        </w:rPr>
        <w:t xml:space="preserve"> (Authority), </w:t>
      </w:r>
      <w:r>
        <w:rPr>
          <w:rFonts w:ascii="Arial" w:cs="Arial" w:eastAsia="Arial" w:hAnsi="Arial"/>
          <w:sz w:val="18"/>
          <w:szCs w:val="18"/>
          <w:i w:val="1"/>
          <w:iCs w:val="1"/>
          <w:color w:val="auto"/>
        </w:rPr>
        <w:t>Section 3.02(g)</w:t>
      </w:r>
      <w:r>
        <w:rPr>
          <w:rFonts w:ascii="Arial" w:cs="Arial" w:eastAsia="Arial" w:hAnsi="Arial"/>
          <w:sz w:val="18"/>
          <w:szCs w:val="18"/>
          <w:color w:val="auto"/>
        </w:rPr>
        <w:t xml:space="preserve"> (Purchase for Investment) and </w:t>
      </w:r>
      <w:r>
        <w:rPr>
          <w:rFonts w:ascii="Arial" w:cs="Arial" w:eastAsia="Arial" w:hAnsi="Arial"/>
          <w:sz w:val="18"/>
          <w:szCs w:val="18"/>
          <w:i w:val="1"/>
          <w:iCs w:val="1"/>
          <w:color w:val="auto"/>
        </w:rPr>
        <w:t>Section 3.02(k)</w:t>
      </w:r>
      <w:r>
        <w:rPr>
          <w:rFonts w:ascii="Arial" w:cs="Arial" w:eastAsia="Arial" w:hAnsi="Arial"/>
          <w:sz w:val="18"/>
          <w:szCs w:val="18"/>
          <w:color w:val="auto"/>
        </w:rPr>
        <w:t xml:space="preserve"> (Due Diligence) (collectively, the “</w:t>
      </w:r>
      <w:r>
        <w:rPr>
          <w:rFonts w:ascii="Arial" w:cs="Arial" w:eastAsia="Arial" w:hAnsi="Arial"/>
          <w:sz w:val="18"/>
          <w:szCs w:val="18"/>
          <w:i w:val="1"/>
          <w:iCs w:val="1"/>
          <w:color w:val="auto"/>
        </w:rPr>
        <w:t>Purchaser Second Closing Representations</w:t>
      </w:r>
      <w:r>
        <w:rPr>
          <w:rFonts w:ascii="Arial" w:cs="Arial" w:eastAsia="Arial" w:hAnsi="Arial"/>
          <w:sz w:val="18"/>
          <w:szCs w:val="18"/>
          <w:color w:val="auto"/>
        </w:rPr>
        <w:t xml:space="preserve">”), the Second Closing Date, as follows;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representation and warranty set forth in this </w:t>
      </w:r>
      <w:r>
        <w:rPr>
          <w:rFonts w:ascii="Arial" w:cs="Arial" w:eastAsia="Arial" w:hAnsi="Arial"/>
          <w:sz w:val="18"/>
          <w:szCs w:val="18"/>
          <w:i w:val="1"/>
          <w:iCs w:val="1"/>
          <w:color w:val="auto"/>
        </w:rPr>
        <w:t>Section 3.02</w:t>
      </w:r>
      <w:r>
        <w:rPr>
          <w:rFonts w:ascii="Arial" w:cs="Arial" w:eastAsia="Arial" w:hAnsi="Arial"/>
          <w:sz w:val="18"/>
          <w:szCs w:val="18"/>
          <w:color w:val="auto"/>
        </w:rPr>
        <w:t xml:space="preserve"> and expressly stated to be made only as of a specified date shall be made solely as of such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tabs>
          <w:tab w:leader="none" w:pos="11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color w:val="auto"/>
        </w:rPr>
        <w:t>Section 3.02(g) of the MIPA is hereby deleted in its entirety and replaced with the following:</w:t>
      </w:r>
    </w:p>
    <w:p>
      <w:pPr>
        <w:spacing w:after="0" w:line="225"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 xml:space="preserve">“(g) </w:t>
      </w:r>
      <w:r>
        <w:rPr>
          <w:rFonts w:ascii="Arial" w:cs="Arial" w:eastAsia="Arial" w:hAnsi="Arial"/>
          <w:sz w:val="17"/>
          <w:szCs w:val="17"/>
          <w:b w:val="1"/>
          <w:bCs w:val="1"/>
          <w:color w:val="auto"/>
        </w:rPr>
        <w:t>Purchase for Investment</w:t>
      </w:r>
      <w:r>
        <w:rPr>
          <w:rFonts w:ascii="Arial" w:cs="Arial" w:eastAsia="Arial" w:hAnsi="Arial"/>
          <w:sz w:val="17"/>
          <w:szCs w:val="17"/>
          <w:color w:val="auto"/>
        </w:rPr>
        <w:t>. Purchaser (</w:t>
      </w:r>
      <w:r>
        <w:rPr>
          <w:rFonts w:ascii="Arial" w:cs="Arial" w:eastAsia="Arial" w:hAnsi="Arial"/>
          <w:sz w:val="17"/>
          <w:szCs w:val="17"/>
          <w:i w:val="1"/>
          <w:iCs w:val="1"/>
          <w:color w:val="auto"/>
        </w:rPr>
        <w:t>i</w:t>
      </w:r>
      <w:r>
        <w:rPr>
          <w:rFonts w:ascii="Arial" w:cs="Arial" w:eastAsia="Arial" w:hAnsi="Arial"/>
          <w:sz w:val="17"/>
          <w:szCs w:val="17"/>
          <w:color w:val="auto"/>
        </w:rPr>
        <w:t>) is acquiring the Acquired Interests and as of the Second Closing Date, the Class A Interests, for its own account and not with a view to distribution, (</w:t>
      </w:r>
      <w:r>
        <w:rPr>
          <w:rFonts w:ascii="Arial" w:cs="Arial" w:eastAsia="Arial" w:hAnsi="Arial"/>
          <w:sz w:val="17"/>
          <w:szCs w:val="17"/>
          <w:i w:val="1"/>
          <w:iCs w:val="1"/>
          <w:color w:val="auto"/>
        </w:rPr>
        <w:t>ii</w:t>
      </w:r>
      <w:r>
        <w:rPr>
          <w:rFonts w:ascii="Arial" w:cs="Arial" w:eastAsia="Arial" w:hAnsi="Arial"/>
          <w:sz w:val="17"/>
          <w:szCs w:val="17"/>
          <w:color w:val="auto"/>
        </w:rPr>
        <w:t>) is an “accredited investor” as such term is defined in Rule 501(a) under the Securities Act of 1933, (</w:t>
      </w:r>
      <w:r>
        <w:rPr>
          <w:rFonts w:ascii="Arial" w:cs="Arial" w:eastAsia="Arial" w:hAnsi="Arial"/>
          <w:sz w:val="17"/>
          <w:szCs w:val="17"/>
          <w:i w:val="1"/>
          <w:iCs w:val="1"/>
          <w:color w:val="auto"/>
        </w:rPr>
        <w:t>iii</w:t>
      </w:r>
      <w:r>
        <w:rPr>
          <w:rFonts w:ascii="Arial" w:cs="Arial" w:eastAsia="Arial" w:hAnsi="Arial"/>
          <w:sz w:val="17"/>
          <w:szCs w:val="17"/>
          <w:color w:val="auto"/>
        </w:rPr>
        <w:t>) has sufficient knowledge and experience in financial and business matters so as to be able to evaluate the merits and risk of an investment in the Acquired Interests and the Class A Interests and is able financially to bear the risks thereof, and (</w:t>
      </w:r>
      <w:r>
        <w:rPr>
          <w:rFonts w:ascii="Arial" w:cs="Arial" w:eastAsia="Arial" w:hAnsi="Arial"/>
          <w:sz w:val="17"/>
          <w:szCs w:val="17"/>
          <w:i w:val="1"/>
          <w:iCs w:val="1"/>
          <w:color w:val="auto"/>
        </w:rPr>
        <w:t>iv</w:t>
      </w:r>
      <w:r>
        <w:rPr>
          <w:rFonts w:ascii="Arial" w:cs="Arial" w:eastAsia="Arial" w:hAnsi="Arial"/>
          <w:sz w:val="17"/>
          <w:szCs w:val="17"/>
          <w:color w:val="auto"/>
        </w:rPr>
        <w:t>) understands that the Acquired Interests and the Class A Interests will, upon purchase, be characterized as “restricted securities” under state and federal securities laws and that under such laws and applicable regulations the Acquired Interests and the Class A Interests may be resold without registration under such laws only in certain limited circumstances. Purchaser agrees that it will not sell, convey, transfer or dispose of the Acquired Interests or the Class A Interests, unless such transaction is made pursuant to an effective registration statement under applicable federal and state securities laws or an exemption from registration requirements of such securities laws.”</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Section 3.02(k) of the MIPA is hereby amended by (a) adding “, the Class A Interests” immediately following the words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in the first sentence thereof, and (b) adding the words “AND THE CLASS A INTERESTS” immediately following the words “Acquired Interests” in the last sentence thereof.</w:t>
      </w:r>
    </w:p>
    <w:p>
      <w:pPr>
        <w:spacing w:after="0" w:line="17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6"/>
          <w:szCs w:val="16"/>
          <w:color w:val="auto"/>
        </w:rPr>
        <w:t>Section 4.01(l) of the MIPA is hereby deleted and replaced with “[Reserved]”</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2.30</w:t>
      </w:r>
      <w:r>
        <w:rPr>
          <w:sz w:val="20"/>
          <w:szCs w:val="20"/>
          <w:color w:val="auto"/>
        </w:rPr>
        <w:tab/>
      </w:r>
      <w:r>
        <w:rPr>
          <w:rFonts w:ascii="Arial" w:cs="Arial" w:eastAsia="Arial" w:hAnsi="Arial"/>
          <w:sz w:val="16"/>
          <w:szCs w:val="16"/>
          <w:color w:val="auto"/>
        </w:rPr>
        <w:t>Sections 4.01(o)(iii) and 4.01(o)(D) of the MIPA are hereby deleting and replaced with the words “[intentionally omitted]”.</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color w:val="auto"/>
        </w:rPr>
        <w:t>Article IV of the MIPA is hereby amended by adding the following new Section 4.02:</w:t>
      </w:r>
    </w:p>
    <w:p>
      <w:pPr>
        <w:spacing w:after="0" w:line="225" w:lineRule="exact"/>
        <w:rPr>
          <w:sz w:val="20"/>
          <w:szCs w:val="20"/>
          <w:color w:val="auto"/>
        </w:rPr>
      </w:pPr>
    </w:p>
    <w:p>
      <w:pPr>
        <w:jc w:val="both"/>
        <w:ind w:left="13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4.02.</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Second Closing Date Conditions Precedent</w:t>
      </w:r>
      <w:r>
        <w:rPr>
          <w:rFonts w:ascii="Arial" w:cs="Arial" w:eastAsia="Arial" w:hAnsi="Arial"/>
          <w:sz w:val="18"/>
          <w:szCs w:val="18"/>
          <w:color w:val="auto"/>
        </w:rPr>
        <w:t>. The obligations of the Parties to sell and purchase, respectively, the Class A Interests are subject to the fulfillment (or waiver by the applicable Party), at or before the Second Closing, by the applicable Party of each of the following conditions:</w:t>
      </w:r>
    </w:p>
    <w:p>
      <w:pPr>
        <w:spacing w:after="0" w:line="176" w:lineRule="exact"/>
        <w:rPr>
          <w:sz w:val="20"/>
          <w:szCs w:val="20"/>
          <w:color w:val="auto"/>
        </w:rPr>
      </w:pPr>
    </w:p>
    <w:p>
      <w:pPr>
        <w:jc w:val="both"/>
        <w:ind w:left="1300" w:firstLine="652"/>
        <w:spacing w:after="0" w:line="289" w:lineRule="auto"/>
        <w:tabs>
          <w:tab w:leader="none" w:pos="2417"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 No Order shall have been entered which restrains, enjoins or otherwise prohibits or makes illegal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of the Second Closing and no Action or Proceeding shall have been instituted before any Governmental Authority of competent jurisdiction seeking to restrain, enjoin or otherwise prohibit or make illegal the consummation of the Second Closing.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left="1300" w:firstLine="652"/>
        <w:spacing w:after="0" w:line="258" w:lineRule="auto"/>
        <w:tabs>
          <w:tab w:leader="none" w:pos="2427"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Seller Representations and Warranties</w:t>
      </w:r>
      <w:r>
        <w:rPr>
          <w:rFonts w:ascii="Arial" w:cs="Arial" w:eastAsia="Arial" w:hAnsi="Arial"/>
          <w:sz w:val="18"/>
          <w:szCs w:val="18"/>
          <w:color w:val="auto"/>
        </w:rPr>
        <w:t>. The Seller Second Closing Representations shall be true and correct in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respects (except for any of such representations and warranties that are qualified by materiality, including by reference to Material Adverse Effect, which shall be true and correct in all respects) on and as of the Second Closing Date as though such representations and warranties were made on and as of the Second Closing Date, except to the extent such representations and warranties expressly relate to an earlier date, in which case as of such earlier date.</w:t>
      </w:r>
    </w:p>
    <w:p>
      <w:pPr>
        <w:spacing w:after="0" w:line="183" w:lineRule="exact"/>
        <w:rPr>
          <w:rFonts w:ascii="Arial" w:cs="Arial" w:eastAsia="Arial" w:hAnsi="Arial"/>
          <w:sz w:val="18"/>
          <w:szCs w:val="18"/>
          <w:color w:val="auto"/>
        </w:rPr>
      </w:pPr>
    </w:p>
    <w:p>
      <w:pPr>
        <w:jc w:val="both"/>
        <w:ind w:left="1300" w:firstLine="652"/>
        <w:spacing w:after="0" w:line="258" w:lineRule="auto"/>
        <w:tabs>
          <w:tab w:leader="none" w:pos="2417"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Purchaser Representations and Warranties</w:t>
      </w:r>
      <w:r>
        <w:rPr>
          <w:rFonts w:ascii="Arial" w:cs="Arial" w:eastAsia="Arial" w:hAnsi="Arial"/>
          <w:sz w:val="18"/>
          <w:szCs w:val="18"/>
          <w:color w:val="auto"/>
        </w:rPr>
        <w:t>. The Purchaser Second Closing Representations shall be true and correct in</w:t>
      </w:r>
      <w:r>
        <w:rPr>
          <w:rFonts w:ascii="Arial" w:cs="Arial" w:eastAsia="Arial" w:hAnsi="Arial"/>
          <w:sz w:val="18"/>
          <w:szCs w:val="18"/>
          <w:b w:val="1"/>
          <w:bCs w:val="1"/>
          <w:color w:val="auto"/>
        </w:rPr>
        <w:t xml:space="preserve"> </w:t>
      </w:r>
      <w:r>
        <w:rPr>
          <w:rFonts w:ascii="Arial" w:cs="Arial" w:eastAsia="Arial" w:hAnsi="Arial"/>
          <w:sz w:val="18"/>
          <w:szCs w:val="18"/>
          <w:color w:val="auto"/>
        </w:rPr>
        <w:t>all material respects (except for any of such representations and warranties that are qualified by materiality, which shall be true and correct in all respects) on and as of the Second Closing Date as though such representations and warranties were made on and as of the Second Closing Date, except to the extent such representations and warranties expressly relate to an earlier date, in which case as of such earlier date.</w:t>
      </w:r>
    </w:p>
    <w:p>
      <w:pPr>
        <w:spacing w:after="0" w:line="183" w:lineRule="exact"/>
        <w:rPr>
          <w:rFonts w:ascii="Arial" w:cs="Arial" w:eastAsia="Arial" w:hAnsi="Arial"/>
          <w:sz w:val="18"/>
          <w:szCs w:val="18"/>
          <w:color w:val="auto"/>
        </w:rPr>
      </w:pPr>
    </w:p>
    <w:p>
      <w:pPr>
        <w:ind w:left="1300" w:firstLine="652"/>
        <w:spacing w:after="0" w:line="282" w:lineRule="auto"/>
        <w:tabs>
          <w:tab w:leader="none" w:pos="2427"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Apex Purchase Agreement</w:t>
      </w:r>
      <w:r>
        <w:rPr>
          <w:rFonts w:ascii="Arial" w:cs="Arial" w:eastAsia="Arial" w:hAnsi="Arial"/>
          <w:sz w:val="18"/>
          <w:szCs w:val="18"/>
          <w:color w:val="auto"/>
        </w:rPr>
        <w:t>. Seller shall, on or prior to the Second Closing Date, have closed the acquisition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Units pursuant to the Apex Purchase Agreement.</w:t>
      </w:r>
    </w:p>
    <w:p>
      <w:pPr>
        <w:spacing w:after="0" w:line="161" w:lineRule="exact"/>
        <w:rPr>
          <w:rFonts w:ascii="Arial" w:cs="Arial" w:eastAsia="Arial" w:hAnsi="Arial"/>
          <w:sz w:val="18"/>
          <w:szCs w:val="18"/>
          <w:color w:val="auto"/>
        </w:rPr>
      </w:pPr>
    </w:p>
    <w:p>
      <w:pPr>
        <w:ind w:left="1300" w:firstLine="652"/>
        <w:spacing w:after="0" w:line="282" w:lineRule="auto"/>
        <w:tabs>
          <w:tab w:leader="none" w:pos="2417"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HASI Purchase Agreement</w:t>
      </w:r>
      <w:r>
        <w:rPr>
          <w:rFonts w:ascii="Arial" w:cs="Arial" w:eastAsia="Arial" w:hAnsi="Arial"/>
          <w:sz w:val="18"/>
          <w:szCs w:val="18"/>
          <w:color w:val="auto"/>
        </w:rPr>
        <w:t>. HASI shall, simultaneously with or prior to the Second Closing, have closed the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Class A Units (other than the Class A Interests) pursuant to the HASI Purchase Agreement.</w:t>
      </w:r>
    </w:p>
    <w:p>
      <w:pPr>
        <w:spacing w:after="0" w:line="161" w:lineRule="exact"/>
        <w:rPr>
          <w:rFonts w:ascii="Arial" w:cs="Arial" w:eastAsia="Arial" w:hAnsi="Arial"/>
          <w:sz w:val="18"/>
          <w:szCs w:val="18"/>
          <w:color w:val="auto"/>
        </w:rPr>
      </w:pPr>
    </w:p>
    <w:p>
      <w:pPr>
        <w:ind w:left="1300" w:firstLine="652"/>
        <w:spacing w:after="0" w:line="347" w:lineRule="auto"/>
        <w:tabs>
          <w:tab w:leader="none" w:pos="2398"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Drop-Down Assignment</w:t>
      </w:r>
      <w:r>
        <w:rPr>
          <w:rFonts w:ascii="Arial" w:cs="Arial" w:eastAsia="Arial" w:hAnsi="Arial"/>
          <w:sz w:val="16"/>
          <w:szCs w:val="16"/>
          <w:color w:val="auto"/>
        </w:rPr>
        <w:t>. Each of Purchaser and the Master JV HoldCo shall have delivered executed counterparts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Drop Down Assignment &amp; Assumption Agreement, to be held in escrow and released immediately following the Second Closing.</w:t>
      </w:r>
    </w:p>
    <w:p>
      <w:pPr>
        <w:spacing w:after="0" w:line="115" w:lineRule="exact"/>
        <w:rPr>
          <w:rFonts w:ascii="Arial" w:cs="Arial" w:eastAsia="Arial" w:hAnsi="Arial"/>
          <w:sz w:val="16"/>
          <w:szCs w:val="16"/>
          <w:color w:val="auto"/>
        </w:rPr>
      </w:pPr>
    </w:p>
    <w:p>
      <w:pPr>
        <w:jc w:val="both"/>
        <w:ind w:left="1300" w:firstLine="652"/>
        <w:spacing w:after="0" w:line="261" w:lineRule="auto"/>
        <w:tabs>
          <w:tab w:leader="none" w:pos="2427"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Certificates; Other Ancillary Documents</w:t>
      </w:r>
      <w:r>
        <w:rPr>
          <w:rFonts w:ascii="Arial" w:cs="Arial" w:eastAsia="Arial" w:hAnsi="Arial"/>
          <w:sz w:val="18"/>
          <w:szCs w:val="18"/>
          <w:color w:val="auto"/>
        </w:rPr>
        <w:t>. Seller shall have delivered to Purchaser a certificate, dated as of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Closing Date and executed by an authorized officer of Seller substantially in the form and to the effect of </w:t>
      </w:r>
      <w:r>
        <w:rPr>
          <w:rFonts w:ascii="Arial" w:cs="Arial" w:eastAsia="Arial" w:hAnsi="Arial"/>
          <w:sz w:val="18"/>
          <w:szCs w:val="18"/>
          <w:i w:val="1"/>
          <w:iCs w:val="1"/>
          <w:color w:val="auto"/>
        </w:rPr>
        <w:t>Exhibit K</w:t>
      </w:r>
      <w:r>
        <w:rPr>
          <w:rFonts w:ascii="Arial" w:cs="Arial" w:eastAsia="Arial" w:hAnsi="Arial"/>
          <w:sz w:val="18"/>
          <w:szCs w:val="18"/>
          <w:color w:val="auto"/>
        </w:rPr>
        <w:t>. Purchaser shall have delivered to Seller (</w:t>
      </w:r>
      <w:r>
        <w:rPr>
          <w:rFonts w:ascii="Arial" w:cs="Arial" w:eastAsia="Arial" w:hAnsi="Arial"/>
          <w:sz w:val="18"/>
          <w:szCs w:val="18"/>
          <w:i w:val="1"/>
          <w:iCs w:val="1"/>
          <w:color w:val="auto"/>
        </w:rPr>
        <w:t>A</w:t>
      </w:r>
      <w:r>
        <w:rPr>
          <w:rFonts w:ascii="Arial" w:cs="Arial" w:eastAsia="Arial" w:hAnsi="Arial"/>
          <w:sz w:val="18"/>
          <w:szCs w:val="18"/>
          <w:color w:val="auto"/>
        </w:rPr>
        <w:t xml:space="preserve">) a certificate, dated as of the Second Closing Date and executed by an authorized officer of Purchaser substantially in the form and to the effect of </w:t>
      </w:r>
      <w:r>
        <w:rPr>
          <w:rFonts w:ascii="Arial" w:cs="Arial" w:eastAsia="Arial" w:hAnsi="Arial"/>
          <w:sz w:val="18"/>
          <w:szCs w:val="18"/>
          <w:i w:val="1"/>
          <w:iCs w:val="1"/>
          <w:color w:val="auto"/>
        </w:rPr>
        <w:t>Exhibit L</w:t>
      </w:r>
      <w:r>
        <w:rPr>
          <w:rFonts w:ascii="Arial" w:cs="Arial" w:eastAsia="Arial" w:hAnsi="Arial"/>
          <w:sz w:val="18"/>
          <w:szCs w:val="18"/>
          <w:color w:val="auto"/>
        </w:rPr>
        <w:t>.”</w:t>
      </w:r>
    </w:p>
    <w:p>
      <w:pPr>
        <w:spacing w:after="0" w:line="180" w:lineRule="exact"/>
        <w:rPr>
          <w:sz w:val="20"/>
          <w:szCs w:val="20"/>
          <w:color w:val="auto"/>
        </w:rPr>
      </w:pPr>
    </w:p>
    <w:p>
      <w:pPr>
        <w:ind w:right="20" w:firstLine="648"/>
        <w:spacing w:after="0" w:line="312" w:lineRule="auto"/>
        <w:rPr>
          <w:sz w:val="20"/>
          <w:szCs w:val="20"/>
          <w:color w:val="auto"/>
        </w:rPr>
      </w:pPr>
      <w:r>
        <w:rPr>
          <w:rFonts w:ascii="Arial" w:cs="Arial" w:eastAsia="Arial" w:hAnsi="Arial"/>
          <w:sz w:val="17"/>
          <w:szCs w:val="17"/>
          <w:b w:val="1"/>
          <w:bCs w:val="1"/>
          <w:color w:val="auto"/>
        </w:rPr>
        <w:t xml:space="preserve">2.32 </w:t>
      </w:r>
      <w:r>
        <w:rPr>
          <w:rFonts w:ascii="Arial" w:cs="Arial" w:eastAsia="Arial" w:hAnsi="Arial"/>
          <w:sz w:val="17"/>
          <w:szCs w:val="17"/>
          <w:color w:val="auto"/>
        </w:rPr>
        <w:t>Section 5.06 of the MIPA is hereby amended by deleting the words “During the Interim Period” in the first and second sentence thereof and</w:t>
      </w:r>
      <w:r>
        <w:rPr>
          <w:rFonts w:ascii="Arial" w:cs="Arial" w:eastAsia="Arial" w:hAnsi="Arial"/>
          <w:sz w:val="17"/>
          <w:szCs w:val="17"/>
          <w:b w:val="1"/>
          <w:bCs w:val="1"/>
          <w:color w:val="auto"/>
        </w:rPr>
        <w:t xml:space="preserve"> </w:t>
      </w:r>
      <w:r>
        <w:rPr>
          <w:rFonts w:ascii="Arial" w:cs="Arial" w:eastAsia="Arial" w:hAnsi="Arial"/>
          <w:sz w:val="17"/>
          <w:szCs w:val="17"/>
          <w:color w:val="auto"/>
        </w:rPr>
        <w:t>replacing them with the following: “From the Execution Date until the earlier of the termination of this Agreement or the Second Closing”.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tabs>
          <w:tab w:leader="none" w:pos="50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color w:val="auto"/>
        </w:rPr>
        <w:t>Section 5.10 of the MIPA is hereby deleted and replaced with “[Reserved]”.</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color w:val="auto"/>
        </w:rPr>
        <w:t>Section 6.01 of the MIPA is hereby amended by adding the following clauses (c) and (d):</w:t>
      </w:r>
    </w:p>
    <w:p>
      <w:pPr>
        <w:spacing w:after="0" w:line="229"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“(c) any payment obligations of the Class B Member under Section 11.1(a)(x) of the limited liability company agreement of TE Holdco or (d) any payment obligations under the Tax Equity Guaranty above the Guaranty Cap (as defined in the Tax Equity Guaranty) resulting from fraud, gross negligence or willful misconduct of Apex Clean Energy Holdings, LLC or any of its affiliates.”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color w:val="auto"/>
        </w:rPr>
        <w:t>Section 6.03 of the MIPA is hereby deleted in its entirety and replaced with the following:</w:t>
      </w:r>
    </w:p>
    <w:p>
      <w:pPr>
        <w:spacing w:after="0" w:line="225" w:lineRule="exact"/>
        <w:rPr>
          <w:sz w:val="20"/>
          <w:szCs w:val="20"/>
          <w:color w:val="auto"/>
        </w:rPr>
      </w:pPr>
    </w:p>
    <w:p>
      <w:pPr>
        <w:jc w:val="both"/>
        <w:ind w:left="6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6.03</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Survival of Representations, Warranties, Covenants and Agreements</w:t>
      </w:r>
      <w:r>
        <w:rPr>
          <w:rFonts w:ascii="Arial" w:cs="Arial" w:eastAsia="Arial" w:hAnsi="Arial"/>
          <w:sz w:val="16"/>
          <w:szCs w:val="16"/>
          <w:color w:val="auto"/>
        </w:rPr>
        <w:t xml:space="preserve">. The representations, warranties, covenants, agreements and obligations of Seller and Purchaser contained in this Agreement are material, were relied on by such Parties, and will survive the Closing Date and the Second Closing Date as provided in this </w:t>
      </w:r>
      <w:r>
        <w:rPr>
          <w:rFonts w:ascii="Arial" w:cs="Arial" w:eastAsia="Arial" w:hAnsi="Arial"/>
          <w:sz w:val="16"/>
          <w:szCs w:val="16"/>
          <w:i w:val="1"/>
          <w:iCs w:val="1"/>
          <w:color w:val="auto"/>
        </w:rPr>
        <w:t>Section 6.03</w:t>
      </w:r>
      <w:r>
        <w:rPr>
          <w:rFonts w:ascii="Arial" w:cs="Arial" w:eastAsia="Arial" w:hAnsi="Arial"/>
          <w:sz w:val="16"/>
          <w:szCs w:val="16"/>
          <w:color w:val="auto"/>
        </w:rPr>
        <w:t xml:space="preserve">. Subject to the limitations and other provisions of this Agreement: (a) the representations and warranties contained herein and made as of the Execution Date or the Closing Date shall survive the Closing for twelve (12) months after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t>
      </w:r>
      <w:r>
        <w:rPr>
          <w:rFonts w:ascii="Arial" w:cs="Arial" w:eastAsia="Arial" w:hAnsi="Arial"/>
          <w:sz w:val="16"/>
          <w:szCs w:val="16"/>
          <w:i w:val="1"/>
          <w:iCs w:val="1"/>
          <w:color w:val="auto"/>
        </w:rPr>
        <w:t>i</w:t>
      </w:r>
      <w:r>
        <w:rPr>
          <w:rFonts w:ascii="Arial" w:cs="Arial" w:eastAsia="Arial" w:hAnsi="Arial"/>
          <w:sz w:val="16"/>
          <w:szCs w:val="16"/>
          <w:color w:val="auto"/>
        </w:rPr>
        <w:t xml:space="preserve">) the representations and warranties contained in </w:t>
      </w:r>
      <w:r>
        <w:rPr>
          <w:rFonts w:ascii="Arial" w:cs="Arial" w:eastAsia="Arial" w:hAnsi="Arial"/>
          <w:sz w:val="16"/>
          <w:szCs w:val="16"/>
          <w:i w:val="1"/>
          <w:iCs w:val="1"/>
          <w:color w:val="auto"/>
        </w:rPr>
        <w:t xml:space="preserve">Section 3.01(a) </w:t>
      </w:r>
      <w:r>
        <w:rPr>
          <w:rFonts w:ascii="Arial" w:cs="Arial" w:eastAsia="Arial" w:hAnsi="Arial"/>
          <w:sz w:val="16"/>
          <w:szCs w:val="16"/>
          <w:color w:val="auto"/>
        </w:rPr>
        <w:t>(Existence),</w:t>
      </w:r>
      <w:r>
        <w:rPr>
          <w:rFonts w:ascii="Arial" w:cs="Arial" w:eastAsia="Arial" w:hAnsi="Arial"/>
          <w:sz w:val="16"/>
          <w:szCs w:val="16"/>
          <w:i w:val="1"/>
          <w:iCs w:val="1"/>
          <w:color w:val="auto"/>
        </w:rPr>
        <w:t xml:space="preserve"> Section 3.01(b) </w:t>
      </w:r>
      <w:r>
        <w:rPr>
          <w:rFonts w:ascii="Arial" w:cs="Arial" w:eastAsia="Arial" w:hAnsi="Arial"/>
          <w:sz w:val="16"/>
          <w:szCs w:val="16"/>
          <w:color w:val="auto"/>
        </w:rPr>
        <w:t>(Authority),</w:t>
      </w:r>
      <w:r>
        <w:rPr>
          <w:rFonts w:ascii="Arial" w:cs="Arial" w:eastAsia="Arial" w:hAnsi="Arial"/>
          <w:sz w:val="16"/>
          <w:szCs w:val="16"/>
          <w:i w:val="1"/>
          <w:iCs w:val="1"/>
          <w:color w:val="auto"/>
        </w:rPr>
        <w:t xml:space="preserve"> Section 3.01(g) </w:t>
      </w:r>
      <w:r>
        <w:rPr>
          <w:rFonts w:ascii="Arial" w:cs="Arial" w:eastAsia="Arial" w:hAnsi="Arial"/>
          <w:sz w:val="16"/>
          <w:szCs w:val="16"/>
          <w:color w:val="auto"/>
        </w:rPr>
        <w:t>(Brokers) and</w:t>
      </w:r>
      <w:r>
        <w:rPr>
          <w:rFonts w:ascii="Arial" w:cs="Arial" w:eastAsia="Arial" w:hAnsi="Arial"/>
          <w:sz w:val="16"/>
          <w:szCs w:val="16"/>
          <w:i w:val="1"/>
          <w:iCs w:val="1"/>
          <w:color w:val="auto"/>
        </w:rPr>
        <w:t xml:space="preserve"> Sections 3.01(i)(i)</w:t>
      </w:r>
      <w:r>
        <w:rPr>
          <w:rFonts w:ascii="Arial" w:cs="Arial" w:eastAsia="Arial" w:hAnsi="Arial"/>
          <w:sz w:val="16"/>
          <w:szCs w:val="16"/>
          <w:color w:val="auto"/>
        </w:rPr>
        <w:t>,</w:t>
      </w:r>
      <w:r>
        <w:rPr>
          <w:rFonts w:ascii="Arial" w:cs="Arial" w:eastAsia="Arial" w:hAnsi="Arial"/>
          <w:sz w:val="16"/>
          <w:szCs w:val="16"/>
          <w:i w:val="1"/>
          <w:iCs w:val="1"/>
          <w:color w:val="auto"/>
        </w:rPr>
        <w:t xml:space="preserve"> (ii), (v) and (ix) </w:t>
      </w:r>
      <w:r>
        <w:rPr>
          <w:rFonts w:ascii="Arial" w:cs="Arial" w:eastAsia="Arial" w:hAnsi="Arial"/>
          <w:sz w:val="16"/>
          <w:szCs w:val="16"/>
          <w:color w:val="auto"/>
        </w:rPr>
        <w:t>(Company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Mesquite Sky Entities) given on the Closing Date (collectively, the “</w:t>
      </w:r>
      <w:r>
        <w:rPr>
          <w:rFonts w:ascii="Arial" w:cs="Arial" w:eastAsia="Arial" w:hAnsi="Arial"/>
          <w:sz w:val="16"/>
          <w:szCs w:val="16"/>
          <w:i w:val="1"/>
          <w:iCs w:val="1"/>
          <w:color w:val="auto"/>
        </w:rPr>
        <w:t>Seller Closing Date Fundamental Representations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Section 3.02(a) </w:t>
      </w:r>
      <w:r>
        <w:rPr>
          <w:rFonts w:ascii="Arial" w:cs="Arial" w:eastAsia="Arial" w:hAnsi="Arial"/>
          <w:sz w:val="16"/>
          <w:szCs w:val="16"/>
          <w:color w:val="auto"/>
        </w:rPr>
        <w:t>(Existence),</w:t>
      </w:r>
      <w:r>
        <w:rPr>
          <w:rFonts w:ascii="Arial" w:cs="Arial" w:eastAsia="Arial" w:hAnsi="Arial"/>
          <w:sz w:val="16"/>
          <w:szCs w:val="16"/>
          <w:i w:val="1"/>
          <w:iCs w:val="1"/>
          <w:color w:val="auto"/>
        </w:rPr>
        <w:t xml:space="preserve"> Section 3.02(b) </w:t>
      </w:r>
      <w:r>
        <w:rPr>
          <w:rFonts w:ascii="Arial" w:cs="Arial" w:eastAsia="Arial" w:hAnsi="Arial"/>
          <w:sz w:val="16"/>
          <w:szCs w:val="16"/>
          <w:color w:val="auto"/>
        </w:rPr>
        <w:t>(Authority) and</w:t>
      </w:r>
      <w:r>
        <w:rPr>
          <w:rFonts w:ascii="Arial" w:cs="Arial" w:eastAsia="Arial" w:hAnsi="Arial"/>
          <w:sz w:val="16"/>
          <w:szCs w:val="16"/>
          <w:i w:val="1"/>
          <w:iCs w:val="1"/>
          <w:color w:val="auto"/>
        </w:rPr>
        <w:t xml:space="preserve"> Section 3.02(h) </w:t>
      </w:r>
      <w:r>
        <w:rPr>
          <w:rFonts w:ascii="Arial" w:cs="Arial" w:eastAsia="Arial" w:hAnsi="Arial"/>
          <w:sz w:val="16"/>
          <w:szCs w:val="16"/>
          <w:color w:val="auto"/>
        </w:rPr>
        <w:t>(Brokers) shall survive the Closing for five (5) years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and (</w:t>
      </w:r>
      <w:r>
        <w:rPr>
          <w:rFonts w:ascii="Arial" w:cs="Arial" w:eastAsia="Arial" w:hAnsi="Arial"/>
          <w:sz w:val="16"/>
          <w:szCs w:val="16"/>
          <w:i w:val="1"/>
          <w:iCs w:val="1"/>
          <w:color w:val="auto"/>
        </w:rPr>
        <w:t>ii</w:t>
      </w:r>
      <w:r>
        <w:rPr>
          <w:rFonts w:ascii="Arial" w:cs="Arial" w:eastAsia="Arial" w:hAnsi="Arial"/>
          <w:sz w:val="16"/>
          <w:szCs w:val="16"/>
          <w:color w:val="auto"/>
        </w:rPr>
        <w:t xml:space="preserve">) the representations and warranties in </w:t>
      </w:r>
      <w:r>
        <w:rPr>
          <w:rFonts w:ascii="Arial" w:cs="Arial" w:eastAsia="Arial" w:hAnsi="Arial"/>
          <w:sz w:val="16"/>
          <w:szCs w:val="16"/>
          <w:i w:val="1"/>
          <w:iCs w:val="1"/>
          <w:color w:val="auto"/>
        </w:rPr>
        <w:t>Section 3.01(k)</w:t>
      </w:r>
      <w:r>
        <w:rPr>
          <w:rFonts w:ascii="Arial" w:cs="Arial" w:eastAsia="Arial" w:hAnsi="Arial"/>
          <w:sz w:val="16"/>
          <w:szCs w:val="16"/>
          <w:color w:val="auto"/>
        </w:rPr>
        <w:t xml:space="preserve"> (Taxes) shall survive the Closing until thirty (30) days after the expiration of the applicable Tax statute of limitations; and (b) the representations and warranties contained herein and made as of the Second Closing Date shall survive the Second Closing for twelve (12) months after the Second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representations and warranties contained in </w:t>
      </w:r>
      <w:r>
        <w:rPr>
          <w:rFonts w:ascii="Arial" w:cs="Arial" w:eastAsia="Arial" w:hAnsi="Arial"/>
          <w:sz w:val="16"/>
          <w:szCs w:val="16"/>
          <w:i w:val="1"/>
          <w:iCs w:val="1"/>
          <w:color w:val="auto"/>
        </w:rPr>
        <w:t>Section 3.01(a)</w:t>
      </w:r>
      <w:r>
        <w:rPr>
          <w:rFonts w:ascii="Arial" w:cs="Arial" w:eastAsia="Arial" w:hAnsi="Arial"/>
          <w:sz w:val="16"/>
          <w:szCs w:val="16"/>
          <w:color w:val="auto"/>
        </w:rPr>
        <w:t xml:space="preserve"> (Existence), </w:t>
      </w:r>
      <w:r>
        <w:rPr>
          <w:rFonts w:ascii="Arial" w:cs="Arial" w:eastAsia="Arial" w:hAnsi="Arial"/>
          <w:sz w:val="16"/>
          <w:szCs w:val="16"/>
          <w:i w:val="1"/>
          <w:iCs w:val="1"/>
          <w:color w:val="auto"/>
        </w:rPr>
        <w:t>Section 3.01(b)</w:t>
      </w:r>
      <w:r>
        <w:rPr>
          <w:rFonts w:ascii="Arial" w:cs="Arial" w:eastAsia="Arial" w:hAnsi="Arial"/>
          <w:sz w:val="16"/>
          <w:szCs w:val="16"/>
          <w:color w:val="auto"/>
        </w:rPr>
        <w:t xml:space="preserve"> (Authority), </w:t>
      </w:r>
      <w:r>
        <w:rPr>
          <w:rFonts w:ascii="Arial" w:cs="Arial" w:eastAsia="Arial" w:hAnsi="Arial"/>
          <w:sz w:val="16"/>
          <w:szCs w:val="16"/>
          <w:i w:val="1"/>
          <w:iCs w:val="1"/>
          <w:color w:val="auto"/>
        </w:rPr>
        <w:t>Section 3.01(g)</w:t>
      </w:r>
      <w:r>
        <w:rPr>
          <w:rFonts w:ascii="Arial" w:cs="Arial" w:eastAsia="Arial" w:hAnsi="Arial"/>
          <w:sz w:val="16"/>
          <w:szCs w:val="16"/>
          <w:color w:val="auto"/>
        </w:rPr>
        <w:t xml:space="preserve"> (Brokers), </w:t>
      </w:r>
      <w:r>
        <w:rPr>
          <w:rFonts w:ascii="Arial" w:cs="Arial" w:eastAsia="Arial" w:hAnsi="Arial"/>
          <w:sz w:val="16"/>
          <w:szCs w:val="16"/>
          <w:i w:val="1"/>
          <w:iCs w:val="1"/>
          <w:color w:val="auto"/>
        </w:rPr>
        <w:t>Sections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3.01(i)(x), 3.01(i)(xi) </w:t>
      </w:r>
      <w:r>
        <w:rPr>
          <w:rFonts w:ascii="Arial" w:cs="Arial" w:eastAsia="Arial" w:hAnsi="Arial"/>
          <w:sz w:val="16"/>
          <w:szCs w:val="16"/>
          <w:color w:val="auto"/>
        </w:rPr>
        <w:t>and</w:t>
      </w:r>
      <w:r>
        <w:rPr>
          <w:rFonts w:ascii="Arial" w:cs="Arial" w:eastAsia="Arial" w:hAnsi="Arial"/>
          <w:sz w:val="16"/>
          <w:szCs w:val="16"/>
          <w:i w:val="1"/>
          <w:iCs w:val="1"/>
          <w:color w:val="auto"/>
        </w:rPr>
        <w:t xml:space="preserve"> 3.01(i)(xii) </w:t>
      </w:r>
      <w:r>
        <w:rPr>
          <w:rFonts w:ascii="Arial" w:cs="Arial" w:eastAsia="Arial" w:hAnsi="Arial"/>
          <w:sz w:val="16"/>
          <w:szCs w:val="16"/>
          <w:color w:val="auto"/>
        </w:rPr>
        <w:t>(Company and Mesquite Sky Entities) given on the Second Closing Date (collectively, the “</w:t>
      </w:r>
      <w:r>
        <w:rPr>
          <w:rFonts w:ascii="Arial" w:cs="Arial" w:eastAsia="Arial" w:hAnsi="Arial"/>
          <w:sz w:val="16"/>
          <w:szCs w:val="16"/>
          <w:i w:val="1"/>
          <w:iCs w:val="1"/>
          <w:color w:val="auto"/>
        </w:rPr>
        <w:t>Seller Second Closing Date Fundamental Representations</w:t>
      </w:r>
      <w:r>
        <w:rPr>
          <w:rFonts w:ascii="Arial" w:cs="Arial" w:eastAsia="Arial" w:hAnsi="Arial"/>
          <w:sz w:val="16"/>
          <w:szCs w:val="16"/>
          <w:color w:val="auto"/>
        </w:rPr>
        <w:t>” and, together with the Seller Closing Date Fundamental Representations, the “</w:t>
      </w:r>
      <w:r>
        <w:rPr>
          <w:rFonts w:ascii="Arial" w:cs="Arial" w:eastAsia="Arial" w:hAnsi="Arial"/>
          <w:sz w:val="16"/>
          <w:szCs w:val="16"/>
          <w:i w:val="1"/>
          <w:iCs w:val="1"/>
          <w:color w:val="auto"/>
        </w:rPr>
        <w:t>Seller Fundamental Representations</w:t>
      </w:r>
      <w:r>
        <w:rPr>
          <w:rFonts w:ascii="Arial" w:cs="Arial" w:eastAsia="Arial" w:hAnsi="Arial"/>
          <w:sz w:val="16"/>
          <w:szCs w:val="16"/>
          <w:color w:val="auto"/>
        </w:rPr>
        <w:t>”) and</w:t>
      </w:r>
      <w:r>
        <w:rPr>
          <w:rFonts w:ascii="Arial" w:cs="Arial" w:eastAsia="Arial" w:hAnsi="Arial"/>
          <w:sz w:val="16"/>
          <w:szCs w:val="16"/>
          <w:i w:val="1"/>
          <w:iCs w:val="1"/>
          <w:color w:val="auto"/>
        </w:rPr>
        <w:t xml:space="preserve"> Section 3.02(a) </w:t>
      </w:r>
      <w:r>
        <w:rPr>
          <w:rFonts w:ascii="Arial" w:cs="Arial" w:eastAsia="Arial" w:hAnsi="Arial"/>
          <w:sz w:val="16"/>
          <w:szCs w:val="16"/>
          <w:color w:val="auto"/>
        </w:rPr>
        <w:t>(Existence) and</w:t>
      </w:r>
      <w:r>
        <w:rPr>
          <w:rFonts w:ascii="Arial" w:cs="Arial" w:eastAsia="Arial" w:hAnsi="Arial"/>
          <w:sz w:val="16"/>
          <w:szCs w:val="16"/>
          <w:i w:val="1"/>
          <w:iCs w:val="1"/>
          <w:color w:val="auto"/>
        </w:rPr>
        <w:t xml:space="preserve"> Section 3.02(b) </w:t>
      </w:r>
      <w:r>
        <w:rPr>
          <w:rFonts w:ascii="Arial" w:cs="Arial" w:eastAsia="Arial" w:hAnsi="Arial"/>
          <w:sz w:val="16"/>
          <w:szCs w:val="16"/>
          <w:color w:val="auto"/>
        </w:rPr>
        <w:t>(Authority) shall survive the Closing for five</w:t>
      </w:r>
    </w:p>
    <w:p>
      <w:pPr>
        <w:spacing w:after="0" w:line="4" w:lineRule="exact"/>
        <w:rPr>
          <w:sz w:val="20"/>
          <w:szCs w:val="20"/>
          <w:color w:val="auto"/>
        </w:rPr>
      </w:pPr>
    </w:p>
    <w:p>
      <w:pPr>
        <w:jc w:val="both"/>
        <w:ind w:left="640" w:firstLine="4"/>
        <w:spacing w:after="0" w:line="270" w:lineRule="auto"/>
        <w:tabs>
          <w:tab w:leader="none" w:pos="897"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years after the Second Closing Date. The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Arial" w:cs="Arial" w:eastAsia="Arial" w:hAnsi="Arial"/>
          <w:sz w:val="17"/>
          <w:szCs w:val="17"/>
          <w:i w:val="1"/>
          <w:iCs w:val="1"/>
          <w:color w:val="auto"/>
        </w:rPr>
        <w:t>Section 6.01</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6.02</w:t>
      </w:r>
      <w:r>
        <w:rPr>
          <w:rFonts w:ascii="Arial" w:cs="Arial" w:eastAsia="Arial" w:hAnsi="Arial"/>
          <w:sz w:val="17"/>
          <w:szCs w:val="17"/>
          <w:color w:val="auto"/>
        </w:rPr>
        <w:t xml:space="preserve"> a written notice of claim prior to the applicable survival expiration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written notice for a claim of indemnification has been provided by the Indemnified Party pursuant to</w:t>
      </w:r>
      <w:r>
        <w:rPr>
          <w:rFonts w:ascii="Arial" w:cs="Arial" w:eastAsia="Arial" w:hAnsi="Arial"/>
          <w:sz w:val="17"/>
          <w:szCs w:val="17"/>
          <w:i w:val="1"/>
          <w:iCs w:val="1"/>
          <w:color w:val="auto"/>
        </w:rPr>
        <w:t xml:space="preserve"> Section 6.04(a) </w:t>
      </w:r>
      <w:r>
        <w:rPr>
          <w:rFonts w:ascii="Arial" w:cs="Arial" w:eastAsia="Arial" w:hAnsi="Arial"/>
          <w:sz w:val="17"/>
          <w:szCs w:val="17"/>
          <w:color w:val="auto"/>
        </w:rPr>
        <w:t>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prior to the applicable survival expiration date, then the obligation of the Indemnifying Party to indemnify the Indemnified Party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shall survive with respect to such claim until such claim is finally resolved.”</w:t>
      </w: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ind w:firstLine="648"/>
        <w:spacing w:after="0" w:line="282"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Section 6.04 of the MIPA is hereby amended by replacing the references to “the Purchase Price” with references to “the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Price paid by Purchaser as of such date”.</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6"/>
          <w:szCs w:val="16"/>
          <w:color w:val="auto"/>
        </w:rPr>
        <w:t>Section 7.01 of the MIPA is hereby deleted in its entirety and replaced with the following: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7.01.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Termination</w:t>
      </w:r>
      <w:r>
        <w:rPr>
          <w:rFonts w:ascii="Arial" w:cs="Arial" w:eastAsia="Arial" w:hAnsi="Arial"/>
          <w:sz w:val="18"/>
          <w:szCs w:val="18"/>
          <w:b w:val="1"/>
          <w:bCs w:val="1"/>
          <w:color w:val="auto"/>
        </w:rPr>
        <w:t>.</w:t>
      </w:r>
    </w:p>
    <w:p>
      <w:pPr>
        <w:spacing w:after="0" w:line="229" w:lineRule="exact"/>
        <w:rPr>
          <w:sz w:val="20"/>
          <w:szCs w:val="20"/>
          <w:color w:val="auto"/>
        </w:rPr>
      </w:pPr>
    </w:p>
    <w:p>
      <w:pPr>
        <w:ind w:left="2420" w:hanging="468"/>
        <w:spacing w:after="0"/>
        <w:tabs>
          <w:tab w:leader="none" w:pos="2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Agreement may be terminated at any time prior to the Closing Date as follows:</w:t>
      </w:r>
    </w:p>
    <w:p>
      <w:pPr>
        <w:spacing w:after="0" w:line="225" w:lineRule="exact"/>
        <w:rPr>
          <w:rFonts w:ascii="Arial" w:cs="Arial" w:eastAsia="Arial" w:hAnsi="Arial"/>
          <w:sz w:val="18"/>
          <w:szCs w:val="18"/>
          <w:color w:val="auto"/>
        </w:rPr>
      </w:pPr>
    </w:p>
    <w:p>
      <w:pPr>
        <w:ind w:left="3040" w:hanging="440"/>
        <w:spacing w:after="0"/>
        <w:tabs>
          <w:tab w:leader="none" w:pos="3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by mutual written consent of Seller and Purchaser;</w:t>
      </w:r>
    </w:p>
    <w:p>
      <w:pPr>
        <w:spacing w:after="0" w:line="225" w:lineRule="exact"/>
        <w:rPr>
          <w:rFonts w:ascii="Arial" w:cs="Arial" w:eastAsia="Arial" w:hAnsi="Arial"/>
          <w:sz w:val="18"/>
          <w:szCs w:val="18"/>
          <w:color w:val="auto"/>
        </w:rPr>
      </w:pPr>
    </w:p>
    <w:p>
      <w:pPr>
        <w:ind w:left="1300" w:firstLine="1300"/>
        <w:spacing w:after="0" w:line="277" w:lineRule="auto"/>
        <w:tabs>
          <w:tab w:leader="none" w:pos="3086" w:val="left"/>
        </w:tabs>
        <w:numPr>
          <w:ilvl w:val="1"/>
          <w:numId w:val="20"/>
        </w:numPr>
        <w:rPr>
          <w:rFonts w:ascii="Arial" w:cs="Arial" w:eastAsia="Arial" w:hAnsi="Arial"/>
          <w:sz w:val="18"/>
          <w:szCs w:val="18"/>
          <w:color w:val="auto"/>
        </w:rPr>
      </w:pPr>
      <w:r>
        <w:rPr>
          <w:rFonts w:ascii="Arial" w:cs="Arial" w:eastAsia="Arial" w:hAnsi="Arial"/>
          <w:sz w:val="18"/>
          <w:szCs w:val="18"/>
          <w:color w:val="auto"/>
        </w:rPr>
        <w:t>by either Party if the Closing has not occurred on or before March 31, 2022 (the “</w:t>
      </w:r>
      <w:r>
        <w:rPr>
          <w:rFonts w:ascii="Arial" w:cs="Arial" w:eastAsia="Arial" w:hAnsi="Arial"/>
          <w:sz w:val="18"/>
          <w:szCs w:val="18"/>
          <w:i w:val="1"/>
          <w:iCs w:val="1"/>
          <w:color w:val="auto"/>
        </w:rPr>
        <w:t>Outside Date</w:t>
      </w:r>
      <w:r>
        <w:rPr>
          <w:rFonts w:ascii="Arial" w:cs="Arial" w:eastAsia="Arial" w:hAnsi="Arial"/>
          <w:sz w:val="18"/>
          <w:szCs w:val="18"/>
          <w:color w:val="auto"/>
        </w:rPr>
        <w:t>”), and the failure to reach the Closing Date was not caused by a breach of this Agreement by the terminating Party;</w:t>
      </w:r>
    </w:p>
    <w:p>
      <w:pPr>
        <w:spacing w:after="0" w:line="170" w:lineRule="exact"/>
        <w:rPr>
          <w:rFonts w:ascii="Arial" w:cs="Arial" w:eastAsia="Arial" w:hAnsi="Arial"/>
          <w:sz w:val="18"/>
          <w:szCs w:val="18"/>
          <w:color w:val="auto"/>
        </w:rPr>
      </w:pPr>
    </w:p>
    <w:p>
      <w:pPr>
        <w:jc w:val="both"/>
        <w:ind w:left="1300" w:firstLine="1300"/>
        <w:spacing w:after="0" w:line="255" w:lineRule="auto"/>
        <w:tabs>
          <w:tab w:leader="none" w:pos="3136" w:val="left"/>
        </w:tabs>
        <w:numPr>
          <w:ilvl w:val="1"/>
          <w:numId w:val="20"/>
        </w:numPr>
        <w:rPr>
          <w:rFonts w:ascii="Arial" w:cs="Arial" w:eastAsia="Arial" w:hAnsi="Arial"/>
          <w:sz w:val="18"/>
          <w:szCs w:val="18"/>
          <w:color w:val="auto"/>
        </w:rPr>
      </w:pPr>
      <w:r>
        <w:rPr>
          <w:rFonts w:ascii="Arial" w:cs="Arial" w:eastAsia="Arial" w:hAnsi="Arial"/>
          <w:sz w:val="18"/>
          <w:szCs w:val="18"/>
          <w:color w:val="auto"/>
        </w:rPr>
        <w:t>by Purchaser if there has been a breach by Seller of any representation, warranty, covenant or agreement contained in this Agreement that (</w:t>
      </w:r>
      <w:r>
        <w:rPr>
          <w:rFonts w:ascii="Arial" w:cs="Arial" w:eastAsia="Arial" w:hAnsi="Arial"/>
          <w:sz w:val="18"/>
          <w:szCs w:val="18"/>
          <w:i w:val="1"/>
          <w:iCs w:val="1"/>
          <w:color w:val="auto"/>
        </w:rPr>
        <w:t>i</w:t>
      </w:r>
      <w:r>
        <w:rPr>
          <w:rFonts w:ascii="Arial" w:cs="Arial" w:eastAsia="Arial" w:hAnsi="Arial"/>
          <w:sz w:val="18"/>
          <w:szCs w:val="18"/>
          <w:color w:val="auto"/>
        </w:rPr>
        <w:t xml:space="preserve">) would result in a failure of a condition set forth in </w:t>
      </w:r>
      <w:r>
        <w:rPr>
          <w:rFonts w:ascii="Arial" w:cs="Arial" w:eastAsia="Arial" w:hAnsi="Arial"/>
          <w:sz w:val="18"/>
          <w:szCs w:val="18"/>
          <w:i w:val="1"/>
          <w:iCs w:val="1"/>
          <w:color w:val="auto"/>
        </w:rPr>
        <w:t>Section 4.01</w:t>
      </w:r>
      <w:r>
        <w:rPr>
          <w:rFonts w:ascii="Arial" w:cs="Arial" w:eastAsia="Arial" w:hAnsi="Arial"/>
          <w:sz w:val="18"/>
          <w:szCs w:val="18"/>
          <w:color w:val="auto"/>
        </w:rPr>
        <w:t>, as applicable, and (</w:t>
      </w:r>
      <w:r>
        <w:rPr>
          <w:rFonts w:ascii="Arial" w:cs="Arial" w:eastAsia="Arial" w:hAnsi="Arial"/>
          <w:sz w:val="18"/>
          <w:szCs w:val="18"/>
          <w:i w:val="1"/>
          <w:iCs w:val="1"/>
          <w:color w:val="auto"/>
        </w:rPr>
        <w:t>ii</w:t>
      </w:r>
      <w:r>
        <w:rPr>
          <w:rFonts w:ascii="Arial" w:cs="Arial" w:eastAsia="Arial" w:hAnsi="Arial"/>
          <w:sz w:val="18"/>
          <w:szCs w:val="18"/>
          <w:color w:val="auto"/>
        </w:rPr>
        <w:t xml:space="preserve">) either (x) is a breach of Seller’s obligations to transfer the Acquired Interests at Closing in accordance with this Agreement or (y) such breach has not been cured, or by its nature cannot be cured, within thirty (30) days following written notification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at the end of such thirty (30) day period, Seller is endeavoring in good faith, and proceeding diligently, to cure such breach, Seller shall have an additional thirty (30) days in which to effect such cure;</w:t>
      </w:r>
    </w:p>
    <w:p>
      <w:pPr>
        <w:spacing w:after="0" w:line="192" w:lineRule="exact"/>
        <w:rPr>
          <w:rFonts w:ascii="Arial" w:cs="Arial" w:eastAsia="Arial" w:hAnsi="Arial"/>
          <w:sz w:val="18"/>
          <w:szCs w:val="18"/>
          <w:color w:val="auto"/>
        </w:rPr>
      </w:pPr>
    </w:p>
    <w:p>
      <w:pPr>
        <w:jc w:val="both"/>
        <w:ind w:left="1300" w:firstLine="1300"/>
        <w:spacing w:after="0" w:line="275" w:lineRule="auto"/>
        <w:tabs>
          <w:tab w:leader="none" w:pos="3125" w:val="left"/>
        </w:tabs>
        <w:numPr>
          <w:ilvl w:val="1"/>
          <w:numId w:val="20"/>
        </w:numPr>
        <w:rPr>
          <w:rFonts w:ascii="Arial" w:cs="Arial" w:eastAsia="Arial" w:hAnsi="Arial"/>
          <w:sz w:val="17"/>
          <w:szCs w:val="17"/>
          <w:color w:val="auto"/>
        </w:rPr>
      </w:pPr>
      <w:r>
        <w:rPr>
          <w:rFonts w:ascii="Arial" w:cs="Arial" w:eastAsia="Arial" w:hAnsi="Arial"/>
          <w:sz w:val="17"/>
          <w:szCs w:val="17"/>
          <w:color w:val="auto"/>
        </w:rPr>
        <w:t>by Seller if there has been a breach by Purchaser of any representation, warranty, covenant or agreement contained in this Agreement that (</w:t>
      </w:r>
      <w:r>
        <w:rPr>
          <w:rFonts w:ascii="Arial" w:cs="Arial" w:eastAsia="Arial" w:hAnsi="Arial"/>
          <w:sz w:val="17"/>
          <w:szCs w:val="17"/>
          <w:i w:val="1"/>
          <w:iCs w:val="1"/>
          <w:color w:val="auto"/>
        </w:rPr>
        <w:t>i</w:t>
      </w:r>
      <w:r>
        <w:rPr>
          <w:rFonts w:ascii="Arial" w:cs="Arial" w:eastAsia="Arial" w:hAnsi="Arial"/>
          <w:sz w:val="17"/>
          <w:szCs w:val="17"/>
          <w:color w:val="auto"/>
        </w:rPr>
        <w:t xml:space="preserve">) would result in a failure of a condition set forth in </w:t>
      </w:r>
      <w:r>
        <w:rPr>
          <w:rFonts w:ascii="Arial" w:cs="Arial" w:eastAsia="Arial" w:hAnsi="Arial"/>
          <w:sz w:val="17"/>
          <w:szCs w:val="17"/>
          <w:i w:val="1"/>
          <w:iCs w:val="1"/>
          <w:color w:val="auto"/>
        </w:rPr>
        <w:t>Section 4.01</w:t>
      </w:r>
      <w:r>
        <w:rPr>
          <w:rFonts w:ascii="Arial" w:cs="Arial" w:eastAsia="Arial" w:hAnsi="Arial"/>
          <w:sz w:val="17"/>
          <w:szCs w:val="17"/>
          <w:color w:val="auto"/>
        </w:rPr>
        <w:t>, as applicable, and (</w:t>
      </w:r>
      <w:r>
        <w:rPr>
          <w:rFonts w:ascii="Arial" w:cs="Arial" w:eastAsia="Arial" w:hAnsi="Arial"/>
          <w:sz w:val="17"/>
          <w:szCs w:val="17"/>
          <w:i w:val="1"/>
          <w:iCs w:val="1"/>
          <w:color w:val="auto"/>
        </w:rPr>
        <w:t>ii</w:t>
      </w:r>
      <w:r>
        <w:rPr>
          <w:rFonts w:ascii="Arial" w:cs="Arial" w:eastAsia="Arial" w:hAnsi="Arial"/>
          <w:sz w:val="17"/>
          <w:szCs w:val="17"/>
          <w:color w:val="auto"/>
        </w:rPr>
        <w:t xml:space="preserve">) such breach has not been cured, or by its nature cannot be cured, within 30 days following written notification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at the end of such thirty (30) day period, Purchaser is endeavoring in good faith, and proceeding diligently, to cure such breach, Purchaser shall have an additional thirty (30) days in which to effect such cure; and</w:t>
      </w:r>
    </w:p>
    <w:p>
      <w:pPr>
        <w:spacing w:after="0" w:line="176" w:lineRule="exact"/>
        <w:rPr>
          <w:rFonts w:ascii="Arial" w:cs="Arial" w:eastAsia="Arial" w:hAnsi="Arial"/>
          <w:sz w:val="17"/>
          <w:szCs w:val="17"/>
          <w:color w:val="auto"/>
        </w:rPr>
      </w:pPr>
    </w:p>
    <w:p>
      <w:pPr>
        <w:jc w:val="both"/>
        <w:ind w:left="1300" w:right="20" w:firstLine="1300"/>
        <w:spacing w:after="0" w:line="263" w:lineRule="auto"/>
        <w:tabs>
          <w:tab w:leader="none" w:pos="3075"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by Purchaser if there has been a breach by Seller of its covenant in </w:t>
      </w:r>
      <w:r>
        <w:rPr>
          <w:rFonts w:ascii="Arial" w:cs="Arial" w:eastAsia="Arial" w:hAnsi="Arial"/>
          <w:sz w:val="18"/>
          <w:szCs w:val="18"/>
          <w:i w:val="1"/>
          <w:iCs w:val="1"/>
          <w:color w:val="auto"/>
        </w:rPr>
        <w:t>Section 5.12(a)</w:t>
      </w:r>
      <w:r>
        <w:rPr>
          <w:rFonts w:ascii="Arial" w:cs="Arial" w:eastAsia="Arial" w:hAnsi="Arial"/>
          <w:sz w:val="18"/>
          <w:szCs w:val="18"/>
          <w:color w:val="auto"/>
        </w:rPr>
        <w:t xml:space="preserve"> with respect to the Financing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breach was not caused by a breach by Purchaser of the terms and conditions with respect to its granting of consent under </w:t>
      </w:r>
      <w:r>
        <w:rPr>
          <w:rFonts w:ascii="Arial" w:cs="Arial" w:eastAsia="Arial" w:hAnsi="Arial"/>
          <w:sz w:val="18"/>
          <w:szCs w:val="18"/>
          <w:i w:val="1"/>
          <w:iCs w:val="1"/>
          <w:color w:val="auto"/>
        </w:rPr>
        <w:t>Section 5.12(a),</w:t>
      </w:r>
      <w:r>
        <w:rPr>
          <w:rFonts w:ascii="Arial" w:cs="Arial" w:eastAsia="Arial" w:hAnsi="Arial"/>
          <w:sz w:val="18"/>
          <w:szCs w:val="18"/>
          <w:color w:val="auto"/>
        </w:rPr>
        <w:t xml:space="preserve"> as applicable.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1300" w:firstLine="652"/>
        <w:spacing w:after="0" w:line="263" w:lineRule="auto"/>
        <w:tabs>
          <w:tab w:leader="none" w:pos="24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Agreement may be terminated, solely with respect to Purchaser’s obligations to purchase the Class A Interests from Seller for the Class A Purchase Price and subsequently contribute such Class A Interests to the Master JV HoldCo, at any time prior to the Second Closing Date as follows:</w:t>
      </w:r>
    </w:p>
    <w:p>
      <w:pPr>
        <w:spacing w:after="0" w:line="183" w:lineRule="exact"/>
        <w:rPr>
          <w:rFonts w:ascii="Arial" w:cs="Arial" w:eastAsia="Arial" w:hAnsi="Arial"/>
          <w:sz w:val="18"/>
          <w:szCs w:val="18"/>
          <w:color w:val="auto"/>
        </w:rPr>
      </w:pPr>
    </w:p>
    <w:p>
      <w:pPr>
        <w:ind w:left="1300" w:firstLine="1300"/>
        <w:spacing w:after="0" w:line="277" w:lineRule="auto"/>
        <w:tabs>
          <w:tab w:leader="none" w:pos="3036" w:val="left"/>
        </w:tabs>
        <w:numPr>
          <w:ilvl w:val="1"/>
          <w:numId w:val="21"/>
        </w:numPr>
        <w:rPr>
          <w:rFonts w:ascii="Arial" w:cs="Arial" w:eastAsia="Arial" w:hAnsi="Arial"/>
          <w:sz w:val="18"/>
          <w:szCs w:val="18"/>
          <w:color w:val="auto"/>
        </w:rPr>
      </w:pPr>
      <w:r>
        <w:rPr>
          <w:rFonts w:ascii="Arial" w:cs="Arial" w:eastAsia="Arial" w:hAnsi="Arial"/>
          <w:sz w:val="18"/>
          <w:szCs w:val="18"/>
          <w:color w:val="auto"/>
        </w:rPr>
        <w:t>by either Party if the Closing has not occurred on or before Outside Date, and the failure to reach the Closing Date was not caused by a breach of this Agreement by the terminating Party.</w:t>
      </w:r>
    </w:p>
    <w:p>
      <w:pPr>
        <w:spacing w:after="0" w:line="16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7"/>
          <w:szCs w:val="17"/>
          <w:color w:val="auto"/>
        </w:rPr>
        <w:t>Section  7.02  of  the  MIPA  is  hereby  amended  to  insert  the  following  as  a  new  Section  7.02(b)  and  renumber  the  existing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7.02(b) accordingly:</w:t>
      </w:r>
    </w:p>
    <w:p>
      <w:pPr>
        <w:spacing w:after="0" w:line="211"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 xml:space="preserve">“(b) If Purchaser’s obligations to purchase the Class A Interests from Seller for the Class A Purchase Price and subsequently contribute such Class A Interests to the Master JV HoldCo are validly terminated pursuant to </w:t>
      </w:r>
      <w:r>
        <w:rPr>
          <w:rFonts w:ascii="Arial" w:cs="Arial" w:eastAsia="Arial" w:hAnsi="Arial"/>
          <w:sz w:val="18"/>
          <w:szCs w:val="18"/>
          <w:i w:val="1"/>
          <w:iCs w:val="1"/>
          <w:color w:val="auto"/>
        </w:rPr>
        <w:t>Section 7.01(b)</w:t>
      </w:r>
      <w:r>
        <w:rPr>
          <w:rFonts w:ascii="Arial" w:cs="Arial" w:eastAsia="Arial" w:hAnsi="Arial"/>
          <w:sz w:val="18"/>
          <w:szCs w:val="18"/>
          <w:color w:val="auto"/>
        </w:rPr>
        <w:t xml:space="preserve">, such obligations will forthwith become null and void, and there will be no liability or obligation on the part of either Purchaser or Seller (or any of their respective Representatives or Affiliates) in respect of such obligations, except that the applicable portions of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and the entirety of </w:t>
      </w:r>
      <w:r>
        <w:rPr>
          <w:rFonts w:ascii="Arial" w:cs="Arial" w:eastAsia="Arial" w:hAnsi="Arial"/>
          <w:sz w:val="18"/>
          <w:szCs w:val="18"/>
          <w:i w:val="1"/>
          <w:iCs w:val="1"/>
          <w:color w:val="auto"/>
        </w:rPr>
        <w:t xml:space="preserve">Article 6 </w:t>
      </w:r>
      <w:r>
        <w:rPr>
          <w:rFonts w:ascii="Arial" w:cs="Arial" w:eastAsia="Arial" w:hAnsi="Arial"/>
          <w:sz w:val="18"/>
          <w:szCs w:val="18"/>
          <w:color w:val="auto"/>
        </w:rPr>
        <w:t>and</w:t>
      </w:r>
      <w:r>
        <w:rPr>
          <w:rFonts w:ascii="Arial" w:cs="Arial" w:eastAsia="Arial" w:hAnsi="Arial"/>
          <w:sz w:val="18"/>
          <w:szCs w:val="18"/>
          <w:i w:val="1"/>
          <w:iCs w:val="1"/>
          <w:color w:val="auto"/>
        </w:rPr>
        <w:t xml:space="preserve"> Article 8 </w:t>
      </w:r>
      <w:r>
        <w:rPr>
          <w:rFonts w:ascii="Arial" w:cs="Arial" w:eastAsia="Arial" w:hAnsi="Arial"/>
          <w:sz w:val="18"/>
          <w:szCs w:val="18"/>
          <w:color w:val="auto"/>
        </w:rPr>
        <w:t>will continue to apply following any termination.”</w:t>
      </w:r>
    </w:p>
    <w:p>
      <w:pPr>
        <w:spacing w:after="0" w:line="18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2.39 </w:t>
      </w:r>
      <w:r>
        <w:rPr>
          <w:rFonts w:ascii="Arial" w:cs="Arial" w:eastAsia="Arial" w:hAnsi="Arial"/>
          <w:sz w:val="18"/>
          <w:szCs w:val="18"/>
          <w:color w:val="auto"/>
        </w:rPr>
        <w:t>Section 8.10 of the MIPA is hereby amended by adding the words “or the Class A Interests” immediately following the words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2.40</w:t>
      </w:r>
      <w:r>
        <w:rPr>
          <w:sz w:val="20"/>
          <w:szCs w:val="20"/>
          <w:color w:val="auto"/>
        </w:rPr>
        <w:tab/>
      </w:r>
      <w:r>
        <w:rPr>
          <w:rFonts w:ascii="Arial" w:cs="Arial" w:eastAsia="Arial" w:hAnsi="Arial"/>
          <w:sz w:val="16"/>
          <w:szCs w:val="16"/>
          <w:color w:val="auto"/>
        </w:rPr>
        <w:t>Section 5(c) of Exhibit F to the MIPA is hereby deleted in its entirety and replaced with the following:</w:t>
      </w:r>
    </w:p>
    <w:p>
      <w:pPr>
        <w:spacing w:after="0" w:line="229"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“(c) As required by Section 9.3(a)(ii)(C) of the LLC Agreement, after the Transfer contemplated by this Agreement, Assignor shall own zero (0) Units in the Company and Assignee shall own fifty and one one-hundredth percent (50.01%) of the [Class B Units/Class A Units].”</w:t>
      </w:r>
    </w:p>
    <w:p>
      <w:pPr>
        <w:spacing w:after="0" w:line="18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Exhibit I (</w:t>
      </w:r>
      <w:r>
        <w:rPr>
          <w:rFonts w:ascii="Arial" w:cs="Arial" w:eastAsia="Arial" w:hAnsi="Arial"/>
          <w:sz w:val="18"/>
          <w:szCs w:val="18"/>
          <w:i w:val="1"/>
          <w:iCs w:val="1"/>
          <w:color w:val="auto"/>
        </w:rPr>
        <w:t>Form of Drop Down Assignment and Assumption Agreement</w:t>
      </w:r>
      <w:r>
        <w:rPr>
          <w:rFonts w:ascii="Arial" w:cs="Arial" w:eastAsia="Arial" w:hAnsi="Arial"/>
          <w:sz w:val="18"/>
          <w:szCs w:val="18"/>
          <w:color w:val="auto"/>
        </w:rPr>
        <w:t>) to the MIPA is hereby amended by deleting it and replacing it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Form of Drop Down Assignment and Assumption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Exhibit J (</w:t>
      </w:r>
      <w:r>
        <w:rPr>
          <w:rFonts w:ascii="Arial" w:cs="Arial" w:eastAsia="Arial" w:hAnsi="Arial"/>
          <w:sz w:val="18"/>
          <w:szCs w:val="18"/>
          <w:i w:val="1"/>
          <w:iCs w:val="1"/>
          <w:color w:val="auto"/>
        </w:rPr>
        <w:t>Form of Certain Seller Proceeds Agreement</w:t>
      </w:r>
      <w:r>
        <w:rPr>
          <w:rFonts w:ascii="Arial" w:cs="Arial" w:eastAsia="Arial" w:hAnsi="Arial"/>
          <w:sz w:val="18"/>
          <w:szCs w:val="18"/>
          <w:color w:val="auto"/>
        </w:rPr>
        <w:t>) to the MIPA is hereby amended by deleting it and replacing it with attached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The MIPA is hereby amended by adding as Exhibit K (</w:t>
      </w:r>
      <w:r>
        <w:rPr>
          <w:rFonts w:ascii="Arial" w:cs="Arial" w:eastAsia="Arial" w:hAnsi="Arial"/>
          <w:sz w:val="18"/>
          <w:szCs w:val="18"/>
          <w:i w:val="1"/>
          <w:iCs w:val="1"/>
          <w:color w:val="auto"/>
        </w:rPr>
        <w:t>Form of Second Closing Date Officer’s Certificate of Seller</w:t>
      </w:r>
      <w:r>
        <w:rPr>
          <w:rFonts w:ascii="Arial" w:cs="Arial" w:eastAsia="Arial" w:hAnsi="Arial"/>
          <w:sz w:val="18"/>
          <w:szCs w:val="18"/>
          <w:color w:val="auto"/>
        </w:rPr>
        <w:t>) the Form of Second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Closing Date Officer’s Certificate of Seller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color w:val="auto"/>
        </w:rPr>
        <w:t>The MIPA is hereby amended by adding as Exhibit K (</w:t>
      </w:r>
      <w:r>
        <w:rPr>
          <w:rFonts w:ascii="Arial" w:cs="Arial" w:eastAsia="Arial" w:hAnsi="Arial"/>
          <w:sz w:val="18"/>
          <w:szCs w:val="18"/>
          <w:i w:val="1"/>
          <w:iCs w:val="1"/>
          <w:color w:val="auto"/>
        </w:rPr>
        <w:t>Form of Second Closing Date Officer’s Certificate of Purchaser</w:t>
      </w:r>
      <w:r>
        <w:rPr>
          <w:rFonts w:ascii="Arial" w:cs="Arial" w:eastAsia="Arial" w:hAnsi="Arial"/>
          <w:sz w:val="18"/>
          <w:szCs w:val="18"/>
          <w:color w:val="auto"/>
        </w:rPr>
        <w:t>)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Second Closing Date Officer’s Certificate of Purchaser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2.45 </w:t>
      </w:r>
      <w:r>
        <w:rPr>
          <w:rFonts w:ascii="Arial" w:cs="Arial" w:eastAsia="Arial" w:hAnsi="Arial"/>
          <w:sz w:val="18"/>
          <w:szCs w:val="18"/>
          <w:color w:val="auto"/>
        </w:rPr>
        <w:t>Effective as of the date hereof (and not with respect to any time prior to Closing) the Disclosure Schedules are hereby deleted and replaced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attached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REPRESENTATIONS</w:t>
      </w:r>
      <w:r>
        <w:rPr>
          <w:rFonts w:ascii="Arial" w:cs="Arial" w:eastAsia="Arial" w:hAnsi="Arial"/>
          <w:sz w:val="17"/>
          <w:szCs w:val="17"/>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induce the other Party to execute and deliver this Amendment, each Party hereby represents and warrants to the other Party that this Amendment is duly authorized, executed and delivered by it and assuming due authorization, execution and delivery by the other Party, constitutes the legally valid and binding obligation of it, enforceable against it in accordance with its terms, except as limited by applicable bankruptcy, insolvency, reorganization, moratorium or similar Laws affecting enforcement of creditors rights generally and equitable principles (whether considered in a proceeding at equity or at law).</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4.</w:t>
        <w:tab/>
        <w:t>EXHIBITS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conformed copy of the MIPA, reflecting the amendments described herein.</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AFFIRMATION OF PURCHASER PARENT GUARANTY.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Purchaser Guarantor hereby (a) consents to the execution and delivery of this Amendment, (b) reaffirms its obligations under the Purchaser Parent Guaranty, as amended hereby, and (c) confirms that the Purchaser Parent Guaranty remains in full force and effect.</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6.</w:t>
        <w:tab/>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specifically amended hereby, the MIPA shall continue in full force and effect in accordance with its original terms. Reference to this specific Amendment need not be made in the MIPA or any other instrument or document executed in connection therewith, or in any certificate, letter or communication issued or made pursuant to or with respect to the MIPA, any reference in any of such items to the MIPA being sufficient to refer to and mean the MIPA as amended hereby.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PDF Signature; Counterparts</w:t>
      </w:r>
      <w:r>
        <w:rPr>
          <w:rFonts w:ascii="Arial" w:cs="Arial" w:eastAsia="Arial" w:hAnsi="Arial"/>
          <w:sz w:val="18"/>
          <w:szCs w:val="18"/>
          <w:color w:val="auto"/>
        </w:rPr>
        <w:t>. This Amendment may be executed by PDF signature in any number of counterparts, each of which will be deemed an original, but all of which together will constitute one and the same instrument.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Governing Law; Consent to Jurisdiction; Waiver of Jury Trial</w:t>
      </w:r>
      <w:r>
        <w:rPr>
          <w:rFonts w:ascii="Arial" w:cs="Arial" w:eastAsia="Arial" w:hAnsi="Arial"/>
          <w:sz w:val="18"/>
          <w:szCs w:val="18"/>
          <w:color w:val="auto"/>
        </w:rPr>
        <w:t xml:space="preserve">. Sections 8.12, 8.13 and 8.14 of the MIPA are hereby incorporated herein by reference and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Amendment.</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This Amendment shall be effective as of the Amendment Effective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Amendment is held to be illegal, invalid or unenforceable under any present or future Law, and if the rights or obligations of any Party under this Amendment shall not be materially and adversely affected thereby, (a) such provision shall be fully severable,</w:t>
      </w:r>
    </w:p>
    <w:p>
      <w:pPr>
        <w:jc w:val="both"/>
        <w:ind w:firstLine="8"/>
        <w:spacing w:after="0" w:line="255" w:lineRule="auto"/>
        <w:tabs>
          <w:tab w:leader="none" w:pos="2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Amendment shall be construed and enforced as if such illegal, invalid or unenforceable provision had never comprised a part hereof and (c) the remaining provisions of this Amendment shall remain in full force and effect and shall not be affected by the illegal, invalid or unenforceable provision or by its severance here from.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This First Amendment to Membership Interest Purchase Agreement is entered into as of the date and year first above written.</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CLEARWAY RENEW LLC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Craig Cornelius</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First Amendment to Membership Interest Purchase Agreement (Mesquite Sky)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433705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20" w:name="page21"/>
    <w:bookmarkEnd w:id="20"/>
    <w:p>
      <w:pPr>
        <w:ind w:left="4520"/>
        <w:spacing w:after="0"/>
        <w:rPr>
          <w:sz w:val="20"/>
          <w:szCs w:val="20"/>
          <w:color w:val="auto"/>
        </w:rPr>
      </w:pPr>
      <w:r>
        <w:rPr>
          <w:rFonts w:ascii="Arial" w:cs="Arial" w:eastAsia="Arial" w:hAnsi="Arial"/>
          <w:sz w:val="17"/>
          <w:szCs w:val="17"/>
          <w:b w:val="1"/>
          <w:bCs w:val="1"/>
          <w:color w:val="auto"/>
        </w:rPr>
        <w:t>LIGHTHOUSE RENEWABLE CLASS A LLC</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Sotos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solely with respect to Section 5</w:t>
      </w:r>
      <w:r>
        <w:rPr>
          <w:rFonts w:ascii="Arial" w:cs="Arial" w:eastAsia="Arial" w:hAnsi="Arial"/>
          <w:sz w:val="18"/>
          <w:szCs w:val="18"/>
          <w:color w:val="auto"/>
        </w:rPr>
        <w: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Sotos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First Amendment to Membership Interest Purchase Agreement (Mesquite Sky)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Conformed Copy of the Amended MIPA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 w:name="page23"/>
    <w:bookmarkEnd w:id="22"/>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Mesquite Sky Holding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Renew LLC, as Seller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Lighthouse Renewable Class A LLC, as Purchaser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December 21, 2020</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and amended as of</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December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617220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16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r>
      <w:tr>
        <w:trPr>
          <w:trHeight w:val="850"/>
        </w:trPr>
        <w:tc>
          <w:tcPr>
            <w:tcW w:w="8200" w:type="dxa"/>
            <w:vAlign w:val="bottom"/>
            <w:gridSpan w:val="2"/>
          </w:tcPr>
          <w:p>
            <w:pPr>
              <w:spacing w:after="0"/>
              <w:rPr>
                <w:sz w:val="20"/>
                <w:szCs w:val="20"/>
                <w:color w:val="auto"/>
              </w:rPr>
            </w:pPr>
            <w:r>
              <w:rPr>
                <w:rFonts w:ascii="Arial" w:cs="Arial" w:eastAsia="Arial" w:hAnsi="Arial"/>
                <w:sz w:val="18"/>
                <w:szCs w:val="18"/>
                <w:color w:val="auto"/>
              </w:rPr>
              <w:t>ARTICLE 1 DEFINITIONS AND PRINCIPLES OF INTERPRETATION</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1.01.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Definitions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1.02.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Rules of Interpretation</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ARTICLE 2 SALE OF MEMBERSHIP INTERESTS AND CLOSING</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2.01.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Purchase and Sale</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2.02.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Payment of Purchase Price</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2.03.</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Closing</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2.04.</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Adjusted Purchase Price Amounts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2.05.</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Post-Closing Additional Turbine Adjustments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2.06.</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Certain Proceeds</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3.01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w w:val="89"/>
              </w:rPr>
              <w:t>Representations and Warranties with respect to Seller, the Company and the Mesquite Sky Entities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3.02.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Representations and Warranties with Respect to Purchaser</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ARTICLE 4 CONDITIONS PRECEDENT</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4.01.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Closing Date Conditions Precedent</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4.02.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Second Closing Date Conditions Precedent</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ARTICLE 5 CERTAIN COVENANTS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Regulatory and Other Permits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Access to Information</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5.03.</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Notification of Certain Matters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5.04.</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Conduct of Business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5.05.</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Fulfillment of Conditions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5.06.</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Further Assurances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5.07.</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Purchaser’s Substitute Support Obligations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5.08.</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Tax Matters</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5.09.</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No Solicitation</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5.10.</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[Reserved]</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5.11.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Purchaser Parent Guaranty</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5.12.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Post-Execution Date Documents</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ARTICLE 6 INDEMNIFICATION</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6.01.</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Indemnification by Seller</w:t>
            </w:r>
          </w:p>
        </w:tc>
      </w:tr>
      <w:tr>
        <w:trPr>
          <w:trHeight w:val="243"/>
        </w:trPr>
        <w:tc>
          <w:tcPr>
            <w:tcW w:w="1040" w:type="dxa"/>
            <w:vAlign w:val="bottom"/>
          </w:tcPr>
          <w:p>
            <w:pPr>
              <w:ind w:left="580"/>
              <w:spacing w:after="0"/>
              <w:rPr>
                <w:sz w:val="20"/>
                <w:szCs w:val="20"/>
                <w:color w:val="auto"/>
              </w:rPr>
            </w:pPr>
            <w:r>
              <w:rPr>
                <w:rFonts w:ascii="Arial" w:cs="Arial" w:eastAsia="Arial" w:hAnsi="Arial"/>
                <w:sz w:val="18"/>
                <w:szCs w:val="18"/>
                <w:color w:val="auto"/>
              </w:rPr>
              <w:t>6.02.</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Indemnification by Purchaser</w:t>
            </w:r>
          </w:p>
        </w:tc>
      </w:tr>
      <w:tr>
        <w:trPr>
          <w:trHeight w:val="244"/>
        </w:trPr>
        <w:tc>
          <w:tcPr>
            <w:tcW w:w="1040" w:type="dxa"/>
            <w:vAlign w:val="bottom"/>
          </w:tcPr>
          <w:p>
            <w:pPr>
              <w:ind w:left="580"/>
              <w:spacing w:after="0"/>
              <w:rPr>
                <w:sz w:val="20"/>
                <w:szCs w:val="20"/>
                <w:color w:val="auto"/>
              </w:rPr>
            </w:pPr>
            <w:r>
              <w:rPr>
                <w:rFonts w:ascii="Arial" w:cs="Arial" w:eastAsia="Arial" w:hAnsi="Arial"/>
                <w:sz w:val="18"/>
                <w:szCs w:val="18"/>
                <w:color w:val="auto"/>
              </w:rPr>
              <w:t>6.03.</w:t>
            </w:r>
          </w:p>
        </w:tc>
        <w:tc>
          <w:tcPr>
            <w:tcW w:w="7160" w:type="dxa"/>
            <w:vAlign w:val="bottom"/>
          </w:tcPr>
          <w:p>
            <w:pPr>
              <w:ind w:left="100"/>
              <w:spacing w:after="0"/>
              <w:rPr>
                <w:sz w:val="20"/>
                <w:szCs w:val="20"/>
                <w:color w:val="auto"/>
              </w:rPr>
            </w:pPr>
            <w:r>
              <w:rPr>
                <w:rFonts w:ascii="Arial" w:cs="Arial" w:eastAsia="Arial" w:hAnsi="Arial"/>
                <w:sz w:val="18"/>
                <w:szCs w:val="18"/>
                <w:i w:val="1"/>
                <w:iCs w:val="1"/>
                <w:color w:val="auto"/>
              </w:rPr>
              <w:t>Survival of Representations, Warranties, Covenants and Agreements</w:t>
            </w:r>
          </w:p>
        </w:tc>
      </w:tr>
    </w:tbl>
    <w:p>
      <w:pPr>
        <w:spacing w:after="0" w:line="200" w:lineRule="exact"/>
        <w:rPr>
          <w:sz w:val="20"/>
          <w:szCs w:val="20"/>
          <w:color w:val="auto"/>
        </w:rPr>
      </w:pPr>
    </w:p>
    <w:p>
      <w:pPr>
        <w:spacing w:after="0" w:line="231"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Page</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14</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15</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16</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28</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28</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29</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30</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30</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35</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ectPr>
          <w:pgSz w:w="11900" w:h="16838" w:orient="portrait"/>
          <w:cols w:equalWidth="0" w:num="2">
            <w:col w:w="10160" w:space="720"/>
            <w:col w:w="360"/>
          </w:cols>
          <w:pgMar w:left="320" w:top="112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5540" w:type="dxa"/>
            <w:vAlign w:val="bottom"/>
          </w:tcPr>
          <w:p>
            <w:pPr>
              <w:ind w:left="3620"/>
              <w:spacing w:after="0"/>
              <w:rPr>
                <w:sz w:val="20"/>
                <w:szCs w:val="20"/>
                <w:color w:val="auto"/>
              </w:rPr>
            </w:pPr>
            <w:r>
              <w:rPr>
                <w:rFonts w:ascii="Arial" w:cs="Arial" w:eastAsia="Arial" w:hAnsi="Arial"/>
                <w:sz w:val="18"/>
                <w:szCs w:val="18"/>
                <w:b w:val="1"/>
                <w:bCs w:val="1"/>
                <w:color w:val="auto"/>
                <w:w w:val="97"/>
              </w:rPr>
              <w:t>TABLE OF CONTENTS</w:t>
            </w:r>
          </w:p>
        </w:tc>
      </w:tr>
      <w:tr>
        <w:trPr>
          <w:trHeight w:val="234"/>
        </w:trPr>
        <w:tc>
          <w:tcPr>
            <w:tcW w:w="1040" w:type="dxa"/>
            <w:vAlign w:val="bottom"/>
          </w:tcPr>
          <w:p>
            <w:pPr>
              <w:spacing w:after="0"/>
              <w:rPr>
                <w:sz w:val="20"/>
                <w:szCs w:val="20"/>
                <w:color w:val="auto"/>
              </w:rPr>
            </w:pPr>
          </w:p>
        </w:tc>
        <w:tc>
          <w:tcPr>
            <w:tcW w:w="5540" w:type="dxa"/>
            <w:vAlign w:val="bottom"/>
          </w:tcPr>
          <w:p>
            <w:pPr>
              <w:ind w:left="4140"/>
              <w:spacing w:after="0"/>
              <w:rPr>
                <w:sz w:val="20"/>
                <w:szCs w:val="20"/>
                <w:color w:val="auto"/>
              </w:rPr>
            </w:pPr>
            <w:r>
              <w:rPr>
                <w:rFonts w:ascii="Arial" w:cs="Arial" w:eastAsia="Arial" w:hAnsi="Arial"/>
                <w:sz w:val="18"/>
                <w:szCs w:val="18"/>
                <w:b w:val="1"/>
                <w:bCs w:val="1"/>
                <w:color w:val="auto"/>
              </w:rPr>
              <w:t>(continued)</w:t>
            </w:r>
          </w:p>
        </w:tc>
      </w:tr>
      <w:tr>
        <w:trPr>
          <w:trHeight w:val="877"/>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Limitations on Claims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Procedure for Indemnification of Third Party Claims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w w:val="98"/>
              </w:rPr>
              <w:t>Rights of the Indemnifying Party in the Defense of Third Party Claims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Direct Claims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Exclusive Remedy</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Mitigations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Indemnity Treatment</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ARTICLE 7 TERMINATION</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Termination</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Effect of Termination</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ARTICLE 8 GENERAL PROVISIONS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Notices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Entire Agreement</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Specific Performance</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Time of the Essence</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Expenses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Confidentiality; Disclosures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Waiver</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Amendment</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No Third Party Beneficiary</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Assignment</w:t>
            </w:r>
          </w:p>
        </w:tc>
      </w:tr>
      <w:tr>
        <w:trPr>
          <w:trHeight w:val="243"/>
        </w:trPr>
        <w:tc>
          <w:tcPr>
            <w:tcW w:w="1040" w:type="dxa"/>
            <w:vAlign w:val="bottom"/>
          </w:tcPr>
          <w:p>
            <w:pPr>
              <w:jc w:val="right"/>
              <w:ind w:right="30"/>
              <w:spacing w:after="0"/>
              <w:rPr>
                <w:sz w:val="20"/>
                <w:szCs w:val="20"/>
                <w:color w:val="auto"/>
              </w:rPr>
            </w:pPr>
            <w:r>
              <w:rPr>
                <w:rFonts w:ascii="Arial" w:cs="Arial" w:eastAsia="Arial" w:hAnsi="Arial"/>
                <w:sz w:val="18"/>
                <w:szCs w:val="18"/>
                <w:color w:val="auto"/>
              </w:rPr>
              <w:t>8.11.</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Severability</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Governing Law</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Consent to Jurisdiction</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Waiver of Jury Trial</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Limitation on Certain Damages</w:t>
            </w:r>
          </w:p>
        </w:tc>
      </w:tr>
      <w:tr>
        <w:trPr>
          <w:trHeight w:val="243"/>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Disclosures</w:t>
            </w:r>
          </w:p>
        </w:tc>
      </w:tr>
      <w:tr>
        <w:trPr>
          <w:trHeight w:val="244"/>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5540" w:type="dxa"/>
            <w:vAlign w:val="bottom"/>
          </w:tcPr>
          <w:p>
            <w:pPr>
              <w:ind w:left="100"/>
              <w:spacing w:after="0"/>
              <w:rPr>
                <w:sz w:val="20"/>
                <w:szCs w:val="20"/>
                <w:color w:val="auto"/>
              </w:rPr>
            </w:pPr>
            <w:r>
              <w:rPr>
                <w:rFonts w:ascii="Arial" w:cs="Arial" w:eastAsia="Arial" w:hAnsi="Arial"/>
                <w:sz w:val="18"/>
                <w:szCs w:val="18"/>
                <w:i w:val="1"/>
                <w:iCs w:val="1"/>
                <w:color w:val="auto"/>
              </w:rPr>
              <w:t>PDF Signature; Counterparts</w:t>
            </w:r>
          </w:p>
        </w:tc>
      </w:tr>
    </w:tbl>
    <w:p>
      <w:pPr>
        <w:spacing w:after="0" w:line="200" w:lineRule="exact"/>
        <w:rPr>
          <w:sz w:val="20"/>
          <w:szCs w:val="20"/>
          <w:color w:val="auto"/>
        </w:rPr>
      </w:pPr>
    </w:p>
    <w:p>
      <w:pPr>
        <w:spacing w:after="0" w:line="231"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42</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42</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42</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45</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45</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45</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46</w:t>
      </w:r>
    </w:p>
    <w:p>
      <w:pPr>
        <w:sectPr>
          <w:pgSz w:w="11900" w:h="16838" w:orient="portrait"/>
          <w:cols w:equalWidth="0" w:num="2">
            <w:col w:w="10160" w:space="720"/>
            <w:col w:w="360"/>
          </w:cols>
          <w:pgMar w:left="320" w:top="90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80" w:type="dxa"/>
            <w:vAlign w:val="bottom"/>
          </w:tcPr>
          <w:p>
            <w:pPr>
              <w:ind w:left="2860"/>
              <w:spacing w:after="0"/>
              <w:rPr>
                <w:sz w:val="20"/>
                <w:szCs w:val="20"/>
                <w:color w:val="auto"/>
              </w:rPr>
            </w:pPr>
            <w:r>
              <w:rPr>
                <w:rFonts w:ascii="Arial" w:cs="Arial" w:eastAsia="Arial" w:hAnsi="Arial"/>
                <w:sz w:val="18"/>
                <w:szCs w:val="18"/>
                <w:b w:val="1"/>
                <w:bCs w:val="1"/>
                <w:color w:val="auto"/>
                <w:w w:val="97"/>
              </w:rPr>
              <w:t>TABLE OF CONTENTS</w:t>
            </w:r>
          </w:p>
        </w:tc>
      </w:tr>
      <w:tr>
        <w:trPr>
          <w:trHeight w:val="234"/>
        </w:trPr>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80" w:type="dxa"/>
            <w:vAlign w:val="bottom"/>
          </w:tcPr>
          <w:p>
            <w:pPr>
              <w:ind w:left="3380"/>
              <w:spacing w:after="0"/>
              <w:rPr>
                <w:sz w:val="20"/>
                <w:szCs w:val="20"/>
                <w:color w:val="auto"/>
              </w:rPr>
            </w:pPr>
            <w:r>
              <w:rPr>
                <w:rFonts w:ascii="Arial" w:cs="Arial" w:eastAsia="Arial" w:hAnsi="Arial"/>
                <w:sz w:val="18"/>
                <w:szCs w:val="18"/>
                <w:b w:val="1"/>
                <w:bCs w:val="1"/>
                <w:color w:val="auto"/>
              </w:rPr>
              <w:t>(continued)</w:t>
            </w: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48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45"/>
        </w:trPr>
        <w:tc>
          <w:tcPr>
            <w:tcW w:w="1320" w:type="dxa"/>
            <w:vAlign w:val="bottom"/>
          </w:tcPr>
          <w:p>
            <w:pPr>
              <w:spacing w:after="0"/>
              <w:rPr>
                <w:sz w:val="20"/>
                <w:szCs w:val="20"/>
                <w:color w:val="auto"/>
              </w:rPr>
            </w:pPr>
            <w:r>
              <w:rPr>
                <w:rFonts w:ascii="Arial" w:cs="Arial" w:eastAsia="Arial" w:hAnsi="Arial"/>
                <w:sz w:val="18"/>
                <w:szCs w:val="18"/>
                <w:color w:val="auto"/>
              </w:rPr>
              <w:t>Exhibit A</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Base Case Model</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B</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Officer’s Certificate of Seller</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C</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Secretary’s Certificate of Seller</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D</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Officer’s Certificate of Purchaser</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E</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Secretary’s Certificate of Purchaser</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F</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Assignment of Membership Interests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G</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Form of Purchaser Parent Guaranty</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H</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Form of Build-Out Agreement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I</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Form of Drop Down Assignment and Assumption Agreement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J</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Certain Seller Proceeds Agreement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K</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Second Closing Date Officer’s Certificate of Seller</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Exhibit L</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Second Closing Date Officer’s Certificate of Purchaser</w:t>
            </w: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48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45"/>
        </w:trPr>
        <w:tc>
          <w:tcPr>
            <w:tcW w:w="1320" w:type="dxa"/>
            <w:vAlign w:val="bottom"/>
          </w:tcPr>
          <w:p>
            <w:pPr>
              <w:spacing w:after="0"/>
              <w:rPr>
                <w:sz w:val="20"/>
                <w:szCs w:val="20"/>
                <w:color w:val="auto"/>
              </w:rPr>
            </w:pPr>
            <w:r>
              <w:rPr>
                <w:rFonts w:ascii="Arial" w:cs="Arial" w:eastAsia="Arial" w:hAnsi="Arial"/>
                <w:sz w:val="18"/>
                <w:szCs w:val="18"/>
                <w:color w:val="auto"/>
              </w:rPr>
              <w:t>Schedule 1.03</w:t>
            </w:r>
          </w:p>
        </w:tc>
        <w:tc>
          <w:tcPr>
            <w:tcW w:w="480" w:type="dxa"/>
            <w:vAlign w:val="bottom"/>
          </w:tcPr>
          <w:p>
            <w:pPr>
              <w:spacing w:after="0"/>
              <w:rPr>
                <w:sz w:val="24"/>
                <w:szCs w:val="24"/>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Ancillary Documents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1"/>
              </w:rPr>
              <w:t>Schedule 4.01(m)</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Agreement to be Amended</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4"/>
              </w:rPr>
              <w:t>Schedule 5.04(b)</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Conduct of Business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4"/>
              </w:rPr>
              <w:t>Schedule 5.04(b)</w:t>
            </w:r>
          </w:p>
        </w:tc>
        <w:tc>
          <w:tcPr>
            <w:tcW w:w="48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(xxiii)</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Certain Covenants</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w w:val="94"/>
              </w:rPr>
              <w:t>Schedule 6.01(b)</w:t>
            </w:r>
          </w:p>
        </w:tc>
        <w:tc>
          <w:tcPr>
            <w:tcW w:w="48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Certain Indemnification Matters</w:t>
            </w:r>
          </w:p>
        </w:tc>
      </w:tr>
      <w:tr>
        <w:trPr>
          <w:trHeight w:val="459"/>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w w:val="92"/>
              </w:rPr>
              <w:t>Disclosure Schedules:</w:t>
            </w:r>
          </w:p>
        </w:tc>
        <w:tc>
          <w:tcPr>
            <w:tcW w:w="4780" w:type="dxa"/>
            <w:vAlign w:val="bottom"/>
          </w:tcPr>
          <w:p>
            <w:pPr>
              <w:spacing w:after="0"/>
              <w:rPr>
                <w:sz w:val="24"/>
                <w:szCs w:val="24"/>
                <w:color w:val="auto"/>
              </w:rPr>
            </w:pPr>
          </w:p>
        </w:tc>
      </w:tr>
      <w:tr>
        <w:trPr>
          <w:trHeight w:val="445"/>
        </w:trPr>
        <w:tc>
          <w:tcPr>
            <w:tcW w:w="1320" w:type="dxa"/>
            <w:vAlign w:val="bottom"/>
          </w:tcPr>
          <w:p>
            <w:pPr>
              <w:spacing w:after="0"/>
              <w:rPr>
                <w:sz w:val="20"/>
                <w:szCs w:val="20"/>
                <w:color w:val="auto"/>
              </w:rPr>
            </w:pPr>
            <w:r>
              <w:rPr>
                <w:rFonts w:ascii="Arial" w:cs="Arial" w:eastAsia="Arial" w:hAnsi="Arial"/>
                <w:sz w:val="18"/>
                <w:szCs w:val="18"/>
                <w:color w:val="auto"/>
              </w:rPr>
              <w:t>Schedule 1.01</w:t>
            </w:r>
          </w:p>
        </w:tc>
        <w:tc>
          <w:tcPr>
            <w:tcW w:w="480" w:type="dxa"/>
            <w:vAlign w:val="bottom"/>
          </w:tcPr>
          <w:p>
            <w:pPr>
              <w:spacing w:after="0"/>
              <w:rPr>
                <w:sz w:val="24"/>
                <w:szCs w:val="24"/>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Liens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5"/>
              </w:rPr>
              <w:t>Schedule 3.01(c)</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Seller Consents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4"/>
              </w:rPr>
              <w:t>Schedule 3.01(e)</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Seller Approvals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8"/>
              </w:rPr>
              <w:t>Schedule 3.01(f)</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Legal Proceedings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4"/>
              </w:rPr>
              <w:t>Schedule 3.01(g)</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Brokers</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w w:val="99"/>
              </w:rPr>
              <w:t>Schedule 3.01(i)</w:t>
            </w:r>
          </w:p>
        </w:tc>
        <w:tc>
          <w:tcPr>
            <w:tcW w:w="48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Business Jurisdictions</w:t>
            </w:r>
          </w:p>
        </w:tc>
      </w:tr>
      <w:tr>
        <w:trPr>
          <w:trHeight w:val="243"/>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3.01(i)(ii)</w:t>
            </w: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Equity Encumbrances</w:t>
            </w:r>
          </w:p>
        </w:tc>
      </w:tr>
      <w:tr>
        <w:trPr>
          <w:trHeight w:val="243"/>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3.01(i)(iii)</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Directors and Officers</w:t>
            </w:r>
          </w:p>
        </w:tc>
      </w:tr>
      <w:tr>
        <w:trPr>
          <w:trHeight w:val="229"/>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3.01(i)(v)</w:t>
            </w: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Options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3.01(i)(vi)</w:t>
            </w: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Additional Investments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3.01(i)(vii)</w:t>
            </w: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Additional Business Operations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3.01(i)(ix)</w:t>
            </w:r>
          </w:p>
        </w:tc>
        <w:tc>
          <w:tcPr>
            <w:tcW w:w="4780" w:type="dxa"/>
            <w:vAlign w:val="bottom"/>
          </w:tcPr>
          <w:p>
            <w:pPr>
              <w:ind w:left="120"/>
              <w:spacing w:after="0"/>
              <w:rPr>
                <w:sz w:val="20"/>
                <w:szCs w:val="20"/>
                <w:color w:val="auto"/>
              </w:rPr>
            </w:pPr>
            <w:r>
              <w:rPr>
                <w:rFonts w:ascii="Arial" w:cs="Arial" w:eastAsia="Arial" w:hAnsi="Arial"/>
                <w:sz w:val="18"/>
                <w:szCs w:val="18"/>
                <w:color w:val="auto"/>
              </w:rPr>
              <w:t>Liens on Acquired Interests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9"/>
              </w:rPr>
              <w:t>Schedule 3.01(j)</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Liabilities</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5"/>
              </w:rPr>
              <w:t>Schedule 3.01(k)</w:t>
            </w:r>
          </w:p>
        </w:tc>
        <w:tc>
          <w:tcPr>
            <w:tcW w:w="48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Taxes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3.01(m)(i)</w:t>
            </w:r>
          </w:p>
        </w:tc>
        <w:tc>
          <w:tcPr>
            <w:tcW w:w="4780" w:type="dxa"/>
            <w:vAlign w:val="bottom"/>
          </w:tcPr>
          <w:p>
            <w:pPr>
              <w:ind w:left="120"/>
              <w:spacing w:after="0"/>
              <w:rPr>
                <w:sz w:val="20"/>
                <w:szCs w:val="20"/>
                <w:color w:val="auto"/>
              </w:rPr>
            </w:pPr>
            <w:r>
              <w:rPr>
                <w:rFonts w:ascii="Arial" w:cs="Arial" w:eastAsia="Arial" w:hAnsi="Arial"/>
                <w:sz w:val="18"/>
                <w:szCs w:val="18"/>
                <w:color w:val="auto"/>
              </w:rPr>
              <w:t>Company Contracts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3.01(m)(iii)</w:t>
            </w:r>
          </w:p>
        </w:tc>
        <w:tc>
          <w:tcPr>
            <w:tcW w:w="4780" w:type="dxa"/>
            <w:vAlign w:val="bottom"/>
          </w:tcPr>
          <w:p>
            <w:pPr>
              <w:ind w:left="120"/>
              <w:spacing w:after="0"/>
              <w:rPr>
                <w:sz w:val="20"/>
                <w:szCs w:val="20"/>
                <w:color w:val="auto"/>
              </w:rPr>
            </w:pPr>
            <w:r>
              <w:rPr>
                <w:rFonts w:ascii="Arial" w:cs="Arial" w:eastAsia="Arial" w:hAnsi="Arial"/>
                <w:sz w:val="18"/>
                <w:szCs w:val="18"/>
                <w:color w:val="auto"/>
              </w:rPr>
              <w:t>Company Contracts Defaults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3.01(n)(i)</w:t>
            </w:r>
          </w:p>
        </w:tc>
        <w:tc>
          <w:tcPr>
            <w:tcW w:w="4780" w:type="dxa"/>
            <w:vAlign w:val="bottom"/>
          </w:tcPr>
          <w:p>
            <w:pPr>
              <w:ind w:left="120"/>
              <w:spacing w:after="0"/>
              <w:rPr>
                <w:sz w:val="20"/>
                <w:szCs w:val="20"/>
                <w:color w:val="auto"/>
              </w:rPr>
            </w:pPr>
            <w:r>
              <w:rPr>
                <w:rFonts w:ascii="Arial" w:cs="Arial" w:eastAsia="Arial" w:hAnsi="Arial"/>
                <w:sz w:val="18"/>
                <w:szCs w:val="18"/>
                <w:color w:val="auto"/>
              </w:rPr>
              <w:t>Land</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3.01(n)(ii)</w:t>
            </w:r>
          </w:p>
        </w:tc>
        <w:tc>
          <w:tcPr>
            <w:tcW w:w="4780" w:type="dxa"/>
            <w:vAlign w:val="bottom"/>
          </w:tcPr>
          <w:p>
            <w:pPr>
              <w:ind w:left="120"/>
              <w:spacing w:after="0"/>
              <w:rPr>
                <w:sz w:val="20"/>
                <w:szCs w:val="20"/>
                <w:color w:val="auto"/>
              </w:rPr>
            </w:pPr>
            <w:r>
              <w:rPr>
                <w:rFonts w:ascii="Arial" w:cs="Arial" w:eastAsia="Arial" w:hAnsi="Arial"/>
                <w:sz w:val="18"/>
                <w:szCs w:val="18"/>
                <w:color w:val="auto"/>
              </w:rPr>
              <w:t>Permitted Real Property Agreements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3.01(n)(iii)</w:t>
            </w:r>
          </w:p>
        </w:tc>
        <w:tc>
          <w:tcPr>
            <w:tcW w:w="4780" w:type="dxa"/>
            <w:vAlign w:val="bottom"/>
          </w:tcPr>
          <w:p>
            <w:pPr>
              <w:ind w:left="120"/>
              <w:spacing w:after="0"/>
              <w:rPr>
                <w:sz w:val="20"/>
                <w:szCs w:val="20"/>
                <w:color w:val="auto"/>
              </w:rPr>
            </w:pPr>
            <w:r>
              <w:rPr>
                <w:rFonts w:ascii="Arial" w:cs="Arial" w:eastAsia="Arial" w:hAnsi="Arial"/>
                <w:sz w:val="18"/>
                <w:szCs w:val="18"/>
                <w:color w:val="auto"/>
              </w:rPr>
              <w:t>Real Property Rights</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3.01(p)(i)</w:t>
            </w:r>
          </w:p>
        </w:tc>
        <w:tc>
          <w:tcPr>
            <w:tcW w:w="4780" w:type="dxa"/>
            <w:vAlign w:val="bottom"/>
          </w:tcPr>
          <w:p>
            <w:pPr>
              <w:ind w:left="120"/>
              <w:spacing w:after="0"/>
              <w:rPr>
                <w:sz w:val="20"/>
                <w:szCs w:val="20"/>
                <w:color w:val="auto"/>
              </w:rPr>
            </w:pPr>
            <w:r>
              <w:rPr>
                <w:rFonts w:ascii="Arial" w:cs="Arial" w:eastAsia="Arial" w:hAnsi="Arial"/>
                <w:sz w:val="18"/>
                <w:szCs w:val="18"/>
                <w:color w:val="auto"/>
              </w:rPr>
              <w:t>Environmental Law Non-Compliance</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3.01(p)(iii)</w:t>
            </w:r>
          </w:p>
        </w:tc>
        <w:tc>
          <w:tcPr>
            <w:tcW w:w="4780" w:type="dxa"/>
            <w:vAlign w:val="bottom"/>
          </w:tcPr>
          <w:p>
            <w:pPr>
              <w:ind w:left="120"/>
              <w:spacing w:after="0"/>
              <w:rPr>
                <w:sz w:val="20"/>
                <w:szCs w:val="20"/>
                <w:color w:val="auto"/>
              </w:rPr>
            </w:pPr>
            <w:r>
              <w:rPr>
                <w:rFonts w:ascii="Arial" w:cs="Arial" w:eastAsia="Arial" w:hAnsi="Arial"/>
                <w:sz w:val="18"/>
                <w:szCs w:val="18"/>
                <w:color w:val="auto"/>
              </w:rPr>
              <w:t>Environmental Permits</w:t>
            </w: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Schedule 3.01(p)(iv)</w:t>
            </w:r>
          </w:p>
        </w:tc>
        <w:tc>
          <w:tcPr>
            <w:tcW w:w="4780" w:type="dxa"/>
            <w:vAlign w:val="bottom"/>
          </w:tcPr>
          <w:p>
            <w:pPr>
              <w:ind w:left="120"/>
              <w:spacing w:after="0"/>
              <w:rPr>
                <w:sz w:val="20"/>
                <w:szCs w:val="20"/>
                <w:color w:val="auto"/>
              </w:rPr>
            </w:pPr>
            <w:r>
              <w:rPr>
                <w:rFonts w:ascii="Arial" w:cs="Arial" w:eastAsia="Arial" w:hAnsi="Arial"/>
                <w:sz w:val="18"/>
                <w:szCs w:val="18"/>
                <w:color w:val="auto"/>
              </w:rPr>
              <w:t>Release of Hazardous Substances</w:t>
            </w:r>
          </w:p>
        </w:tc>
      </w:tr>
    </w:tbl>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6" w:name="page27"/>
    <w:bookmarkEnd w:id="26"/>
    <w:p>
      <w:pPr>
        <w:jc w:val="center"/>
        <w:ind w:right="-110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(continued)</w:t>
      </w:r>
    </w:p>
    <w:p>
      <w:pPr>
        <w:sectPr>
          <w:pgSz w:w="11900" w:h="16838" w:orient="portrait"/>
          <w:cols w:equalWidth="0" w:num="1">
            <w:col w:w="10139"/>
          </w:cols>
          <w:pgMar w:left="320" w:top="904" w:right="1440"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Schedule 3.01(q)(i)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Schedule 3.01(q)(ii)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Schedule 3.01(r)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Schedule 3.01(s)(i)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Schedule 3.01(t)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3.01(v)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3.01(w)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3.01(y)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3.02(c)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3.02(e)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3.02(h)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3.02(i)</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Permits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Regulatory Noncompliance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Affiliate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Absence of changes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Support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Purchaser Consents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Brokers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Purchaser Approvals</w:t>
      </w:r>
    </w:p>
    <w:p>
      <w:pPr>
        <w:spacing w:after="0" w:line="200" w:lineRule="exact"/>
        <w:rPr>
          <w:sz w:val="20"/>
          <w:szCs w:val="20"/>
          <w:color w:val="auto"/>
        </w:rPr>
      </w:pPr>
    </w:p>
    <w:p>
      <w:pPr>
        <w:sectPr>
          <w:pgSz w:w="11900" w:h="16838" w:orient="portrait"/>
          <w:cols w:equalWidth="0" w:num="2">
            <w:col w:w="1460" w:space="460"/>
            <w:col w:w="8219"/>
          </w:cols>
          <w:pgMar w:left="320" w:top="904" w:right="1440" w:bottom="1440" w:gutter="0" w:footer="0" w:header="0"/>
          <w:type w:val="continuous"/>
        </w:sectPr>
      </w:pPr>
    </w:p>
    <w:p>
      <w:pPr>
        <w:spacing w:after="0" w:line="2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MEMBERSHIP INTEREST PURCHASE AGREEMENT (this “</w:t>
      </w:r>
      <w:r>
        <w:rPr>
          <w:rFonts w:ascii="Arial" w:cs="Arial" w:eastAsia="Arial" w:hAnsi="Arial"/>
          <w:sz w:val="17"/>
          <w:szCs w:val="17"/>
          <w:i w:val="1"/>
          <w:iCs w:val="1"/>
          <w:color w:val="auto"/>
        </w:rPr>
        <w:t>Agreement</w:t>
      </w:r>
      <w:r>
        <w:rPr>
          <w:rFonts w:ascii="Arial" w:cs="Arial" w:eastAsia="Arial" w:hAnsi="Arial"/>
          <w:sz w:val="17"/>
          <w:szCs w:val="17"/>
          <w:color w:val="auto"/>
        </w:rPr>
        <w:t>”), dated as of December 21, 2020 (the “</w:t>
      </w:r>
      <w:r>
        <w:rPr>
          <w:rFonts w:ascii="Arial" w:cs="Arial" w:eastAsia="Arial" w:hAnsi="Arial"/>
          <w:sz w:val="17"/>
          <w:szCs w:val="17"/>
          <w:i w:val="1"/>
          <w:iCs w:val="1"/>
          <w:color w:val="auto"/>
        </w:rPr>
        <w:t>Execution Date</w:t>
      </w:r>
      <w:r>
        <w:rPr>
          <w:rFonts w:ascii="Arial" w:cs="Arial" w:eastAsia="Arial" w:hAnsi="Arial"/>
          <w:sz w:val="17"/>
          <w:szCs w:val="17"/>
          <w:color w:val="auto"/>
        </w:rPr>
        <w:t>”), is entered into by and between Clearway Renew LLC, a Delaware limited liability company (“</w:t>
      </w:r>
      <w:r>
        <w:rPr>
          <w:rFonts w:ascii="Arial" w:cs="Arial" w:eastAsia="Arial" w:hAnsi="Arial"/>
          <w:sz w:val="17"/>
          <w:szCs w:val="17"/>
          <w:i w:val="1"/>
          <w:iCs w:val="1"/>
          <w:color w:val="auto"/>
        </w:rPr>
        <w:t>Seller</w:t>
      </w:r>
      <w:r>
        <w:rPr>
          <w:rFonts w:ascii="Arial" w:cs="Arial" w:eastAsia="Arial" w:hAnsi="Arial"/>
          <w:sz w:val="17"/>
          <w:szCs w:val="17"/>
          <w:color w:val="auto"/>
        </w:rPr>
        <w:t>”), and Lighthouse Renewable Class A LLC, a Delaware limited liability company (“</w:t>
      </w:r>
      <w:r>
        <w:rPr>
          <w:rFonts w:ascii="Arial" w:cs="Arial" w:eastAsia="Arial" w:hAnsi="Arial"/>
          <w:sz w:val="17"/>
          <w:szCs w:val="17"/>
          <w:i w:val="1"/>
          <w:iCs w:val="1"/>
          <w:color w:val="auto"/>
        </w:rPr>
        <w:t>Purchaser</w:t>
      </w:r>
      <w:r>
        <w:rPr>
          <w:rFonts w:ascii="Arial" w:cs="Arial" w:eastAsia="Arial" w:hAnsi="Arial"/>
          <w:sz w:val="17"/>
          <w:szCs w:val="17"/>
          <w:color w:val="auto"/>
        </w:rPr>
        <w:t>”). Purchaser and Seller are referred to, collectively, as the “</w:t>
      </w:r>
      <w:r>
        <w:rPr>
          <w:rFonts w:ascii="Arial" w:cs="Arial" w:eastAsia="Arial" w:hAnsi="Arial"/>
          <w:sz w:val="17"/>
          <w:szCs w:val="17"/>
          <w:i w:val="1"/>
          <w:iCs w:val="1"/>
          <w:color w:val="auto"/>
        </w:rPr>
        <w:t>Parties</w:t>
      </w:r>
      <w:r>
        <w:rPr>
          <w:rFonts w:ascii="Arial" w:cs="Arial" w:eastAsia="Arial" w:hAnsi="Arial"/>
          <w:sz w:val="17"/>
          <w:szCs w:val="17"/>
          <w:color w:val="auto"/>
        </w:rPr>
        <w:t>” and each, individually, as a “</w:t>
      </w:r>
      <w:r>
        <w:rPr>
          <w:rFonts w:ascii="Arial" w:cs="Arial" w:eastAsia="Arial" w:hAnsi="Arial"/>
          <w:sz w:val="17"/>
          <w:szCs w:val="17"/>
          <w:i w:val="1"/>
          <w:iCs w:val="1"/>
          <w:color w:val="auto"/>
        </w:rPr>
        <w:t>Party</w:t>
      </w:r>
      <w:r>
        <w:rPr>
          <w:rFonts w:ascii="Arial" w:cs="Arial" w:eastAsia="Arial" w:hAnsi="Arial"/>
          <w:sz w:val="17"/>
          <w:szCs w:val="17"/>
          <w:color w:val="auto"/>
        </w:rPr>
        <w:t xml:space="preserve">.” Capitalized terms not otherwise defined herein shall have the meaning given them in </w:t>
      </w:r>
      <w:r>
        <w:rPr>
          <w:rFonts w:ascii="Arial" w:cs="Arial" w:eastAsia="Arial" w:hAnsi="Arial"/>
          <w:sz w:val="17"/>
          <w:szCs w:val="17"/>
          <w:i w:val="1"/>
          <w:iCs w:val="1"/>
          <w:color w:val="auto"/>
        </w:rPr>
        <w:t>Section 1.01</w:t>
      </w:r>
      <w:r>
        <w:rPr>
          <w:rFonts w:ascii="Arial" w:cs="Arial" w:eastAsia="Arial" w:hAnsi="Arial"/>
          <w:sz w:val="17"/>
          <w:szCs w:val="17"/>
          <w:color w:val="auto"/>
        </w:rPr>
        <w:t xml:space="preserve"> of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63" w:lineRule="auto"/>
        <w:tabs>
          <w:tab w:leader="none" w:pos="10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Seller owns one hundred percent (100%) of the Class B membership interests (the “</w:t>
      </w:r>
      <w:r>
        <w:rPr>
          <w:rFonts w:ascii="Arial" w:cs="Arial" w:eastAsia="Arial" w:hAnsi="Arial"/>
          <w:sz w:val="18"/>
          <w:szCs w:val="18"/>
          <w:i w:val="1"/>
          <w:iCs w:val="1"/>
          <w:color w:val="auto"/>
        </w:rPr>
        <w:t>Class B Units</w:t>
      </w:r>
      <w:r>
        <w:rPr>
          <w:rFonts w:ascii="Arial" w:cs="Arial" w:eastAsia="Arial" w:hAnsi="Arial"/>
          <w:sz w:val="18"/>
          <w:szCs w:val="18"/>
          <w:color w:val="auto"/>
        </w:rPr>
        <w:t>”) of Mesquite Sky Holding LLC,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and Apex Clean Energy Holdings, LLC (the “</w:t>
      </w:r>
      <w:r>
        <w:rPr>
          <w:rFonts w:ascii="Arial" w:cs="Arial" w:eastAsia="Arial" w:hAnsi="Arial"/>
          <w:sz w:val="18"/>
          <w:szCs w:val="18"/>
          <w:i w:val="1"/>
          <w:iCs w:val="1"/>
          <w:color w:val="auto"/>
        </w:rPr>
        <w:t>Class A Member</w:t>
      </w:r>
      <w:r>
        <w:rPr>
          <w:rFonts w:ascii="Arial" w:cs="Arial" w:eastAsia="Arial" w:hAnsi="Arial"/>
          <w:sz w:val="18"/>
          <w:szCs w:val="18"/>
          <w:color w:val="auto"/>
        </w:rPr>
        <w:t>”) owns one hundred percent (100%) of the Class A membership interests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is the sole member and one hundred percent (100%) owner of Mesquite Sky Class B Holdco LLC, a Delaware limited liability company (“</w:t>
      </w:r>
      <w:r>
        <w:rPr>
          <w:rFonts w:ascii="Arial" w:cs="Arial" w:eastAsia="Arial" w:hAnsi="Arial"/>
          <w:sz w:val="18"/>
          <w:szCs w:val="18"/>
          <w:i w:val="1"/>
          <w:iCs w:val="1"/>
          <w:color w:val="auto"/>
        </w:rPr>
        <w:t>Class B Holdco</w:t>
      </w:r>
      <w:r>
        <w:rPr>
          <w:rFonts w:ascii="Arial" w:cs="Arial" w:eastAsia="Arial" w:hAnsi="Arial"/>
          <w:sz w:val="18"/>
          <w:szCs w:val="18"/>
          <w:color w:val="auto"/>
        </w:rPr>
        <w:t>”), and Class B Holdco is the sole member and one hundred percent (100%) owner of Mesquite Sky TE Holdco LLC, a Delaware limited liability company (“</w:t>
      </w:r>
      <w:r>
        <w:rPr>
          <w:rFonts w:ascii="Arial" w:cs="Arial" w:eastAsia="Arial" w:hAnsi="Arial"/>
          <w:sz w:val="18"/>
          <w:szCs w:val="18"/>
          <w:i w:val="1"/>
          <w:iCs w:val="1"/>
          <w:color w:val="auto"/>
        </w:rPr>
        <w:t>TE Holdco</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 w:firstLine="656"/>
        <w:spacing w:after="0" w:line="277" w:lineRule="auto"/>
        <w:tabs>
          <w:tab w:leader="none" w:pos="10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 Holdco is the sole member and one hundred percent (100%) owner of BMP Wind LLC, a Delaware limited liability company (“</w:t>
      </w:r>
      <w:r>
        <w:rPr>
          <w:rFonts w:ascii="Arial" w:cs="Arial" w:eastAsia="Arial" w:hAnsi="Arial"/>
          <w:sz w:val="18"/>
          <w:szCs w:val="18"/>
          <w:i w:val="1"/>
          <w:iCs w:val="1"/>
          <w:color w:val="auto"/>
        </w:rPr>
        <w:t>Project</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and, together with Class B Holdco and TE Holdco, the “</w:t>
      </w:r>
      <w:r>
        <w:rPr>
          <w:rFonts w:ascii="Arial" w:cs="Arial" w:eastAsia="Arial" w:hAnsi="Arial"/>
          <w:sz w:val="18"/>
          <w:szCs w:val="18"/>
          <w:i w:val="1"/>
          <w:iCs w:val="1"/>
          <w:color w:val="auto"/>
        </w:rPr>
        <w:t>Mesquite Sky Entities</w:t>
      </w:r>
      <w:r>
        <w:rPr>
          <w:rFonts w:ascii="Arial" w:cs="Arial" w:eastAsia="Arial" w:hAnsi="Arial"/>
          <w:sz w:val="18"/>
          <w:szCs w:val="18"/>
          <w:color w:val="auto"/>
        </w:rPr>
        <w:t>” and each a “</w:t>
      </w:r>
      <w:r>
        <w:rPr>
          <w:rFonts w:ascii="Arial" w:cs="Arial" w:eastAsia="Arial" w:hAnsi="Arial"/>
          <w:sz w:val="18"/>
          <w:szCs w:val="18"/>
          <w:i w:val="1"/>
          <w:iCs w:val="1"/>
          <w:color w:val="auto"/>
        </w:rPr>
        <w:t>Mesquite Sky Entity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7" w:lineRule="auto"/>
        <w:tabs>
          <w:tab w:leader="none" w:pos="10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Project Company is developing an approximately 345 MW wind power project and associated infrastructure located in Callahan County, Texas (the “</w:t>
      </w:r>
      <w:r>
        <w:rPr>
          <w:rFonts w:ascii="Arial" w:cs="Arial" w:eastAsia="Arial" w:hAnsi="Arial"/>
          <w:sz w:val="18"/>
          <w:szCs w:val="18"/>
          <w:i w:val="1"/>
          <w:iCs w:val="1"/>
          <w:color w:val="auto"/>
        </w:rPr>
        <w:t>Project</w:t>
      </w:r>
      <w:r>
        <w:rPr>
          <w:rFonts w:ascii="Arial" w:cs="Arial" w:eastAsia="Arial" w:hAnsi="Arial"/>
          <w:sz w:val="18"/>
          <w:szCs w:val="18"/>
          <w:color w:val="auto"/>
        </w:rPr>
        <w:t>”) and sells electric power therefrom.</w:t>
      </w:r>
    </w:p>
    <w:p>
      <w:pPr>
        <w:spacing w:after="0" w:line="170" w:lineRule="exact"/>
        <w:rPr>
          <w:rFonts w:ascii="Arial" w:cs="Arial" w:eastAsia="Arial" w:hAnsi="Arial"/>
          <w:sz w:val="18"/>
          <w:szCs w:val="18"/>
          <w:color w:val="auto"/>
        </w:rPr>
      </w:pPr>
    </w:p>
    <w:p>
      <w:pPr>
        <w:ind w:firstLine="656"/>
        <w:spacing w:after="0" w:line="308" w:lineRule="auto"/>
        <w:tabs>
          <w:tab w:leader="none" w:pos="1053"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the Closing Date, subject to the satisfaction or waiver of the applicable conditions precedent set forth herein, fifty and one one-hundredth percent (50.01%) of the Class B Units (the “</w:t>
      </w:r>
      <w:r>
        <w:rPr>
          <w:rFonts w:ascii="Arial" w:cs="Arial" w:eastAsia="Arial" w:hAnsi="Arial"/>
          <w:sz w:val="17"/>
          <w:szCs w:val="17"/>
          <w:i w:val="1"/>
          <w:iCs w:val="1"/>
          <w:color w:val="auto"/>
        </w:rPr>
        <w:t>Acquired Interests</w:t>
      </w:r>
      <w:r>
        <w:rPr>
          <w:rFonts w:ascii="Arial" w:cs="Arial" w:eastAsia="Arial" w:hAnsi="Arial"/>
          <w:sz w:val="17"/>
          <w:szCs w:val="17"/>
          <w:color w:val="auto"/>
        </w:rPr>
        <w:t>”) will be sold to Purchaser for the Base Purchase Price as provided herein.</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0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Purchaser and HASI have agreed that, as shareholders of Lighthouse Renewable HoldCo 2 LLC (the “</w:t>
      </w:r>
      <w:r>
        <w:rPr>
          <w:rFonts w:ascii="Arial" w:cs="Arial" w:eastAsia="Arial" w:hAnsi="Arial"/>
          <w:sz w:val="18"/>
          <w:szCs w:val="18"/>
          <w:i w:val="1"/>
          <w:iCs w:val="1"/>
          <w:color w:val="auto"/>
        </w:rPr>
        <w:t>Master JV HoldCo</w:t>
      </w:r>
      <w:r>
        <w:rPr>
          <w:rFonts w:ascii="Arial" w:cs="Arial" w:eastAsia="Arial" w:hAnsi="Arial"/>
          <w:sz w:val="18"/>
          <w:szCs w:val="18"/>
          <w:color w:val="auto"/>
        </w:rPr>
        <w:t>”), they shall, immediately upon the Closing, contribute their respective Class B Units to the Master JV HoldCo and cause Master JV HoldCo to be admitted as the Class B Member of the Company (the “</w:t>
      </w:r>
      <w:r>
        <w:rPr>
          <w:rFonts w:ascii="Arial" w:cs="Arial" w:eastAsia="Arial" w:hAnsi="Arial"/>
          <w:sz w:val="18"/>
          <w:szCs w:val="18"/>
          <w:i w:val="1"/>
          <w:iCs w:val="1"/>
          <w:color w:val="auto"/>
        </w:rPr>
        <w:t>Drop Down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 w:firstLine="656"/>
        <w:spacing w:after="0" w:line="342" w:lineRule="auto"/>
        <w:tabs>
          <w:tab w:leader="none" w:pos="1043"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least ninety-one (91) days after the Tax Equity Funding Date, Seller will purchase from the Class A Member, one hundred percent (100%) of the Class A membership interests of the Company (the “</w:t>
      </w:r>
      <w:r>
        <w:rPr>
          <w:rFonts w:ascii="Arial" w:cs="Arial" w:eastAsia="Arial" w:hAnsi="Arial"/>
          <w:sz w:val="16"/>
          <w:szCs w:val="16"/>
          <w:i w:val="1"/>
          <w:iCs w:val="1"/>
          <w:color w:val="auto"/>
        </w:rPr>
        <w:t>Class A Units</w:t>
      </w:r>
      <w:r>
        <w:rPr>
          <w:rFonts w:ascii="Arial" w:cs="Arial" w:eastAsia="Arial" w:hAnsi="Arial"/>
          <w:sz w:val="16"/>
          <w:szCs w:val="16"/>
          <w:color w:val="auto"/>
        </w:rPr>
        <w:t>”) pursuant to the Apex Purchase Agreement (the “</w:t>
      </w:r>
      <w:r>
        <w:rPr>
          <w:rFonts w:ascii="Arial" w:cs="Arial" w:eastAsia="Arial" w:hAnsi="Arial"/>
          <w:sz w:val="16"/>
          <w:szCs w:val="16"/>
          <w:i w:val="1"/>
          <w:iCs w:val="1"/>
          <w:color w:val="auto"/>
        </w:rPr>
        <w:t>Class A Transfer</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firstLine="656"/>
        <w:spacing w:after="0" w:line="263" w:lineRule="auto"/>
        <w:tabs>
          <w:tab w:leader="none" w:pos="10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Immediately following the Class A Transfer and subject to the satisfaction or waiver of the applicable conditions precedent set forth herein, fifty and one one-hundredth percent (50.01%) of the Class A Units (the “</w:t>
      </w:r>
      <w:r>
        <w:rPr>
          <w:rFonts w:ascii="Arial" w:cs="Arial" w:eastAsia="Arial" w:hAnsi="Arial"/>
          <w:sz w:val="18"/>
          <w:szCs w:val="18"/>
          <w:i w:val="1"/>
          <w:iCs w:val="1"/>
          <w:color w:val="auto"/>
        </w:rPr>
        <w:t>Class A Interests</w:t>
      </w:r>
      <w:r>
        <w:rPr>
          <w:rFonts w:ascii="Arial" w:cs="Arial" w:eastAsia="Arial" w:hAnsi="Arial"/>
          <w:sz w:val="18"/>
          <w:szCs w:val="18"/>
          <w:color w:val="auto"/>
        </w:rPr>
        <w:t>”) will be sold to Purchaser for the Class A Purchase Price as provided herein.</w:t>
      </w:r>
    </w:p>
    <w:p>
      <w:pPr>
        <w:spacing w:after="0" w:line="183" w:lineRule="exact"/>
        <w:rPr>
          <w:rFonts w:ascii="Arial" w:cs="Arial" w:eastAsia="Arial" w:hAnsi="Arial"/>
          <w:sz w:val="18"/>
          <w:szCs w:val="18"/>
          <w:color w:val="auto"/>
        </w:rPr>
      </w:pPr>
    </w:p>
    <w:p>
      <w:pPr>
        <w:ind w:firstLine="656"/>
        <w:spacing w:after="0" w:line="277" w:lineRule="auto"/>
        <w:tabs>
          <w:tab w:leader="none" w:pos="10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Purchaser and HASI have agreed that they shall, immediately upon the Second Closing, contribute their respective Class A Units to the Master JV HoldCo and cause Master JV HoldCo to be the sole member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agreements, covenants, representations and warranties set forth herein, and intending to be legally bound hereby, the Parties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PRINCIPLES OF INTERPRETATION</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As used in this Agreement, the following defined terms have the meanings indicated below:</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Interests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Proposal</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5.09</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Action or Proceeding</w:t>
      </w:r>
      <w:r>
        <w:rPr>
          <w:rFonts w:ascii="Arial" w:cs="Arial" w:eastAsia="Arial" w:hAnsi="Arial"/>
          <w:sz w:val="17"/>
          <w:szCs w:val="17"/>
          <w:color w:val="auto"/>
        </w:rPr>
        <w:t>” means any action, suit, proceeding, arbitration or investigation by or before any Governmental Authority.</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Turbine</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Turbine Amount</w:t>
      </w:r>
      <w:r>
        <w:rPr>
          <w:rFonts w:ascii="Arial" w:cs="Arial" w:eastAsia="Arial" w:hAnsi="Arial"/>
          <w:sz w:val="17"/>
          <w:szCs w:val="17"/>
          <w:color w:val="auto"/>
        </w:rPr>
        <w:t>” means, with respect to each Additional Turbine, (</w:t>
      </w:r>
      <w:r>
        <w:rPr>
          <w:rFonts w:ascii="Arial" w:cs="Arial" w:eastAsia="Arial" w:hAnsi="Arial"/>
          <w:sz w:val="17"/>
          <w:szCs w:val="17"/>
          <w:i w:val="1"/>
          <w:iCs w:val="1"/>
          <w:color w:val="auto"/>
        </w:rPr>
        <w:t>a</w:t>
      </w:r>
      <w:r>
        <w:rPr>
          <w:rFonts w:ascii="Arial" w:cs="Arial" w:eastAsia="Arial" w:hAnsi="Arial"/>
          <w:sz w:val="17"/>
          <w:szCs w:val="17"/>
          <w:color w:val="auto"/>
        </w:rPr>
        <w:t>) if the Additional Turbine Deadline occurs before the Second Closing Date, an amount of money that is equal to (</w:t>
      </w:r>
      <w:r>
        <w:rPr>
          <w:rFonts w:ascii="Arial" w:cs="Arial" w:eastAsia="Arial" w:hAnsi="Arial"/>
          <w:sz w:val="17"/>
          <w:szCs w:val="17"/>
          <w:i w:val="1"/>
          <w:iCs w:val="1"/>
          <w:color w:val="auto"/>
        </w:rPr>
        <w:t>i</w:t>
      </w:r>
      <w:r>
        <w:rPr>
          <w:rFonts w:ascii="Arial" w:cs="Arial" w:eastAsia="Arial" w:hAnsi="Arial"/>
          <w:sz w:val="17"/>
          <w:szCs w:val="17"/>
          <w:color w:val="auto"/>
        </w:rPr>
        <w:t xml:space="preserve">) the Additional Turbine Holdback Amount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w:t>
      </w:r>
      <w:r>
        <w:rPr>
          <w:rFonts w:ascii="Arial" w:cs="Arial" w:eastAsia="Arial" w:hAnsi="Arial"/>
          <w:sz w:val="17"/>
          <w:szCs w:val="17"/>
          <w:i w:val="1"/>
          <w:iCs w:val="1"/>
          <w:color w:val="auto"/>
        </w:rPr>
        <w:t>ii</w:t>
      </w:r>
      <w:r>
        <w:rPr>
          <w:rFonts w:ascii="Arial" w:cs="Arial" w:eastAsia="Arial" w:hAnsi="Arial"/>
          <w:sz w:val="17"/>
          <w:szCs w:val="17"/>
          <w:color w:val="auto"/>
        </w:rPr>
        <w:t>) the number of Additional Turbines as of the Closing Date, and (</w:t>
      </w:r>
      <w:r>
        <w:rPr>
          <w:rFonts w:ascii="Arial" w:cs="Arial" w:eastAsia="Arial" w:hAnsi="Arial"/>
          <w:sz w:val="17"/>
          <w:szCs w:val="17"/>
          <w:i w:val="1"/>
          <w:iCs w:val="1"/>
          <w:color w:val="auto"/>
        </w:rPr>
        <w:t>b</w:t>
      </w:r>
      <w:r>
        <w:rPr>
          <w:rFonts w:ascii="Arial" w:cs="Arial" w:eastAsia="Arial" w:hAnsi="Arial"/>
          <w:sz w:val="17"/>
          <w:szCs w:val="17"/>
          <w:color w:val="auto"/>
        </w:rPr>
        <w:t>) if the Additional Turbine Deadline occurs after the Second Closing Date, an amount of money that is equal to the sum of (</w:t>
      </w:r>
      <w:r>
        <w:rPr>
          <w:rFonts w:ascii="Arial" w:cs="Arial" w:eastAsia="Arial" w:hAnsi="Arial"/>
          <w:sz w:val="17"/>
          <w:szCs w:val="17"/>
          <w:i w:val="1"/>
          <w:iCs w:val="1"/>
          <w:color w:val="auto"/>
        </w:rPr>
        <w:t>i</w:t>
      </w:r>
      <w:r>
        <w:rPr>
          <w:rFonts w:ascii="Arial" w:cs="Arial" w:eastAsia="Arial" w:hAnsi="Arial"/>
          <w:sz w:val="17"/>
          <w:szCs w:val="17"/>
          <w:color w:val="auto"/>
        </w:rPr>
        <w:t>) (</w:t>
      </w:r>
      <w:r>
        <w:rPr>
          <w:rFonts w:ascii="Arial" w:cs="Arial" w:eastAsia="Arial" w:hAnsi="Arial"/>
          <w:sz w:val="17"/>
          <w:szCs w:val="17"/>
          <w:i w:val="1"/>
          <w:iCs w:val="1"/>
          <w:color w:val="auto"/>
        </w:rPr>
        <w:t>A</w:t>
      </w:r>
      <w:r>
        <w:rPr>
          <w:rFonts w:ascii="Arial" w:cs="Arial" w:eastAsia="Arial" w:hAnsi="Arial"/>
          <w:sz w:val="17"/>
          <w:szCs w:val="17"/>
          <w:color w:val="auto"/>
        </w:rPr>
        <w:t xml:space="preserve">) the Additional Turbine Holdback Amount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w:t>
      </w:r>
      <w:r>
        <w:rPr>
          <w:rFonts w:ascii="Arial" w:cs="Arial" w:eastAsia="Arial" w:hAnsi="Arial"/>
          <w:sz w:val="17"/>
          <w:szCs w:val="17"/>
          <w:i w:val="1"/>
          <w:iCs w:val="1"/>
          <w:color w:val="auto"/>
        </w:rPr>
        <w:t>B</w:t>
      </w:r>
      <w:r>
        <w:rPr>
          <w:rFonts w:ascii="Arial" w:cs="Arial" w:eastAsia="Arial" w:hAnsi="Arial"/>
          <w:sz w:val="17"/>
          <w:szCs w:val="17"/>
          <w:color w:val="auto"/>
        </w:rPr>
        <w:t xml:space="preserve">) the number of Additional Turbines as of the Closing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w:t>
      </w:r>
      <w:r>
        <w:rPr>
          <w:rFonts w:ascii="Arial" w:cs="Arial" w:eastAsia="Arial" w:hAnsi="Arial"/>
          <w:sz w:val="17"/>
          <w:szCs w:val="17"/>
          <w:i w:val="1"/>
          <w:iCs w:val="1"/>
          <w:color w:val="auto"/>
        </w:rPr>
        <w:t>ii</w:t>
      </w:r>
      <w:r>
        <w:rPr>
          <w:rFonts w:ascii="Arial" w:cs="Arial" w:eastAsia="Arial" w:hAnsi="Arial"/>
          <w:sz w:val="17"/>
          <w:szCs w:val="17"/>
          <w:color w:val="auto"/>
        </w:rPr>
        <w:t>)(</w:t>
      </w:r>
      <w:r>
        <w:rPr>
          <w:rFonts w:ascii="Arial" w:cs="Arial" w:eastAsia="Arial" w:hAnsi="Arial"/>
          <w:sz w:val="17"/>
          <w:szCs w:val="17"/>
          <w:i w:val="1"/>
          <w:iCs w:val="1"/>
          <w:color w:val="auto"/>
        </w:rPr>
        <w:t>A</w:t>
      </w:r>
      <w:r>
        <w:rPr>
          <w:rFonts w:ascii="Arial" w:cs="Arial" w:eastAsia="Arial" w:hAnsi="Arial"/>
          <w:sz w:val="17"/>
          <w:szCs w:val="17"/>
          <w:color w:val="auto"/>
        </w:rPr>
        <w:t xml:space="preserve">) the Second Additional Turbine Holdback Amount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w:t>
      </w:r>
      <w:r>
        <w:rPr>
          <w:rFonts w:ascii="Arial" w:cs="Arial" w:eastAsia="Arial" w:hAnsi="Arial"/>
          <w:sz w:val="17"/>
          <w:szCs w:val="17"/>
          <w:i w:val="1"/>
          <w:iCs w:val="1"/>
          <w:color w:val="auto"/>
        </w:rPr>
        <w:t>ii</w:t>
      </w:r>
      <w:r>
        <w:rPr>
          <w:rFonts w:ascii="Arial" w:cs="Arial" w:eastAsia="Arial" w:hAnsi="Arial"/>
          <w:sz w:val="17"/>
          <w:szCs w:val="17"/>
          <w:color w:val="auto"/>
        </w:rPr>
        <w:t>) the number of Additional Turbines as of the Second Closing Date.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Turbine Deadline</w:t>
      </w:r>
      <w:r>
        <w:rPr>
          <w:rFonts w:ascii="Arial" w:cs="Arial" w:eastAsia="Arial" w:hAnsi="Arial"/>
          <w:sz w:val="17"/>
          <w:szCs w:val="17"/>
          <w:color w:val="auto"/>
        </w:rPr>
        <w:t>” means the earlier of (</w:t>
      </w:r>
      <w:r>
        <w:rPr>
          <w:rFonts w:ascii="Arial" w:cs="Arial" w:eastAsia="Arial" w:hAnsi="Arial"/>
          <w:sz w:val="17"/>
          <w:szCs w:val="17"/>
          <w:i w:val="1"/>
          <w:iCs w:val="1"/>
          <w:color w:val="auto"/>
        </w:rPr>
        <w:t>a</w:t>
      </w:r>
      <w:r>
        <w:rPr>
          <w:rFonts w:ascii="Arial" w:cs="Arial" w:eastAsia="Arial" w:hAnsi="Arial"/>
          <w:sz w:val="17"/>
          <w:szCs w:val="17"/>
          <w:color w:val="auto"/>
        </w:rPr>
        <w:t>) the date on which the final Additional Turbine is Placed in Service and (</w:t>
      </w:r>
      <w:r>
        <w:rPr>
          <w:rFonts w:ascii="Arial" w:cs="Arial" w:eastAsia="Arial" w:hAnsi="Arial"/>
          <w:sz w:val="17"/>
          <w:szCs w:val="17"/>
          <w:i w:val="1"/>
          <w:iCs w:val="1"/>
          <w:color w:val="auto"/>
        </w:rPr>
        <w:t>b</w:t>
      </w:r>
      <w:r>
        <w:rPr>
          <w:rFonts w:ascii="Arial" w:cs="Arial" w:eastAsia="Arial" w:hAnsi="Arial"/>
          <w:sz w:val="17"/>
          <w:szCs w:val="17"/>
          <w:color w:val="auto"/>
        </w:rPr>
        <w: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Outside Date.</w:t>
      </w:r>
    </w:p>
    <w:p>
      <w:pPr>
        <w:spacing w:after="0" w:line="211"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Turbine Holdback Amount</w:t>
      </w:r>
      <w:r>
        <w:rPr>
          <w:rFonts w:ascii="Arial" w:cs="Arial" w:eastAsia="Arial" w:hAnsi="Arial"/>
          <w:sz w:val="16"/>
          <w:szCs w:val="16"/>
          <w:color w:val="auto"/>
        </w:rPr>
        <w:t>” means an amount of money that is equal to (</w:t>
      </w:r>
      <w:r>
        <w:rPr>
          <w:rFonts w:ascii="Arial" w:cs="Arial" w:eastAsia="Arial" w:hAnsi="Arial"/>
          <w:sz w:val="16"/>
          <w:szCs w:val="16"/>
          <w:i w:val="1"/>
          <w:iCs w:val="1"/>
          <w:color w:val="auto"/>
        </w:rPr>
        <w:t>a</w:t>
      </w:r>
      <w:r>
        <w:rPr>
          <w:rFonts w:ascii="Arial" w:cs="Arial" w:eastAsia="Arial" w:hAnsi="Arial"/>
          <w:sz w:val="16"/>
          <w:szCs w:val="16"/>
          <w:color w:val="auto"/>
        </w:rPr>
        <w:t xml:space="preserve">) the Base Purchase Price (as adjusted pursuant to </w:t>
      </w:r>
      <w:r>
        <w:rPr>
          <w:rFonts w:ascii="Arial" w:cs="Arial" w:eastAsia="Arial" w:hAnsi="Arial"/>
          <w:sz w:val="16"/>
          <w:szCs w:val="16"/>
          <w:i w:val="1"/>
          <w:iCs w:val="1"/>
          <w:color w:val="auto"/>
        </w:rPr>
        <w:t>Section 2.04</w:t>
      </w:r>
      <w:r>
        <w:rPr>
          <w:rFonts w:ascii="Arial" w:cs="Arial" w:eastAsia="Arial" w:hAnsi="Arial"/>
          <w:sz w:val="16"/>
          <w:szCs w:val="16"/>
          <w:color w:val="auto"/>
        </w:rPr>
        <w:t>)</w:t>
      </w:r>
      <w:r>
        <w:rPr>
          <w:rFonts w:ascii="Arial" w:cs="Arial" w:eastAsia="Arial" w:hAnsi="Arial"/>
          <w:sz w:val="16"/>
          <w:szCs w:val="16"/>
          <w:i w:val="1"/>
          <w:iCs w:val="1"/>
          <w:color w:val="auto"/>
        </w:rPr>
        <w:t xml:space="preserve"> multiplied by </w:t>
      </w:r>
      <w:r>
        <w:rPr>
          <w:rFonts w:ascii="Arial" w:cs="Arial" w:eastAsia="Arial" w:hAnsi="Arial"/>
          <w:sz w:val="16"/>
          <w:szCs w:val="16"/>
          <w:color w:val="auto"/>
        </w:rPr>
        <w:t>(</w:t>
      </w:r>
      <w:r>
        <w:rPr>
          <w:rFonts w:ascii="Arial" w:cs="Arial" w:eastAsia="Arial" w:hAnsi="Arial"/>
          <w:sz w:val="16"/>
          <w:szCs w:val="16"/>
          <w:i w:val="1"/>
          <w:iCs w:val="1"/>
          <w:color w:val="auto"/>
        </w:rPr>
        <w:t>b</w:t>
      </w:r>
      <w:r>
        <w:rPr>
          <w:rFonts w:ascii="Arial" w:cs="Arial" w:eastAsia="Arial" w:hAnsi="Arial"/>
          <w:sz w:val="16"/>
          <w:szCs w:val="16"/>
          <w:color w:val="auto"/>
        </w:rPr>
        <w:t>) the fraction that is the result of (i) the total number of Additional Turbines as of the Closing Date,</w:t>
      </w:r>
      <w:r>
        <w:rPr>
          <w:rFonts w:ascii="Arial" w:cs="Arial" w:eastAsia="Arial" w:hAnsi="Arial"/>
          <w:sz w:val="16"/>
          <w:szCs w:val="16"/>
          <w:i w:val="1"/>
          <w:iCs w:val="1"/>
          <w:color w:val="auto"/>
        </w:rPr>
        <w:t xml:space="preserve"> divided by </w:t>
      </w:r>
      <w:r>
        <w:rPr>
          <w:rFonts w:ascii="Arial" w:cs="Arial" w:eastAsia="Arial" w:hAnsi="Arial"/>
          <w:sz w:val="16"/>
          <w:szCs w:val="16"/>
          <w:color w:val="auto"/>
        </w:rPr>
        <w:t>(</w:t>
      </w:r>
      <w:r>
        <w:rPr>
          <w:rFonts w:ascii="Arial" w:cs="Arial" w:eastAsia="Arial" w:hAnsi="Arial"/>
          <w:sz w:val="16"/>
          <w:szCs w:val="16"/>
          <w:i w:val="1"/>
          <w:iCs w:val="1"/>
          <w:color w:val="auto"/>
        </w:rPr>
        <w:t>ii</w:t>
      </w:r>
      <w:r>
        <w:rPr>
          <w:rFonts w:ascii="Arial" w:cs="Arial" w:eastAsia="Arial" w:hAnsi="Arial"/>
          <w:sz w:val="16"/>
          <w:szCs w:val="16"/>
          <w:color w:val="auto"/>
        </w:rPr>
        <w:t>) 68.</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Purchase Price Amount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2.04(c)</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Purchase Price Model</w:t>
      </w:r>
      <w:r>
        <w:rPr>
          <w:rFonts w:ascii="Arial" w:cs="Arial" w:eastAsia="Arial" w:hAnsi="Arial"/>
          <w:sz w:val="18"/>
          <w:szCs w:val="18"/>
          <w:color w:val="auto"/>
        </w:rPr>
        <w:t>” means the Base Case Model, with the following updated by Seller prior to the Closing Date, in each case on the basis of the Pricing Adjustments:</w:t>
      </w:r>
    </w:p>
    <w:p>
      <w:pPr>
        <w:spacing w:after="0" w:line="170" w:lineRule="exact"/>
        <w:rPr>
          <w:sz w:val="20"/>
          <w:szCs w:val="20"/>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Tab D - TE, Input Reference J75;</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Tab Inputs, Input Reference C24:25;</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Tab Scenario, Input Reference I8;</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Tab TE Depr, Input Reference G106-AT106</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Tab Inputs, Input Reference C186, C189, C200, C203, C214, C217, C242 and C245;</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Tab Inputs, Input Reference P45:WQ45, P47:AZ47, C11 and C43:C54;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Tab Inputs, Input Reference G144:G182 and H144:H182;</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Tab Inputs, Input Reference E457:E492;</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Tab Inputs, Input Reference G457:G492 and P505:AX505;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Tab Inputs, Input Reference C390:C391.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such calculations shall assume that any expected Additional Turbines will be Placed in Service on the Outside Date.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Energy Group LLC and its direct or indirect subsidiaries, including Seller, the Company and the Mesquite Sky Entities shall not be considered “Affiliates” of Clearway Energy, Inc. and its direct or indirect subsidiaries, including Purchaser.</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Ancillary Document</w:t>
      </w:r>
      <w:r>
        <w:rPr>
          <w:rFonts w:ascii="Arial" w:cs="Arial" w:eastAsia="Arial" w:hAnsi="Arial"/>
          <w:sz w:val="18"/>
          <w:szCs w:val="18"/>
          <w:color w:val="auto"/>
        </w:rPr>
        <w:t xml:space="preserve">” means (a) each of the documents set forth on </w:t>
      </w:r>
      <w:r>
        <w:rPr>
          <w:rFonts w:ascii="Arial" w:cs="Arial" w:eastAsia="Arial" w:hAnsi="Arial"/>
          <w:sz w:val="18"/>
          <w:szCs w:val="18"/>
          <w:i w:val="1"/>
          <w:iCs w:val="1"/>
          <w:color w:val="auto"/>
        </w:rPr>
        <w:t>Schedule 1.03</w:t>
      </w:r>
      <w:r>
        <w:rPr>
          <w:rFonts w:ascii="Arial" w:cs="Arial" w:eastAsia="Arial" w:hAnsi="Arial"/>
          <w:sz w:val="18"/>
          <w:szCs w:val="18"/>
          <w:color w:val="auto"/>
        </w:rPr>
        <w:t xml:space="preserve"> and (b) any Financing Document, in each case, other than the Financing Agreement and the Tax Equity Agreement.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Apex Purchase Agreement</w:t>
      </w:r>
      <w:r>
        <w:rPr>
          <w:rFonts w:ascii="Arial" w:cs="Arial" w:eastAsia="Arial" w:hAnsi="Arial"/>
          <w:sz w:val="18"/>
          <w:szCs w:val="18"/>
          <w:color w:val="auto"/>
        </w:rPr>
        <w:t>” means the membership interest purchase agreement pursuant to which Seller will acquire 100% of the Class A Units in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“Apportioned Obligations</w:t>
      </w:r>
      <w:r>
        <w:rPr>
          <w:rFonts w:ascii="Arial" w:cs="Arial" w:eastAsia="Arial" w:hAnsi="Arial"/>
          <w:sz w:val="18"/>
          <w:szCs w:val="18"/>
          <w:color w:val="auto"/>
        </w:rPr>
        <w:t>” has the meaning set forth in</w:t>
      </w:r>
      <w:r>
        <w:rPr>
          <w:rFonts w:ascii="Arial" w:cs="Arial" w:eastAsia="Arial" w:hAnsi="Arial"/>
          <w:sz w:val="18"/>
          <w:szCs w:val="18"/>
          <w:i w:val="1"/>
          <w:iCs w:val="1"/>
          <w:color w:val="auto"/>
        </w:rPr>
        <w:t xml:space="preserve"> Section 5.08(b)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Assignment of Membership Interests</w:t>
      </w:r>
      <w:r>
        <w:rPr>
          <w:rFonts w:ascii="Arial" w:cs="Arial" w:eastAsia="Arial" w:hAnsi="Arial"/>
          <w:sz w:val="16"/>
          <w:szCs w:val="16"/>
          <w:color w:val="auto"/>
        </w:rPr>
        <w:t xml:space="preserve">” means the Assignment and Assumption Agreement, in substantially the form of </w:t>
      </w:r>
      <w:r>
        <w:rPr>
          <w:rFonts w:ascii="Arial" w:cs="Arial" w:eastAsia="Arial" w:hAnsi="Arial"/>
          <w:sz w:val="16"/>
          <w:szCs w:val="16"/>
          <w:i w:val="1"/>
          <w:iCs w:val="1"/>
          <w:color w:val="auto"/>
        </w:rPr>
        <w:t>Exhibit F</w:t>
      </w:r>
      <w:r>
        <w:rPr>
          <w:rFonts w:ascii="Arial" w:cs="Arial" w:eastAsia="Arial" w:hAnsi="Arial"/>
          <w:sz w:val="16"/>
          <w:szCs w:val="16"/>
          <w:color w:val="auto"/>
        </w:rPr>
        <w:t xml:space="preserve"> attached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Sheet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3.01(u)</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3.01(u)</w:t>
      </w:r>
      <w:r>
        <w:rPr>
          <w:rFonts w:ascii="Arial" w:cs="Arial" w:eastAsia="Arial" w:hAnsi="Arial"/>
          <w:sz w:val="18"/>
          <w:szCs w:val="18"/>
          <w:color w:val="auto"/>
        </w:rPr>
        <w:t>.</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Case Model</w:t>
      </w:r>
      <w:r>
        <w:rPr>
          <w:rFonts w:ascii="Arial" w:cs="Arial" w:eastAsia="Arial" w:hAnsi="Arial"/>
          <w:sz w:val="18"/>
          <w:szCs w:val="18"/>
          <w:color w:val="auto"/>
        </w:rPr>
        <w:t xml:space="preserve">” means the financial projections with respect to the Project in file </w:t>
      </w:r>
      <w:r>
        <w:rPr>
          <w:rFonts w:ascii="Arial" w:cs="Arial" w:eastAsia="Arial" w:hAnsi="Arial"/>
          <w:sz w:val="18"/>
          <w:szCs w:val="18"/>
          <w:i w:val="1"/>
          <w:iCs w:val="1"/>
          <w:color w:val="auto"/>
        </w:rPr>
        <w:t>Mesquite Sky Financial Model – CE Vehicle –</w:t>
      </w:r>
      <w:r>
        <w:rPr>
          <w:rFonts w:ascii="Arial" w:cs="Arial" w:eastAsia="Arial" w:hAnsi="Arial"/>
          <w:sz w:val="18"/>
          <w:szCs w:val="18"/>
          <w:color w:val="auto"/>
        </w:rPr>
        <w:t xml:space="preserve"> </w:t>
      </w:r>
      <w:r>
        <w:rPr>
          <w:rFonts w:ascii="Arial" w:cs="Arial" w:eastAsia="Arial" w:hAnsi="Arial"/>
          <w:sz w:val="18"/>
          <w:szCs w:val="18"/>
          <w:i w:val="1"/>
          <w:iCs w:val="1"/>
          <w:color w:val="auto"/>
        </w:rPr>
        <w:t>External CWEN 12142020.xlsb</w:t>
      </w:r>
      <w:r>
        <w:rPr>
          <w:rFonts w:ascii="Arial" w:cs="Arial" w:eastAsia="Arial" w:hAnsi="Arial"/>
          <w:sz w:val="18"/>
          <w:szCs w:val="18"/>
          <w:color w:val="auto"/>
        </w:rPr>
        <w:t>, and attached as</w:t>
      </w:r>
      <w:r>
        <w:rPr>
          <w:rFonts w:ascii="Arial" w:cs="Arial" w:eastAsia="Arial" w:hAnsi="Arial"/>
          <w:sz w:val="18"/>
          <w:szCs w:val="18"/>
          <w:i w:val="1"/>
          <w:iCs w:val="1"/>
          <w:color w:val="auto"/>
        </w:rPr>
        <w:t xml:space="preserve"> Exhibit A</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Purchase Price</w:t>
      </w:r>
      <w:r>
        <w:rPr>
          <w:rFonts w:ascii="Arial" w:cs="Arial" w:eastAsia="Arial" w:hAnsi="Arial"/>
          <w:sz w:val="18"/>
          <w:szCs w:val="18"/>
          <w:color w:val="auto"/>
        </w:rPr>
        <w:t>” has the meaning set forth in Section 2.02.</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Build-Out Agreement</w:t>
      </w:r>
      <w:r>
        <w:rPr>
          <w:rFonts w:ascii="Arial" w:cs="Arial" w:eastAsia="Arial" w:hAnsi="Arial"/>
          <w:sz w:val="18"/>
          <w:szCs w:val="18"/>
          <w:color w:val="auto"/>
        </w:rPr>
        <w:t xml:space="preserve">” means that certain Build-Out Agreement, to be dated as of the Closing Date, by and among the Project Company, TE HoldCo, Clearway Energy Operating LLC, and each subsequent party that may become a party thereto substantially in the form and to the effect of </w:t>
      </w:r>
      <w:r>
        <w:rPr>
          <w:rFonts w:ascii="Arial" w:cs="Arial" w:eastAsia="Arial" w:hAnsi="Arial"/>
          <w:sz w:val="18"/>
          <w:szCs w:val="18"/>
          <w:i w:val="1"/>
          <w:iCs w:val="1"/>
          <w:color w:val="auto"/>
        </w:rPr>
        <w:t>Exhibit H</w:t>
      </w:r>
      <w:r>
        <w:rPr>
          <w:rFonts w:ascii="Arial" w:cs="Arial" w:eastAsia="Arial" w:hAnsi="Arial"/>
          <w:sz w:val="18"/>
          <w:szCs w:val="18"/>
          <w:color w:val="auto"/>
        </w:rPr>
        <w:t>.</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Saturday, Sunday or any day on which banks located in the State of New York or the State of New Jersey are authorized or obligated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6.04(b)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Interests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Member</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Purchase Price</w:t>
      </w:r>
      <w:r>
        <w:rPr>
          <w:rFonts w:ascii="Arial" w:cs="Arial" w:eastAsia="Arial" w:hAnsi="Arial"/>
          <w:sz w:val="18"/>
          <w:szCs w:val="18"/>
          <w:color w:val="auto"/>
        </w:rPr>
        <w:t>” means an amount equal to $2,358,859.85.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Transfer</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Units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Holdco”</w:t>
      </w:r>
      <w:r>
        <w:rPr>
          <w:rFonts w:ascii="Arial" w:cs="Arial" w:eastAsia="Arial" w:hAnsi="Arial"/>
          <w:sz w:val="18"/>
          <w:szCs w:val="18"/>
          <w:color w:val="auto"/>
        </w:rPr>
        <w:t xml:space="preserve">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Purchase Price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Units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Section2.03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Section2.03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 Schedule Supplement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Contracts</w:t>
      </w:r>
      <w:r>
        <w:rPr>
          <w:rFonts w:ascii="Arial" w:cs="Arial" w:eastAsia="Arial" w:hAnsi="Arial"/>
          <w:sz w:val="17"/>
          <w:szCs w:val="17"/>
          <w:color w:val="auto"/>
        </w:rPr>
        <w:t>” means all material Contracts and amendments, modifications and supplements thereto, to which the Company or the Mesquite Sky Entities is a party or by which the Company, the Mesquite Sky Entities or any of their assets or properties are bound.</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Consequential Damages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8.15</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Constitutive Documents</w:t>
      </w:r>
      <w:r>
        <w:rPr>
          <w:rFonts w:ascii="Arial" w:cs="Arial" w:eastAsia="Arial" w:hAnsi="Arial"/>
          <w:sz w:val="16"/>
          <w:szCs w:val="16"/>
          <w:color w:val="auto"/>
        </w:rPr>
        <w:t>” means the certificate of formation and the limited liability company agreement or partnership agreement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w:t>
      </w:r>
      <w:r>
        <w:rPr>
          <w:rFonts w:ascii="Arial" w:cs="Arial" w:eastAsia="Arial" w:hAnsi="Arial"/>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Deductible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6.04(a)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Schedules</w:t>
      </w:r>
      <w:r>
        <w:rPr>
          <w:rFonts w:ascii="Arial" w:cs="Arial" w:eastAsia="Arial" w:hAnsi="Arial"/>
          <w:sz w:val="18"/>
          <w:szCs w:val="18"/>
          <w:color w:val="auto"/>
        </w:rPr>
        <w:t>” means the schedules to Seller’s and Purchaser’s representations and warranties of even date herewith delivered in connection with the execution and delivery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Drop Down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Drop Down Assignment &amp; Assumption Agreement</w:t>
      </w:r>
      <w:r>
        <w:rPr>
          <w:rFonts w:ascii="Arial" w:cs="Arial" w:eastAsia="Arial" w:hAnsi="Arial"/>
          <w:sz w:val="18"/>
          <w:szCs w:val="18"/>
          <w:color w:val="auto"/>
        </w:rPr>
        <w:t xml:space="preserve">” means the assignment of the Acquired Interests or the Class A Interests, as applicable, to be executed by Purchaser and the Master JV HoldCo immediately upon the Closing or the Second Closing, as applicable, in the form attached hereto as </w:t>
      </w:r>
      <w:r>
        <w:rPr>
          <w:rFonts w:ascii="Arial" w:cs="Arial" w:eastAsia="Arial" w:hAnsi="Arial"/>
          <w:sz w:val="18"/>
          <w:szCs w:val="18"/>
          <w:i w:val="1"/>
          <w:iCs w:val="1"/>
          <w:color w:val="auto"/>
        </w:rPr>
        <w:t>Exhibit I</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 Plan</w:t>
      </w:r>
      <w:r>
        <w:rPr>
          <w:rFonts w:ascii="Arial" w:cs="Arial" w:eastAsia="Arial" w:hAnsi="Arial"/>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the Company or the Mesquite Sky Entities or any ERISA Affiliate.</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Attributes</w:t>
      </w:r>
      <w:r>
        <w:rPr>
          <w:rFonts w:ascii="Arial" w:cs="Arial" w:eastAsia="Arial" w:hAnsi="Arial"/>
          <w:sz w:val="18"/>
          <w:szCs w:val="18"/>
          <w:color w:val="auto"/>
        </w:rPr>
        <w:t>” means all environmental air quality credits, green credits, carbon credits, emissions reduction credits, certificates, tags, offsets, allowances, or similar products or rights, howsoever entitled, (a) resulting from the avoidance of the emission of any gas, chemical or other substance, including mercury, nitrogen oxide, sulfur dioxide, carbon dioxide, carbon monoxide, particulate matter or similar pollutants or contaminants of air, water, or soil, gas, chemical, or other substance, and (b) attributable to the generation, purchase, sale or use of renewable energy generated or use of renewable generation technologies by the Project, or otherwise attributable to the Project, including any renewable energy credits (“</w:t>
      </w:r>
      <w:r>
        <w:rPr>
          <w:rFonts w:ascii="Arial" w:cs="Arial" w:eastAsia="Arial" w:hAnsi="Arial"/>
          <w:sz w:val="18"/>
          <w:szCs w:val="18"/>
          <w:i w:val="1"/>
          <w:iCs w:val="1"/>
          <w:color w:val="auto"/>
        </w:rPr>
        <w:t>RECs</w:t>
      </w:r>
      <w:r>
        <w:rPr>
          <w:rFonts w:ascii="Arial" w:cs="Arial" w:eastAsia="Arial" w:hAnsi="Arial"/>
          <w:sz w:val="18"/>
          <w:szCs w:val="18"/>
          <w:color w:val="auto"/>
        </w:rPr>
        <w:t>”).</w:t>
      </w:r>
    </w:p>
    <w:p>
      <w:pPr>
        <w:spacing w:after="0" w:line="19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Laws</w:t>
      </w:r>
      <w:r>
        <w:rPr>
          <w:rFonts w:ascii="Arial" w:cs="Arial" w:eastAsia="Arial" w:hAnsi="Arial"/>
          <w:sz w:val="17"/>
          <w:szCs w:val="17"/>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ERCOT</w:t>
      </w:r>
      <w:r>
        <w:rPr>
          <w:rFonts w:ascii="Arial" w:cs="Arial" w:eastAsia="Arial" w:hAnsi="Arial"/>
          <w:sz w:val="16"/>
          <w:szCs w:val="16"/>
          <w:color w:val="auto"/>
        </w:rPr>
        <w:t>” means the Electric Reliability Council of Texas, Inc. “</w:t>
      </w:r>
      <w:r>
        <w:rPr>
          <w:rFonts w:ascii="Arial" w:cs="Arial" w:eastAsia="Arial" w:hAnsi="Arial"/>
          <w:sz w:val="16"/>
          <w:szCs w:val="16"/>
          <w:i w:val="1"/>
          <w:iCs w:val="1"/>
          <w:color w:val="auto"/>
        </w:rPr>
        <w:t>ERISA</w:t>
      </w:r>
      <w:r>
        <w:rPr>
          <w:rFonts w:ascii="Arial" w:cs="Arial" w:eastAsia="Arial" w:hAnsi="Arial"/>
          <w:sz w:val="16"/>
          <w:szCs w:val="16"/>
          <w:color w:val="auto"/>
        </w:rPr>
        <w:t>” means the Employee Retirement Income Security Act of 1974.</w:t>
      </w:r>
    </w:p>
    <w:p>
      <w:pPr>
        <w:spacing w:after="0" w:line="24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xml:space="preserve">” means any entity, trade or business that is a member of a group described in Section 414(b), (c), (m) or (o) of the Code or Section 4001(b)(1) of ERISA that includes Seller, the Company or the Mesquite Sky Entities or that is a member of the same “controlled group” as Seller pursuant to Section 4001(a)(14) of ERISA;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and the Mesquite Sky Entities shall not be considered to be ERISA Affiliates from and after the Closing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Execution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Exempt Wholesale Generator</w:t>
      </w:r>
      <w:r>
        <w:rPr>
          <w:rFonts w:ascii="Arial" w:cs="Arial" w:eastAsia="Arial" w:hAnsi="Arial"/>
          <w:sz w:val="18"/>
          <w:szCs w:val="18"/>
          <w:color w:val="auto"/>
        </w:rPr>
        <w:t>” or “</w:t>
      </w:r>
      <w:r>
        <w:rPr>
          <w:rFonts w:ascii="Arial" w:cs="Arial" w:eastAsia="Arial" w:hAnsi="Arial"/>
          <w:sz w:val="18"/>
          <w:szCs w:val="18"/>
          <w:i w:val="1"/>
          <w:iCs w:val="1"/>
          <w:color w:val="auto"/>
        </w:rPr>
        <w:t>EWG</w:t>
      </w:r>
      <w:r>
        <w:rPr>
          <w:rFonts w:ascii="Arial" w:cs="Arial" w:eastAsia="Arial" w:hAnsi="Arial"/>
          <w:sz w:val="18"/>
          <w:szCs w:val="18"/>
          <w:color w:val="auto"/>
        </w:rPr>
        <w:t>” has the meaning given to such term in PUHCA.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FERC</w:t>
      </w:r>
      <w:r>
        <w:rPr>
          <w:rFonts w:ascii="Arial" w:cs="Arial" w:eastAsia="Arial" w:hAnsi="Arial"/>
          <w:sz w:val="18"/>
          <w:szCs w:val="18"/>
          <w:color w:val="auto"/>
        </w:rPr>
        <w:t>” means the Federal Energy Regulatory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 Date</w:t>
      </w:r>
      <w:r>
        <w:rPr>
          <w:rFonts w:ascii="Arial" w:cs="Arial" w:eastAsia="Arial" w:hAnsi="Arial"/>
          <w:sz w:val="18"/>
          <w:szCs w:val="18"/>
          <w:color w:val="auto"/>
        </w:rPr>
        <w:t>” means the date on which Final Completion occurs.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Agreement</w:t>
      </w:r>
      <w:r>
        <w:rPr>
          <w:rFonts w:ascii="Arial" w:cs="Arial" w:eastAsia="Arial" w:hAnsi="Arial"/>
          <w:sz w:val="18"/>
          <w:szCs w:val="18"/>
          <w:color w:val="auto"/>
        </w:rPr>
        <w:t xml:space="preserve">” means that certain Financing Agreement to be entered into by and among Class B Holdco, as borrower, [***], and the other lenders party thereto, in the form delivered by Seller to Purchaser prior to the Execution Date or as modified from such form pursuant to the terms and subject to the conditions of </w:t>
      </w:r>
      <w:r>
        <w:rPr>
          <w:rFonts w:ascii="Arial" w:cs="Arial" w:eastAsia="Arial" w:hAnsi="Arial"/>
          <w:sz w:val="18"/>
          <w:szCs w:val="18"/>
          <w:i w:val="1"/>
          <w:iCs w:val="1"/>
          <w:color w:val="auto"/>
        </w:rPr>
        <w:t>Section 5.12(a)</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Documents</w:t>
      </w:r>
      <w:r>
        <w:rPr>
          <w:rFonts w:ascii="Arial" w:cs="Arial" w:eastAsia="Arial" w:hAnsi="Arial"/>
          <w:sz w:val="18"/>
          <w:szCs w:val="18"/>
          <w:color w:val="auto"/>
        </w:rPr>
        <w:t>” means, collectively, (</w:t>
      </w:r>
      <w:r>
        <w:rPr>
          <w:rFonts w:ascii="Arial" w:cs="Arial" w:eastAsia="Arial" w:hAnsi="Arial"/>
          <w:sz w:val="18"/>
          <w:szCs w:val="18"/>
          <w:i w:val="1"/>
          <w:iCs w:val="1"/>
          <w:color w:val="auto"/>
        </w:rPr>
        <w:t>a</w:t>
      </w:r>
      <w:r>
        <w:rPr>
          <w:rFonts w:ascii="Arial" w:cs="Arial" w:eastAsia="Arial" w:hAnsi="Arial"/>
          <w:sz w:val="18"/>
          <w:szCs w:val="18"/>
          <w:color w:val="auto"/>
        </w:rPr>
        <w:t>) the Financing Documents (as defined in the Financing Agreement) and (</w:t>
      </w:r>
      <w:r>
        <w:rPr>
          <w:rFonts w:ascii="Arial" w:cs="Arial" w:eastAsia="Arial" w:hAnsi="Arial"/>
          <w:sz w:val="18"/>
          <w:szCs w:val="18"/>
          <w:i w:val="1"/>
          <w:iCs w:val="1"/>
          <w:color w:val="auto"/>
        </w:rPr>
        <w:t>b</w:t>
      </w:r>
      <w:r>
        <w:rPr>
          <w:rFonts w:ascii="Arial" w:cs="Arial" w:eastAsia="Arial" w:hAnsi="Arial"/>
          <w:sz w:val="18"/>
          <w:szCs w:val="18"/>
          <w:color w:val="auto"/>
        </w:rPr>
        <w:t>) the Tax Equity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FPA</w:t>
      </w:r>
      <w:r>
        <w:rPr>
          <w:rFonts w:ascii="Arial" w:cs="Arial" w:eastAsia="Arial" w:hAnsi="Arial"/>
          <w:sz w:val="18"/>
          <w:szCs w:val="18"/>
          <w:color w:val="auto"/>
        </w:rPr>
        <w:t>” means the Federal Power Act and all rules and regulations adopted thereunder.</w:t>
      </w:r>
    </w:p>
    <w:p>
      <w:pPr>
        <w:spacing w:after="0" w:line="225"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Fraudulent Action</w:t>
      </w:r>
      <w:r>
        <w:rPr>
          <w:rFonts w:ascii="Arial" w:cs="Arial" w:eastAsia="Arial" w:hAnsi="Arial"/>
          <w:sz w:val="17"/>
          <w:szCs w:val="17"/>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means generally accepted accounting principles in the United States, consistently applied throughout the relevant periods.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Approval</w:t>
      </w:r>
      <w:r>
        <w:rPr>
          <w:rFonts w:ascii="Arial" w:cs="Arial" w:eastAsia="Arial" w:hAnsi="Arial"/>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ERCOT, and each Regional Entity, or any court or governmental tribunal.</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HASI</w:t>
      </w:r>
      <w:r>
        <w:rPr>
          <w:rFonts w:ascii="Arial" w:cs="Arial" w:eastAsia="Arial" w:hAnsi="Arial"/>
          <w:sz w:val="18"/>
          <w:szCs w:val="18"/>
          <w:color w:val="auto"/>
        </w:rPr>
        <w:t>” means HA Lighthouse LLC, a Delaware limited liability company.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HASI Purchase Agreement</w:t>
      </w:r>
      <w:r>
        <w:rPr>
          <w:rFonts w:ascii="Arial" w:cs="Arial" w:eastAsia="Arial" w:hAnsi="Arial"/>
          <w:sz w:val="18"/>
          <w:szCs w:val="18"/>
          <w:color w:val="auto"/>
        </w:rPr>
        <w:t>” means the membership interest purchase and sale agreement pursuant to which HASI will acquire the remaining (</w:t>
      </w:r>
      <w:r>
        <w:rPr>
          <w:rFonts w:ascii="Arial" w:cs="Arial" w:eastAsia="Arial" w:hAnsi="Arial"/>
          <w:sz w:val="18"/>
          <w:szCs w:val="18"/>
          <w:i w:val="1"/>
          <w:iCs w:val="1"/>
          <w:color w:val="auto"/>
        </w:rPr>
        <w:t>a</w:t>
      </w:r>
      <w:r>
        <w:rPr>
          <w:rFonts w:ascii="Arial" w:cs="Arial" w:eastAsia="Arial" w:hAnsi="Arial"/>
          <w:sz w:val="18"/>
          <w:szCs w:val="18"/>
          <w:color w:val="auto"/>
        </w:rPr>
        <w:t>) 49.99% of the Class B Units from Seller simultaneously with the Closing, and (</w:t>
      </w:r>
      <w:r>
        <w:rPr>
          <w:rFonts w:ascii="Arial" w:cs="Arial" w:eastAsia="Arial" w:hAnsi="Arial"/>
          <w:sz w:val="18"/>
          <w:szCs w:val="18"/>
          <w:i w:val="1"/>
          <w:iCs w:val="1"/>
          <w:color w:val="auto"/>
        </w:rPr>
        <w:t>b</w:t>
      </w:r>
      <w:r>
        <w:rPr>
          <w:rFonts w:ascii="Arial" w:cs="Arial" w:eastAsia="Arial" w:hAnsi="Arial"/>
          <w:sz w:val="18"/>
          <w:szCs w:val="18"/>
          <w:color w:val="auto"/>
        </w:rPr>
        <w:t>) 49.99% of the Class A Units from Seller simultaneously with the Second Closing.</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Substances</w:t>
      </w:r>
      <w:r>
        <w:rPr>
          <w:rFonts w:ascii="Arial" w:cs="Arial" w:eastAsia="Arial" w:hAnsi="Arial"/>
          <w:sz w:val="18"/>
          <w:szCs w:val="18"/>
          <w:color w:val="auto"/>
        </w:rPr>
        <w:t>” means any substance, element, compound or mixture, whether solid, liquid or gaseous: (</w:t>
      </w:r>
      <w:r>
        <w:rPr>
          <w:rFonts w:ascii="Arial" w:cs="Arial" w:eastAsia="Arial" w:hAnsi="Arial"/>
          <w:sz w:val="18"/>
          <w:szCs w:val="18"/>
          <w:i w:val="1"/>
          <w:iCs w:val="1"/>
          <w:color w:val="auto"/>
        </w:rPr>
        <w:t>a</w:t>
      </w:r>
      <w:r>
        <w:rPr>
          <w:rFonts w:ascii="Arial" w:cs="Arial" w:eastAsia="Arial" w:hAnsi="Arial"/>
          <w:sz w:val="18"/>
          <w:szCs w:val="18"/>
          <w:color w:val="auto"/>
        </w:rPr>
        <w:t>) which is defined as “hazardous waste” or “hazardous substance” or “pollutant” or “contaminant” under any Environmental Law; (</w:t>
      </w:r>
      <w:r>
        <w:rPr>
          <w:rFonts w:ascii="Arial" w:cs="Arial" w:eastAsia="Arial" w:hAnsi="Arial"/>
          <w:sz w:val="18"/>
          <w:szCs w:val="18"/>
          <w:i w:val="1"/>
          <w:iCs w:val="1"/>
          <w:color w:val="auto"/>
        </w:rPr>
        <w:t>b</w:t>
      </w:r>
      <w:r>
        <w:rPr>
          <w:rFonts w:ascii="Arial" w:cs="Arial" w:eastAsia="Arial" w:hAnsi="Arial"/>
          <w:sz w:val="18"/>
          <w:szCs w:val="18"/>
          <w:color w:val="auto"/>
        </w:rPr>
        <w:t>) which is otherwise hazardous and is subject to regulation by any Governmental Authority; (</w:t>
      </w:r>
      <w:r>
        <w:rPr>
          <w:rFonts w:ascii="Arial" w:cs="Arial" w:eastAsia="Arial" w:hAnsi="Arial"/>
          <w:sz w:val="18"/>
          <w:szCs w:val="18"/>
          <w:i w:val="1"/>
          <w:iCs w:val="1"/>
          <w:color w:val="auto"/>
        </w:rPr>
        <w:t>c</w:t>
      </w:r>
      <w:r>
        <w:rPr>
          <w:rFonts w:ascii="Arial" w:cs="Arial" w:eastAsia="Arial" w:hAnsi="Arial"/>
          <w:sz w:val="18"/>
          <w:szCs w:val="18"/>
          <w:color w:val="auto"/>
        </w:rPr>
        <w:t>) petroleum hydrocarbons (other than naturally occurring petroleum hydrocarbons); (</w:t>
      </w:r>
      <w:r>
        <w:rPr>
          <w:rFonts w:ascii="Arial" w:cs="Arial" w:eastAsia="Arial" w:hAnsi="Arial"/>
          <w:sz w:val="18"/>
          <w:szCs w:val="18"/>
          <w:i w:val="1"/>
          <w:iCs w:val="1"/>
          <w:color w:val="auto"/>
        </w:rPr>
        <w:t>d</w:t>
      </w:r>
      <w:r>
        <w:rPr>
          <w:rFonts w:ascii="Arial" w:cs="Arial" w:eastAsia="Arial" w:hAnsi="Arial"/>
          <w:sz w:val="18"/>
          <w:szCs w:val="18"/>
          <w:color w:val="auto"/>
        </w:rPr>
        <w:t>) polychlorinated biphenyls (PCBs); (</w:t>
      </w:r>
      <w:r>
        <w:rPr>
          <w:rFonts w:ascii="Arial" w:cs="Arial" w:eastAsia="Arial" w:hAnsi="Arial"/>
          <w:sz w:val="18"/>
          <w:szCs w:val="18"/>
          <w:i w:val="1"/>
          <w:iCs w:val="1"/>
          <w:color w:val="auto"/>
        </w:rPr>
        <w:t>e</w:t>
      </w:r>
      <w:r>
        <w:rPr>
          <w:rFonts w:ascii="Arial" w:cs="Arial" w:eastAsia="Arial" w:hAnsi="Arial"/>
          <w:sz w:val="18"/>
          <w:szCs w:val="18"/>
          <w:color w:val="auto"/>
        </w:rPr>
        <w:t>) asbestos-containing materials (other than naturally occurring asbestos); or (</w:t>
      </w:r>
      <w:r>
        <w:rPr>
          <w:rFonts w:ascii="Arial" w:cs="Arial" w:eastAsia="Arial" w:hAnsi="Arial"/>
          <w:sz w:val="18"/>
          <w:szCs w:val="18"/>
          <w:i w:val="1"/>
          <w:iCs w:val="1"/>
          <w:color w:val="auto"/>
        </w:rPr>
        <w:t>f</w:t>
      </w:r>
      <w:r>
        <w:rPr>
          <w:rFonts w:ascii="Arial" w:cs="Arial" w:eastAsia="Arial" w:hAnsi="Arial"/>
          <w:sz w:val="18"/>
          <w:szCs w:val="18"/>
          <w:color w:val="auto"/>
        </w:rPr>
        <w:t>) radioactive materials (other than naturally occurring radioactive materials).</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all obligations of a Person (</w:t>
      </w:r>
      <w:r>
        <w:rPr>
          <w:rFonts w:ascii="Arial" w:cs="Arial" w:eastAsia="Arial" w:hAnsi="Arial"/>
          <w:sz w:val="18"/>
          <w:szCs w:val="18"/>
          <w:i w:val="1"/>
          <w:iCs w:val="1"/>
          <w:color w:val="auto"/>
        </w:rPr>
        <w:t>a</w:t>
      </w:r>
      <w:r>
        <w:rPr>
          <w:rFonts w:ascii="Arial" w:cs="Arial" w:eastAsia="Arial" w:hAnsi="Arial"/>
          <w:sz w:val="18"/>
          <w:szCs w:val="18"/>
          <w:color w:val="auto"/>
        </w:rPr>
        <w:t>) for borrowed money, (</w:t>
      </w:r>
      <w:r>
        <w:rPr>
          <w:rFonts w:ascii="Arial" w:cs="Arial" w:eastAsia="Arial" w:hAnsi="Arial"/>
          <w:sz w:val="18"/>
          <w:szCs w:val="18"/>
          <w:i w:val="1"/>
          <w:iCs w:val="1"/>
          <w:color w:val="auto"/>
        </w:rPr>
        <w:t>b</w:t>
      </w:r>
      <w:r>
        <w:rPr>
          <w:rFonts w:ascii="Arial" w:cs="Arial" w:eastAsia="Arial" w:hAnsi="Arial"/>
          <w:sz w:val="18"/>
          <w:szCs w:val="18"/>
          <w:color w:val="auto"/>
        </w:rPr>
        <w:t>) evidenced by notes, bonds, debentures or similar instruments, (</w:t>
      </w:r>
      <w:r>
        <w:rPr>
          <w:rFonts w:ascii="Arial" w:cs="Arial" w:eastAsia="Arial" w:hAnsi="Arial"/>
          <w:sz w:val="18"/>
          <w:szCs w:val="18"/>
          <w:i w:val="1"/>
          <w:iCs w:val="1"/>
          <w:color w:val="auto"/>
        </w:rPr>
        <w:t>c</w:t>
      </w:r>
      <w:r>
        <w:rPr>
          <w:rFonts w:ascii="Arial" w:cs="Arial" w:eastAsia="Arial" w:hAnsi="Arial"/>
          <w:sz w:val="18"/>
          <w:szCs w:val="18"/>
          <w:color w:val="auto"/>
        </w:rPr>
        <w:t>) for the deferred purchase price of goods or services (other than trade payables or accruals incurred in the ordinary course of business and not past due), (</w:t>
      </w:r>
      <w:r>
        <w:rPr>
          <w:rFonts w:ascii="Arial" w:cs="Arial" w:eastAsia="Arial" w:hAnsi="Arial"/>
          <w:sz w:val="18"/>
          <w:szCs w:val="18"/>
          <w:i w:val="1"/>
          <w:iCs w:val="1"/>
          <w:color w:val="auto"/>
        </w:rPr>
        <w:t>d</w:t>
      </w:r>
      <w:r>
        <w:rPr>
          <w:rFonts w:ascii="Arial" w:cs="Arial" w:eastAsia="Arial" w:hAnsi="Arial"/>
          <w:sz w:val="18"/>
          <w:szCs w:val="18"/>
          <w:color w:val="auto"/>
        </w:rPr>
        <w:t>) under capital leases, (</w:t>
      </w:r>
      <w:r>
        <w:rPr>
          <w:rFonts w:ascii="Arial" w:cs="Arial" w:eastAsia="Arial" w:hAnsi="Arial"/>
          <w:sz w:val="18"/>
          <w:szCs w:val="18"/>
          <w:i w:val="1"/>
          <w:iCs w:val="1"/>
          <w:color w:val="auto"/>
        </w:rPr>
        <w:t>e</w:t>
      </w:r>
      <w:r>
        <w:rPr>
          <w:rFonts w:ascii="Arial" w:cs="Arial" w:eastAsia="Arial" w:hAnsi="Arial"/>
          <w:sz w:val="18"/>
          <w:szCs w:val="18"/>
          <w:color w:val="auto"/>
        </w:rPr>
        <w:t>) secured by a Lien on the assets of such Person, whether or not such obligation has been assumed by such Person, (</w:t>
      </w:r>
      <w:r>
        <w:rPr>
          <w:rFonts w:ascii="Arial" w:cs="Arial" w:eastAsia="Arial" w:hAnsi="Arial"/>
          <w:sz w:val="18"/>
          <w:szCs w:val="18"/>
          <w:i w:val="1"/>
          <w:iCs w:val="1"/>
          <w:color w:val="auto"/>
        </w:rPr>
        <w:t>f</w:t>
      </w:r>
      <w:r>
        <w:rPr>
          <w:rFonts w:ascii="Arial" w:cs="Arial" w:eastAsia="Arial" w:hAnsi="Arial"/>
          <w:sz w:val="18"/>
          <w:szCs w:val="18"/>
          <w:color w:val="auto"/>
        </w:rPr>
        <w:t>) with respect to reimbursement obligations for letters of credit and other similar instruments (whether or not drawn), (</w:t>
      </w:r>
      <w:r>
        <w:rPr>
          <w:rFonts w:ascii="Arial" w:cs="Arial" w:eastAsia="Arial" w:hAnsi="Arial"/>
          <w:sz w:val="18"/>
          <w:szCs w:val="18"/>
          <w:i w:val="1"/>
          <w:iCs w:val="1"/>
          <w:color w:val="auto"/>
        </w:rPr>
        <w:t>g</w:t>
      </w:r>
      <w:r>
        <w:rPr>
          <w:rFonts w:ascii="Arial" w:cs="Arial" w:eastAsia="Arial" w:hAnsi="Arial"/>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Arial" w:cs="Arial" w:eastAsia="Arial" w:hAnsi="Arial"/>
          <w:sz w:val="18"/>
          <w:szCs w:val="18"/>
          <w:i w:val="1"/>
          <w:iCs w:val="1"/>
          <w:color w:val="auto"/>
        </w:rPr>
        <w:t>h</w:t>
      </w:r>
      <w:r>
        <w:rPr>
          <w:rFonts w:ascii="Arial" w:cs="Arial" w:eastAsia="Arial" w:hAnsi="Arial"/>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Arial" w:cs="Arial" w:eastAsia="Arial" w:hAnsi="Arial"/>
          <w:sz w:val="18"/>
          <w:szCs w:val="18"/>
          <w:i w:val="1"/>
          <w:iCs w:val="1"/>
          <w:color w:val="auto"/>
        </w:rPr>
        <w:t>i</w:t>
      </w:r>
      <w:r>
        <w:rPr>
          <w:rFonts w:ascii="Arial" w:cs="Arial" w:eastAsia="Arial" w:hAnsi="Arial"/>
          <w:sz w:val="18"/>
          <w:szCs w:val="18"/>
          <w:color w:val="auto"/>
        </w:rPr>
        <w:t>) in respect of any other amount properly characterized as indebtedness in accordance with GAAP.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xml:space="preserve">” means any Person claiming indemnification under any provision of </w:t>
      </w:r>
      <w:r>
        <w:rPr>
          <w:rFonts w:ascii="Arial" w:cs="Arial" w:eastAsia="Arial" w:hAnsi="Arial"/>
          <w:sz w:val="18"/>
          <w:szCs w:val="18"/>
          <w:i w:val="1"/>
          <w:iCs w:val="1"/>
          <w:color w:val="auto"/>
        </w:rPr>
        <w:t>Article 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Indemnifying Party</w:t>
      </w:r>
      <w:r>
        <w:rPr>
          <w:rFonts w:ascii="Arial" w:cs="Arial" w:eastAsia="Arial" w:hAnsi="Arial"/>
          <w:sz w:val="17"/>
          <w:szCs w:val="17"/>
          <w:color w:val="auto"/>
        </w:rPr>
        <w:t xml:space="preserve">” means any Person against whom a claim for indemnification is being asserted under any provision of </w:t>
      </w:r>
      <w:r>
        <w:rPr>
          <w:rFonts w:ascii="Arial" w:cs="Arial" w:eastAsia="Arial" w:hAnsi="Arial"/>
          <w:sz w:val="17"/>
          <w:szCs w:val="17"/>
          <w:i w:val="1"/>
          <w:iCs w:val="1"/>
          <w:color w:val="auto"/>
        </w:rPr>
        <w:t>Article 6</w:t>
      </w:r>
      <w:r>
        <w:rPr>
          <w:rFonts w:ascii="Arial" w:cs="Arial" w:eastAsia="Arial" w:hAnsi="Arial"/>
          <w:sz w:val="17"/>
          <w:szCs w:val="17"/>
          <w:color w:val="auto"/>
        </w:rPr>
        <w: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Interconnection Agreement</w:t>
      </w:r>
      <w:r>
        <w:rPr>
          <w:rFonts w:ascii="Arial" w:cs="Arial" w:eastAsia="Arial" w:hAnsi="Arial"/>
          <w:sz w:val="18"/>
          <w:szCs w:val="18"/>
          <w:color w:val="auto"/>
        </w:rPr>
        <w:t xml:space="preserve">” has the meaning set forth on </w:t>
      </w:r>
      <w:r>
        <w:rPr>
          <w:rFonts w:ascii="Arial" w:cs="Arial" w:eastAsia="Arial" w:hAnsi="Arial"/>
          <w:sz w:val="18"/>
          <w:szCs w:val="18"/>
          <w:i w:val="1"/>
          <w:iCs w:val="1"/>
          <w:color w:val="auto"/>
        </w:rPr>
        <w:t>Schedule 3.01(m)(i)</w:t>
      </w:r>
      <w:r>
        <w:rPr>
          <w:rFonts w:ascii="Arial" w:cs="Arial" w:eastAsia="Arial" w:hAnsi="Arial"/>
          <w:sz w:val="18"/>
          <w:szCs w:val="18"/>
          <w:color w:val="auto"/>
        </w:rPr>
        <w:t xml:space="preserve"> of the Disclosure Schedule</w:t>
      </w:r>
      <w:r>
        <w:rPr>
          <w:rFonts w:ascii="Arial" w:cs="Arial" w:eastAsia="Arial" w:hAnsi="Arial"/>
          <w:sz w:val="18"/>
          <w:szCs w:val="18"/>
          <w:i w:val="1"/>
          <w:iCs w:val="1"/>
          <w:color w:val="auto"/>
        </w:rPr>
        <w: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Interim Period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Knowledge</w:t>
      </w:r>
      <w:r>
        <w:rPr>
          <w:rFonts w:ascii="Arial" w:cs="Arial" w:eastAsia="Arial" w:hAnsi="Arial"/>
          <w:sz w:val="18"/>
          <w:szCs w:val="18"/>
          <w:color w:val="auto"/>
        </w:rPr>
        <w:t>” means the actual knowledge of [***], after reasonable inquiry of their direct reports.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Land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3.01(n)(i)</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w:t>
      </w:r>
      <w:r>
        <w:rPr>
          <w:rFonts w:ascii="Arial" w:cs="Arial" w:eastAsia="Arial" w:hAnsi="Arial"/>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means any liability, Indebtedness, obligation, commitment, or expense, in each case, requiring either (</w:t>
      </w:r>
      <w:r>
        <w:rPr>
          <w:rFonts w:ascii="Arial" w:cs="Arial" w:eastAsia="Arial" w:hAnsi="Arial"/>
          <w:sz w:val="18"/>
          <w:szCs w:val="18"/>
          <w:i w:val="1"/>
          <w:iCs w:val="1"/>
          <w:color w:val="auto"/>
        </w:rPr>
        <w:t>a</w:t>
      </w:r>
      <w:r>
        <w:rPr>
          <w:rFonts w:ascii="Arial" w:cs="Arial" w:eastAsia="Arial" w:hAnsi="Arial"/>
          <w:sz w:val="18"/>
          <w:szCs w:val="18"/>
          <w:color w:val="auto"/>
        </w:rPr>
        <w:t>) the payment of a monetary amount, or (</w:t>
      </w:r>
      <w:r>
        <w:rPr>
          <w:rFonts w:ascii="Arial" w:cs="Arial" w:eastAsia="Arial" w:hAnsi="Arial"/>
          <w:sz w:val="18"/>
          <w:szCs w:val="18"/>
          <w:i w:val="1"/>
          <w:iCs w:val="1"/>
          <w:color w:val="auto"/>
        </w:rPr>
        <w:t>b</w:t>
      </w:r>
      <w:r>
        <w:rPr>
          <w:rFonts w:ascii="Arial" w:cs="Arial" w:eastAsia="Arial" w:hAnsi="Arial"/>
          <w:sz w:val="18"/>
          <w:szCs w:val="18"/>
          <w:color w:val="auto"/>
        </w:rPr>
        <w:t>) any type or fulfillment of an obligation, and in each case whether accrued, absolute, contingent, asserted, matured, unmatured, secured or unsecured.</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 Project Change</w:t>
      </w:r>
      <w:r>
        <w:rPr>
          <w:rFonts w:ascii="Arial" w:cs="Arial" w:eastAsia="Arial" w:hAnsi="Arial"/>
          <w:sz w:val="18"/>
          <w:szCs w:val="18"/>
          <w:color w:val="auto"/>
        </w:rPr>
        <w:t>” means a (</w:t>
      </w:r>
      <w:r>
        <w:rPr>
          <w:rFonts w:ascii="Arial" w:cs="Arial" w:eastAsia="Arial" w:hAnsi="Arial"/>
          <w:sz w:val="18"/>
          <w:szCs w:val="18"/>
          <w:i w:val="1"/>
          <w:iCs w:val="1"/>
          <w:color w:val="auto"/>
        </w:rPr>
        <w:t>a</w:t>
      </w:r>
      <w:r>
        <w:rPr>
          <w:rFonts w:ascii="Arial" w:cs="Arial" w:eastAsia="Arial" w:hAnsi="Arial"/>
          <w:sz w:val="18"/>
          <w:szCs w:val="18"/>
          <w:color w:val="auto"/>
        </w:rPr>
        <w:t>) delay in the construction of the Project that is reasonably likely to result in a material delay in achieving commercial operations, (</w:t>
      </w:r>
      <w:r>
        <w:rPr>
          <w:rFonts w:ascii="Arial" w:cs="Arial" w:eastAsia="Arial" w:hAnsi="Arial"/>
          <w:sz w:val="18"/>
          <w:szCs w:val="18"/>
          <w:i w:val="1"/>
          <w:iCs w:val="1"/>
          <w:color w:val="auto"/>
        </w:rPr>
        <w:t>b</w:t>
      </w:r>
      <w:r>
        <w:rPr>
          <w:rFonts w:ascii="Arial" w:cs="Arial" w:eastAsia="Arial" w:hAnsi="Arial"/>
          <w:sz w:val="18"/>
          <w:szCs w:val="18"/>
          <w:color w:val="auto"/>
        </w:rPr>
        <w:t>) material increase in the costs of, or liability to, the Project that will not be borne by Seller or otherwise paid, extinguished or fully satisfied as of the Closing Date or (</w:t>
      </w:r>
      <w:r>
        <w:rPr>
          <w:rFonts w:ascii="Arial" w:cs="Arial" w:eastAsia="Arial" w:hAnsi="Arial"/>
          <w:sz w:val="18"/>
          <w:szCs w:val="18"/>
          <w:i w:val="1"/>
          <w:iCs w:val="1"/>
          <w:color w:val="auto"/>
        </w:rPr>
        <w:t>c</w:t>
      </w:r>
      <w:r>
        <w:rPr>
          <w:rFonts w:ascii="Arial" w:cs="Arial" w:eastAsia="Arial" w:hAnsi="Arial"/>
          <w:sz w:val="18"/>
          <w:szCs w:val="18"/>
          <w:color w:val="auto"/>
        </w:rPr>
        <w:t>) to the extent not taken into account in the Base Case Model, fact, event, circumstance, condition or change that has a material adverse effect on the expected generation or operating cost of the Project.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Master JV HoldCo</w:t>
      </w:r>
      <w:r>
        <w:rPr>
          <w:rFonts w:ascii="Arial" w:cs="Arial" w:eastAsia="Arial" w:hAnsi="Arial"/>
          <w:sz w:val="18"/>
          <w:szCs w:val="18"/>
          <w:color w:val="auto"/>
        </w:rPr>
        <w:t>” has the meaning set forth in the recitals to this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the Company or the Mesquite Sky Entities, individually or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Arial" w:cs="Arial" w:eastAsia="Arial" w:hAnsi="Arial"/>
          <w:sz w:val="16"/>
          <w:szCs w:val="16"/>
          <w:i w:val="1"/>
          <w:iCs w:val="1"/>
          <w:color w:val="auto"/>
        </w:rPr>
        <w:t>a</w:t>
      </w:r>
      <w:r>
        <w:rPr>
          <w:rFonts w:ascii="Arial" w:cs="Arial" w:eastAsia="Arial" w:hAnsi="Arial"/>
          <w:sz w:val="16"/>
          <w:szCs w:val="16"/>
          <w:color w:val="auto"/>
        </w:rPr>
        <w:t>) any economic change generally affecting the international, national or regional (</w:t>
      </w:r>
      <w:r>
        <w:rPr>
          <w:rFonts w:ascii="Arial" w:cs="Arial" w:eastAsia="Arial" w:hAnsi="Arial"/>
          <w:sz w:val="16"/>
          <w:szCs w:val="16"/>
          <w:i w:val="1"/>
          <w:iCs w:val="1"/>
          <w:color w:val="auto"/>
        </w:rPr>
        <w:t>i</w:t>
      </w:r>
      <w:r>
        <w:rPr>
          <w:rFonts w:ascii="Arial" w:cs="Arial" w:eastAsia="Arial" w:hAnsi="Arial"/>
          <w:sz w:val="16"/>
          <w:szCs w:val="16"/>
          <w:color w:val="auto"/>
        </w:rPr>
        <w:t>) electric generating industry or (</w:t>
      </w:r>
      <w:r>
        <w:rPr>
          <w:rFonts w:ascii="Arial" w:cs="Arial" w:eastAsia="Arial" w:hAnsi="Arial"/>
          <w:sz w:val="16"/>
          <w:szCs w:val="16"/>
          <w:i w:val="1"/>
          <w:iCs w:val="1"/>
          <w:color w:val="auto"/>
        </w:rPr>
        <w:t>ii</w:t>
      </w:r>
      <w:r>
        <w:rPr>
          <w:rFonts w:ascii="Arial" w:cs="Arial" w:eastAsia="Arial" w:hAnsi="Arial"/>
          <w:sz w:val="16"/>
          <w:szCs w:val="16"/>
          <w:color w:val="auto"/>
        </w:rPr>
        <w:t>) wholesale markets for electric power; (</w:t>
      </w:r>
      <w:r>
        <w:rPr>
          <w:rFonts w:ascii="Arial" w:cs="Arial" w:eastAsia="Arial" w:hAnsi="Arial"/>
          <w:sz w:val="16"/>
          <w:szCs w:val="16"/>
          <w:i w:val="1"/>
          <w:iCs w:val="1"/>
          <w:color w:val="auto"/>
        </w:rPr>
        <w:t>b</w:t>
      </w:r>
      <w:r>
        <w:rPr>
          <w:rFonts w:ascii="Arial" w:cs="Arial" w:eastAsia="Arial" w:hAnsi="Arial"/>
          <w:sz w:val="16"/>
          <w:szCs w:val="16"/>
          <w:color w:val="auto"/>
        </w:rPr>
        <w:t>) any economic change in markets for commodities or supplies, including electric power, as applicable, used in connection with the Company or the Mesquite Sky Entities; (</w:t>
      </w:r>
      <w:r>
        <w:rPr>
          <w:rFonts w:ascii="Arial" w:cs="Arial" w:eastAsia="Arial" w:hAnsi="Arial"/>
          <w:sz w:val="16"/>
          <w:szCs w:val="16"/>
          <w:i w:val="1"/>
          <w:iCs w:val="1"/>
          <w:color w:val="auto"/>
        </w:rPr>
        <w:t>c</w:t>
      </w:r>
      <w:r>
        <w:rPr>
          <w:rFonts w:ascii="Arial" w:cs="Arial" w:eastAsia="Arial" w:hAnsi="Arial"/>
          <w:sz w:val="16"/>
          <w:szCs w:val="16"/>
          <w:color w:val="auto"/>
        </w:rPr>
        <w:t>) any change in general regulatory or political conditions, including any engagements of hostilities, acts of war or terrorist activities, natural disasters or weather- related events or changes imposed by a Governmental Authority associated with additional security; (</w:t>
      </w:r>
      <w:r>
        <w:rPr>
          <w:rFonts w:ascii="Arial" w:cs="Arial" w:eastAsia="Arial" w:hAnsi="Arial"/>
          <w:sz w:val="16"/>
          <w:szCs w:val="16"/>
          <w:i w:val="1"/>
          <w:iCs w:val="1"/>
          <w:color w:val="auto"/>
        </w:rPr>
        <w:t>d</w:t>
      </w:r>
      <w:r>
        <w:rPr>
          <w:rFonts w:ascii="Arial" w:cs="Arial" w:eastAsia="Arial" w:hAnsi="Arial"/>
          <w:sz w:val="16"/>
          <w:szCs w:val="16"/>
          <w:color w:val="auto"/>
        </w:rPr>
        <w:t>) any change in any Laws (including Environmental Laws), industry standards generally affecting the industry or markets in which the Company or the Mesquite Sky Entities operate or GAAP; (</w:t>
      </w:r>
      <w:r>
        <w:rPr>
          <w:rFonts w:ascii="Arial" w:cs="Arial" w:eastAsia="Arial" w:hAnsi="Arial"/>
          <w:sz w:val="16"/>
          <w:szCs w:val="16"/>
          <w:i w:val="1"/>
          <w:iCs w:val="1"/>
          <w:color w:val="auto"/>
        </w:rPr>
        <w:t>e</w:t>
      </w:r>
      <w:r>
        <w:rPr>
          <w:rFonts w:ascii="Arial" w:cs="Arial" w:eastAsia="Arial" w:hAnsi="Arial"/>
          <w:sz w:val="16"/>
          <w:szCs w:val="16"/>
          <w:color w:val="auto"/>
        </w:rPr>
        <w:t>) any change in the financial condition of the Company or the Mesquite Sky Entities caused by the transactions contemplated by this Agreement; (</w:t>
      </w:r>
      <w:r>
        <w:rPr>
          <w:rFonts w:ascii="Arial" w:cs="Arial" w:eastAsia="Arial" w:hAnsi="Arial"/>
          <w:sz w:val="16"/>
          <w:szCs w:val="16"/>
          <w:i w:val="1"/>
          <w:iCs w:val="1"/>
          <w:color w:val="auto"/>
        </w:rPr>
        <w:t>f</w:t>
      </w:r>
      <w:r>
        <w:rPr>
          <w:rFonts w:ascii="Arial" w:cs="Arial" w:eastAsia="Arial" w:hAnsi="Arial"/>
          <w:sz w:val="16"/>
          <w:szCs w:val="16"/>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Arial" w:cs="Arial" w:eastAsia="Arial" w:hAnsi="Arial"/>
          <w:sz w:val="16"/>
          <w:szCs w:val="16"/>
          <w:i w:val="1"/>
          <w:iCs w:val="1"/>
          <w:color w:val="auto"/>
        </w:rPr>
        <w:t>g</w:t>
      </w:r>
      <w:r>
        <w:rPr>
          <w:rFonts w:ascii="Arial" w:cs="Arial" w:eastAsia="Arial" w:hAnsi="Arial"/>
          <w:sz w:val="16"/>
          <w:szCs w:val="16"/>
          <w:color w:val="auto"/>
        </w:rPr>
        <w:t>) any actions to be taken pursuant to or in accordance with this Agreement; or (</w:t>
      </w:r>
      <w:r>
        <w:rPr>
          <w:rFonts w:ascii="Arial" w:cs="Arial" w:eastAsia="Arial" w:hAnsi="Arial"/>
          <w:sz w:val="16"/>
          <w:szCs w:val="16"/>
          <w:i w:val="1"/>
          <w:iCs w:val="1"/>
          <w:color w:val="auto"/>
        </w:rPr>
        <w:t>h</w:t>
      </w:r>
      <w:r>
        <w:rPr>
          <w:rFonts w:ascii="Arial" w:cs="Arial" w:eastAsia="Arial" w:hAnsi="Arial"/>
          <w:sz w:val="16"/>
          <w:szCs w:val="16"/>
          <w:color w:val="auto"/>
        </w:rPr>
        <w:t xml:space="preserve">) the announcement or pendency of the transactions contemplated hereby, including any labor union activities or disputes;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fact, event, circumstance, condition, change or effect resulting from clauses (a) through (f) shall nonetheless be taken into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determining whether a Material Adverse Effect has occurred to the extent such changes, events, effects or occurrences have a materially disproportionate impact on the Company or the Mesquite Sky Entities, taken as whole, as compared to similarly situated businesses in the same industry and in the same geographical area, which shall be deemed to include the State of Texas.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Mesquite Sky Entity</w:t>
      </w:r>
      <w:r>
        <w:rPr>
          <w:rFonts w:ascii="Arial" w:cs="Arial" w:eastAsia="Arial" w:hAnsi="Arial"/>
          <w:sz w:val="18"/>
          <w:szCs w:val="18"/>
          <w:color w:val="auto"/>
        </w:rPr>
        <w:t>” or “</w:t>
      </w:r>
      <w:r>
        <w:rPr>
          <w:rFonts w:ascii="Arial" w:cs="Arial" w:eastAsia="Arial" w:hAnsi="Arial"/>
          <w:sz w:val="18"/>
          <w:szCs w:val="18"/>
          <w:i w:val="1"/>
          <w:iCs w:val="1"/>
          <w:color w:val="auto"/>
        </w:rPr>
        <w:t>Mesquite Sky Entities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MW</w:t>
      </w:r>
      <w:r>
        <w:rPr>
          <w:rFonts w:ascii="Arial" w:cs="Arial" w:eastAsia="Arial" w:hAnsi="Arial"/>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NERC</w:t>
      </w:r>
      <w:r>
        <w:rPr>
          <w:rFonts w:ascii="Arial" w:cs="Arial" w:eastAsia="Arial" w:hAnsi="Arial"/>
          <w:sz w:val="18"/>
          <w:szCs w:val="18"/>
          <w:color w:val="auto"/>
        </w:rPr>
        <w:t>” means the North American Electric Reliability Corporation.</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w:t>
      </w:r>
      <w:r>
        <w:rPr>
          <w:rFonts w:ascii="Arial" w:cs="Arial" w:eastAsia="Arial" w:hAnsi="Arial"/>
          <w:sz w:val="16"/>
          <w:szCs w:val="16"/>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w:t>
      </w:r>
    </w:p>
    <w:p>
      <w:pPr>
        <w:spacing w:after="0" w:line="2" w:lineRule="exact"/>
        <w:rPr>
          <w:sz w:val="20"/>
          <w:szCs w:val="20"/>
          <w:color w:val="auto"/>
        </w:rPr>
      </w:pPr>
    </w:p>
    <w:p>
      <w:pPr>
        <w:jc w:val="both"/>
        <w:ind w:firstLine="8"/>
        <w:spacing w:after="0" w:line="253" w:lineRule="auto"/>
        <w:tabs>
          <w:tab w:leader="none" w:pos="2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9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Order</w:t>
      </w:r>
      <w:r>
        <w:rPr>
          <w:rFonts w:ascii="Arial" w:cs="Arial" w:eastAsia="Arial" w:hAnsi="Arial"/>
          <w:sz w:val="18"/>
          <w:szCs w:val="18"/>
          <w:color w:val="auto"/>
        </w:rPr>
        <w:t>” means any writ, judgment, injunction, ruling, decision, order or similar direction of any Governmental Authority, whether preliminary or final.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7.01(a)(ii)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Party</w:t>
      </w:r>
      <w:r>
        <w:rPr>
          <w:rFonts w:ascii="Arial" w:cs="Arial" w:eastAsia="Arial" w:hAnsi="Arial"/>
          <w:sz w:val="18"/>
          <w:szCs w:val="18"/>
          <w:color w:val="auto"/>
        </w:rPr>
        <w:t>” or “</w:t>
      </w:r>
      <w:r>
        <w:rPr>
          <w:rFonts w:ascii="Arial" w:cs="Arial" w:eastAsia="Arial" w:hAnsi="Arial"/>
          <w:sz w:val="18"/>
          <w:szCs w:val="18"/>
          <w:i w:val="1"/>
          <w:iCs w:val="1"/>
          <w:color w:val="auto"/>
        </w:rPr>
        <w:t>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w:t>
      </w:r>
      <w:r>
        <w:rPr>
          <w:rFonts w:ascii="Arial" w:cs="Arial" w:eastAsia="Arial" w:hAnsi="Arial"/>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Equity Encumbrances</w:t>
      </w:r>
      <w:r>
        <w:rPr>
          <w:rFonts w:ascii="Arial" w:cs="Arial" w:eastAsia="Arial" w:hAnsi="Arial"/>
          <w:sz w:val="18"/>
          <w:szCs w:val="18"/>
          <w:color w:val="auto"/>
        </w:rPr>
        <w:t>” means (</w:t>
      </w:r>
      <w:r>
        <w:rPr>
          <w:rFonts w:ascii="Arial" w:cs="Arial" w:eastAsia="Arial" w:hAnsi="Arial"/>
          <w:sz w:val="18"/>
          <w:szCs w:val="18"/>
          <w:i w:val="1"/>
          <w:iCs w:val="1"/>
          <w:color w:val="auto"/>
        </w:rPr>
        <w:t>a</w:t>
      </w:r>
      <w:r>
        <w:rPr>
          <w:rFonts w:ascii="Arial" w:cs="Arial" w:eastAsia="Arial" w:hAnsi="Arial"/>
          <w:sz w:val="18"/>
          <w:szCs w:val="18"/>
          <w:color w:val="auto"/>
        </w:rPr>
        <w:t>) those restrictions on transfer imposed by applicable securities laws, (</w:t>
      </w:r>
      <w:r>
        <w:rPr>
          <w:rFonts w:ascii="Arial" w:cs="Arial" w:eastAsia="Arial" w:hAnsi="Arial"/>
          <w:sz w:val="18"/>
          <w:szCs w:val="18"/>
          <w:i w:val="1"/>
          <w:iCs w:val="1"/>
          <w:color w:val="auto"/>
        </w:rPr>
        <w:t>b</w:t>
      </w:r>
      <w:r>
        <w:rPr>
          <w:rFonts w:ascii="Arial" w:cs="Arial" w:eastAsia="Arial" w:hAnsi="Arial"/>
          <w:sz w:val="18"/>
          <w:szCs w:val="18"/>
          <w:color w:val="auto"/>
        </w:rPr>
        <w:t>) Liens or restrictions imposed on transfers set forth in the Constitutive Documents of the Company and (</w:t>
      </w:r>
      <w:r>
        <w:rPr>
          <w:rFonts w:ascii="Arial" w:cs="Arial" w:eastAsia="Arial" w:hAnsi="Arial"/>
          <w:sz w:val="18"/>
          <w:szCs w:val="18"/>
          <w:i w:val="1"/>
          <w:iCs w:val="1"/>
          <w:color w:val="auto"/>
        </w:rPr>
        <w:t>c</w:t>
      </w:r>
      <w:r>
        <w:rPr>
          <w:rFonts w:ascii="Arial" w:cs="Arial" w:eastAsia="Arial" w:hAnsi="Arial"/>
          <w:sz w:val="18"/>
          <w:szCs w:val="18"/>
          <w:color w:val="auto"/>
        </w:rPr>
        <w:t>) any Lien in favor of Purchaser arising under or created by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Exceptions</w:t>
      </w:r>
      <w:r>
        <w:rPr>
          <w:rFonts w:ascii="Arial" w:cs="Arial" w:eastAsia="Arial" w:hAnsi="Arial"/>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3" w:lineRule="auto"/>
        <w:tabs>
          <w:tab w:leader="none" w:pos="17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Liens for Taxes, which are not due and payable as of the Closing Date or, if due, are (</w:t>
      </w:r>
      <w:r>
        <w:rPr>
          <w:rFonts w:ascii="Arial" w:cs="Arial" w:eastAsia="Arial" w:hAnsi="Arial"/>
          <w:sz w:val="18"/>
          <w:szCs w:val="18"/>
          <w:i w:val="1"/>
          <w:iCs w:val="1"/>
          <w:color w:val="auto"/>
        </w:rPr>
        <w:t>i</w:t>
      </w:r>
      <w:r>
        <w:rPr>
          <w:rFonts w:ascii="Arial" w:cs="Arial" w:eastAsia="Arial" w:hAnsi="Arial"/>
          <w:sz w:val="18"/>
          <w:szCs w:val="18"/>
          <w:color w:val="auto"/>
        </w:rPr>
        <w:t>) not delinquent or (</w:t>
      </w:r>
      <w:r>
        <w:rPr>
          <w:rFonts w:ascii="Arial" w:cs="Arial" w:eastAsia="Arial" w:hAnsi="Arial"/>
          <w:sz w:val="18"/>
          <w:szCs w:val="18"/>
          <w:i w:val="1"/>
          <w:iCs w:val="1"/>
          <w:color w:val="auto"/>
        </w:rPr>
        <w:t>ii</w:t>
      </w:r>
      <w:r>
        <w:rPr>
          <w:rFonts w:ascii="Arial" w:cs="Arial" w:eastAsia="Arial" w:hAnsi="Arial"/>
          <w:sz w:val="18"/>
          <w:szCs w:val="18"/>
          <w:color w:val="auto"/>
        </w:rPr>
        <w:t xml:space="preserve">) being contested in good faith through appropriate proceedings and set forth on </w:t>
      </w:r>
      <w:r>
        <w:rPr>
          <w:rFonts w:ascii="Arial" w:cs="Arial" w:eastAsia="Arial" w:hAnsi="Arial"/>
          <w:sz w:val="18"/>
          <w:szCs w:val="18"/>
          <w:i w:val="1"/>
          <w:iCs w:val="1"/>
          <w:color w:val="auto"/>
        </w:rPr>
        <w:t>Schedule 1.01</w:t>
      </w:r>
      <w:r>
        <w:rPr>
          <w:rFonts w:ascii="Arial" w:cs="Arial" w:eastAsia="Arial" w:hAnsi="Arial"/>
          <w:sz w:val="18"/>
          <w:szCs w:val="18"/>
          <w:color w:val="auto"/>
        </w:rPr>
        <w:t xml:space="preserve"> of the Disclosure Schedules and as to which adequate reserves in accordance with GAAP have been taken on the books of the Company or the Mesquite Sky Entities;</w:t>
      </w:r>
    </w:p>
    <w:p>
      <w:pPr>
        <w:spacing w:after="0" w:line="183" w:lineRule="exact"/>
        <w:rPr>
          <w:rFonts w:ascii="Arial" w:cs="Arial" w:eastAsia="Arial" w:hAnsi="Arial"/>
          <w:sz w:val="18"/>
          <w:szCs w:val="18"/>
          <w:color w:val="auto"/>
        </w:rPr>
      </w:pPr>
    </w:p>
    <w:p>
      <w:pPr>
        <w:ind w:firstLine="1304"/>
        <w:spacing w:after="0" w:line="277" w:lineRule="auto"/>
        <w:tabs>
          <w:tab w:leader="none" w:pos="17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70" w:lineRule="exact"/>
        <w:rPr>
          <w:rFonts w:ascii="Arial" w:cs="Arial" w:eastAsia="Arial" w:hAnsi="Arial"/>
          <w:sz w:val="18"/>
          <w:szCs w:val="18"/>
          <w:color w:val="auto"/>
        </w:rPr>
      </w:pPr>
    </w:p>
    <w:p>
      <w:pPr>
        <w:ind w:firstLine="1304"/>
        <w:spacing w:after="0" w:line="308" w:lineRule="auto"/>
        <w:tabs>
          <w:tab w:leader="none" w:pos="176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7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17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7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7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7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inchoate mechanic’s and materialmen’s liens for construction in progress and workmen’s, repairmen’s, warehousemen’s and carrier’s liens arising in the ordinary course of business of the Company or the Mesquite Sky Entities (</w:t>
      </w:r>
      <w:r>
        <w:rPr>
          <w:rFonts w:ascii="Arial" w:cs="Arial" w:eastAsia="Arial" w:hAnsi="Arial"/>
          <w:sz w:val="18"/>
          <w:szCs w:val="18"/>
          <w:i w:val="1"/>
          <w:iCs w:val="1"/>
          <w:color w:val="auto"/>
        </w:rPr>
        <w:t>i</w:t>
      </w:r>
      <w:r>
        <w:rPr>
          <w:rFonts w:ascii="Arial" w:cs="Arial" w:eastAsia="Arial" w:hAnsi="Arial"/>
          <w:sz w:val="18"/>
          <w:szCs w:val="18"/>
          <w:color w:val="auto"/>
        </w:rPr>
        <w:t>) as to which there is no existing default on the part of the Company or the Mesquite Sky Entities or (</w:t>
      </w:r>
      <w:r>
        <w:rPr>
          <w:rFonts w:ascii="Arial" w:cs="Arial" w:eastAsia="Arial" w:hAnsi="Arial"/>
          <w:sz w:val="18"/>
          <w:szCs w:val="18"/>
          <w:i w:val="1"/>
          <w:iCs w:val="1"/>
          <w:color w:val="auto"/>
        </w:rPr>
        <w:t>ii</w:t>
      </w:r>
      <w:r>
        <w:rPr>
          <w:rFonts w:ascii="Arial" w:cs="Arial" w:eastAsia="Arial" w:hAnsi="Arial"/>
          <w:sz w:val="18"/>
          <w:szCs w:val="18"/>
          <w:color w:val="auto"/>
        </w:rPr>
        <w:t xml:space="preserve">) that are being contested in good faith through appropriate proceedings and as set forth on </w:t>
      </w:r>
      <w:r>
        <w:rPr>
          <w:rFonts w:ascii="Arial" w:cs="Arial" w:eastAsia="Arial" w:hAnsi="Arial"/>
          <w:sz w:val="18"/>
          <w:szCs w:val="18"/>
          <w:i w:val="1"/>
          <w:iCs w:val="1"/>
          <w:color w:val="auto"/>
        </w:rPr>
        <w:t>Schedule 1.01</w:t>
      </w:r>
      <w:r>
        <w:rPr>
          <w:rFonts w:ascii="Arial" w:cs="Arial" w:eastAsia="Arial" w:hAnsi="Arial"/>
          <w:sz w:val="18"/>
          <w:szCs w:val="18"/>
          <w:color w:val="auto"/>
        </w:rPr>
        <w:t xml:space="preserve"> of the Disclosure Schedules and as to which adequate reserves in accordance with GAAP have been taken on the books of the Company or the Mesquite Sky Entities.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Lien</w:t>
      </w:r>
      <w:r>
        <w:rPr>
          <w:rFonts w:ascii="Arial" w:cs="Arial" w:eastAsia="Arial" w:hAnsi="Arial"/>
          <w:sz w:val="17"/>
          <w:szCs w:val="17"/>
          <w:color w:val="auto"/>
        </w:rPr>
        <w:t>” means any (</w:t>
      </w:r>
      <w:r>
        <w:rPr>
          <w:rFonts w:ascii="Arial" w:cs="Arial" w:eastAsia="Arial" w:hAnsi="Arial"/>
          <w:sz w:val="17"/>
          <w:szCs w:val="17"/>
          <w:i w:val="1"/>
          <w:iCs w:val="1"/>
          <w:color w:val="auto"/>
        </w:rPr>
        <w:t>a</w:t>
      </w:r>
      <w:r>
        <w:rPr>
          <w:rFonts w:ascii="Arial" w:cs="Arial" w:eastAsia="Arial" w:hAnsi="Arial"/>
          <w:sz w:val="17"/>
          <w:szCs w:val="17"/>
          <w:color w:val="auto"/>
        </w:rPr>
        <w:t>) mechanic’s, laborer’s, workmen’s, repairmen’s and carrier’s Liens, including all statutory Liens (</w:t>
      </w:r>
      <w:r>
        <w:rPr>
          <w:rFonts w:ascii="Arial" w:cs="Arial" w:eastAsia="Arial" w:hAnsi="Arial"/>
          <w:sz w:val="17"/>
          <w:szCs w:val="17"/>
          <w:i w:val="1"/>
          <w:iCs w:val="1"/>
          <w:color w:val="auto"/>
        </w:rPr>
        <w:t>i</w:t>
      </w:r>
      <w:r>
        <w:rPr>
          <w:rFonts w:ascii="Arial" w:cs="Arial" w:eastAsia="Arial" w:hAnsi="Arial"/>
          <w:sz w:val="17"/>
          <w:szCs w:val="17"/>
          <w:color w:val="auto"/>
        </w:rPr>
        <w:t>) relating to obligations as to which there is no existing default on the part of the Company or the Mesquite Sky Entities or (</w:t>
      </w:r>
      <w:r>
        <w:rPr>
          <w:rFonts w:ascii="Arial" w:cs="Arial" w:eastAsia="Arial" w:hAnsi="Arial"/>
          <w:sz w:val="17"/>
          <w:szCs w:val="17"/>
          <w:i w:val="1"/>
          <w:iCs w:val="1"/>
          <w:color w:val="auto"/>
        </w:rPr>
        <w:t>ii</w:t>
      </w:r>
      <w:r>
        <w:rPr>
          <w:rFonts w:ascii="Arial" w:cs="Arial" w:eastAsia="Arial" w:hAnsi="Arial"/>
          <w:sz w:val="17"/>
          <w:szCs w:val="17"/>
          <w:color w:val="auto"/>
        </w:rPr>
        <w:t xml:space="preserve">) that Seller is contesting in good faith through appropriate proceedings and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 and as to which adequate reserves in accordance with GAAP have been taken on the books of the Company or the Mesquite Sky Entities, as applicable; (</w:t>
      </w:r>
      <w:r>
        <w:rPr>
          <w:rFonts w:ascii="Arial" w:cs="Arial" w:eastAsia="Arial" w:hAnsi="Arial"/>
          <w:sz w:val="17"/>
          <w:szCs w:val="17"/>
          <w:i w:val="1"/>
          <w:iCs w:val="1"/>
          <w:color w:val="auto"/>
        </w:rPr>
        <w:t>b</w:t>
      </w:r>
      <w:r>
        <w:rPr>
          <w:rFonts w:ascii="Arial" w:cs="Arial" w:eastAsia="Arial" w:hAnsi="Arial"/>
          <w:sz w:val="17"/>
          <w:szCs w:val="17"/>
          <w:color w:val="auto"/>
        </w:rPr>
        <w:t>) Liens for Taxes, assessments and other governmental charges not yet due and payable or, if due, (</w:t>
      </w:r>
      <w:r>
        <w:rPr>
          <w:rFonts w:ascii="Arial" w:cs="Arial" w:eastAsia="Arial" w:hAnsi="Arial"/>
          <w:sz w:val="17"/>
          <w:szCs w:val="17"/>
          <w:i w:val="1"/>
          <w:iCs w:val="1"/>
          <w:color w:val="auto"/>
        </w:rPr>
        <w:t>i</w:t>
      </w:r>
      <w:r>
        <w:rPr>
          <w:rFonts w:ascii="Arial" w:cs="Arial" w:eastAsia="Arial" w:hAnsi="Arial"/>
          <w:sz w:val="17"/>
          <w:szCs w:val="17"/>
          <w:color w:val="auto"/>
        </w:rPr>
        <w:t>) not delinquent or (</w:t>
      </w:r>
      <w:r>
        <w:rPr>
          <w:rFonts w:ascii="Arial" w:cs="Arial" w:eastAsia="Arial" w:hAnsi="Arial"/>
          <w:sz w:val="17"/>
          <w:szCs w:val="17"/>
          <w:i w:val="1"/>
          <w:iCs w:val="1"/>
          <w:color w:val="auto"/>
        </w:rPr>
        <w:t>ii</w:t>
      </w:r>
      <w:r>
        <w:rPr>
          <w:rFonts w:ascii="Arial" w:cs="Arial" w:eastAsia="Arial" w:hAnsi="Arial"/>
          <w:sz w:val="17"/>
          <w:szCs w:val="17"/>
          <w:color w:val="auto"/>
        </w:rPr>
        <w:t xml:space="preserve">) being contested in good faith through appropriate proceedings and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 and as to which adequate reserves in accordance with GAAP have been taken on the books of the Company or the Mesquite Sky Entities; (</w:t>
      </w:r>
      <w:r>
        <w:rPr>
          <w:rFonts w:ascii="Arial" w:cs="Arial" w:eastAsia="Arial" w:hAnsi="Arial"/>
          <w:sz w:val="17"/>
          <w:szCs w:val="17"/>
          <w:i w:val="1"/>
          <w:iCs w:val="1"/>
          <w:color w:val="auto"/>
        </w:rPr>
        <w:t>c</w:t>
      </w:r>
      <w:r>
        <w:rPr>
          <w:rFonts w:ascii="Arial" w:cs="Arial" w:eastAsia="Arial" w:hAnsi="Arial"/>
          <w:sz w:val="17"/>
          <w:szCs w:val="17"/>
          <w:color w:val="auto"/>
        </w:rPr>
        <w:t>) good faith deposits in connection with bids, tenders, leases, contracts or other agreements, including rent security deposits; (</w:t>
      </w:r>
      <w:r>
        <w:rPr>
          <w:rFonts w:ascii="Arial" w:cs="Arial" w:eastAsia="Arial" w:hAnsi="Arial"/>
          <w:sz w:val="17"/>
          <w:szCs w:val="17"/>
          <w:i w:val="1"/>
          <w:iCs w:val="1"/>
          <w:color w:val="auto"/>
        </w:rPr>
        <w:t>d</w:t>
      </w:r>
      <w:r>
        <w:rPr>
          <w:rFonts w:ascii="Arial" w:cs="Arial" w:eastAsia="Arial" w:hAnsi="Arial"/>
          <w:sz w:val="17"/>
          <w:szCs w:val="17"/>
          <w:color w:val="auto"/>
        </w:rPr>
        <w:t>) pledges or deposits to secure public or statutory obligations or appeal bonds; (e) in the case of personal property owned or held by the Company or the Mesquite Sky Entities, covenants and other restrictions in the Company Contracts; (</w:t>
      </w:r>
      <w:r>
        <w:rPr>
          <w:rFonts w:ascii="Arial" w:cs="Arial" w:eastAsia="Arial" w:hAnsi="Arial"/>
          <w:sz w:val="17"/>
          <w:szCs w:val="17"/>
          <w:i w:val="1"/>
          <w:iCs w:val="1"/>
          <w:color w:val="auto"/>
        </w:rPr>
        <w:t>f</w:t>
      </w:r>
      <w:r>
        <w:rPr>
          <w:rFonts w:ascii="Arial" w:cs="Arial" w:eastAsia="Arial" w:hAnsi="Arial"/>
          <w:sz w:val="17"/>
          <w:szCs w:val="17"/>
          <w:color w:val="auto"/>
        </w:rPr>
        <w:t>) any Liens relating to or arising from the Financing Documents; and (</w:t>
      </w:r>
      <w:r>
        <w:rPr>
          <w:rFonts w:ascii="Arial" w:cs="Arial" w:eastAsia="Arial" w:hAnsi="Arial"/>
          <w:sz w:val="17"/>
          <w:szCs w:val="17"/>
          <w:i w:val="1"/>
          <w:iCs w:val="1"/>
          <w:color w:val="auto"/>
        </w:rPr>
        <w:t>g</w:t>
      </w:r>
      <w:r>
        <w:rPr>
          <w:rFonts w:ascii="Arial" w:cs="Arial" w:eastAsia="Arial" w:hAnsi="Arial"/>
          <w:sz w:val="17"/>
          <w:szCs w:val="17"/>
          <w:color w:val="auto"/>
        </w:rPr>
        <w:t xml:space="preserve">) any other Liens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w:t>
      </w:r>
    </w:p>
    <w:p>
      <w:pPr>
        <w:spacing w:after="0" w:line="18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Placed in Service</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Pricing Adjustments</w:t>
      </w:r>
      <w:r>
        <w:rPr>
          <w:rFonts w:ascii="Arial" w:cs="Arial" w:eastAsia="Arial" w:hAnsi="Arial"/>
          <w:sz w:val="18"/>
          <w:szCs w:val="18"/>
          <w:color w:val="auto"/>
        </w:rPr>
        <w:t>” means: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Company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3.01(aa)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Prudent Industry Practices</w:t>
      </w:r>
      <w:r>
        <w:rPr>
          <w:rFonts w:ascii="Arial" w:cs="Arial" w:eastAsia="Arial" w:hAnsi="Arial"/>
          <w:sz w:val="18"/>
          <w:szCs w:val="18"/>
          <w:color w:val="auto"/>
        </w:rPr>
        <w:t>” means those practices, methods, standards and procedures as are commonly used by a significant portion of those providing operating services on wind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PUCT</w:t>
      </w:r>
      <w:r>
        <w:rPr>
          <w:rFonts w:ascii="Arial" w:cs="Arial" w:eastAsia="Arial" w:hAnsi="Arial"/>
          <w:sz w:val="18"/>
          <w:szCs w:val="18"/>
          <w:color w:val="auto"/>
        </w:rPr>
        <w:t>” means the Public Utility Commission of Texas.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PUHCA</w:t>
      </w:r>
      <w:r>
        <w:rPr>
          <w:rFonts w:ascii="Arial" w:cs="Arial" w:eastAsia="Arial" w:hAnsi="Arial"/>
          <w:sz w:val="18"/>
          <w:szCs w:val="18"/>
          <w:color w:val="auto"/>
        </w:rPr>
        <w:t>” means the Public Utility Holding Company Act of 2005 and the implementing regulations of the FERC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PURA</w:t>
      </w:r>
      <w:r>
        <w:rPr>
          <w:rFonts w:ascii="Arial" w:cs="Arial" w:eastAsia="Arial" w:hAnsi="Arial"/>
          <w:sz w:val="18"/>
          <w:szCs w:val="18"/>
          <w:color w:val="auto"/>
        </w:rPr>
        <w:t>” means the Texas Public Utility Regulatory Act and the implementing regulations of the PUCT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 Price</w:t>
      </w:r>
      <w:r>
        <w:rPr>
          <w:rFonts w:ascii="Arial" w:cs="Arial" w:eastAsia="Arial" w:hAnsi="Arial"/>
          <w:sz w:val="16"/>
          <w:szCs w:val="16"/>
          <w:color w:val="auto"/>
        </w:rPr>
        <w:t xml:space="preserve">” means the Class A Purchase Price plus the Class B Purchase Price, subject to adjustment pursuant to </w:t>
      </w:r>
      <w:r>
        <w:rPr>
          <w:rFonts w:ascii="Arial" w:cs="Arial" w:eastAsia="Arial" w:hAnsi="Arial"/>
          <w:sz w:val="16"/>
          <w:szCs w:val="16"/>
          <w:i w:val="1"/>
          <w:iCs w:val="1"/>
          <w:color w:val="auto"/>
        </w:rPr>
        <w:t>Section 2.04(b)</w:t>
      </w:r>
      <w:r>
        <w:rPr>
          <w:rFonts w:ascii="Arial" w:cs="Arial" w:eastAsia="Arial" w:hAnsi="Arial"/>
          <w:sz w:val="16"/>
          <w:szCs w:val="16"/>
          <w:color w:val="auto"/>
        </w:rPr>
        <w: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Indemnified Parties</w:t>
      </w:r>
      <w:r>
        <w:rPr>
          <w:rFonts w:ascii="Arial" w:cs="Arial" w:eastAsia="Arial" w:hAnsi="Arial"/>
          <w:sz w:val="18"/>
          <w:szCs w:val="18"/>
          <w:color w:val="auto"/>
        </w:rPr>
        <w:t>” means Purchaser,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Parent Guaranty</w:t>
      </w:r>
      <w:r>
        <w:rPr>
          <w:rFonts w:ascii="Arial" w:cs="Arial" w:eastAsia="Arial" w:hAnsi="Arial"/>
          <w:sz w:val="18"/>
          <w:szCs w:val="18"/>
          <w:color w:val="auto"/>
        </w:rPr>
        <w:t xml:space="preserve">” means the Purchaser Parent Guaranty in the form of </w:t>
      </w:r>
      <w:r>
        <w:rPr>
          <w:rFonts w:ascii="Arial" w:cs="Arial" w:eastAsia="Arial" w:hAnsi="Arial"/>
          <w:sz w:val="18"/>
          <w:szCs w:val="18"/>
          <w:i w:val="1"/>
          <w:iCs w:val="1"/>
          <w:color w:val="auto"/>
        </w:rPr>
        <w:t>Exhibit G</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Second Closing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3.02</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Property Rights</w:t>
      </w:r>
      <w:r>
        <w:rPr>
          <w:rFonts w:ascii="Arial" w:cs="Arial" w:eastAsia="Arial" w:hAnsi="Arial"/>
          <w:sz w:val="18"/>
          <w:szCs w:val="18"/>
          <w:color w:val="auto"/>
        </w:rPr>
        <w:t>” means all real property rights and interests of the Company or the Mesquite Sky Entities, including all options, leases, easements, land use rights, access easements, transmission line easements, rights to ingress and egress, any and all bids, grants, awards, applications, rights to negotiate, and all other rights relating to the Land.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REC Contract</w:t>
      </w:r>
      <w:r>
        <w:rPr>
          <w:rFonts w:ascii="Arial" w:cs="Arial" w:eastAsia="Arial" w:hAnsi="Arial"/>
          <w:sz w:val="17"/>
          <w:szCs w:val="17"/>
          <w:color w:val="auto"/>
        </w:rPr>
        <w:t>” means an agreement between [***] and the Target Company for [***], which agreement shall include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terms: [***].</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 Contract Execution Date</w:t>
      </w:r>
      <w:r>
        <w:rPr>
          <w:rFonts w:ascii="Arial" w:cs="Arial" w:eastAsia="Arial" w:hAnsi="Arial"/>
          <w:sz w:val="18"/>
          <w:szCs w:val="18"/>
          <w:color w:val="auto"/>
        </w:rPr>
        <w:t>” means the date on which the REC Contract is executed.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Regional Entity</w:t>
      </w:r>
      <w:r>
        <w:rPr>
          <w:rFonts w:ascii="Arial" w:cs="Arial" w:eastAsia="Arial" w:hAnsi="Arial"/>
          <w:sz w:val="18"/>
          <w:szCs w:val="18"/>
          <w:color w:val="auto"/>
        </w:rPr>
        <w:t>” means Texas Reliability Entity, Inc.</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Reports</w:t>
      </w:r>
      <w:r>
        <w:rPr>
          <w:rFonts w:ascii="Arial" w:cs="Arial" w:eastAsia="Arial" w:hAnsi="Arial"/>
          <w:sz w:val="18"/>
          <w:szCs w:val="18"/>
          <w:color w:val="auto"/>
        </w:rPr>
        <w:t>” means (</w:t>
      </w:r>
      <w:r>
        <w:rPr>
          <w:rFonts w:ascii="Arial" w:cs="Arial" w:eastAsia="Arial" w:hAnsi="Arial"/>
          <w:sz w:val="18"/>
          <w:szCs w:val="18"/>
          <w:i w:val="1"/>
          <w:iCs w:val="1"/>
          <w:color w:val="auto"/>
        </w:rPr>
        <w:t>a</w:t>
      </w:r>
      <w:r>
        <w:rPr>
          <w:rFonts w:ascii="Arial" w:cs="Arial" w:eastAsia="Arial" w:hAnsi="Arial"/>
          <w:sz w:val="18"/>
          <w:szCs w:val="18"/>
          <w:color w:val="auto"/>
        </w:rPr>
        <w:t>) the Independent Engineer’s Report, (</w:t>
      </w:r>
      <w:r>
        <w:rPr>
          <w:rFonts w:ascii="Arial" w:cs="Arial" w:eastAsia="Arial" w:hAnsi="Arial"/>
          <w:sz w:val="18"/>
          <w:szCs w:val="18"/>
          <w:i w:val="1"/>
          <w:iCs w:val="1"/>
          <w:color w:val="auto"/>
        </w:rPr>
        <w:t>b</w:t>
      </w:r>
      <w:r>
        <w:rPr>
          <w:rFonts w:ascii="Arial" w:cs="Arial" w:eastAsia="Arial" w:hAnsi="Arial"/>
          <w:sz w:val="18"/>
          <w:szCs w:val="18"/>
          <w:color w:val="auto"/>
        </w:rPr>
        <w:t>) the Environmental Report (as defined in the Tax Equity Agreement), (</w:t>
      </w:r>
      <w:r>
        <w:rPr>
          <w:rFonts w:ascii="Arial" w:cs="Arial" w:eastAsia="Arial" w:hAnsi="Arial"/>
          <w:sz w:val="18"/>
          <w:szCs w:val="18"/>
          <w:i w:val="1"/>
          <w:iCs w:val="1"/>
          <w:color w:val="auto"/>
        </w:rPr>
        <w:t>c</w:t>
      </w:r>
      <w:r>
        <w:rPr>
          <w:rFonts w:ascii="Arial" w:cs="Arial" w:eastAsia="Arial" w:hAnsi="Arial"/>
          <w:sz w:val="18"/>
          <w:szCs w:val="18"/>
          <w:color w:val="auto"/>
        </w:rPr>
        <w:t>) the Wind Resource Report (as defined in the Tax Equity Agreement), (</w:t>
      </w:r>
      <w:r>
        <w:rPr>
          <w:rFonts w:ascii="Arial" w:cs="Arial" w:eastAsia="Arial" w:hAnsi="Arial"/>
          <w:sz w:val="18"/>
          <w:szCs w:val="18"/>
          <w:i w:val="1"/>
          <w:iCs w:val="1"/>
          <w:color w:val="auto"/>
        </w:rPr>
        <w:t>d</w:t>
      </w:r>
      <w:r>
        <w:rPr>
          <w:rFonts w:ascii="Arial" w:cs="Arial" w:eastAsia="Arial" w:hAnsi="Arial"/>
          <w:sz w:val="18"/>
          <w:szCs w:val="18"/>
          <w:color w:val="auto"/>
        </w:rPr>
        <w:t>) the Insurance Consultant’s Report (as defined in the Tax Equity Agreement), (</w:t>
      </w:r>
      <w:r>
        <w:rPr>
          <w:rFonts w:ascii="Arial" w:cs="Arial" w:eastAsia="Arial" w:hAnsi="Arial"/>
          <w:sz w:val="18"/>
          <w:szCs w:val="18"/>
          <w:i w:val="1"/>
          <w:iCs w:val="1"/>
          <w:color w:val="auto"/>
        </w:rPr>
        <w:t>e</w:t>
      </w:r>
      <w:r>
        <w:rPr>
          <w:rFonts w:ascii="Arial" w:cs="Arial" w:eastAsia="Arial" w:hAnsi="Arial"/>
          <w:sz w:val="18"/>
          <w:szCs w:val="18"/>
          <w:color w:val="auto"/>
        </w:rPr>
        <w:t>) the Transmission Consultant’s Report and (</w:t>
      </w:r>
      <w:r>
        <w:rPr>
          <w:rFonts w:ascii="Arial" w:cs="Arial" w:eastAsia="Arial" w:hAnsi="Arial"/>
          <w:sz w:val="18"/>
          <w:szCs w:val="18"/>
          <w:i w:val="1"/>
          <w:iCs w:val="1"/>
          <w:color w:val="auto"/>
        </w:rPr>
        <w:t>f</w:t>
      </w:r>
      <w:r>
        <w:rPr>
          <w:rFonts w:ascii="Arial" w:cs="Arial" w:eastAsia="Arial" w:hAnsi="Arial"/>
          <w:sz w:val="18"/>
          <w:szCs w:val="18"/>
          <w:color w:val="auto"/>
        </w:rPr>
        <w:t>) the Cost Seg Report, including any bring downs of such reports delivered pursuant to the Tax Equity Agreement as of the Closing Date.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Representatives</w:t>
      </w:r>
      <w:r>
        <w:rPr>
          <w:rFonts w:ascii="Arial" w:cs="Arial" w:eastAsia="Arial" w:hAnsi="Arial"/>
          <w:sz w:val="18"/>
          <w:szCs w:val="18"/>
          <w:color w:val="auto"/>
        </w:rPr>
        <w:t>” means with respect to any Person, the officers, directors, employees, counsel, accountants, financing advisors, consultants and agents of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Retained Support Obligation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5.07(b)</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Additional Turbine Holdback Amount</w:t>
      </w:r>
      <w:r>
        <w:rPr>
          <w:rFonts w:ascii="Arial" w:cs="Arial" w:eastAsia="Arial" w:hAnsi="Arial"/>
          <w:sz w:val="18"/>
          <w:szCs w:val="18"/>
          <w:color w:val="auto"/>
        </w:rPr>
        <w:t>” means an amount of money that is equal to (</w:t>
      </w:r>
      <w:r>
        <w:rPr>
          <w:rFonts w:ascii="Arial" w:cs="Arial" w:eastAsia="Arial" w:hAnsi="Arial"/>
          <w:sz w:val="18"/>
          <w:szCs w:val="18"/>
          <w:i w:val="1"/>
          <w:iCs w:val="1"/>
          <w:color w:val="auto"/>
        </w:rPr>
        <w:t>a</w:t>
      </w:r>
      <w:r>
        <w:rPr>
          <w:rFonts w:ascii="Arial" w:cs="Arial" w:eastAsia="Arial" w:hAnsi="Arial"/>
          <w:sz w:val="18"/>
          <w:szCs w:val="18"/>
          <w:color w:val="auto"/>
        </w:rPr>
        <w:t xml:space="preserve">) the Class A Purchase Price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t>
      </w:r>
      <w:r>
        <w:rPr>
          <w:rFonts w:ascii="Arial" w:cs="Arial" w:eastAsia="Arial" w:hAnsi="Arial"/>
          <w:sz w:val="18"/>
          <w:szCs w:val="18"/>
          <w:i w:val="1"/>
          <w:iCs w:val="1"/>
          <w:color w:val="auto"/>
        </w:rPr>
        <w:t>b</w:t>
      </w:r>
      <w:r>
        <w:rPr>
          <w:rFonts w:ascii="Arial" w:cs="Arial" w:eastAsia="Arial" w:hAnsi="Arial"/>
          <w:sz w:val="18"/>
          <w:szCs w:val="18"/>
          <w:color w:val="auto"/>
        </w:rPr>
        <w:t>) the fraction that is the result of (</w:t>
      </w:r>
      <w:r>
        <w:rPr>
          <w:rFonts w:ascii="Arial" w:cs="Arial" w:eastAsia="Arial" w:hAnsi="Arial"/>
          <w:sz w:val="18"/>
          <w:szCs w:val="18"/>
          <w:i w:val="1"/>
          <w:iCs w:val="1"/>
          <w:color w:val="auto"/>
        </w:rPr>
        <w:t>i</w:t>
      </w:r>
      <w:r>
        <w:rPr>
          <w:rFonts w:ascii="Arial" w:cs="Arial" w:eastAsia="Arial" w:hAnsi="Arial"/>
          <w:sz w:val="18"/>
          <w:szCs w:val="18"/>
          <w:color w:val="auto"/>
        </w:rPr>
        <w:t xml:space="preserve">) the total number of Additional Turbines as of the Second Closing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w:t>
      </w:r>
      <w:r>
        <w:rPr>
          <w:rFonts w:ascii="Arial" w:cs="Arial" w:eastAsia="Arial" w:hAnsi="Arial"/>
          <w:sz w:val="18"/>
          <w:szCs w:val="18"/>
          <w:i w:val="1"/>
          <w:iCs w:val="1"/>
          <w:color w:val="auto"/>
        </w:rPr>
        <w:t>ii</w:t>
      </w:r>
      <w:r>
        <w:rPr>
          <w:rFonts w:ascii="Arial" w:cs="Arial" w:eastAsia="Arial" w:hAnsi="Arial"/>
          <w:sz w:val="18"/>
          <w:szCs w:val="18"/>
          <w:color w:val="auto"/>
        </w:rPr>
        <w:t>) 68.</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Closing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Closing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Approvals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Consents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Fundamental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Indemnified Parties</w:t>
      </w:r>
      <w:r>
        <w:rPr>
          <w:rFonts w:ascii="Arial" w:cs="Arial" w:eastAsia="Arial" w:hAnsi="Arial"/>
          <w:sz w:val="18"/>
          <w:szCs w:val="18"/>
          <w:color w:val="auto"/>
        </w:rPr>
        <w:t>” means Seller,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Second Closing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Support Obligations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Support Obligations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or “</w:t>
      </w:r>
      <w:r>
        <w:rPr>
          <w:rFonts w:ascii="Arial" w:cs="Arial" w:eastAsia="Arial" w:hAnsi="Arial"/>
          <w:sz w:val="18"/>
          <w:szCs w:val="18"/>
          <w:i w:val="1"/>
          <w:iCs w:val="1"/>
          <w:color w:val="auto"/>
        </w:rPr>
        <w:t>Taxes</w:t>
      </w:r>
      <w:r>
        <w:rPr>
          <w:rFonts w:ascii="Arial" w:cs="Arial" w:eastAsia="Arial" w:hAnsi="Arial"/>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192"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Equity Agreement</w:t>
      </w:r>
      <w:r>
        <w:rPr>
          <w:rFonts w:ascii="Arial" w:cs="Arial" w:eastAsia="Arial" w:hAnsi="Arial"/>
          <w:sz w:val="16"/>
          <w:szCs w:val="16"/>
          <w:color w:val="auto"/>
        </w:rPr>
        <w:t>” means that certain Equity Capital Contribution Agreement to be entered into by and between TE Holdco and Tax Equity Investor, that, with respect to the form of such agreement delivered by Seller to Purchaser prior to the Execution Date, is (</w:t>
      </w:r>
      <w:r>
        <w:rPr>
          <w:rFonts w:ascii="Arial" w:cs="Arial" w:eastAsia="Arial" w:hAnsi="Arial"/>
          <w:sz w:val="16"/>
          <w:szCs w:val="16"/>
          <w:i w:val="1"/>
          <w:iCs w:val="1"/>
          <w:color w:val="auto"/>
        </w:rPr>
        <w:t>a</w:t>
      </w:r>
      <w:r>
        <w:rPr>
          <w:rFonts w:ascii="Arial" w:cs="Arial" w:eastAsia="Arial" w:hAnsi="Arial"/>
          <w:sz w:val="16"/>
          <w:szCs w:val="16"/>
          <w:color w:val="auto"/>
        </w:rPr>
        <w:t>) the same in all respects as to those certain conditions to the obligations of the Tax Equity Investor set forth in Section 5.2 of such form of Tax Equity Agreement, and (</w:t>
      </w:r>
      <w:r>
        <w:rPr>
          <w:rFonts w:ascii="Arial" w:cs="Arial" w:eastAsia="Arial" w:hAnsi="Arial"/>
          <w:sz w:val="16"/>
          <w:szCs w:val="16"/>
          <w:i w:val="1"/>
          <w:iCs w:val="1"/>
          <w:color w:val="auto"/>
        </w:rPr>
        <w:t>b</w:t>
      </w:r>
      <w:r>
        <w:rPr>
          <w:rFonts w:ascii="Arial" w:cs="Arial" w:eastAsia="Arial" w:hAnsi="Arial"/>
          <w:sz w:val="16"/>
          <w:szCs w:val="16"/>
          <w:color w:val="auto"/>
        </w:rPr>
        <w:t xml:space="preserve">) otherwise in all other respect the same or, to the extent modified, so modified pursuant to the terms and subject to the conditions of </w:t>
      </w:r>
      <w:r>
        <w:rPr>
          <w:rFonts w:ascii="Arial" w:cs="Arial" w:eastAsia="Arial" w:hAnsi="Arial"/>
          <w:sz w:val="16"/>
          <w:szCs w:val="16"/>
          <w:i w:val="1"/>
          <w:iCs w:val="1"/>
          <w:color w:val="auto"/>
        </w:rPr>
        <w:t>Section 5.12(a)</w:t>
      </w:r>
      <w:r>
        <w:rPr>
          <w:rFonts w:ascii="Arial" w:cs="Arial" w:eastAsia="Arial" w:hAnsi="Arial"/>
          <w:sz w:val="16"/>
          <w:szCs w:val="16"/>
          <w:color w:val="auto"/>
        </w:rPr>
        <w: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Funding Date</w:t>
      </w:r>
      <w:r>
        <w:rPr>
          <w:rFonts w:ascii="Arial" w:cs="Arial" w:eastAsia="Arial" w:hAnsi="Arial"/>
          <w:sz w:val="18"/>
          <w:szCs w:val="18"/>
          <w:color w:val="auto"/>
        </w:rPr>
        <w:t>” means the Funding Date (as defined in the Tax Equity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Guaranty</w:t>
      </w:r>
      <w:r>
        <w:rPr>
          <w:rFonts w:ascii="Arial" w:cs="Arial" w:eastAsia="Arial" w:hAnsi="Arial"/>
          <w:sz w:val="18"/>
          <w:szCs w:val="18"/>
          <w:color w:val="auto"/>
        </w:rPr>
        <w:t>” means the Guaranty Agreement dated on or about the date hereof by Clearway Energy Operating LLC on behalf of TE Holdco granted to [***].</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Investor</w:t>
      </w:r>
      <w:r>
        <w:rPr>
          <w:rFonts w:ascii="Arial" w:cs="Arial" w:eastAsia="Arial" w:hAnsi="Arial"/>
          <w:sz w:val="18"/>
          <w:szCs w:val="18"/>
          <w:color w:val="auto"/>
        </w:rPr>
        <w:t>” means [***].</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 Holdco</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Company</w:t>
      </w:r>
      <w:r>
        <w:rPr>
          <w:rFonts w:ascii="Arial" w:cs="Arial" w:eastAsia="Arial" w:hAnsi="Arial"/>
          <w:sz w:val="18"/>
          <w:szCs w:val="18"/>
          <w:color w:val="auto"/>
        </w:rPr>
        <w:t>” means Stewart Title Guaranty Company.</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Policy</w:t>
      </w:r>
      <w:r>
        <w:rPr>
          <w:rFonts w:ascii="Arial" w:cs="Arial" w:eastAsia="Arial" w:hAnsi="Arial"/>
          <w:sz w:val="18"/>
          <w:szCs w:val="18"/>
          <w:color w:val="auto"/>
        </w:rPr>
        <w:t>” means the owner’s policy of title insurance, issued by the Title Company in favor of the Project Company, in the form of the Texas Form T-1 Owner’s Policy of Title Insurance or such replacement form contained in the Basic Manual of Rules, Rates and Forms for the Writing of Title Insurance in the State of Texas, subject only to the exceptions set forth in the Title Proforma or otherwise in a form reasonably acceptable to Purchaser.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Proforma</w:t>
      </w:r>
      <w:r>
        <w:rPr>
          <w:rFonts w:ascii="Arial" w:cs="Arial" w:eastAsia="Arial" w:hAnsi="Arial"/>
          <w:sz w:val="18"/>
          <w:szCs w:val="18"/>
          <w:color w:val="auto"/>
        </w:rPr>
        <w:t>” means the Title Policy Pro Forma (as defined in the Tax Equity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5.08(a)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Regulations</w:t>
      </w:r>
      <w:r>
        <w:rPr>
          <w:rFonts w:ascii="Arial" w:cs="Arial" w:eastAsia="Arial" w:hAnsi="Arial"/>
          <w:sz w:val="16"/>
          <w:szCs w:val="16"/>
          <w:color w:val="auto"/>
        </w:rPr>
        <w:t>” means the final and temporary regulations promulgated by the U.S. Department of Treasury under the Code.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Wind Turbine</w:t>
      </w:r>
      <w:r>
        <w:rPr>
          <w:rFonts w:ascii="Arial" w:cs="Arial" w:eastAsia="Arial" w:hAnsi="Arial"/>
          <w:sz w:val="18"/>
          <w:szCs w:val="18"/>
          <w:color w:val="auto"/>
        </w:rPr>
        <w:t>” has the meaning set forth in the Tax Equity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60"/>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i w:val="1"/>
          <w:iCs w:val="1"/>
          <w:color w:val="auto"/>
        </w:rPr>
        <w:t>Rules of Interpretation</w:t>
      </w:r>
      <w:r>
        <w:rPr>
          <w:rFonts w:ascii="Arial" w:cs="Arial" w:eastAsia="Arial" w:hAnsi="Arial"/>
          <w:sz w:val="15"/>
          <w:szCs w:val="15"/>
          <w:color w:val="auto"/>
        </w:rPr>
        <w:t>.</w:t>
      </w:r>
    </w:p>
    <w:p>
      <w:pPr>
        <w:spacing w:after="0" w:line="225" w:lineRule="exact"/>
        <w:rPr>
          <w:sz w:val="20"/>
          <w:szCs w:val="20"/>
          <w:color w:val="auto"/>
        </w:rPr>
      </w:pPr>
    </w:p>
    <w:p>
      <w:pPr>
        <w:ind w:right="20" w:firstLine="1304"/>
        <w:spacing w:after="0" w:line="282" w:lineRule="auto"/>
        <w:tabs>
          <w:tab w:leader="none" w:pos="1766"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As used herein, the singular shall include the plural, the masculine gender shall include the feminine and neuter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neuter gender shall include the masculine and feminine unless the context otherwise indicates.</w:t>
      </w:r>
    </w:p>
    <w:p>
      <w:pPr>
        <w:spacing w:after="0" w:line="161" w:lineRule="exact"/>
        <w:rPr>
          <w:rFonts w:ascii="Arial" w:cs="Arial" w:eastAsia="Arial" w:hAnsi="Arial"/>
          <w:sz w:val="18"/>
          <w:szCs w:val="18"/>
          <w:color w:val="auto"/>
        </w:rPr>
      </w:pPr>
    </w:p>
    <w:p>
      <w:pPr>
        <w:jc w:val="both"/>
        <w:ind w:firstLine="1304"/>
        <w:spacing w:after="0" w:line="289" w:lineRule="auto"/>
        <w:tabs>
          <w:tab w:leader="none" w:pos="1776"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References</w:t>
      </w:r>
      <w:r>
        <w:rPr>
          <w:rFonts w:ascii="Arial" w:cs="Arial" w:eastAsia="Arial" w:hAnsi="Arial"/>
          <w:sz w:val="16"/>
          <w:szCs w:val="16"/>
          <w:color w:val="auto"/>
        </w:rPr>
        <w:t>. References to Articles and Sections are intended to refer to Articles and Sections of this Agreement, and all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66" w:lineRule="exact"/>
        <w:rPr>
          <w:rFonts w:ascii="Arial" w:cs="Arial" w:eastAsia="Arial" w:hAnsi="Arial"/>
          <w:sz w:val="16"/>
          <w:szCs w:val="16"/>
          <w:color w:val="auto"/>
        </w:rPr>
      </w:pPr>
    </w:p>
    <w:p>
      <w:pPr>
        <w:jc w:val="both"/>
        <w:ind w:firstLine="1304"/>
        <w:spacing w:after="0" w:line="277" w:lineRule="auto"/>
        <w:tabs>
          <w:tab w:leader="none" w:pos="1766"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Accounting Terms</w:t>
      </w:r>
      <w:r>
        <w:rPr>
          <w:rFonts w:ascii="Arial" w:cs="Arial" w:eastAsia="Arial" w:hAnsi="Arial"/>
          <w:sz w:val="17"/>
          <w:szCs w:val="17"/>
          <w:color w:val="auto"/>
        </w:rPr>
        <w:t>. As used in this Agreement and in any certificate or other documents made or delivered pursuant hereto,</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OF MEMBERSHIP INTERESTS AND CLOSING</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b w:val="1"/>
          <w:bCs w:val="1"/>
          <w:i w:val="1"/>
          <w:iCs w:val="1"/>
          <w:color w:val="auto"/>
        </w:rPr>
        <w:t>Purchase and Sale</w:t>
      </w:r>
      <w:r>
        <w:rPr>
          <w:rFonts w:ascii="Arial" w:cs="Arial" w:eastAsia="Arial" w:hAnsi="Arial"/>
          <w:sz w:val="18"/>
          <w:szCs w:val="18"/>
          <w:color w:val="auto"/>
        </w:rPr>
        <w:t>. Seller agrees to sell to Purchaser, and Purchaser agrees to purchase from Seller, all of the right, title and interest of</w:t>
      </w:r>
      <w:r>
        <w:rPr>
          <w:rFonts w:ascii="Arial" w:cs="Arial" w:eastAsia="Arial" w:hAnsi="Arial"/>
          <w:sz w:val="18"/>
          <w:szCs w:val="18"/>
          <w:b w:val="1"/>
          <w:bCs w:val="1"/>
          <w:color w:val="auto"/>
        </w:rPr>
        <w:t xml:space="preserve"> </w:t>
      </w:r>
      <w:r>
        <w:rPr>
          <w:rFonts w:ascii="Arial" w:cs="Arial" w:eastAsia="Arial" w:hAnsi="Arial"/>
          <w:sz w:val="18"/>
          <w:szCs w:val="18"/>
          <w:color w:val="auto"/>
        </w:rPr>
        <w:t>Seller in and to (</w:t>
      </w:r>
      <w:r>
        <w:rPr>
          <w:rFonts w:ascii="Arial" w:cs="Arial" w:eastAsia="Arial" w:hAnsi="Arial"/>
          <w:sz w:val="18"/>
          <w:szCs w:val="18"/>
          <w:i w:val="1"/>
          <w:iCs w:val="1"/>
          <w:color w:val="auto"/>
        </w:rPr>
        <w:t>a</w:t>
      </w:r>
      <w:r>
        <w:rPr>
          <w:rFonts w:ascii="Arial" w:cs="Arial" w:eastAsia="Arial" w:hAnsi="Arial"/>
          <w:sz w:val="18"/>
          <w:szCs w:val="18"/>
          <w:color w:val="auto"/>
        </w:rPr>
        <w:t>) the Acquired Interests at the Closing, and (</w:t>
      </w:r>
      <w:r>
        <w:rPr>
          <w:rFonts w:ascii="Arial" w:cs="Arial" w:eastAsia="Arial" w:hAnsi="Arial"/>
          <w:sz w:val="18"/>
          <w:szCs w:val="18"/>
          <w:i w:val="1"/>
          <w:iCs w:val="1"/>
          <w:color w:val="auto"/>
        </w:rPr>
        <w:t>b</w:t>
      </w:r>
      <w:r>
        <w:rPr>
          <w:rFonts w:ascii="Arial" w:cs="Arial" w:eastAsia="Arial" w:hAnsi="Arial"/>
          <w:sz w:val="18"/>
          <w:szCs w:val="18"/>
          <w:color w:val="auto"/>
        </w:rPr>
        <w:t>) the Class A Interests at the Second Closing, in each case, on the terms and subject to the conditions set forth in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b w:val="1"/>
          <w:bCs w:val="1"/>
          <w:i w:val="1"/>
          <w:iCs w:val="1"/>
          <w:color w:val="auto"/>
        </w:rPr>
        <w:t>Payment of Purchase Price</w:t>
      </w:r>
      <w:r>
        <w:rPr>
          <w:rFonts w:ascii="Arial" w:cs="Arial" w:eastAsia="Arial" w:hAnsi="Arial"/>
          <w:sz w:val="18"/>
          <w:szCs w:val="18"/>
          <w:color w:val="auto"/>
        </w:rPr>
        <w:t>. Upon the terms and subject to the conditions hereinafter set forth, in consideration of the delivery by Seller of</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w:t>
      </w:r>
      <w:r>
        <w:rPr>
          <w:rFonts w:ascii="Arial" w:cs="Arial" w:eastAsia="Arial" w:hAnsi="Arial"/>
          <w:sz w:val="18"/>
          <w:szCs w:val="18"/>
          <w:color w:val="auto"/>
        </w:rPr>
        <w:t>) the Acquired Interests, Purchaser, by wire transfer of immediately available United States funds, shall pay to Seller at the Closing an amount equal to sixty one million nine hundred seventy eight thousand one hundred seventy two dollars and ninety eight cents ($61,978,172.98) (the “</w:t>
      </w:r>
      <w:r>
        <w:rPr>
          <w:rFonts w:ascii="Arial" w:cs="Arial" w:eastAsia="Arial" w:hAnsi="Arial"/>
          <w:sz w:val="18"/>
          <w:szCs w:val="18"/>
          <w:i w:val="1"/>
          <w:iCs w:val="1"/>
          <w:color w:val="auto"/>
        </w:rPr>
        <w:t>Base Purchase Price</w:t>
      </w:r>
      <w:r>
        <w:rPr>
          <w:rFonts w:ascii="Arial" w:cs="Arial" w:eastAsia="Arial" w:hAnsi="Arial"/>
          <w:sz w:val="18"/>
          <w:szCs w:val="18"/>
          <w:color w:val="auto"/>
        </w:rPr>
        <w:t xml:space="preserve">” and, as adjusted pursuant to </w:t>
      </w:r>
      <w:r>
        <w:rPr>
          <w:rFonts w:ascii="Arial" w:cs="Arial" w:eastAsia="Arial" w:hAnsi="Arial"/>
          <w:sz w:val="18"/>
          <w:szCs w:val="18"/>
          <w:i w:val="1"/>
          <w:iCs w:val="1"/>
          <w:color w:val="auto"/>
        </w:rPr>
        <w:t>Section 2.04</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2.05</w:t>
      </w:r>
      <w:r>
        <w:rPr>
          <w:rFonts w:ascii="Arial" w:cs="Arial" w:eastAsia="Arial" w:hAnsi="Arial"/>
          <w:sz w:val="18"/>
          <w:szCs w:val="18"/>
          <w:color w:val="auto"/>
        </w:rPr>
        <w:t>, the “</w:t>
      </w:r>
      <w:r>
        <w:rPr>
          <w:rFonts w:ascii="Arial" w:cs="Arial" w:eastAsia="Arial" w:hAnsi="Arial"/>
          <w:sz w:val="18"/>
          <w:szCs w:val="18"/>
          <w:i w:val="1"/>
          <w:iCs w:val="1"/>
          <w:color w:val="auto"/>
        </w:rPr>
        <w:t>Class B Purchase Price</w:t>
      </w:r>
      <w:r>
        <w:rPr>
          <w:rFonts w:ascii="Arial" w:cs="Arial" w:eastAsia="Arial" w:hAnsi="Arial"/>
          <w:sz w:val="18"/>
          <w:szCs w:val="18"/>
          <w:color w:val="auto"/>
        </w:rPr>
        <w:t>”), and (</w:t>
      </w:r>
      <w:r>
        <w:rPr>
          <w:rFonts w:ascii="Arial" w:cs="Arial" w:eastAsia="Arial" w:hAnsi="Arial"/>
          <w:sz w:val="18"/>
          <w:szCs w:val="18"/>
          <w:i w:val="1"/>
          <w:iCs w:val="1"/>
          <w:color w:val="auto"/>
        </w:rPr>
        <w:t>b</w:t>
      </w:r>
      <w:r>
        <w:rPr>
          <w:rFonts w:ascii="Arial" w:cs="Arial" w:eastAsia="Arial" w:hAnsi="Arial"/>
          <w:sz w:val="18"/>
          <w:szCs w:val="18"/>
          <w:color w:val="auto"/>
        </w:rPr>
        <w:t xml:space="preserve">) the Class A Interests, Purchaser, by wire transfer of immediately available United States funds, shall pay to Seller at the Second Closing an amount equal to the Class A Purchase Price, which shall be subject to adjustment pursuant to </w:t>
      </w:r>
      <w:r>
        <w:rPr>
          <w:rFonts w:ascii="Arial" w:cs="Arial" w:eastAsia="Arial" w:hAnsi="Arial"/>
          <w:sz w:val="18"/>
          <w:szCs w:val="18"/>
          <w:i w:val="1"/>
          <w:iCs w:val="1"/>
          <w:color w:val="auto"/>
        </w:rPr>
        <w:t>Section 2.05</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tabs>
          <w:tab w:leader="none" w:pos="128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5"/>
          <w:szCs w:val="15"/>
          <w:b w:val="1"/>
          <w:bCs w:val="1"/>
          <w:i w:val="1"/>
          <w:iCs w:val="1"/>
          <w:color w:val="auto"/>
        </w:rPr>
        <w:t>Closing</w:t>
      </w:r>
      <w:r>
        <w:rPr>
          <w:rFonts w:ascii="Arial" w:cs="Arial" w:eastAsia="Arial" w:hAnsi="Arial"/>
          <w:sz w:val="15"/>
          <w:szCs w:val="15"/>
          <w:i w:val="1"/>
          <w:iCs w:val="1"/>
          <w:color w:val="auto"/>
        </w:rPr>
        <w:t>.</w:t>
      </w:r>
    </w:p>
    <w:p>
      <w:pPr>
        <w:spacing w:after="0" w:line="229" w:lineRule="exact"/>
        <w:rPr>
          <w:sz w:val="20"/>
          <w:szCs w:val="20"/>
          <w:color w:val="auto"/>
        </w:rPr>
      </w:pPr>
    </w:p>
    <w:p>
      <w:pPr>
        <w:jc w:val="both"/>
        <w:ind w:firstLine="1304"/>
        <w:spacing w:after="0" w:line="254" w:lineRule="auto"/>
        <w:tabs>
          <w:tab w:leader="none" w:pos="17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closing of the transactions described in </w:t>
      </w:r>
      <w:r>
        <w:rPr>
          <w:rFonts w:ascii="Arial" w:cs="Arial" w:eastAsia="Arial" w:hAnsi="Arial"/>
          <w:sz w:val="18"/>
          <w:szCs w:val="18"/>
          <w:i w:val="1"/>
          <w:iCs w:val="1"/>
          <w:color w:val="auto"/>
        </w:rPr>
        <w:t>Section 2.01(a)</w:t>
      </w:r>
      <w:r>
        <w:rPr>
          <w:rFonts w:ascii="Arial" w:cs="Arial" w:eastAsia="Arial" w:hAnsi="Arial"/>
          <w:sz w:val="18"/>
          <w:szCs w:val="18"/>
          <w:color w:val="auto"/>
        </w:rPr>
        <w:t xml:space="preserve"> (the “</w:t>
      </w:r>
      <w:r>
        <w:rPr>
          <w:rFonts w:ascii="Arial" w:cs="Arial" w:eastAsia="Arial" w:hAnsi="Arial"/>
          <w:sz w:val="18"/>
          <w:szCs w:val="18"/>
          <w:i w:val="1"/>
          <w:iCs w:val="1"/>
          <w:color w:val="auto"/>
        </w:rPr>
        <w:t>Closing</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2.01(b)</w:t>
      </w:r>
      <w:r>
        <w:rPr>
          <w:rFonts w:ascii="Arial" w:cs="Arial" w:eastAsia="Arial" w:hAnsi="Arial"/>
          <w:sz w:val="18"/>
          <w:szCs w:val="18"/>
          <w:color w:val="auto"/>
        </w:rPr>
        <w:t xml:space="preserve"> (the “</w:t>
      </w:r>
      <w:r>
        <w:rPr>
          <w:rFonts w:ascii="Arial" w:cs="Arial" w:eastAsia="Arial" w:hAnsi="Arial"/>
          <w:sz w:val="18"/>
          <w:szCs w:val="18"/>
          <w:i w:val="1"/>
          <w:iCs w:val="1"/>
          <w:color w:val="auto"/>
        </w:rPr>
        <w:t>Second Closing</w:t>
      </w:r>
      <w:r>
        <w:rPr>
          <w:rFonts w:ascii="Arial" w:cs="Arial" w:eastAsia="Arial" w:hAnsi="Arial"/>
          <w:sz w:val="18"/>
          <w:szCs w:val="18"/>
          <w:color w:val="auto"/>
        </w:rPr>
        <w:t>”) will each take place remotely via the electronic exchange of documents and signatures no later than (</w:t>
      </w:r>
      <w:r>
        <w:rPr>
          <w:rFonts w:ascii="Arial" w:cs="Arial" w:eastAsia="Arial" w:hAnsi="Arial"/>
          <w:sz w:val="18"/>
          <w:szCs w:val="18"/>
          <w:i w:val="1"/>
          <w:iCs w:val="1"/>
          <w:color w:val="auto"/>
        </w:rPr>
        <w:t>i</w:t>
      </w:r>
      <w:r>
        <w:rPr>
          <w:rFonts w:ascii="Arial" w:cs="Arial" w:eastAsia="Arial" w:hAnsi="Arial"/>
          <w:sz w:val="18"/>
          <w:szCs w:val="18"/>
          <w:color w:val="auto"/>
        </w:rPr>
        <w:t xml:space="preserve">) in respect of the Closing, two (2) Business Days following the fulfillment or waiver of the conditions set forth in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(other than those conditions that by their nature are to be satisfied on the Closing Date) or such other time as may be determined by mutual agreement of Seller and Purchaser (the day on which the Closing takes place being the “</w:t>
      </w:r>
      <w:r>
        <w:rPr>
          <w:rFonts w:ascii="Arial" w:cs="Arial" w:eastAsia="Arial" w:hAnsi="Arial"/>
          <w:sz w:val="18"/>
          <w:szCs w:val="18"/>
          <w:i w:val="1"/>
          <w:iCs w:val="1"/>
          <w:color w:val="auto"/>
        </w:rPr>
        <w:t>Closing Date</w:t>
      </w:r>
      <w:r>
        <w:rPr>
          <w:rFonts w:ascii="Arial" w:cs="Arial" w:eastAsia="Arial" w:hAnsi="Arial"/>
          <w:sz w:val="18"/>
          <w:szCs w:val="18"/>
          <w:color w:val="auto"/>
        </w:rPr>
        <w:t>”), and (</w:t>
      </w:r>
      <w:r>
        <w:rPr>
          <w:rFonts w:ascii="Arial" w:cs="Arial" w:eastAsia="Arial" w:hAnsi="Arial"/>
          <w:sz w:val="18"/>
          <w:szCs w:val="18"/>
          <w:i w:val="1"/>
          <w:iCs w:val="1"/>
          <w:color w:val="auto"/>
        </w:rPr>
        <w:t>ii</w:t>
      </w:r>
      <w:r>
        <w:rPr>
          <w:rFonts w:ascii="Arial" w:cs="Arial" w:eastAsia="Arial" w:hAnsi="Arial"/>
          <w:sz w:val="18"/>
          <w:szCs w:val="18"/>
          <w:color w:val="auto"/>
        </w:rPr>
        <w:t xml:space="preserve">) in respect of the Second Closing, two (2) Business Days following the Class A Transfer and the fulfillment or waiver of the conditions set forth in </w:t>
      </w:r>
      <w:r>
        <w:rPr>
          <w:rFonts w:ascii="Arial" w:cs="Arial" w:eastAsia="Arial" w:hAnsi="Arial"/>
          <w:sz w:val="18"/>
          <w:szCs w:val="18"/>
          <w:i w:val="1"/>
          <w:iCs w:val="1"/>
          <w:color w:val="auto"/>
        </w:rPr>
        <w:t>Section 4.02</w:t>
      </w:r>
      <w:r>
        <w:rPr>
          <w:rFonts w:ascii="Arial" w:cs="Arial" w:eastAsia="Arial" w:hAnsi="Arial"/>
          <w:sz w:val="18"/>
          <w:szCs w:val="18"/>
          <w:color w:val="auto"/>
        </w:rPr>
        <w:t xml:space="preserve"> (other than those conditions that by their nature are to be satisfied on the Second Closing Date) or such other time as may be determined by mutual agreement of Seller and Purchaser (the day on which the Second Closing takes place being the “</w:t>
      </w:r>
      <w:r>
        <w:rPr>
          <w:rFonts w:ascii="Arial" w:cs="Arial" w:eastAsia="Arial" w:hAnsi="Arial"/>
          <w:sz w:val="18"/>
          <w:szCs w:val="18"/>
          <w:i w:val="1"/>
          <w:iCs w:val="1"/>
          <w:color w:val="auto"/>
        </w:rPr>
        <w:t>Second Closing Date</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Closing, the following shall occur:</w:t>
      </w:r>
    </w:p>
    <w:p>
      <w:pPr>
        <w:spacing w:after="0" w:line="225" w:lineRule="exact"/>
        <w:rPr>
          <w:rFonts w:ascii="Arial" w:cs="Arial" w:eastAsia="Arial" w:hAnsi="Arial"/>
          <w:sz w:val="18"/>
          <w:szCs w:val="18"/>
          <w:color w:val="auto"/>
        </w:rPr>
      </w:pPr>
    </w:p>
    <w:p>
      <w:pPr>
        <w:ind w:left="660" w:firstLine="1292"/>
        <w:spacing w:after="0" w:line="308" w:lineRule="auto"/>
        <w:tabs>
          <w:tab w:leader="none" w:pos="2396" w:val="left"/>
        </w:tabs>
        <w:numPr>
          <w:ilvl w:val="1"/>
          <w:numId w:val="29"/>
        </w:numPr>
        <w:rPr>
          <w:rFonts w:ascii="Arial" w:cs="Arial" w:eastAsia="Arial" w:hAnsi="Arial"/>
          <w:sz w:val="17"/>
          <w:szCs w:val="17"/>
          <w:color w:val="auto"/>
        </w:rPr>
      </w:pPr>
      <w:r>
        <w:rPr>
          <w:rFonts w:ascii="Arial" w:cs="Arial" w:eastAsia="Arial" w:hAnsi="Arial"/>
          <w:sz w:val="17"/>
          <w:szCs w:val="17"/>
          <w:color w:val="auto"/>
        </w:rPr>
        <w:t>Purchaser shall pay the Class B Purchase Price by wire transfer of immediately available funds to Seller’s account, which account shall be communicated by Seller to Purchaser in writing no later than two (2) Business Days prior to the Closing;</w:t>
      </w:r>
    </w:p>
    <w:p>
      <w:pPr>
        <w:spacing w:after="0" w:line="146" w:lineRule="exact"/>
        <w:rPr>
          <w:rFonts w:ascii="Arial" w:cs="Arial" w:eastAsia="Arial" w:hAnsi="Arial"/>
          <w:sz w:val="17"/>
          <w:szCs w:val="17"/>
          <w:color w:val="auto"/>
        </w:rPr>
      </w:pPr>
    </w:p>
    <w:p>
      <w:pPr>
        <w:ind w:left="2420" w:hanging="468"/>
        <w:spacing w:after="0"/>
        <w:tabs>
          <w:tab w:leader="none" w:pos="24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Parties shall deliver, or cause to be delivered, to the other Party the certificates and other deliverables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i w:val="1"/>
          <w:iCs w:val="1"/>
          <w:color w:val="auto"/>
        </w:rPr>
        <w:t>Section 4.01</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60" w:firstLine="1292"/>
        <w:spacing w:after="0" w:line="277" w:lineRule="auto"/>
        <w:tabs>
          <w:tab w:leader="none" w:pos="24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execution by both Parties of the Assignment of Membership Interests and all other agreements, documents, instruments or certificates required to be delivered at or prior to the Closing pursuant to </w:t>
      </w:r>
      <w:r>
        <w:rPr>
          <w:rFonts w:ascii="Arial" w:cs="Arial" w:eastAsia="Arial" w:hAnsi="Arial"/>
          <w:sz w:val="18"/>
          <w:szCs w:val="18"/>
          <w:i w:val="1"/>
          <w:iCs w:val="1"/>
          <w:color w:val="auto"/>
        </w:rPr>
        <w:t>Section 4.01</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firstLine="1292"/>
        <w:spacing w:after="0" w:line="277" w:lineRule="auto"/>
        <w:tabs>
          <w:tab w:leader="none" w:pos="2441"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Seller shall deliver to Purchaser a certificate or certificates representing the Acquired Interests, duly endorsed for transfer to Purchaser or accompanied by one or more membership interests powers duly endorsed for transfer to Purchaser.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Second Closing, the following shall occur:</w:t>
      </w:r>
    </w:p>
    <w:p>
      <w:pPr>
        <w:spacing w:after="0" w:line="225" w:lineRule="exact"/>
        <w:rPr>
          <w:rFonts w:ascii="Arial" w:cs="Arial" w:eastAsia="Arial" w:hAnsi="Arial"/>
          <w:sz w:val="18"/>
          <w:szCs w:val="18"/>
          <w:color w:val="auto"/>
        </w:rPr>
      </w:pPr>
    </w:p>
    <w:p>
      <w:pPr>
        <w:ind w:left="660" w:right="20" w:firstLine="1292"/>
        <w:spacing w:after="0" w:line="308" w:lineRule="auto"/>
        <w:tabs>
          <w:tab w:leader="none" w:pos="2422" w:val="left"/>
        </w:tabs>
        <w:numPr>
          <w:ilvl w:val="1"/>
          <w:numId w:val="29"/>
        </w:numPr>
        <w:rPr>
          <w:rFonts w:ascii="Arial" w:cs="Arial" w:eastAsia="Arial" w:hAnsi="Arial"/>
          <w:sz w:val="17"/>
          <w:szCs w:val="17"/>
          <w:color w:val="auto"/>
        </w:rPr>
      </w:pPr>
      <w:r>
        <w:rPr>
          <w:rFonts w:ascii="Arial" w:cs="Arial" w:eastAsia="Arial" w:hAnsi="Arial"/>
          <w:sz w:val="17"/>
          <w:szCs w:val="17"/>
          <w:color w:val="auto"/>
        </w:rPr>
        <w:t>Purchaser shall pay the Class A Purchase Price by wire transfer of immediately available funds to Seller’s account, which account shall be communicated by Seller to Purchaser in writing no later than two (2) Business Days prior to the Second Closing;</w:t>
      </w:r>
    </w:p>
    <w:p>
      <w:pPr>
        <w:spacing w:after="0" w:line="146" w:lineRule="exact"/>
        <w:rPr>
          <w:rFonts w:ascii="Arial" w:cs="Arial" w:eastAsia="Arial" w:hAnsi="Arial"/>
          <w:sz w:val="17"/>
          <w:szCs w:val="17"/>
          <w:color w:val="auto"/>
        </w:rPr>
      </w:pPr>
    </w:p>
    <w:p>
      <w:pPr>
        <w:ind w:left="660" w:firstLine="1292"/>
        <w:spacing w:after="0" w:line="277" w:lineRule="auto"/>
        <w:tabs>
          <w:tab w:leader="none" w:pos="2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execution by both Parties of the Assignment of Membership Interests and all other agreements, documents, instruments or certificates required to be delivered at or prior to the Second Closing pursuant to </w:t>
      </w:r>
      <w:r>
        <w:rPr>
          <w:rFonts w:ascii="Arial" w:cs="Arial" w:eastAsia="Arial" w:hAnsi="Arial"/>
          <w:sz w:val="18"/>
          <w:szCs w:val="18"/>
          <w:i w:val="1"/>
          <w:iCs w:val="1"/>
          <w:color w:val="auto"/>
        </w:rPr>
        <w:t>Section 4.02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firstLine="1292"/>
        <w:spacing w:after="0" w:line="277" w:lineRule="auto"/>
        <w:tabs>
          <w:tab w:leader="none" w:pos="2451"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Seller shall deliver to Purchaser a certificate or certificates representing the Class A Interests, duly endorsed for transfer to Purchaser or accompanied by one or more membership interests powers duly endorsed for transfer to Purchaser.</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5"/>
          <w:szCs w:val="15"/>
          <w:b w:val="1"/>
          <w:bCs w:val="1"/>
          <w:i w:val="1"/>
          <w:iCs w:val="1"/>
          <w:color w:val="auto"/>
        </w:rPr>
        <w:t>Adjusted Purchase Price Amounts</w:t>
      </w:r>
      <w:r>
        <w:rPr>
          <w:rFonts w:ascii="Arial" w:cs="Arial" w:eastAsia="Arial" w:hAnsi="Arial"/>
          <w:sz w:val="15"/>
          <w:szCs w:val="15"/>
          <w:color w:val="auto"/>
        </w:rPr>
        <w:t>.</w:t>
      </w:r>
    </w:p>
    <w:p>
      <w:pPr>
        <w:spacing w:after="0" w:line="225" w:lineRule="exact"/>
        <w:rPr>
          <w:sz w:val="20"/>
          <w:szCs w:val="20"/>
          <w:color w:val="auto"/>
        </w:rPr>
      </w:pPr>
    </w:p>
    <w:p>
      <w:pPr>
        <w:ind w:left="1960" w:hanging="656"/>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Adjusted Base Purchase Price Amount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1292"/>
        <w:spacing w:after="0" w:line="277" w:lineRule="auto"/>
        <w:tabs>
          <w:tab w:leader="none" w:pos="23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less than five (5) Business Days prior to the Closing Date, Seller shall provide to Purchaser an Adjusted Purchase Price Model for purposes of calculating the Adjusted Purchase Price Amount.</w:t>
      </w:r>
    </w:p>
    <w:p>
      <w:pPr>
        <w:spacing w:after="0" w:line="170" w:lineRule="exact"/>
        <w:rPr>
          <w:rFonts w:ascii="Arial" w:cs="Arial" w:eastAsia="Arial" w:hAnsi="Arial"/>
          <w:sz w:val="18"/>
          <w:szCs w:val="18"/>
          <w:color w:val="auto"/>
        </w:rPr>
      </w:pPr>
    </w:p>
    <w:p>
      <w:pPr>
        <w:jc w:val="both"/>
        <w:ind w:left="660" w:firstLine="1292"/>
        <w:spacing w:after="0" w:line="259" w:lineRule="auto"/>
        <w:tabs>
          <w:tab w:leader="none" w:pos="2446"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If the Adjusted Purchase Price Amount is positive, then the Base Purchase Price shall be increased by the Adjusted Purchase Price Amount. If the Adjusted Purchase Price Amount is negative, then the Base Purchase Price shall be decreased by the absolute value of the Adjusted Purchase Price Amount. Any adjustment made under this </w:t>
      </w:r>
      <w:r>
        <w:rPr>
          <w:rFonts w:ascii="Arial" w:cs="Arial" w:eastAsia="Arial" w:hAnsi="Arial"/>
          <w:sz w:val="18"/>
          <w:szCs w:val="18"/>
          <w:i w:val="1"/>
          <w:iCs w:val="1"/>
          <w:color w:val="auto"/>
        </w:rPr>
        <w:t>Section 2.04(a)</w:t>
      </w:r>
      <w:r>
        <w:rPr>
          <w:rFonts w:ascii="Arial" w:cs="Arial" w:eastAsia="Arial" w:hAnsi="Arial"/>
          <w:sz w:val="18"/>
          <w:szCs w:val="18"/>
          <w:color w:val="auto"/>
        </w:rPr>
        <w:t xml:space="preserve"> will be treated as an adjustment to the Base Purchase Price for Tax purposes.</w:t>
      </w:r>
    </w:p>
    <w:p>
      <w:pPr>
        <w:spacing w:after="0" w:line="186" w:lineRule="exact"/>
        <w:rPr>
          <w:rFonts w:ascii="Arial" w:cs="Arial" w:eastAsia="Arial" w:hAnsi="Arial"/>
          <w:sz w:val="18"/>
          <w:szCs w:val="18"/>
          <w:color w:val="auto"/>
        </w:rPr>
      </w:pPr>
    </w:p>
    <w:p>
      <w:pPr>
        <w:ind w:left="2500" w:hanging="548"/>
        <w:spacing w:after="0"/>
        <w:tabs>
          <w:tab w:leader="none" w:pos="25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Purchase Price Amount</w:t>
      </w:r>
      <w:r>
        <w:rPr>
          <w:rFonts w:ascii="Arial" w:cs="Arial" w:eastAsia="Arial" w:hAnsi="Arial"/>
          <w:sz w:val="17"/>
          <w:szCs w:val="17"/>
          <w:color w:val="auto"/>
        </w:rPr>
        <w:t>” shall equal the number set forth in cell PP Adj Table Cell T9 of the Adjusted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Purchase Price Model.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304"/>
        <w:spacing w:after="0" w:line="258" w:lineRule="auto"/>
        <w:tabs>
          <w:tab w:leader="none" w:pos="1776"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REC Contract Adder</w:t>
      </w:r>
      <w:r>
        <w:rPr>
          <w:rFonts w:ascii="Arial" w:cs="Arial" w:eastAsia="Arial" w:hAnsi="Arial"/>
          <w:sz w:val="18"/>
          <w:szCs w:val="18"/>
          <w:color w:val="auto"/>
        </w:rPr>
        <w:t>. On the latest of the Second Closing Date, the REC Contract Execution Date and the Additional Turbine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Deadline the Parties shall re-run the Base Case Model to reflect the execution of the REC Contract by adjusting [***]. The output from such update to the Base Case Model shall be the “REC Contract Adder”. The Purchase Price shall be increased by the REC Contract Adder and Buyer shall pay the amount of such REC Contract Adder to Seller within three (3) Business Days from the date on which the Parties agree on the adjustment to the Base Case Model pursuant to this </w:t>
      </w:r>
      <w:r>
        <w:rPr>
          <w:rFonts w:ascii="Arial" w:cs="Arial" w:eastAsia="Arial" w:hAnsi="Arial"/>
          <w:sz w:val="18"/>
          <w:szCs w:val="18"/>
          <w:i w:val="1"/>
          <w:iCs w:val="1"/>
          <w:color w:val="auto"/>
        </w:rPr>
        <w:t>Section 2.04(b)</w:t>
      </w:r>
      <w:r>
        <w:rPr>
          <w:rFonts w:ascii="Arial" w:cs="Arial" w:eastAsia="Arial" w:hAnsi="Arial"/>
          <w:sz w:val="18"/>
          <w:szCs w:val="18"/>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5"/>
          <w:szCs w:val="15"/>
          <w:b w:val="1"/>
          <w:bCs w:val="1"/>
          <w:i w:val="1"/>
          <w:iCs w:val="1"/>
          <w:color w:val="auto"/>
        </w:rPr>
        <w:t>Post-Closing Additional Turbine Adjustments</w:t>
      </w:r>
      <w:r>
        <w:rPr>
          <w:rFonts w:ascii="Arial" w:cs="Arial" w:eastAsia="Arial" w:hAnsi="Arial"/>
          <w:sz w:val="15"/>
          <w:szCs w:val="15"/>
          <w:color w:val="auto"/>
        </w:rPr>
        <w:t>.</w:t>
      </w:r>
    </w:p>
    <w:p>
      <w:pPr>
        <w:spacing w:after="0" w:line="229" w:lineRule="exact"/>
        <w:rPr>
          <w:sz w:val="20"/>
          <w:szCs w:val="20"/>
          <w:color w:val="auto"/>
        </w:rPr>
      </w:pPr>
    </w:p>
    <w:p>
      <w:pPr>
        <w:ind w:right="20" w:firstLine="1304"/>
        <w:spacing w:after="0" w:line="277" w:lineRule="auto"/>
        <w:tabs>
          <w:tab w:leader="none" w:pos="17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If at the Closing Date there are no Additional Turbines, then neither the Base Purchase Price nor the Class A Purchase Price shall be adjusted by this </w:t>
      </w:r>
      <w:r>
        <w:rPr>
          <w:rFonts w:ascii="Arial" w:cs="Arial" w:eastAsia="Arial" w:hAnsi="Arial"/>
          <w:sz w:val="18"/>
          <w:szCs w:val="18"/>
          <w:i w:val="1"/>
          <w:iCs w:val="1"/>
          <w:color w:val="auto"/>
        </w:rPr>
        <w:t>Section 2.05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at the Closing Date there are any Additional Turbines, then:</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Base Purchase Price shall be decreased by an amount equal to the Additional Turbine Holdback Amount; and</w:t>
      </w:r>
    </w:p>
    <w:p>
      <w:pPr>
        <w:spacing w:after="0" w:line="236" w:lineRule="exact"/>
        <w:rPr>
          <w:rFonts w:ascii="Arial" w:cs="Arial" w:eastAsia="Arial" w:hAnsi="Arial"/>
          <w:sz w:val="17"/>
          <w:szCs w:val="17"/>
          <w:color w:val="auto"/>
        </w:rPr>
      </w:pPr>
    </w:p>
    <w:p>
      <w:pPr>
        <w:jc w:val="both"/>
        <w:ind w:left="660" w:firstLine="1292"/>
        <w:spacing w:after="0" w:line="301" w:lineRule="auto"/>
        <w:tabs>
          <w:tab w:leader="none" w:pos="2446"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w:t>
      </w:r>
      <w:r>
        <w:rPr>
          <w:rFonts w:ascii="Arial" w:cs="Arial" w:eastAsia="Arial" w:hAnsi="Arial"/>
          <w:sz w:val="16"/>
          <w:szCs w:val="16"/>
          <w:i w:val="1"/>
          <w:iCs w:val="1"/>
          <w:color w:val="auto"/>
        </w:rPr>
        <w:t>A</w:t>
      </w:r>
      <w:r>
        <w:rPr>
          <w:rFonts w:ascii="Arial" w:cs="Arial" w:eastAsia="Arial" w:hAnsi="Arial"/>
          <w:sz w:val="16"/>
          <w:szCs w:val="16"/>
          <w:color w:val="auto"/>
        </w:rPr>
        <w:t>) the Additional Turbine Deadline occurs before the Second Closing Date, (</w:t>
      </w:r>
      <w:r>
        <w:rPr>
          <w:rFonts w:ascii="Arial" w:cs="Arial" w:eastAsia="Arial" w:hAnsi="Arial"/>
          <w:sz w:val="16"/>
          <w:szCs w:val="16"/>
          <w:i w:val="1"/>
          <w:iCs w:val="1"/>
          <w:color w:val="auto"/>
        </w:rPr>
        <w:t>B</w:t>
      </w:r>
      <w:r>
        <w:rPr>
          <w:rFonts w:ascii="Arial" w:cs="Arial" w:eastAsia="Arial" w:hAnsi="Arial"/>
          <w:sz w:val="16"/>
          <w:szCs w:val="16"/>
          <w:color w:val="auto"/>
        </w:rPr>
        <w:t xml:space="preserve">) there has been an adjustment to the Base Purchase Price pursuant to </w:t>
      </w:r>
      <w:r>
        <w:rPr>
          <w:rFonts w:ascii="Arial" w:cs="Arial" w:eastAsia="Arial" w:hAnsi="Arial"/>
          <w:sz w:val="16"/>
          <w:szCs w:val="16"/>
          <w:i w:val="1"/>
          <w:iCs w:val="1"/>
          <w:color w:val="auto"/>
        </w:rPr>
        <w:t>Section 2.05(b)(i)</w:t>
      </w:r>
      <w:r>
        <w:rPr>
          <w:rFonts w:ascii="Arial" w:cs="Arial" w:eastAsia="Arial" w:hAnsi="Arial"/>
          <w:sz w:val="16"/>
          <w:szCs w:val="16"/>
          <w:color w:val="auto"/>
        </w:rPr>
        <w:t xml:space="preserve"> above and (</w:t>
      </w:r>
      <w:r>
        <w:rPr>
          <w:rFonts w:ascii="Arial" w:cs="Arial" w:eastAsia="Arial" w:hAnsi="Arial"/>
          <w:sz w:val="16"/>
          <w:szCs w:val="16"/>
          <w:i w:val="1"/>
          <w:iCs w:val="1"/>
          <w:color w:val="auto"/>
        </w:rPr>
        <w:t>C</w:t>
      </w:r>
      <w:r>
        <w:rPr>
          <w:rFonts w:ascii="Arial" w:cs="Arial" w:eastAsia="Arial" w:hAnsi="Arial"/>
          <w:sz w:val="16"/>
          <w:szCs w:val="16"/>
          <w:color w:val="auto"/>
        </w:rPr>
        <w:t>) there are any Additional Turbines that have been Placed in Service during the period between the Closing Date and the Additional Turbine Deadline, Purchaser shall calculate the Additional Turbine Funding Amount and, within five (5) Business Days after the Additional Turbine Deadline, Purchaser shall pay to Seller the Additional Turbine Funding Amount.</w:t>
      </w:r>
    </w:p>
    <w:p>
      <w:pPr>
        <w:spacing w:after="0" w:line="157" w:lineRule="exact"/>
        <w:rPr>
          <w:rFonts w:ascii="Arial" w:cs="Arial" w:eastAsia="Arial" w:hAnsi="Arial"/>
          <w:sz w:val="16"/>
          <w:szCs w:val="16"/>
          <w:color w:val="auto"/>
        </w:rPr>
      </w:pPr>
    </w:p>
    <w:p>
      <w:pPr>
        <w:ind w:left="1780" w:hanging="476"/>
        <w:spacing w:after="0"/>
        <w:tabs>
          <w:tab w:leader="none" w:pos="1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at the Second Closing Date, the Additional Turbine Deadline has not occurred and there are any Additional Turbines, then:</w:t>
      </w:r>
    </w:p>
    <w:p>
      <w:pPr>
        <w:spacing w:after="0" w:line="236" w:lineRule="exact"/>
        <w:rPr>
          <w:rFonts w:ascii="Arial" w:cs="Arial" w:eastAsia="Arial" w:hAnsi="Arial"/>
          <w:sz w:val="17"/>
          <w:szCs w:val="17"/>
          <w:color w:val="auto"/>
        </w:rPr>
      </w:pPr>
    </w:p>
    <w:p>
      <w:pPr>
        <w:ind w:left="2400" w:hanging="448"/>
        <w:spacing w:after="0"/>
        <w:tabs>
          <w:tab w:leader="none" w:pos="24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Class A Purchase Price shall be decreased by an amount equal to the Second Additional Turbine Holdback Amount;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jc w:val="both"/>
        <w:ind w:left="660" w:firstLine="1292"/>
        <w:spacing w:after="0" w:line="259" w:lineRule="auto"/>
        <w:tabs>
          <w:tab w:leader="none" w:pos="2446"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w:t>
      </w:r>
      <w:r>
        <w:rPr>
          <w:rFonts w:ascii="Arial" w:cs="Arial" w:eastAsia="Arial" w:hAnsi="Arial"/>
          <w:sz w:val="18"/>
          <w:szCs w:val="18"/>
          <w:i w:val="1"/>
          <w:iCs w:val="1"/>
          <w:color w:val="auto"/>
        </w:rPr>
        <w:t>A</w:t>
      </w:r>
      <w:r>
        <w:rPr>
          <w:rFonts w:ascii="Arial" w:cs="Arial" w:eastAsia="Arial" w:hAnsi="Arial"/>
          <w:sz w:val="18"/>
          <w:szCs w:val="18"/>
          <w:color w:val="auto"/>
        </w:rPr>
        <w:t xml:space="preserve">) there have been adjustments to the Purchase Price pursuant to </w:t>
      </w:r>
      <w:r>
        <w:rPr>
          <w:rFonts w:ascii="Arial" w:cs="Arial" w:eastAsia="Arial" w:hAnsi="Arial"/>
          <w:sz w:val="18"/>
          <w:szCs w:val="18"/>
          <w:i w:val="1"/>
          <w:iCs w:val="1"/>
          <w:color w:val="auto"/>
        </w:rPr>
        <w:t>Section 2.05(b)(i)</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2.05(c)(i)</w:t>
      </w:r>
      <w:r>
        <w:rPr>
          <w:rFonts w:ascii="Arial" w:cs="Arial" w:eastAsia="Arial" w:hAnsi="Arial"/>
          <w:sz w:val="18"/>
          <w:szCs w:val="18"/>
          <w:color w:val="auto"/>
        </w:rPr>
        <w:t xml:space="preserve"> above and (</w:t>
      </w:r>
      <w:r>
        <w:rPr>
          <w:rFonts w:ascii="Arial" w:cs="Arial" w:eastAsia="Arial" w:hAnsi="Arial"/>
          <w:sz w:val="18"/>
          <w:szCs w:val="18"/>
          <w:i w:val="1"/>
          <w:iCs w:val="1"/>
          <w:color w:val="auto"/>
        </w:rPr>
        <w:t>B</w:t>
      </w:r>
      <w:r>
        <w:rPr>
          <w:rFonts w:ascii="Arial" w:cs="Arial" w:eastAsia="Arial" w:hAnsi="Arial"/>
          <w:sz w:val="18"/>
          <w:szCs w:val="18"/>
          <w:color w:val="auto"/>
        </w:rPr>
        <w:t>) there are any Additional Turbines that have been Placed in Service during the period between the Closing Date and the Additional Turbine Deadline, Purchaser shall calculate the Additional Turbine Funding Amount and, within five (5) Business Days after the Additional Turbine Deadline, Purchaser shall pay to Seller the Additional Turbine Funding Amount.</w:t>
      </w:r>
    </w:p>
    <w:p>
      <w:pPr>
        <w:spacing w:after="0" w:line="186" w:lineRule="exact"/>
        <w:rPr>
          <w:rFonts w:ascii="Arial" w:cs="Arial" w:eastAsia="Arial" w:hAnsi="Arial"/>
          <w:sz w:val="18"/>
          <w:szCs w:val="18"/>
          <w:color w:val="auto"/>
        </w:rPr>
      </w:pPr>
    </w:p>
    <w:p>
      <w:pPr>
        <w:ind w:firstLine="1304"/>
        <w:spacing w:after="0" w:line="277" w:lineRule="auto"/>
        <w:tabs>
          <w:tab w:leader="none" w:pos="17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Additional Turbine Funding Amount</w:t>
      </w:r>
      <w:r>
        <w:rPr>
          <w:rFonts w:ascii="Arial" w:cs="Arial" w:eastAsia="Arial" w:hAnsi="Arial"/>
          <w:sz w:val="18"/>
          <w:szCs w:val="18"/>
          <w:color w:val="auto"/>
        </w:rPr>
        <w:t xml:space="preserve">” shall be an amount of money that is equal to the product of the applicable Additional Turbine Amount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number of Additional Turbines Placed in Service by the Additional Turbine Deadline.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2.06. </w:t>
      </w:r>
      <w:r>
        <w:rPr>
          <w:rFonts w:ascii="Arial" w:cs="Arial" w:eastAsia="Arial" w:hAnsi="Arial"/>
          <w:sz w:val="18"/>
          <w:szCs w:val="18"/>
          <w:b w:val="1"/>
          <w:bCs w:val="1"/>
          <w:i w:val="1"/>
          <w:iCs w:val="1"/>
          <w:color w:val="auto"/>
        </w:rPr>
        <w:t>Certain Proceeds</w:t>
      </w:r>
      <w:r>
        <w:rPr>
          <w:rFonts w:ascii="Arial" w:cs="Arial" w:eastAsia="Arial" w:hAnsi="Arial"/>
          <w:sz w:val="18"/>
          <w:szCs w:val="18"/>
          <w:color w:val="auto"/>
        </w:rPr>
        <w:t>. Notwithstanding anything herein to the contrary, in the event that anytime following the Final Completion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(if Purchaser receives any such payment separately and not from the Company or a Mesquite Sky Entity) or the Company or any Mesquite Sky Entity receives any payment with respect to any amounts released from any completion escrow account or any amounts released from adequate reserves established at or prior to the Closing Date in accordance with GAAP by the Company or any Mesquite Sky Entity, Purchaser and Seller agree that such amount shall be retained by, or immediately refunded to, Seller.</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3.01. </w:t>
      </w:r>
      <w:r>
        <w:rPr>
          <w:rFonts w:ascii="Arial" w:cs="Arial" w:eastAsia="Arial" w:hAnsi="Arial"/>
          <w:sz w:val="18"/>
          <w:szCs w:val="18"/>
          <w:b w:val="1"/>
          <w:bCs w:val="1"/>
          <w:i w:val="1"/>
          <w:iCs w:val="1"/>
          <w:color w:val="auto"/>
        </w:rPr>
        <w:t>Representations and Warranties with respect to Seller, the Company and the Mesquite Sky Entities</w:t>
      </w:r>
      <w:r>
        <w:rPr>
          <w:rFonts w:ascii="Arial" w:cs="Arial" w:eastAsia="Arial" w:hAnsi="Arial"/>
          <w:sz w:val="18"/>
          <w:szCs w:val="18"/>
          <w:color w:val="auto"/>
        </w:rPr>
        <w:t>. Seller hereby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warrants to Purchaser, as of the Execution Date, the Closing Date and, solely with respect to </w:t>
      </w:r>
      <w:r>
        <w:rPr>
          <w:rFonts w:ascii="Arial" w:cs="Arial" w:eastAsia="Arial" w:hAnsi="Arial"/>
          <w:sz w:val="18"/>
          <w:szCs w:val="18"/>
          <w:i w:val="1"/>
          <w:iCs w:val="1"/>
          <w:color w:val="auto"/>
        </w:rPr>
        <w:t>Section 3.01(a)</w:t>
      </w:r>
      <w:r>
        <w:rPr>
          <w:rFonts w:ascii="Arial" w:cs="Arial" w:eastAsia="Arial" w:hAnsi="Arial"/>
          <w:sz w:val="18"/>
          <w:szCs w:val="18"/>
          <w:color w:val="auto"/>
        </w:rPr>
        <w:t xml:space="preserve"> (Existence), </w:t>
      </w:r>
      <w:r>
        <w:rPr>
          <w:rFonts w:ascii="Arial" w:cs="Arial" w:eastAsia="Arial" w:hAnsi="Arial"/>
          <w:sz w:val="18"/>
          <w:szCs w:val="18"/>
          <w:i w:val="1"/>
          <w:iCs w:val="1"/>
          <w:color w:val="auto"/>
        </w:rPr>
        <w:t>Section 3.01(b)</w:t>
      </w:r>
      <w:r>
        <w:rPr>
          <w:rFonts w:ascii="Arial" w:cs="Arial" w:eastAsia="Arial" w:hAnsi="Arial"/>
          <w:sz w:val="18"/>
          <w:szCs w:val="18"/>
          <w:color w:val="auto"/>
        </w:rPr>
        <w:t xml:space="preserve"> (Authority), </w:t>
      </w:r>
      <w:r>
        <w:rPr>
          <w:rFonts w:ascii="Arial" w:cs="Arial" w:eastAsia="Arial" w:hAnsi="Arial"/>
          <w:sz w:val="18"/>
          <w:szCs w:val="18"/>
          <w:i w:val="1"/>
          <w:iCs w:val="1"/>
          <w:color w:val="auto"/>
        </w:rPr>
        <w:t xml:space="preserve">Section 3.01(c) </w:t>
      </w:r>
      <w:r>
        <w:rPr>
          <w:rFonts w:ascii="Arial" w:cs="Arial" w:eastAsia="Arial" w:hAnsi="Arial"/>
          <w:sz w:val="18"/>
          <w:szCs w:val="18"/>
          <w:color w:val="auto"/>
        </w:rPr>
        <w:t>(No Consent),</w:t>
      </w:r>
      <w:r>
        <w:rPr>
          <w:rFonts w:ascii="Arial" w:cs="Arial" w:eastAsia="Arial" w:hAnsi="Arial"/>
          <w:sz w:val="18"/>
          <w:szCs w:val="18"/>
          <w:i w:val="1"/>
          <w:iCs w:val="1"/>
          <w:color w:val="auto"/>
        </w:rPr>
        <w:t xml:space="preserve"> Section 3.01(d)(i), 3.01(d)(iii) and 3.01(d)(iv) </w:t>
      </w:r>
      <w:r>
        <w:rPr>
          <w:rFonts w:ascii="Arial" w:cs="Arial" w:eastAsia="Arial" w:hAnsi="Arial"/>
          <w:sz w:val="18"/>
          <w:szCs w:val="18"/>
          <w:color w:val="auto"/>
        </w:rPr>
        <w:t>(No Conflicts),</w:t>
      </w:r>
      <w:r>
        <w:rPr>
          <w:rFonts w:ascii="Arial" w:cs="Arial" w:eastAsia="Arial" w:hAnsi="Arial"/>
          <w:sz w:val="18"/>
          <w:szCs w:val="18"/>
          <w:i w:val="1"/>
          <w:iCs w:val="1"/>
          <w:color w:val="auto"/>
        </w:rPr>
        <w:t xml:space="preserve"> Section 3.01(e</w:t>
      </w:r>
      <w:r>
        <w:rPr>
          <w:rFonts w:ascii="Arial" w:cs="Arial" w:eastAsia="Arial" w:hAnsi="Arial"/>
          <w:sz w:val="18"/>
          <w:szCs w:val="18"/>
          <w:color w:val="auto"/>
        </w:rPr>
        <w:t>) (Regulatory Matters),</w:t>
      </w:r>
      <w:r>
        <w:rPr>
          <w:rFonts w:ascii="Arial" w:cs="Arial" w:eastAsia="Arial" w:hAnsi="Arial"/>
          <w:sz w:val="18"/>
          <w:szCs w:val="18"/>
          <w:i w:val="1"/>
          <w:iCs w:val="1"/>
          <w:color w:val="auto"/>
        </w:rPr>
        <w:t xml:space="preserve"> Section 3.01(f) </w:t>
      </w:r>
      <w:r>
        <w:rPr>
          <w:rFonts w:ascii="Arial" w:cs="Arial" w:eastAsia="Arial" w:hAnsi="Arial"/>
          <w:sz w:val="18"/>
          <w:szCs w:val="18"/>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Proceedings), </w:t>
      </w:r>
      <w:r>
        <w:rPr>
          <w:rFonts w:ascii="Arial" w:cs="Arial" w:eastAsia="Arial" w:hAnsi="Arial"/>
          <w:sz w:val="18"/>
          <w:szCs w:val="18"/>
          <w:i w:val="1"/>
          <w:iCs w:val="1"/>
          <w:color w:val="auto"/>
        </w:rPr>
        <w:t>Section 3.01(g)</w:t>
      </w:r>
      <w:r>
        <w:rPr>
          <w:rFonts w:ascii="Arial" w:cs="Arial" w:eastAsia="Arial" w:hAnsi="Arial"/>
          <w:sz w:val="18"/>
          <w:szCs w:val="18"/>
          <w:color w:val="auto"/>
        </w:rPr>
        <w:t xml:space="preserve"> (Brokers), </w:t>
      </w:r>
      <w:r>
        <w:rPr>
          <w:rFonts w:ascii="Arial" w:cs="Arial" w:eastAsia="Arial" w:hAnsi="Arial"/>
          <w:sz w:val="18"/>
          <w:szCs w:val="18"/>
          <w:i w:val="1"/>
          <w:iCs w:val="1"/>
          <w:color w:val="auto"/>
        </w:rPr>
        <w:t>Sections 3.01(i)(x), 3.01(i)(xi)</w:t>
      </w:r>
      <w:r>
        <w:rPr>
          <w:rFonts w:ascii="Arial" w:cs="Arial" w:eastAsia="Arial" w:hAnsi="Arial"/>
          <w:sz w:val="18"/>
          <w:szCs w:val="18"/>
          <w:color w:val="auto"/>
        </w:rPr>
        <w:t xml:space="preserve"> and </w:t>
      </w:r>
      <w:r>
        <w:rPr>
          <w:rFonts w:ascii="Arial" w:cs="Arial" w:eastAsia="Arial" w:hAnsi="Arial"/>
          <w:sz w:val="18"/>
          <w:szCs w:val="18"/>
          <w:i w:val="1"/>
          <w:iCs w:val="1"/>
          <w:color w:val="auto"/>
        </w:rPr>
        <w:t>3.01(i)(xii)</w:t>
      </w:r>
      <w:r>
        <w:rPr>
          <w:rFonts w:ascii="Arial" w:cs="Arial" w:eastAsia="Arial" w:hAnsi="Arial"/>
          <w:sz w:val="18"/>
          <w:szCs w:val="18"/>
          <w:color w:val="auto"/>
        </w:rPr>
        <w:t xml:space="preserve"> (Company and the Mesquite Sky Entities) and </w:t>
      </w:r>
      <w:r>
        <w:rPr>
          <w:rFonts w:ascii="Arial" w:cs="Arial" w:eastAsia="Arial" w:hAnsi="Arial"/>
          <w:sz w:val="18"/>
          <w:szCs w:val="18"/>
          <w:i w:val="1"/>
          <w:iCs w:val="1"/>
          <w:color w:val="auto"/>
        </w:rPr>
        <w:t>Section 3.01(cc)</w:t>
      </w:r>
      <w:r>
        <w:rPr>
          <w:rFonts w:ascii="Arial" w:cs="Arial" w:eastAsia="Arial" w:hAnsi="Arial"/>
          <w:sz w:val="18"/>
          <w:szCs w:val="18"/>
          <w:color w:val="auto"/>
        </w:rPr>
        <w:t xml:space="preserve"> (No Other Warranties) (collectively, the “</w:t>
      </w:r>
      <w:r>
        <w:rPr>
          <w:rFonts w:ascii="Arial" w:cs="Arial" w:eastAsia="Arial" w:hAnsi="Arial"/>
          <w:sz w:val="18"/>
          <w:szCs w:val="18"/>
          <w:i w:val="1"/>
          <w:iCs w:val="1"/>
          <w:color w:val="auto"/>
        </w:rPr>
        <w:t>Seller Second Closing Representations</w:t>
      </w:r>
      <w:r>
        <w:rPr>
          <w:rFonts w:ascii="Arial" w:cs="Arial" w:eastAsia="Arial" w:hAnsi="Arial"/>
          <w:sz w:val="18"/>
          <w:szCs w:val="18"/>
          <w:color w:val="auto"/>
        </w:rPr>
        <w:t xml:space="preserve">”), the Second Closing Date, as follows;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representation and warranty set forth in this </w:t>
      </w:r>
      <w:r>
        <w:rPr>
          <w:rFonts w:ascii="Arial" w:cs="Arial" w:eastAsia="Arial" w:hAnsi="Arial"/>
          <w:sz w:val="18"/>
          <w:szCs w:val="18"/>
          <w:i w:val="1"/>
          <w:iCs w:val="1"/>
          <w:color w:val="auto"/>
        </w:rPr>
        <w:t>Section 3.01</w:t>
      </w:r>
      <w:r>
        <w:rPr>
          <w:rFonts w:ascii="Arial" w:cs="Arial" w:eastAsia="Arial" w:hAnsi="Arial"/>
          <w:sz w:val="18"/>
          <w:szCs w:val="18"/>
          <w:color w:val="auto"/>
        </w:rPr>
        <w:t xml:space="preserve"> and expressly stated to be made only as of a specified date shall be made solely as of such date;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respect of each of the Seller Second Closing Date Representations, references to the Company and the Mesquite Sky Entities shall be disregarded and deemed deleted.</w:t>
      </w:r>
    </w:p>
    <w:p>
      <w:pPr>
        <w:spacing w:after="0" w:line="192" w:lineRule="exact"/>
        <w:rPr>
          <w:sz w:val="20"/>
          <w:szCs w:val="20"/>
          <w:color w:val="auto"/>
        </w:rPr>
      </w:pPr>
    </w:p>
    <w:p>
      <w:pPr>
        <w:jc w:val="both"/>
        <w:ind w:firstLine="1304"/>
        <w:spacing w:after="0" w:line="289" w:lineRule="auto"/>
        <w:tabs>
          <w:tab w:leader="none" w:pos="1766"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Existence</w:t>
      </w:r>
      <w:r>
        <w:rPr>
          <w:rFonts w:ascii="Arial" w:cs="Arial" w:eastAsia="Arial" w:hAnsi="Arial"/>
          <w:sz w:val="17"/>
          <w:szCs w:val="17"/>
          <w:color w:val="auto"/>
        </w:rPr>
        <w:t>. Seller is a limited liability company duly formed, validly existing and in good standing under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Seller has full power and authority to execute and deliver this Agreement and any other agreements to be executed and delivered by Seller hereunder, and to perform its obligations hereunder and thereunder and to consummate the transactions contemplated hereby and thereby.</w:t>
      </w:r>
    </w:p>
    <w:p>
      <w:pPr>
        <w:spacing w:after="0" w:line="157" w:lineRule="exact"/>
        <w:rPr>
          <w:rFonts w:ascii="Arial" w:cs="Arial" w:eastAsia="Arial" w:hAnsi="Arial"/>
          <w:sz w:val="17"/>
          <w:szCs w:val="17"/>
          <w:color w:val="auto"/>
        </w:rPr>
      </w:pPr>
    </w:p>
    <w:p>
      <w:pPr>
        <w:jc w:val="both"/>
        <w:ind w:firstLine="1304"/>
        <w:spacing w:after="0" w:line="258" w:lineRule="auto"/>
        <w:tabs>
          <w:tab w:leader="none" w:pos="177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Authority</w:t>
      </w:r>
      <w:r>
        <w:rPr>
          <w:rFonts w:ascii="Arial" w:cs="Arial" w:eastAsia="Arial" w:hAnsi="Arial"/>
          <w:sz w:val="18"/>
          <w:szCs w:val="18"/>
          <w:color w:val="auto"/>
        </w:rPr>
        <w:t>. All actions or proceedings necessary to authorize the execution and delivery by Seller of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3" w:lineRule="exact"/>
        <w:rPr>
          <w:rFonts w:ascii="Arial" w:cs="Arial" w:eastAsia="Arial" w:hAnsi="Arial"/>
          <w:sz w:val="18"/>
          <w:szCs w:val="18"/>
          <w:color w:val="auto"/>
        </w:rPr>
      </w:pPr>
    </w:p>
    <w:p>
      <w:pPr>
        <w:jc w:val="both"/>
        <w:ind w:firstLine="1304"/>
        <w:spacing w:after="0" w:line="277" w:lineRule="auto"/>
        <w:tabs>
          <w:tab w:leader="none" w:pos="1766"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No Consent</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3.01(c)</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(the “</w:t>
      </w:r>
      <w:r>
        <w:rPr>
          <w:rFonts w:ascii="Arial" w:cs="Arial" w:eastAsia="Arial" w:hAnsi="Arial"/>
          <w:sz w:val="17"/>
          <w:szCs w:val="17"/>
          <w:i w:val="1"/>
          <w:iCs w:val="1"/>
          <w:color w:val="auto"/>
        </w:rPr>
        <w:t>Seller Consents</w:t>
      </w:r>
      <w:r>
        <w:rPr>
          <w:rFonts w:ascii="Arial" w:cs="Arial" w:eastAsia="Arial" w:hAnsi="Arial"/>
          <w:sz w:val="17"/>
          <w:szCs w:val="17"/>
          <w:color w:val="auto"/>
        </w:rPr>
        <w:t>”), and except as would not,</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67" w:lineRule="exact"/>
        <w:rPr>
          <w:rFonts w:ascii="Arial" w:cs="Arial" w:eastAsia="Arial" w:hAnsi="Arial"/>
          <w:sz w:val="17"/>
          <w:szCs w:val="17"/>
          <w:color w:val="auto"/>
        </w:rPr>
      </w:pPr>
    </w:p>
    <w:p>
      <w:pPr>
        <w:jc w:val="both"/>
        <w:ind w:firstLine="1304"/>
        <w:spacing w:after="0" w:line="273" w:lineRule="auto"/>
        <w:tabs>
          <w:tab w:leader="none" w:pos="1776"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No Conflicts</w:t>
      </w:r>
      <w:r>
        <w:rPr>
          <w:rFonts w:ascii="Arial" w:cs="Arial" w:eastAsia="Arial" w:hAnsi="Arial"/>
          <w:sz w:val="17"/>
          <w:szCs w:val="17"/>
          <w:color w:val="auto"/>
        </w:rPr>
        <w:t>. The execution, delivery and performance of this Agreement by Seller does not and will not (</w:t>
      </w:r>
      <w:r>
        <w:rPr>
          <w:rFonts w:ascii="Arial" w:cs="Arial" w:eastAsia="Arial" w:hAnsi="Arial"/>
          <w:sz w:val="17"/>
          <w:szCs w:val="17"/>
          <w:i w:val="1"/>
          <w:iCs w:val="1"/>
          <w:color w:val="auto"/>
        </w:rPr>
        <w:t>i</w:t>
      </w:r>
      <w:r>
        <w:rPr>
          <w:rFonts w:ascii="Arial" w:cs="Arial" w:eastAsia="Arial" w:hAnsi="Arial"/>
          <w:sz w:val="17"/>
          <w:szCs w:val="17"/>
          <w:color w:val="auto"/>
        </w:rPr>
        <w:t>) conflict with, result in</w:t>
      </w:r>
      <w:r>
        <w:rPr>
          <w:rFonts w:ascii="Arial" w:cs="Arial" w:eastAsia="Arial" w:hAnsi="Arial"/>
          <w:sz w:val="17"/>
          <w:szCs w:val="17"/>
          <w:b w:val="1"/>
          <w:bCs w:val="1"/>
          <w:color w:val="auto"/>
        </w:rPr>
        <w:t xml:space="preserve"> </w:t>
      </w:r>
      <w:r>
        <w:rPr>
          <w:rFonts w:ascii="Arial" w:cs="Arial" w:eastAsia="Arial" w:hAnsi="Arial"/>
          <w:sz w:val="17"/>
          <w:szCs w:val="17"/>
          <w:color w:val="auto"/>
        </w:rPr>
        <w:t>a breach of, or constitute a default under, the Constitutive Documents of Seller or the Company or any material Contract to which Seller, or Company Contract to which the Company or the Mesquite Sky Entities, is a party; (</w:t>
      </w:r>
      <w:r>
        <w:rPr>
          <w:rFonts w:ascii="Arial" w:cs="Arial" w:eastAsia="Arial" w:hAnsi="Arial"/>
          <w:sz w:val="17"/>
          <w:szCs w:val="17"/>
          <w:i w:val="1"/>
          <w:iCs w:val="1"/>
          <w:color w:val="auto"/>
        </w:rPr>
        <w:t>ii</w:t>
      </w:r>
      <w:r>
        <w:rPr>
          <w:rFonts w:ascii="Arial" w:cs="Arial" w:eastAsia="Arial" w:hAnsi="Arial"/>
          <w:sz w:val="17"/>
          <w:szCs w:val="17"/>
          <w:color w:val="auto"/>
        </w:rPr>
        <w:t>) result in the creation of any Lien upon any of the Acquired Interests or, solely on the Second Closing Date, the Class A Interests or assets or properties of the Company or the Mesquite Sky Entities; (</w:t>
      </w:r>
      <w:r>
        <w:rPr>
          <w:rFonts w:ascii="Arial" w:cs="Arial" w:eastAsia="Arial" w:hAnsi="Arial"/>
          <w:sz w:val="17"/>
          <w:szCs w:val="17"/>
          <w:i w:val="1"/>
          <w:iCs w:val="1"/>
          <w:color w:val="auto"/>
        </w:rPr>
        <w:t>iii</w:t>
      </w:r>
      <w:r>
        <w:rPr>
          <w:rFonts w:ascii="Arial" w:cs="Arial" w:eastAsia="Arial" w:hAnsi="Arial"/>
          <w:sz w:val="17"/>
          <w:szCs w:val="17"/>
          <w:color w:val="auto"/>
        </w:rPr>
        <w:t>) accelerate or modify, or give any party the right to accelerate or modify, the time within which, or the terms under which, any duties or obligations are to be performed by Seller, the Company or the Mesquite Sky Entities or any rights or benefits are to be received by any Person, under any Contract to which Seller, the Company or the Mesquite Sky Entities is a party; or (</w:t>
      </w:r>
      <w:r>
        <w:rPr>
          <w:rFonts w:ascii="Arial" w:cs="Arial" w:eastAsia="Arial" w:hAnsi="Arial"/>
          <w:sz w:val="17"/>
          <w:szCs w:val="17"/>
          <w:i w:val="1"/>
          <w:iCs w:val="1"/>
          <w:color w:val="auto"/>
        </w:rPr>
        <w:t>iv</w:t>
      </w:r>
      <w:r>
        <w:rPr>
          <w:rFonts w:ascii="Arial" w:cs="Arial" w:eastAsia="Arial" w:hAnsi="Arial"/>
          <w:sz w:val="17"/>
          <w:szCs w:val="17"/>
          <w:color w:val="auto"/>
        </w:rPr>
        <w:t>) violate in any material respect any applicable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304"/>
        <w:spacing w:after="0" w:line="266" w:lineRule="auto"/>
        <w:tabs>
          <w:tab w:leader="none" w:pos="1766"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Regulatory Matters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w:t>
      </w:r>
      <w:r>
        <w:rPr>
          <w:rFonts w:ascii="Arial" w:cs="Arial" w:eastAsia="Arial" w:hAnsi="Arial"/>
          <w:sz w:val="18"/>
          <w:szCs w:val="18"/>
          <w:i w:val="1"/>
          <w:iCs w:val="1"/>
          <w:color w:val="auto"/>
        </w:rPr>
        <w:t>Seller Approvals</w:t>
      </w:r>
      <w:r>
        <w:rPr>
          <w:rFonts w:ascii="Arial" w:cs="Arial" w:eastAsia="Arial" w:hAnsi="Arial"/>
          <w:sz w:val="18"/>
          <w:szCs w:val="18"/>
          <w:color w:val="auto"/>
        </w:rPr>
        <w:t>”), no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is required on the part of Seller, the Company or the Mesquite Sky Entities in connection with the execution, delivery and performance of this Agreement or the consummation of the transactions contemplated by this Agreement.</w:t>
      </w:r>
    </w:p>
    <w:p>
      <w:pPr>
        <w:spacing w:after="0" w:line="175" w:lineRule="exact"/>
        <w:rPr>
          <w:rFonts w:ascii="Arial" w:cs="Arial" w:eastAsia="Arial" w:hAnsi="Arial"/>
          <w:sz w:val="18"/>
          <w:szCs w:val="18"/>
          <w:color w:val="auto"/>
        </w:rPr>
      </w:pPr>
    </w:p>
    <w:p>
      <w:pPr>
        <w:jc w:val="both"/>
        <w:ind w:firstLine="1304"/>
        <w:spacing w:after="0" w:line="272" w:lineRule="auto"/>
        <w:tabs>
          <w:tab w:leader="none" w:pos="1746"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 Except as set forth in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3.01(f)</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and except for Actions or Proceedings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 of Environmental Laws that are governed exclusively by </w:t>
      </w:r>
      <w:r>
        <w:rPr>
          <w:rFonts w:ascii="Arial" w:cs="Arial" w:eastAsia="Arial" w:hAnsi="Arial"/>
          <w:sz w:val="17"/>
          <w:szCs w:val="17"/>
          <w:i w:val="1"/>
          <w:iCs w:val="1"/>
          <w:color w:val="auto"/>
        </w:rPr>
        <w:t>Section 3.01(p)(ii)</w:t>
      </w:r>
      <w:r>
        <w:rPr>
          <w:rFonts w:ascii="Arial" w:cs="Arial" w:eastAsia="Arial" w:hAnsi="Arial"/>
          <w:sz w:val="17"/>
          <w:szCs w:val="17"/>
          <w:color w:val="auto"/>
        </w:rPr>
        <w:t>, there are no Actions or Proceedings pending or, to the Knowledge of Seller, threatened, as of the date of this Agreement against Seller, the Company or the Mesquite Sky Entities that (</w:t>
      </w:r>
      <w:r>
        <w:rPr>
          <w:rFonts w:ascii="Arial" w:cs="Arial" w:eastAsia="Arial" w:hAnsi="Arial"/>
          <w:sz w:val="17"/>
          <w:szCs w:val="17"/>
          <w:i w:val="1"/>
          <w:iCs w:val="1"/>
          <w:color w:val="auto"/>
        </w:rPr>
        <w:t>i</w:t>
      </w:r>
      <w:r>
        <w:rPr>
          <w:rFonts w:ascii="Arial" w:cs="Arial" w:eastAsia="Arial" w:hAnsi="Arial"/>
          <w:sz w:val="17"/>
          <w:szCs w:val="17"/>
          <w:color w:val="auto"/>
        </w:rPr>
        <w:t>) affect Seller, the Company or the Mesquite Sky Entities or any of their assets or properties (including the Project), except, solely in respect of Seller, which would not reasonably be expected to have a material adverse effect on Seller’s ability to perform under this Agreement or (</w:t>
      </w:r>
      <w:r>
        <w:rPr>
          <w:rFonts w:ascii="Arial" w:cs="Arial" w:eastAsia="Arial" w:hAnsi="Arial"/>
          <w:sz w:val="17"/>
          <w:szCs w:val="17"/>
          <w:i w:val="1"/>
          <w:iCs w:val="1"/>
          <w:color w:val="auto"/>
        </w:rPr>
        <w:t>ii</w:t>
      </w:r>
      <w:r>
        <w:rPr>
          <w:rFonts w:ascii="Arial" w:cs="Arial" w:eastAsia="Arial" w:hAnsi="Arial"/>
          <w:sz w:val="17"/>
          <w:szCs w:val="17"/>
          <w:color w:val="auto"/>
        </w:rPr>
        <w:t>) would reasonably be expected to result in the issuance of an Order restraining, enjoining or otherwise prohibiting or making illegal the consummation of any of the transactions contemplated by this Agreement. None of Seller, the Company or the Mesquite Sky Entities is subject to any Order which materially restricts the operation of its business or which would reasonably be expected to have a Material Adverse Effect.</w:t>
      </w:r>
    </w:p>
    <w:p>
      <w:pPr>
        <w:spacing w:after="0" w:line="171" w:lineRule="exact"/>
        <w:rPr>
          <w:rFonts w:ascii="Arial" w:cs="Arial" w:eastAsia="Arial" w:hAnsi="Arial"/>
          <w:sz w:val="17"/>
          <w:szCs w:val="17"/>
          <w:color w:val="auto"/>
        </w:rPr>
      </w:pPr>
    </w:p>
    <w:p>
      <w:pPr>
        <w:jc w:val="both"/>
        <w:ind w:firstLine="1304"/>
        <w:spacing w:after="0" w:line="266" w:lineRule="auto"/>
        <w:tabs>
          <w:tab w:leader="none" w:pos="1776"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no Person has any claim against the Seller,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Mesquite Sky Entities for a finder’s fee, brokerage commission or similar payment directly or indirectly in connection with the transactions contemplated by this Agreement.</w:t>
      </w:r>
    </w:p>
    <w:p>
      <w:pPr>
        <w:spacing w:after="0" w:line="175" w:lineRule="exact"/>
        <w:rPr>
          <w:rFonts w:ascii="Arial" w:cs="Arial" w:eastAsia="Arial" w:hAnsi="Arial"/>
          <w:sz w:val="18"/>
          <w:szCs w:val="18"/>
          <w:color w:val="auto"/>
        </w:rPr>
      </w:pPr>
    </w:p>
    <w:p>
      <w:pPr>
        <w:jc w:val="both"/>
        <w:ind w:firstLine="1304"/>
        <w:spacing w:after="0" w:line="258" w:lineRule="auto"/>
        <w:tabs>
          <w:tab w:leader="none" w:pos="1776"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Compliance with Laws</w:t>
      </w:r>
      <w:r>
        <w:rPr>
          <w:rFonts w:ascii="Arial" w:cs="Arial" w:eastAsia="Arial" w:hAnsi="Arial"/>
          <w:sz w:val="18"/>
          <w:szCs w:val="18"/>
          <w:color w:val="auto"/>
        </w:rPr>
        <w:t>. Neither Seller, the Company nor the Mesquite Sky Entities is or, to the Knowledge of Seller, has been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past six (6) years in material violation of any material Law or Order applicable to the Company, the Mesquite Sky Entities or the Project or by which any of the Acquired Interests are bound or subject. Notwithstanding the foregoing, compliance with Environmental Laws is exclusively and solely governed by </w:t>
      </w:r>
      <w:r>
        <w:rPr>
          <w:rFonts w:ascii="Arial" w:cs="Arial" w:eastAsia="Arial" w:hAnsi="Arial"/>
          <w:sz w:val="18"/>
          <w:szCs w:val="18"/>
          <w:i w:val="1"/>
          <w:iCs w:val="1"/>
          <w:color w:val="auto"/>
        </w:rPr>
        <w:t>Section 3.01(p)</w:t>
      </w:r>
      <w:r>
        <w:rPr>
          <w:rFonts w:ascii="Arial" w:cs="Arial" w:eastAsia="Arial" w:hAnsi="Arial"/>
          <w:sz w:val="18"/>
          <w:szCs w:val="18"/>
          <w:color w:val="auto"/>
        </w:rPr>
        <w:t xml:space="preserve"> hereof. None of Seller, the Company nor the Mesquite Sky Entities has received notice from any Governmental Authority of any material violation of any such Law.</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Company and the Mesquite Sky Entities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272" w:lineRule="auto"/>
        <w:tabs>
          <w:tab w:leader="none" w:pos="2392"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The Company and the Mesquite Sky Entities are limited liability companies validly existing and in good standing under the Laws of Delaware, and each has full power and authority to conduct its business as and to the extent now conducted and to own, use and lease its assets. The Company and the Mesquite Sky Entities are duly qualified, licensed or admitted to do business and are in good standing in those jurisdictions specified in </w:t>
      </w:r>
      <w:r>
        <w:rPr>
          <w:rFonts w:ascii="Arial" w:cs="Arial" w:eastAsia="Arial" w:hAnsi="Arial"/>
          <w:sz w:val="17"/>
          <w:szCs w:val="17"/>
          <w:i w:val="1"/>
          <w:iCs w:val="1"/>
          <w:color w:val="auto"/>
        </w:rPr>
        <w:t>Schedule 3.01(i)</w:t>
      </w:r>
      <w:r>
        <w:rPr>
          <w:rFonts w:ascii="Arial" w:cs="Arial" w:eastAsia="Arial" w:hAnsi="Arial"/>
          <w:sz w:val="17"/>
          <w:szCs w:val="17"/>
          <w:color w:val="auto"/>
        </w:rPr>
        <w:t xml:space="preserve"> of the Disclosure Schedules, which are the only jurisdictions in which the ownership, use or leasing of the Company’s assets and the Mesquite Sky Entities’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177" w:lineRule="exact"/>
        <w:rPr>
          <w:rFonts w:ascii="Arial" w:cs="Arial" w:eastAsia="Arial" w:hAnsi="Arial"/>
          <w:sz w:val="17"/>
          <w:szCs w:val="17"/>
          <w:color w:val="auto"/>
        </w:rPr>
      </w:pPr>
    </w:p>
    <w:p>
      <w:pPr>
        <w:jc w:val="both"/>
        <w:ind w:left="660" w:firstLine="1292"/>
        <w:spacing w:after="0" w:line="272" w:lineRule="auto"/>
        <w:tabs>
          <w:tab w:leader="none" w:pos="2436"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All of the issued and outstanding Acquired Interests are owned directly, beneficially and of record by Seller free and clear of all Liens, except as set forth on </w:t>
      </w:r>
      <w:r>
        <w:rPr>
          <w:rFonts w:ascii="Arial" w:cs="Arial" w:eastAsia="Arial" w:hAnsi="Arial"/>
          <w:sz w:val="17"/>
          <w:szCs w:val="17"/>
          <w:i w:val="1"/>
          <w:iCs w:val="1"/>
          <w:color w:val="auto"/>
        </w:rPr>
        <w:t>Schedule 3.01(i)(ii)</w:t>
      </w:r>
      <w:r>
        <w:rPr>
          <w:rFonts w:ascii="Arial" w:cs="Arial" w:eastAsia="Arial" w:hAnsi="Arial"/>
          <w:sz w:val="17"/>
          <w:szCs w:val="17"/>
          <w:color w:val="auto"/>
        </w:rPr>
        <w:t xml:space="preserve"> of the Disclosure Schedules. Except as set forth on </w:t>
      </w:r>
      <w:r>
        <w:rPr>
          <w:rFonts w:ascii="Arial" w:cs="Arial" w:eastAsia="Arial" w:hAnsi="Arial"/>
          <w:sz w:val="17"/>
          <w:szCs w:val="17"/>
          <w:i w:val="1"/>
          <w:iCs w:val="1"/>
          <w:color w:val="auto"/>
        </w:rPr>
        <w:t>Schedule 3.01(i)(ii)</w:t>
      </w:r>
      <w:r>
        <w:rPr>
          <w:rFonts w:ascii="Arial" w:cs="Arial" w:eastAsia="Arial" w:hAnsi="Arial"/>
          <w:sz w:val="17"/>
          <w:szCs w:val="17"/>
          <w:color w:val="auto"/>
        </w:rPr>
        <w:t xml:space="preserve"> of the Disclosure Schedules and for the ownership by the Tax Equity Investor following the consummation of the transactions contemplated by the Tax Equity Agreement, all of the issued and outstanding equity interests of the Mesquite Sky Entities are owned directly or indirectly, beneficially and of record by the Company, free and clear of all Liens except as set forth in </w:t>
      </w:r>
      <w:r>
        <w:rPr>
          <w:rFonts w:ascii="Arial" w:cs="Arial" w:eastAsia="Arial" w:hAnsi="Arial"/>
          <w:sz w:val="17"/>
          <w:szCs w:val="17"/>
          <w:i w:val="1"/>
          <w:iCs w:val="1"/>
          <w:color w:val="auto"/>
        </w:rPr>
        <w:t>Schedule 3.01(i)(ii)</w:t>
      </w:r>
      <w:r>
        <w:rPr>
          <w:rFonts w:ascii="Arial" w:cs="Arial" w:eastAsia="Arial" w:hAnsi="Arial"/>
          <w:sz w:val="17"/>
          <w:szCs w:val="17"/>
          <w:color w:val="auto"/>
        </w:rPr>
        <w:t xml:space="preserve"> of the Disclosure Schedules. All of the equity interests of the Company and the Mesquite Sky Entities have been duly authorized, validly issued and are fully paid and non- assessable and have been issued in compliance with federal and state securities laws.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460" w:right="20" w:firstLine="1292"/>
        <w:spacing w:after="0" w:line="308" w:lineRule="auto"/>
        <w:tabs>
          <w:tab w:leader="none" w:pos="135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name of each director and officer (or similar positions) of the Company and the Mesquite Sky Entities, and the position with the Company or the Mesquite Sky Entities held by each, are listed in </w:t>
      </w:r>
      <w:r>
        <w:rPr>
          <w:rFonts w:ascii="Arial" w:cs="Arial" w:eastAsia="Arial" w:hAnsi="Arial"/>
          <w:sz w:val="17"/>
          <w:szCs w:val="17"/>
          <w:i w:val="1"/>
          <w:iCs w:val="1"/>
          <w:color w:val="auto"/>
        </w:rPr>
        <w:t>Schedule 3.01(i)(iii)</w:t>
      </w:r>
      <w:r>
        <w:rPr>
          <w:rFonts w:ascii="Arial" w:cs="Arial" w:eastAsia="Arial" w:hAnsi="Arial"/>
          <w:sz w:val="17"/>
          <w:szCs w:val="17"/>
          <w:color w:val="auto"/>
        </w:rPr>
        <w:t xml:space="preserve"> of the Disclosure Schedules.</w:t>
      </w:r>
    </w:p>
    <w:p>
      <w:pPr>
        <w:spacing w:after="0" w:line="146" w:lineRule="exact"/>
        <w:rPr>
          <w:rFonts w:ascii="Arial" w:cs="Arial" w:eastAsia="Arial" w:hAnsi="Arial"/>
          <w:sz w:val="17"/>
          <w:szCs w:val="17"/>
          <w:color w:val="auto"/>
        </w:rPr>
      </w:pPr>
    </w:p>
    <w:p>
      <w:pPr>
        <w:ind w:left="-460" w:right="20" w:firstLine="1292"/>
        <w:spacing w:after="0" w:line="277" w:lineRule="auto"/>
        <w:tabs>
          <w:tab w:leader="none" w:pos="13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Seller has, prior to the execution of this Agreement, delivered to Purchaser true and complete copies of the Constitutive Documents of the Company and the Mesquite Sky Entities as in effect on the date hereof.</w:t>
      </w:r>
    </w:p>
    <w:p>
      <w:pPr>
        <w:spacing w:after="0" w:line="170" w:lineRule="exact"/>
        <w:rPr>
          <w:rFonts w:ascii="Arial" w:cs="Arial" w:eastAsia="Arial" w:hAnsi="Arial"/>
          <w:sz w:val="18"/>
          <w:szCs w:val="18"/>
          <w:color w:val="auto"/>
        </w:rPr>
      </w:pPr>
    </w:p>
    <w:p>
      <w:pPr>
        <w:jc w:val="both"/>
        <w:ind w:left="-460" w:firstLine="1292"/>
        <w:spacing w:after="0" w:line="255" w:lineRule="auto"/>
        <w:tabs>
          <w:tab w:leader="none" w:pos="12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set forth in Part I of </w:t>
      </w:r>
      <w:r>
        <w:rPr>
          <w:rFonts w:ascii="Arial" w:cs="Arial" w:eastAsia="Arial" w:hAnsi="Arial"/>
          <w:sz w:val="18"/>
          <w:szCs w:val="18"/>
          <w:i w:val="1"/>
          <w:iCs w:val="1"/>
          <w:color w:val="auto"/>
        </w:rPr>
        <w:t>Schedule 3.01(i)(v)</w:t>
      </w:r>
      <w:r>
        <w:rPr>
          <w:rFonts w:ascii="Arial" w:cs="Arial" w:eastAsia="Arial" w:hAnsi="Arial"/>
          <w:sz w:val="18"/>
          <w:szCs w:val="18"/>
          <w:color w:val="auto"/>
        </w:rPr>
        <w:t xml:space="preserve"> of the Disclosure Schedules</w:t>
      </w:r>
      <w:r>
        <w:rPr>
          <w:rFonts w:ascii="Arial" w:cs="Arial" w:eastAsia="Arial" w:hAnsi="Arial"/>
          <w:sz w:val="18"/>
          <w:szCs w:val="18"/>
          <w:i w:val="1"/>
          <w:iCs w:val="1"/>
          <w:color w:val="auto"/>
        </w:rPr>
        <w:t>,</w:t>
      </w:r>
      <w:r>
        <w:rPr>
          <w:rFonts w:ascii="Arial" w:cs="Arial" w:eastAsia="Arial" w:hAnsi="Arial"/>
          <w:sz w:val="18"/>
          <w:szCs w:val="18"/>
          <w:color w:val="auto"/>
        </w:rPr>
        <w:t xml:space="preserve"> there are no outstanding Options issued or granted by, or binding upon, the Company or the Mesquite Sky Entities for any Person to purchase or sell or otherwise acquire or dispose of any equity interest or other security or interest in the Company or the Mesquite Sky Entities other than as set forth under this Agreement. Except as set forth in Part II of </w:t>
      </w:r>
      <w:r>
        <w:rPr>
          <w:rFonts w:ascii="Arial" w:cs="Arial" w:eastAsia="Arial" w:hAnsi="Arial"/>
          <w:sz w:val="18"/>
          <w:szCs w:val="18"/>
          <w:i w:val="1"/>
          <w:iCs w:val="1"/>
          <w:color w:val="auto"/>
        </w:rPr>
        <w:t>Schedule 3.01(i)(v)</w:t>
      </w:r>
      <w:r>
        <w:rPr>
          <w:rFonts w:ascii="Arial" w:cs="Arial" w:eastAsia="Arial" w:hAnsi="Arial"/>
          <w:sz w:val="18"/>
          <w:szCs w:val="18"/>
          <w:color w:val="auto"/>
        </w:rPr>
        <w:t xml:space="preserve"> of the Disclosure Schedules, none of the Acquired Interests or the membership interests of the Mesquite Sky Entities are subject to any voting trust or voting trust agreement, voting agreement, pledge agreement, buy-sell agreement, right of first refusal, preemptive right or proxy.</w:t>
      </w:r>
    </w:p>
    <w:p>
      <w:pPr>
        <w:spacing w:after="0" w:line="192" w:lineRule="exact"/>
        <w:rPr>
          <w:rFonts w:ascii="Arial" w:cs="Arial" w:eastAsia="Arial" w:hAnsi="Arial"/>
          <w:sz w:val="18"/>
          <w:szCs w:val="18"/>
          <w:color w:val="auto"/>
        </w:rPr>
      </w:pPr>
    </w:p>
    <w:p>
      <w:pPr>
        <w:jc w:val="both"/>
        <w:ind w:left="-460" w:firstLine="1292"/>
        <w:spacing w:after="0" w:line="263" w:lineRule="auto"/>
        <w:tabs>
          <w:tab w:leader="none" w:pos="13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i w:val="1"/>
          <w:iCs w:val="1"/>
          <w:color w:val="auto"/>
        </w:rPr>
        <w:t>Section 3.01(i)(ii)</w:t>
      </w:r>
      <w:r>
        <w:rPr>
          <w:rFonts w:ascii="Arial" w:cs="Arial" w:eastAsia="Arial" w:hAnsi="Arial"/>
          <w:sz w:val="18"/>
          <w:szCs w:val="18"/>
          <w:color w:val="auto"/>
        </w:rPr>
        <w:t xml:space="preserve"> and as set forth on </w:t>
      </w:r>
      <w:r>
        <w:rPr>
          <w:rFonts w:ascii="Arial" w:cs="Arial" w:eastAsia="Arial" w:hAnsi="Arial"/>
          <w:sz w:val="18"/>
          <w:szCs w:val="18"/>
          <w:i w:val="1"/>
          <w:iCs w:val="1"/>
          <w:color w:val="auto"/>
        </w:rPr>
        <w:t>Schedule 3.01(i)(vi)</w:t>
      </w:r>
      <w:r>
        <w:rPr>
          <w:rFonts w:ascii="Arial" w:cs="Arial" w:eastAsia="Arial" w:hAnsi="Arial"/>
          <w:sz w:val="18"/>
          <w:szCs w:val="18"/>
          <w:color w:val="auto"/>
        </w:rPr>
        <w:t xml:space="preserve"> of the Disclosure Schedules, neither the Company nor the Mesquite Sky Entities have any subsidiaries, equity interests, interests in joint ventures or general or limited partnerships or other investment or portfolio assets of a similar nature.</w:t>
      </w:r>
    </w:p>
    <w:p>
      <w:pPr>
        <w:spacing w:after="0" w:line="183" w:lineRule="exact"/>
        <w:rPr>
          <w:rFonts w:ascii="Arial" w:cs="Arial" w:eastAsia="Arial" w:hAnsi="Arial"/>
          <w:sz w:val="18"/>
          <w:szCs w:val="18"/>
          <w:color w:val="auto"/>
        </w:rPr>
      </w:pPr>
    </w:p>
    <w:p>
      <w:pPr>
        <w:jc w:val="both"/>
        <w:ind w:left="-460" w:firstLine="1292"/>
        <w:spacing w:after="0" w:line="263" w:lineRule="auto"/>
        <w:tabs>
          <w:tab w:leader="none" w:pos="13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3.01(i)(vii)</w:t>
      </w:r>
      <w:r>
        <w:rPr>
          <w:rFonts w:ascii="Arial" w:cs="Arial" w:eastAsia="Arial" w:hAnsi="Arial"/>
          <w:sz w:val="18"/>
          <w:szCs w:val="18"/>
          <w:color w:val="auto"/>
        </w:rPr>
        <w:t xml:space="preserve"> of the Disclosure Schedules, neither the Company nor the Mesquite Sky Entities conduct (</w:t>
      </w:r>
      <w:r>
        <w:rPr>
          <w:rFonts w:ascii="Arial" w:cs="Arial" w:eastAsia="Arial" w:hAnsi="Arial"/>
          <w:sz w:val="18"/>
          <w:szCs w:val="18"/>
          <w:i w:val="1"/>
          <w:iCs w:val="1"/>
          <w:color w:val="auto"/>
        </w:rPr>
        <w:t>i</w:t>
      </w:r>
      <w:r>
        <w:rPr>
          <w:rFonts w:ascii="Arial" w:cs="Arial" w:eastAsia="Arial" w:hAnsi="Arial"/>
          <w:sz w:val="18"/>
          <w:szCs w:val="18"/>
          <w:color w:val="auto"/>
        </w:rPr>
        <w:t>) any business other than the development, ownership, operation and management of the Project or (</w:t>
      </w:r>
      <w:r>
        <w:rPr>
          <w:rFonts w:ascii="Arial" w:cs="Arial" w:eastAsia="Arial" w:hAnsi="Arial"/>
          <w:sz w:val="18"/>
          <w:szCs w:val="18"/>
          <w:i w:val="1"/>
          <w:iCs w:val="1"/>
          <w:color w:val="auto"/>
        </w:rPr>
        <w:t>ii</w:t>
      </w:r>
      <w:r>
        <w:rPr>
          <w:rFonts w:ascii="Arial" w:cs="Arial" w:eastAsia="Arial" w:hAnsi="Arial"/>
          <w:sz w:val="18"/>
          <w:szCs w:val="18"/>
          <w:color w:val="auto"/>
        </w:rPr>
        <w:t>) any operations other than those incidental to the ownership, operation, and management of the Project.</w:t>
      </w:r>
    </w:p>
    <w:p>
      <w:pPr>
        <w:spacing w:after="0" w:line="183" w:lineRule="exact"/>
        <w:rPr>
          <w:rFonts w:ascii="Arial" w:cs="Arial" w:eastAsia="Arial" w:hAnsi="Arial"/>
          <w:sz w:val="18"/>
          <w:szCs w:val="18"/>
          <w:color w:val="auto"/>
        </w:rPr>
      </w:pPr>
    </w:p>
    <w:p>
      <w:pPr>
        <w:jc w:val="both"/>
        <w:ind w:left="-460" w:firstLine="1292"/>
        <w:spacing w:after="0" w:line="263" w:lineRule="auto"/>
        <w:tabs>
          <w:tab w:leader="none" w:pos="142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books and records of the Company and the Mesquite Sky Entities are (i) in all material respects, accurate and complete and have been maintained in accordance with good business practices and (</w:t>
      </w:r>
      <w:r>
        <w:rPr>
          <w:rFonts w:ascii="Arial" w:cs="Arial" w:eastAsia="Arial" w:hAnsi="Arial"/>
          <w:sz w:val="18"/>
          <w:szCs w:val="18"/>
          <w:i w:val="1"/>
          <w:iCs w:val="1"/>
          <w:color w:val="auto"/>
        </w:rPr>
        <w:t>ii</w:t>
      </w:r>
      <w:r>
        <w:rPr>
          <w:rFonts w:ascii="Arial" w:cs="Arial" w:eastAsia="Arial" w:hAnsi="Arial"/>
          <w:sz w:val="18"/>
          <w:szCs w:val="18"/>
          <w:color w:val="auto"/>
        </w:rPr>
        <w:t>) state in reasonable detail and accurately and fairly reflect the activities and transactions of the Company and the Mesquite Sky Entities.</w:t>
      </w:r>
    </w:p>
    <w:p>
      <w:pPr>
        <w:spacing w:after="0" w:line="183" w:lineRule="exact"/>
        <w:rPr>
          <w:rFonts w:ascii="Arial" w:cs="Arial" w:eastAsia="Arial" w:hAnsi="Arial"/>
          <w:sz w:val="18"/>
          <w:szCs w:val="18"/>
          <w:color w:val="auto"/>
        </w:rPr>
      </w:pPr>
    </w:p>
    <w:p>
      <w:pPr>
        <w:ind w:left="-460" w:right="40" w:firstLine="1337"/>
        <w:spacing w:after="0" w:line="259" w:lineRule="auto"/>
        <w:tabs>
          <w:tab w:leader="none" w:pos="13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w:t>
      </w:r>
      <w:r>
        <w:rPr>
          <w:rFonts w:ascii="Arial" w:cs="Arial" w:eastAsia="Arial" w:hAnsi="Arial"/>
          <w:sz w:val="18"/>
          <w:szCs w:val="18"/>
          <w:color w:val="auto"/>
        </w:rPr>
        <w:t>) execution and delivery by Seller of the Assignment of Membership Interests and (</w:t>
      </w:r>
      <w:r>
        <w:rPr>
          <w:rFonts w:ascii="Arial" w:cs="Arial" w:eastAsia="Arial" w:hAnsi="Arial"/>
          <w:sz w:val="18"/>
          <w:szCs w:val="18"/>
          <w:i w:val="1"/>
          <w:iCs w:val="1"/>
          <w:color w:val="auto"/>
        </w:rPr>
        <w:t>B</w:t>
      </w:r>
      <w:r>
        <w:rPr>
          <w:rFonts w:ascii="Arial" w:cs="Arial" w:eastAsia="Arial" w:hAnsi="Arial"/>
          <w:sz w:val="18"/>
          <w:szCs w:val="18"/>
          <w:color w:val="auto"/>
        </w:rPr>
        <w:t xml:space="preserve">)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Arial" w:cs="Arial" w:eastAsia="Arial" w:hAnsi="Arial"/>
          <w:sz w:val="18"/>
          <w:szCs w:val="18"/>
          <w:i w:val="1"/>
          <w:iCs w:val="1"/>
          <w:color w:val="auto"/>
        </w:rPr>
        <w:t>Schedule 3.01(i)(ix)</w:t>
      </w:r>
      <w:r>
        <w:rPr>
          <w:rFonts w:ascii="Arial" w:cs="Arial" w:eastAsia="Arial" w:hAnsi="Arial"/>
          <w:sz w:val="18"/>
          <w:szCs w:val="18"/>
          <w:color w:val="auto"/>
        </w:rPr>
        <w:t xml:space="preserve"> of the Disclosure Schedules.</w:t>
      </w:r>
    </w:p>
    <w:p>
      <w:pPr>
        <w:spacing w:after="0" w:line="187" w:lineRule="exact"/>
        <w:rPr>
          <w:sz w:val="20"/>
          <w:szCs w:val="20"/>
          <w:color w:val="auto"/>
        </w:rPr>
      </w:pPr>
    </w:p>
    <w:p>
      <w:pPr>
        <w:ind w:left="-460" w:right="120" w:firstLine="1359"/>
        <w:spacing w:after="0" w:line="277" w:lineRule="auto"/>
        <w:tabs>
          <w:tab w:leader="none" w:pos="13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the Second Closing Date, all of the issued and outstanding Class A Interests are owned directly, beneficially and of record by Seller free and clear of all Liens, except Permitted Equity Encumbrances.</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5" w:name="page46"/>
    <w:bookmarkEnd w:id="45"/>
    <w:p>
      <w:pPr>
        <w:jc w:val="both"/>
        <w:ind w:left="660" w:firstLine="1292"/>
        <w:spacing w:after="0" w:line="263" w:lineRule="auto"/>
        <w:tabs>
          <w:tab w:leader="none" w:pos="2463" w:val="left"/>
        </w:tabs>
        <w:numPr>
          <w:ilvl w:val="2"/>
          <w:numId w:val="37"/>
        </w:numPr>
        <w:rPr>
          <w:rFonts w:ascii="Arial" w:cs="Arial" w:eastAsia="Arial" w:hAnsi="Arial"/>
          <w:sz w:val="18"/>
          <w:szCs w:val="18"/>
          <w:color w:val="auto"/>
        </w:rPr>
      </w:pPr>
      <w:r>
        <w:rPr>
          <w:rFonts w:ascii="Arial" w:cs="Arial" w:eastAsia="Arial" w:hAnsi="Arial"/>
          <w:sz w:val="18"/>
          <w:szCs w:val="18"/>
          <w:color w:val="auto"/>
        </w:rPr>
        <w:t xml:space="preserve">Except as set forth in Part II of </w:t>
      </w:r>
      <w:r>
        <w:rPr>
          <w:rFonts w:ascii="Arial" w:cs="Arial" w:eastAsia="Arial" w:hAnsi="Arial"/>
          <w:sz w:val="18"/>
          <w:szCs w:val="18"/>
          <w:i w:val="1"/>
          <w:iCs w:val="1"/>
          <w:color w:val="auto"/>
        </w:rPr>
        <w:t>Schedule 3.01(i)(v)</w:t>
      </w:r>
      <w:r>
        <w:rPr>
          <w:rFonts w:ascii="Arial" w:cs="Arial" w:eastAsia="Arial" w:hAnsi="Arial"/>
          <w:sz w:val="18"/>
          <w:szCs w:val="18"/>
          <w:color w:val="auto"/>
        </w:rPr>
        <w:t xml:space="preserve"> of the Disclosure Schedules, as of the Second Closing Date, none of the Class A Interests are subject to any voting trust or voting trust agreement, voting agreement, pledge agreement, buy-sell agreement, right of first refusal, preemptive right or proxy.</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487"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w:t>
      </w:r>
      <w:r>
        <w:rPr>
          <w:rFonts w:ascii="Arial" w:cs="Arial" w:eastAsia="Arial" w:hAnsi="Arial"/>
          <w:sz w:val="18"/>
          <w:szCs w:val="18"/>
          <w:color w:val="auto"/>
        </w:rPr>
        <w:t>) execution and delivery by Seller of the Assignment of Membership Interests and (</w:t>
      </w:r>
      <w:r>
        <w:rPr>
          <w:rFonts w:ascii="Arial" w:cs="Arial" w:eastAsia="Arial" w:hAnsi="Arial"/>
          <w:sz w:val="18"/>
          <w:szCs w:val="18"/>
          <w:i w:val="1"/>
          <w:iCs w:val="1"/>
          <w:color w:val="auto"/>
        </w:rPr>
        <w:t>B</w:t>
      </w:r>
      <w:r>
        <w:rPr>
          <w:rFonts w:ascii="Arial" w:cs="Arial" w:eastAsia="Arial" w:hAnsi="Arial"/>
          <w:sz w:val="18"/>
          <w:szCs w:val="18"/>
          <w:color w:val="auto"/>
        </w:rPr>
        <w:t>) if applicable, the delivery of certificates representing the Class A Interests, duly endorsed for transfer to Purchaser or accompanied by one or more membership interest powers duly endorsed for transfer to Purchaser, will transfer to Purchaser good, valid and marketable title to the Class A Interests, free and clear of all Liens, except Permitted Equity Encumbrances.</w:t>
      </w:r>
    </w:p>
    <w:p>
      <w:pPr>
        <w:spacing w:after="0" w:line="182" w:lineRule="exact"/>
        <w:rPr>
          <w:rFonts w:ascii="Arial" w:cs="Arial" w:eastAsia="Arial" w:hAnsi="Arial"/>
          <w:sz w:val="18"/>
          <w:szCs w:val="18"/>
          <w:color w:val="auto"/>
        </w:rPr>
      </w:pPr>
    </w:p>
    <w:p>
      <w:pPr>
        <w:jc w:val="both"/>
        <w:ind w:firstLine="1304"/>
        <w:spacing w:after="0" w:line="298" w:lineRule="auto"/>
        <w:tabs>
          <w:tab w:leader="none" w:pos="1736"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No Undisclosed Liabilities</w:t>
      </w:r>
      <w:r>
        <w:rPr>
          <w:rFonts w:ascii="Arial" w:cs="Arial" w:eastAsia="Arial" w:hAnsi="Arial"/>
          <w:sz w:val="16"/>
          <w:szCs w:val="16"/>
          <w:color w:val="auto"/>
        </w:rPr>
        <w:t>. Neither the Company nor the Mesquite Sky Entities has any liability or obligation that would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disclosed on a balance sheet prepared in accordance with GAAP, except for the liabilities and obligations of the Company or the Mesquite Sky Entities (</w:t>
      </w:r>
      <w:r>
        <w:rPr>
          <w:rFonts w:ascii="Arial" w:cs="Arial" w:eastAsia="Arial" w:hAnsi="Arial"/>
          <w:sz w:val="16"/>
          <w:szCs w:val="16"/>
          <w:i w:val="1"/>
          <w:iCs w:val="1"/>
          <w:color w:val="auto"/>
        </w:rPr>
        <w:t>i</w:t>
      </w:r>
      <w:r>
        <w:rPr>
          <w:rFonts w:ascii="Arial" w:cs="Arial" w:eastAsia="Arial" w:hAnsi="Arial"/>
          <w:sz w:val="16"/>
          <w:szCs w:val="16"/>
          <w:color w:val="auto"/>
        </w:rPr>
        <w:t>) incurred in the ordinary course of business consistent with past practice, (</w:t>
      </w:r>
      <w:r>
        <w:rPr>
          <w:rFonts w:ascii="Arial" w:cs="Arial" w:eastAsia="Arial" w:hAnsi="Arial"/>
          <w:sz w:val="16"/>
          <w:szCs w:val="16"/>
          <w:i w:val="1"/>
          <w:iCs w:val="1"/>
          <w:color w:val="auto"/>
        </w:rPr>
        <w:t>ii</w:t>
      </w:r>
      <w:r>
        <w:rPr>
          <w:rFonts w:ascii="Arial" w:cs="Arial" w:eastAsia="Arial" w:hAnsi="Arial"/>
          <w:sz w:val="16"/>
          <w:szCs w:val="16"/>
          <w:color w:val="auto"/>
        </w:rPr>
        <w:t>) that do not and are not individually or in the aggregate reasonably expected to have a Material Adverse Effect, (</w:t>
      </w:r>
      <w:r>
        <w:rPr>
          <w:rFonts w:ascii="Arial" w:cs="Arial" w:eastAsia="Arial" w:hAnsi="Arial"/>
          <w:sz w:val="16"/>
          <w:szCs w:val="16"/>
          <w:i w:val="1"/>
          <w:iCs w:val="1"/>
          <w:color w:val="auto"/>
        </w:rPr>
        <w:t>iii</w:t>
      </w:r>
      <w:r>
        <w:rPr>
          <w:rFonts w:ascii="Arial" w:cs="Arial" w:eastAsia="Arial" w:hAnsi="Arial"/>
          <w:sz w:val="16"/>
          <w:szCs w:val="16"/>
          <w:color w:val="auto"/>
        </w:rPr>
        <w:t>) that constitute amounts payable under the Company Contracts expressly provided for under existing Company Contracts that have not arisen from a breach thereof or thereunder or (</w:t>
      </w:r>
      <w:r>
        <w:rPr>
          <w:rFonts w:ascii="Arial" w:cs="Arial" w:eastAsia="Arial" w:hAnsi="Arial"/>
          <w:sz w:val="16"/>
          <w:szCs w:val="16"/>
          <w:i w:val="1"/>
          <w:iCs w:val="1"/>
          <w:color w:val="auto"/>
        </w:rPr>
        <w:t>iv</w:t>
      </w:r>
      <w:r>
        <w:rPr>
          <w:rFonts w:ascii="Arial" w:cs="Arial" w:eastAsia="Arial" w:hAnsi="Arial"/>
          <w:sz w:val="16"/>
          <w:szCs w:val="16"/>
          <w:color w:val="auto"/>
        </w:rPr>
        <w:t xml:space="preserve">) as set forth in </w:t>
      </w:r>
      <w:r>
        <w:rPr>
          <w:rFonts w:ascii="Arial" w:cs="Arial" w:eastAsia="Arial" w:hAnsi="Arial"/>
          <w:sz w:val="16"/>
          <w:szCs w:val="16"/>
          <w:i w:val="1"/>
          <w:iCs w:val="1"/>
          <w:color w:val="auto"/>
        </w:rPr>
        <w:t>Schedule 3.01(j)</w:t>
      </w:r>
      <w:r>
        <w:rPr>
          <w:rFonts w:ascii="Arial" w:cs="Arial" w:eastAsia="Arial" w:hAnsi="Arial"/>
          <w:sz w:val="16"/>
          <w:szCs w:val="16"/>
          <w:color w:val="auto"/>
        </w:rPr>
        <w:t xml:space="preserve"> of the Disclosure Schedules.</w:t>
      </w:r>
    </w:p>
    <w:p>
      <w:pPr>
        <w:spacing w:after="0" w:line="153" w:lineRule="exact"/>
        <w:rPr>
          <w:rFonts w:ascii="Arial" w:cs="Arial" w:eastAsia="Arial" w:hAnsi="Arial"/>
          <w:sz w:val="16"/>
          <w:szCs w:val="16"/>
          <w:color w:val="auto"/>
        </w:rPr>
      </w:pPr>
    </w:p>
    <w:p>
      <w:pPr>
        <w:ind w:firstLine="1304"/>
        <w:spacing w:after="0" w:line="282" w:lineRule="auto"/>
        <w:tabs>
          <w:tab w:leader="none" w:pos="1776"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Except as disclosed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3.01(k)</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since the date of formation of the Company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Mesquite Sky Entities, as applicable:</w:t>
      </w:r>
    </w:p>
    <w:p>
      <w:pPr>
        <w:spacing w:after="0" w:line="165" w:lineRule="exact"/>
        <w:rPr>
          <w:rFonts w:ascii="Arial" w:cs="Arial" w:eastAsia="Arial" w:hAnsi="Arial"/>
          <w:sz w:val="18"/>
          <w:szCs w:val="18"/>
          <w:color w:val="auto"/>
        </w:rPr>
      </w:pPr>
    </w:p>
    <w:p>
      <w:pPr>
        <w:jc w:val="both"/>
        <w:ind w:left="660" w:firstLine="1292"/>
        <w:spacing w:after="0" w:line="254" w:lineRule="auto"/>
        <w:tabs>
          <w:tab w:leader="none" w:pos="2386" w:val="left"/>
        </w:tabs>
        <w:numPr>
          <w:ilvl w:val="2"/>
          <w:numId w:val="38"/>
        </w:numPr>
        <w:rPr>
          <w:rFonts w:ascii="Arial" w:cs="Arial" w:eastAsia="Arial" w:hAnsi="Arial"/>
          <w:sz w:val="18"/>
          <w:szCs w:val="18"/>
          <w:color w:val="auto"/>
        </w:rPr>
      </w:pPr>
      <w:r>
        <w:rPr>
          <w:rFonts w:ascii="Arial" w:cs="Arial" w:eastAsia="Arial" w:hAnsi="Arial"/>
          <w:sz w:val="18"/>
          <w:szCs w:val="18"/>
          <w:color w:val="auto"/>
        </w:rPr>
        <w:t>All federal and all other material Tax Returns required to be filed by or with respect to the Company or the Mesquite Sky Entities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the Company or the Mesquite Sky Entities (or income attributable thereto), and Seller, Affiliates of Seller, the Company and the Mesquite Sky Entities have paid, or made adequate provisions for the payment of, all Taxes, assessments and other charges due or claimed to be due (regardless of whether shown on any Tax Return) from the Company or the Mesquite Sky Entities or for which the Company, Mesquite Sky Entities or the Purchaser could be held liable.</w:t>
      </w:r>
    </w:p>
    <w:p>
      <w:pPr>
        <w:spacing w:after="0" w:line="194" w:lineRule="exact"/>
        <w:rPr>
          <w:rFonts w:ascii="Arial" w:cs="Arial" w:eastAsia="Arial" w:hAnsi="Arial"/>
          <w:sz w:val="18"/>
          <w:szCs w:val="18"/>
          <w:color w:val="auto"/>
        </w:rPr>
      </w:pPr>
    </w:p>
    <w:p>
      <w:pPr>
        <w:jc w:val="both"/>
        <w:ind w:left="660" w:firstLine="1292"/>
        <w:spacing w:after="0" w:line="284" w:lineRule="auto"/>
        <w:tabs>
          <w:tab w:leader="none" w:pos="2420"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There are no (i) Actions or Proceedings currently pending or threatened in writing against the Company or the Mesquite Sky Entities or related to their business operations, by any Governmental Authority for the assessment or collection of Taxes, (ii) audits or other examinations of any Tax Return of the Company or the Mesquite Sky Entities (or income attributable thereto) in progress nor has Seller, any Affiliate of Seller, the Company or the Mesquite Sky Entities been notified in writing of any request for examination with respect to the Company or the Mesquite Sky Entities, (iii) claims for assessment or collection of Taxes that have been asserted in writing against Seller or any Affiliate of Seller with respect to the Company or the Mesquite Sky Entities, the Company or the Mesquite Sky Entities (or the income attributable thereto) or</w:t>
      </w:r>
    </w:p>
    <w:p>
      <w:pPr>
        <w:spacing w:after="0" w:line="4" w:lineRule="exact"/>
        <w:rPr>
          <w:rFonts w:ascii="Arial" w:cs="Arial" w:eastAsia="Arial" w:hAnsi="Arial"/>
          <w:sz w:val="16"/>
          <w:szCs w:val="16"/>
          <w:color w:val="auto"/>
        </w:rPr>
      </w:pPr>
    </w:p>
    <w:p>
      <w:pPr>
        <w:jc w:val="both"/>
        <w:ind w:left="660" w:hanging="4"/>
        <w:spacing w:after="0" w:line="269" w:lineRule="auto"/>
        <w:tabs>
          <w:tab w:leader="none" w:pos="966"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matters under discussion with any Governmental Authority regarding claims for assessment or collection of Taxes against the Company or the Mesquite Sky Entities (or income attributable thereto). There are no outstanding agreements, waivers or consents extending the statutory period of limitations applicable to any Tax of the Company or the Mesquite Sky Entities, and, except as set forth on </w:t>
      </w:r>
      <w:r>
        <w:rPr>
          <w:rFonts w:ascii="Arial" w:cs="Arial" w:eastAsia="Arial" w:hAnsi="Arial"/>
          <w:sz w:val="17"/>
          <w:szCs w:val="17"/>
          <w:i w:val="1"/>
          <w:iCs w:val="1"/>
          <w:color w:val="auto"/>
        </w:rPr>
        <w:t>Schedule 3.01(k)</w:t>
      </w:r>
      <w:r>
        <w:rPr>
          <w:rFonts w:ascii="Arial" w:cs="Arial" w:eastAsia="Arial" w:hAnsi="Arial"/>
          <w:sz w:val="17"/>
          <w:szCs w:val="17"/>
          <w:color w:val="auto"/>
        </w:rPr>
        <w:t xml:space="preserve"> of the Disclosure Schedules, neither the Company nor the Mesquite Sky Entities has requested any extensions of time within which to file any Tax Return. There are no Liens for unpaid or delinquent Taxes, assessments or other charges or deposits with respect to the Acquired Interests or, as of the Second Closing Date, the Class A Interests, other than Liens for Taxes not yet due or delinquent or being contested in good faith by appropriate proceedings and for which adequate reserves on financial statements have been established.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left="660" w:firstLine="1292"/>
        <w:spacing w:after="0" w:line="259" w:lineRule="auto"/>
        <w:tabs>
          <w:tab w:leader="none" w:pos="244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and the Mesquite Sky Entities have been properly classified for federal and state income Tax purposes as disregarded entities or partnerships under Treasury Regulations Section 301.7701-2 and -3 and neither Seller nor any Affiliate of Seller has made or caused to be made any election for any Tax purposes to classify the Company or the Mesquite Sky Entities as other than a disregarded entity or partnership.</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441" w:val="left"/>
        </w:tabs>
        <w:numPr>
          <w:ilvl w:val="1"/>
          <w:numId w:val="40"/>
        </w:numPr>
        <w:rPr>
          <w:rFonts w:ascii="Arial" w:cs="Arial" w:eastAsia="Arial" w:hAnsi="Arial"/>
          <w:sz w:val="18"/>
          <w:szCs w:val="18"/>
          <w:color w:val="auto"/>
        </w:rPr>
      </w:pPr>
      <w:r>
        <w:rPr>
          <w:rFonts w:ascii="Arial" w:cs="Arial" w:eastAsia="Arial" w:hAnsi="Arial"/>
          <w:sz w:val="18"/>
          <w:szCs w:val="18"/>
          <w:color w:val="auto"/>
        </w:rPr>
        <w:t>Neither the Company nor the Mesquite Sky Entities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83" w:lineRule="exact"/>
        <w:rPr>
          <w:rFonts w:ascii="Arial" w:cs="Arial" w:eastAsia="Arial" w:hAnsi="Arial"/>
          <w:sz w:val="18"/>
          <w:szCs w:val="18"/>
          <w:color w:val="auto"/>
        </w:rPr>
      </w:pPr>
    </w:p>
    <w:p>
      <w:pPr>
        <w:ind w:left="660" w:firstLine="1292"/>
        <w:spacing w:after="0" w:line="277" w:lineRule="auto"/>
        <w:tabs>
          <w:tab w:leader="none" w:pos="241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has never entered into or been a party to any “listed transaction,” as defined in Section 1.6011-4(b)(2) of the Treasury Regulations.</w:t>
      </w:r>
    </w:p>
    <w:p>
      <w:pPr>
        <w:spacing w:after="0" w:line="170" w:lineRule="exact"/>
        <w:rPr>
          <w:rFonts w:ascii="Arial" w:cs="Arial" w:eastAsia="Arial" w:hAnsi="Arial"/>
          <w:sz w:val="18"/>
          <w:szCs w:val="18"/>
          <w:color w:val="auto"/>
        </w:rPr>
      </w:pPr>
    </w:p>
    <w:p>
      <w:pPr>
        <w:ind w:left="660" w:right="20" w:firstLine="1292"/>
        <w:spacing w:after="0" w:line="308" w:lineRule="auto"/>
        <w:tabs>
          <w:tab w:leader="none" w:pos="2441"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None of the property owned by either the Company or the Mesquite Sky Entities is “tax exempt use property” within the meaning of Section 168(h) of the Code or “tax exempt bond financed property” within the meaning of Code Section 168(g)(5).</w:t>
      </w:r>
    </w:p>
    <w:p>
      <w:pPr>
        <w:spacing w:after="0" w:line="142" w:lineRule="exact"/>
        <w:rPr>
          <w:rFonts w:ascii="Arial" w:cs="Arial" w:eastAsia="Arial" w:hAnsi="Arial"/>
          <w:sz w:val="17"/>
          <w:szCs w:val="17"/>
          <w:color w:val="auto"/>
        </w:rPr>
      </w:pPr>
    </w:p>
    <w:p>
      <w:pPr>
        <w:ind w:firstLine="1304"/>
        <w:spacing w:after="0" w:line="282" w:lineRule="auto"/>
        <w:tabs>
          <w:tab w:leader="none" w:pos="175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Employees</w:t>
      </w:r>
      <w:r>
        <w:rPr>
          <w:rFonts w:ascii="Arial" w:cs="Arial" w:eastAsia="Arial" w:hAnsi="Arial"/>
          <w:sz w:val="18"/>
          <w:szCs w:val="18"/>
          <w:color w:val="auto"/>
        </w:rPr>
        <w:t>. Neither the Company nor the Mesquite Sky Entities has, nor has ever had, any employees or any liability, actual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with respect to any Employee Plan.</w:t>
      </w:r>
    </w:p>
    <w:p>
      <w:pPr>
        <w:spacing w:after="0" w:line="161" w:lineRule="exact"/>
        <w:rPr>
          <w:rFonts w:ascii="Arial" w:cs="Arial" w:eastAsia="Arial" w:hAnsi="Arial"/>
          <w:sz w:val="18"/>
          <w:szCs w:val="18"/>
          <w:color w:val="auto"/>
        </w:rPr>
      </w:pPr>
    </w:p>
    <w:p>
      <w:pPr>
        <w:ind w:left="1960" w:hanging="656"/>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Company Contracts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1292"/>
        <w:spacing w:after="0" w:line="277" w:lineRule="auto"/>
        <w:tabs>
          <w:tab w:leader="none" w:pos="2396"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Schedule 3.01(m)(i) </w:t>
      </w:r>
      <w:r>
        <w:rPr>
          <w:rFonts w:ascii="Arial" w:cs="Arial" w:eastAsia="Arial" w:hAnsi="Arial"/>
          <w:sz w:val="18"/>
          <w:szCs w:val="18"/>
          <w:color w:val="auto"/>
        </w:rPr>
        <w:t>of the Disclosure Schedules contains a true, correct and complete list of all Company Contracts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Execution Date, which includes as of such Execution Date:</w:t>
      </w:r>
    </w:p>
    <w:p>
      <w:pPr>
        <w:spacing w:after="0" w:line="170" w:lineRule="exact"/>
        <w:rPr>
          <w:rFonts w:ascii="Arial" w:cs="Arial" w:eastAsia="Arial" w:hAnsi="Arial"/>
          <w:sz w:val="18"/>
          <w:szCs w:val="18"/>
          <w:color w:val="auto"/>
        </w:rPr>
      </w:pPr>
    </w:p>
    <w:p>
      <w:pPr>
        <w:ind w:left="3120" w:hanging="520"/>
        <w:spacing w:after="0"/>
        <w:tabs>
          <w:tab w:leader="none" w:pos="3120" w:val="left"/>
        </w:tabs>
        <w:numPr>
          <w:ilvl w:val="2"/>
          <w:numId w:val="41"/>
        </w:numPr>
        <w:rPr>
          <w:rFonts w:ascii="Arial" w:cs="Arial" w:eastAsia="Arial" w:hAnsi="Arial"/>
          <w:sz w:val="16"/>
          <w:szCs w:val="16"/>
          <w:color w:val="auto"/>
        </w:rPr>
      </w:pPr>
      <w:r>
        <w:rPr>
          <w:rFonts w:ascii="Arial" w:cs="Arial" w:eastAsia="Arial" w:hAnsi="Arial"/>
          <w:sz w:val="16"/>
          <w:szCs w:val="16"/>
          <w:color w:val="auto"/>
        </w:rPr>
        <w:t>all Contracts for the purchase, exchange or sale of electric power, capacity, ancillary services or Environmental</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Attributes;</w:t>
      </w:r>
    </w:p>
    <w:p>
      <w:pPr>
        <w:spacing w:after="0" w:line="210" w:lineRule="exact"/>
        <w:rPr>
          <w:rFonts w:ascii="Arial" w:cs="Arial" w:eastAsia="Arial" w:hAnsi="Arial"/>
          <w:sz w:val="16"/>
          <w:szCs w:val="16"/>
          <w:color w:val="auto"/>
        </w:rPr>
      </w:pPr>
    </w:p>
    <w:p>
      <w:pPr>
        <w:ind w:left="3240" w:hanging="640"/>
        <w:spacing w:after="0"/>
        <w:tabs>
          <w:tab w:leader="none" w:pos="32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Contracts for the transmission of electric power;</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interconnection Contracts for electricity;</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Contracts with Seller, HASI or any of their respective Affiliates; and</w:t>
      </w:r>
    </w:p>
    <w:p>
      <w:pPr>
        <w:spacing w:after="0" w:line="225" w:lineRule="exact"/>
        <w:rPr>
          <w:rFonts w:ascii="Arial" w:cs="Arial" w:eastAsia="Arial" w:hAnsi="Arial"/>
          <w:sz w:val="18"/>
          <w:szCs w:val="18"/>
          <w:color w:val="auto"/>
        </w:rPr>
      </w:pPr>
    </w:p>
    <w:p>
      <w:pPr>
        <w:ind w:left="1300" w:firstLine="1300"/>
        <w:spacing w:after="0" w:line="277" w:lineRule="auto"/>
        <w:tabs>
          <w:tab w:leader="none" w:pos="3096"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Contracts relating to the Acquired Interests, solely as of the Second Closing Date, the Class A Interests or membership interests of the Company or the Mesquite Sky Entities.</w:t>
      </w:r>
    </w:p>
    <w:p>
      <w:pPr>
        <w:spacing w:after="0" w:line="170" w:lineRule="exact"/>
        <w:rPr>
          <w:rFonts w:ascii="Arial" w:cs="Arial" w:eastAsia="Arial" w:hAnsi="Arial"/>
          <w:sz w:val="18"/>
          <w:szCs w:val="18"/>
          <w:color w:val="auto"/>
        </w:rPr>
      </w:pPr>
    </w:p>
    <w:p>
      <w:pPr>
        <w:jc w:val="both"/>
        <w:ind w:left="660" w:firstLine="1292"/>
        <w:spacing w:after="0" w:line="272" w:lineRule="auto"/>
        <w:tabs>
          <w:tab w:leader="none" w:pos="2423"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Seller has provided Purchaser with, or access to, true, correct and complete copies of all the Company Contracts required to be disclosed on </w:t>
      </w:r>
      <w:r>
        <w:rPr>
          <w:rFonts w:ascii="Arial" w:cs="Arial" w:eastAsia="Arial" w:hAnsi="Arial"/>
          <w:sz w:val="17"/>
          <w:szCs w:val="17"/>
          <w:i w:val="1"/>
          <w:iCs w:val="1"/>
          <w:color w:val="auto"/>
        </w:rPr>
        <w:t>Schedule 3.01(m)(i)</w:t>
      </w:r>
      <w:r>
        <w:rPr>
          <w:rFonts w:ascii="Arial" w:cs="Arial" w:eastAsia="Arial" w:hAnsi="Arial"/>
          <w:sz w:val="17"/>
          <w:szCs w:val="17"/>
          <w:color w:val="auto"/>
        </w:rPr>
        <w:t xml:space="preserve"> of the Disclosure Schedules and the agreements described on </w:t>
      </w:r>
      <w:r>
        <w:rPr>
          <w:rFonts w:ascii="Arial" w:cs="Arial" w:eastAsia="Arial" w:hAnsi="Arial"/>
          <w:sz w:val="17"/>
          <w:szCs w:val="17"/>
          <w:i w:val="1"/>
          <w:iCs w:val="1"/>
          <w:color w:val="auto"/>
        </w:rPr>
        <w:t>Schedule 3.01(y)</w:t>
      </w:r>
      <w:r>
        <w:rPr>
          <w:rFonts w:ascii="Arial" w:cs="Arial" w:eastAsia="Arial" w:hAnsi="Arial"/>
          <w:sz w:val="17"/>
          <w:szCs w:val="17"/>
          <w:color w:val="auto"/>
        </w:rPr>
        <w:t xml:space="preserve"> of the Disclosure Schedules, and all amendments, modifications and supplements thereto. Each Company Contract constitutes the legal, valid, binding and enforceable obligation of the Company or the Mesquite Sky Entities party thereto and to the Knowledge of Seller, the other parties thereto, except as may be limited by (</w:t>
      </w:r>
      <w:r>
        <w:rPr>
          <w:rFonts w:ascii="Arial" w:cs="Arial" w:eastAsia="Arial" w:hAnsi="Arial"/>
          <w:sz w:val="17"/>
          <w:szCs w:val="17"/>
          <w:i w:val="1"/>
          <w:iCs w:val="1"/>
          <w:color w:val="auto"/>
        </w:rPr>
        <w:t>i</w:t>
      </w:r>
      <w:r>
        <w:rPr>
          <w:rFonts w:ascii="Arial" w:cs="Arial" w:eastAsia="Arial" w:hAnsi="Arial"/>
          <w:sz w:val="17"/>
          <w:szCs w:val="17"/>
          <w:color w:val="auto"/>
        </w:rPr>
        <w:t>) bankruptcy, insolvency, reorganization, moratorium and other similar laws of general application affecting the rights and remedies of creditors, and (</w:t>
      </w:r>
      <w:r>
        <w:rPr>
          <w:rFonts w:ascii="Arial" w:cs="Arial" w:eastAsia="Arial" w:hAnsi="Arial"/>
          <w:sz w:val="17"/>
          <w:szCs w:val="17"/>
          <w:i w:val="1"/>
          <w:iCs w:val="1"/>
          <w:color w:val="auto"/>
        </w:rPr>
        <w:t>ii</w:t>
      </w:r>
      <w:r>
        <w:rPr>
          <w:rFonts w:ascii="Arial" w:cs="Arial" w:eastAsia="Arial" w:hAnsi="Arial"/>
          <w:sz w:val="17"/>
          <w:szCs w:val="17"/>
          <w:color w:val="auto"/>
        </w:rPr>
        <w:t>) general principles of equity (regardless of whether such enforcement is considered in a proceeding in equity or at law). Each Company Contract is in full force and effect.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left="660" w:firstLine="1292"/>
        <w:spacing w:after="0" w:line="263" w:lineRule="auto"/>
        <w:tabs>
          <w:tab w:leader="none" w:pos="2451" w:val="left"/>
        </w:tabs>
        <w:numPr>
          <w:ilvl w:val="2"/>
          <w:numId w:val="42"/>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i w:val="1"/>
          <w:iCs w:val="1"/>
          <w:color w:val="auto"/>
        </w:rPr>
        <w:t>Schedule 3.01(m)(iii)</w:t>
      </w:r>
      <w:r>
        <w:rPr>
          <w:rFonts w:ascii="Arial" w:cs="Arial" w:eastAsia="Arial" w:hAnsi="Arial"/>
          <w:sz w:val="18"/>
          <w:szCs w:val="18"/>
          <w:color w:val="auto"/>
        </w:rPr>
        <w:t xml:space="preserve"> of the Disclosure Schedules, neither the Company nor the Mesquite Sky Entities or, to the Knowledge of Seller, the other parties thereto, is in material violation or material breach of or material default under any Company Contract to which it is a party.</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441" w:val="left"/>
        </w:tabs>
        <w:numPr>
          <w:ilvl w:val="2"/>
          <w:numId w:val="42"/>
        </w:numPr>
        <w:rPr>
          <w:rFonts w:ascii="Arial" w:cs="Arial" w:eastAsia="Arial" w:hAnsi="Arial"/>
          <w:sz w:val="18"/>
          <w:szCs w:val="18"/>
          <w:color w:val="auto"/>
        </w:rPr>
      </w:pPr>
      <w:r>
        <w:rPr>
          <w:rFonts w:ascii="Arial" w:cs="Arial" w:eastAsia="Arial" w:hAnsi="Arial"/>
          <w:sz w:val="18"/>
          <w:szCs w:val="18"/>
          <w:color w:val="auto"/>
        </w:rPr>
        <w:t>None of Seller, the Company or any of the Mesquite Sky Entities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82" w:lineRule="exact"/>
        <w:rPr>
          <w:rFonts w:ascii="Arial" w:cs="Arial" w:eastAsia="Arial" w:hAnsi="Arial"/>
          <w:sz w:val="18"/>
          <w:szCs w:val="18"/>
          <w:color w:val="auto"/>
        </w:rPr>
      </w:pPr>
    </w:p>
    <w:p>
      <w:pPr>
        <w:ind w:left="1960" w:hanging="656"/>
        <w:spacing w:after="0"/>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b w:val="1"/>
          <w:bCs w:val="1"/>
          <w:color w:val="auto"/>
        </w:rPr>
        <w:t>Real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311" w:lineRule="auto"/>
        <w:tabs>
          <w:tab w:leader="none" w:pos="2396" w:val="left"/>
        </w:tabs>
        <w:numPr>
          <w:ilvl w:val="2"/>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Schedule 3.01(n)(i) </w:t>
      </w:r>
      <w:r>
        <w:rPr>
          <w:rFonts w:ascii="Arial" w:cs="Arial" w:eastAsia="Arial" w:hAnsi="Arial"/>
          <w:sz w:val="16"/>
          <w:szCs w:val="16"/>
          <w:color w:val="auto"/>
        </w:rPr>
        <w:t>of the Disclosure Schedules lists all Real Property Rights of the Company and the Mesquite Sky</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the real property in which the Company and the Mesquite Sky Entities have Real Property Rights, and appurtenances thereto (collectively, the “</w:t>
      </w:r>
      <w:r>
        <w:rPr>
          <w:rFonts w:ascii="Arial" w:cs="Arial" w:eastAsia="Arial" w:hAnsi="Arial"/>
          <w:sz w:val="16"/>
          <w:szCs w:val="16"/>
          <w:i w:val="1"/>
          <w:iCs w:val="1"/>
          <w:color w:val="auto"/>
        </w:rPr>
        <w:t>Land</w:t>
      </w:r>
      <w:r>
        <w:rPr>
          <w:rFonts w:ascii="Arial" w:cs="Arial" w:eastAsia="Arial" w:hAnsi="Arial"/>
          <w:sz w:val="16"/>
          <w:szCs w:val="16"/>
          <w:color w:val="auto"/>
        </w:rPr>
        <w:t>”). The Land is free and clear of all Liens except (</w:t>
      </w:r>
      <w:r>
        <w:rPr>
          <w:rFonts w:ascii="Arial" w:cs="Arial" w:eastAsia="Arial" w:hAnsi="Arial"/>
          <w:sz w:val="16"/>
          <w:szCs w:val="16"/>
          <w:i w:val="1"/>
          <w:iCs w:val="1"/>
          <w:color w:val="auto"/>
        </w:rPr>
        <w:t>A</w:t>
      </w:r>
      <w:r>
        <w:rPr>
          <w:rFonts w:ascii="Arial" w:cs="Arial" w:eastAsia="Arial" w:hAnsi="Arial"/>
          <w:sz w:val="16"/>
          <w:szCs w:val="16"/>
          <w:color w:val="auto"/>
        </w:rPr>
        <w:t>) for Permitted Exceptions and (</w:t>
      </w:r>
      <w:r>
        <w:rPr>
          <w:rFonts w:ascii="Arial" w:cs="Arial" w:eastAsia="Arial" w:hAnsi="Arial"/>
          <w:sz w:val="16"/>
          <w:szCs w:val="16"/>
          <w:i w:val="1"/>
          <w:iCs w:val="1"/>
          <w:color w:val="auto"/>
        </w:rPr>
        <w:t>B</w:t>
      </w:r>
      <w:r>
        <w:rPr>
          <w:rFonts w:ascii="Arial" w:cs="Arial" w:eastAsia="Arial" w:hAnsi="Arial"/>
          <w:sz w:val="16"/>
          <w:szCs w:val="16"/>
          <w:color w:val="auto"/>
        </w:rPr>
        <w:t>) as disclosed in the Title Proforma.</w:t>
      </w:r>
    </w:p>
    <w:p>
      <w:pPr>
        <w:spacing w:after="0" w:line="148" w:lineRule="exact"/>
        <w:rPr>
          <w:rFonts w:ascii="Arial" w:cs="Arial" w:eastAsia="Arial" w:hAnsi="Arial"/>
          <w:sz w:val="16"/>
          <w:szCs w:val="16"/>
          <w:color w:val="auto"/>
        </w:rPr>
      </w:pPr>
    </w:p>
    <w:p>
      <w:pPr>
        <w:jc w:val="both"/>
        <w:ind w:left="660" w:firstLine="1292"/>
        <w:spacing w:after="0" w:line="263" w:lineRule="auto"/>
        <w:tabs>
          <w:tab w:leader="none" w:pos="2423" w:val="left"/>
        </w:tabs>
        <w:numPr>
          <w:ilvl w:val="2"/>
          <w:numId w:val="43"/>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3.01(n)(ii)</w:t>
      </w:r>
      <w:r>
        <w:rPr>
          <w:rFonts w:ascii="Arial" w:cs="Arial" w:eastAsia="Arial" w:hAnsi="Arial"/>
          <w:sz w:val="18"/>
          <w:szCs w:val="18"/>
          <w:color w:val="auto"/>
        </w:rPr>
        <w:t xml:space="preserve"> of the Disclosure Schedules, neither the Company nor the Mesquite Sky Entities has entered into any assignment, lease, license, sublease, easement or other agreement granting to any Person any right to the possession, use, occupancy or enjoyment of the Land.</w:t>
      </w:r>
    </w:p>
    <w:p>
      <w:pPr>
        <w:spacing w:after="0" w:line="183" w:lineRule="exact"/>
        <w:rPr>
          <w:rFonts w:ascii="Arial" w:cs="Arial" w:eastAsia="Arial" w:hAnsi="Arial"/>
          <w:sz w:val="18"/>
          <w:szCs w:val="18"/>
          <w:color w:val="auto"/>
        </w:rPr>
      </w:pPr>
    </w:p>
    <w:p>
      <w:pPr>
        <w:jc w:val="both"/>
        <w:ind w:left="660" w:firstLine="1292"/>
        <w:spacing w:after="0" w:line="287" w:lineRule="auto"/>
        <w:tabs>
          <w:tab w:leader="none" w:pos="2451" w:val="left"/>
        </w:tabs>
        <w:numPr>
          <w:ilvl w:val="2"/>
          <w:numId w:val="43"/>
        </w:numPr>
        <w:rPr>
          <w:rFonts w:ascii="Arial" w:cs="Arial" w:eastAsia="Arial" w:hAnsi="Arial"/>
          <w:sz w:val="16"/>
          <w:szCs w:val="16"/>
          <w:color w:val="auto"/>
        </w:rPr>
      </w:pPr>
      <w:r>
        <w:rPr>
          <w:rFonts w:ascii="Arial" w:cs="Arial" w:eastAsia="Arial" w:hAnsi="Arial"/>
          <w:sz w:val="16"/>
          <w:szCs w:val="16"/>
          <w:color w:val="auto"/>
        </w:rPr>
        <w:t xml:space="preserve">Neither the Company nor the Mesquite Sky Entities has caused or suffered to exist any easement, right-of-way, covenant, condition, restriction, reservation, license, agreement or other similar matter that would materially interfere with the operation of the Project or the business of the Company or the Mesquite Sky Entities in respect of the Real Property Rights, except as set forth on Part I of </w:t>
      </w:r>
      <w:r>
        <w:rPr>
          <w:rFonts w:ascii="Arial" w:cs="Arial" w:eastAsia="Arial" w:hAnsi="Arial"/>
          <w:sz w:val="16"/>
          <w:szCs w:val="16"/>
          <w:i w:val="1"/>
          <w:iCs w:val="1"/>
          <w:color w:val="auto"/>
        </w:rPr>
        <w:t>Schedule 3.01(n)</w:t>
      </w:r>
    </w:p>
    <w:p>
      <w:pPr>
        <w:spacing w:after="0" w:line="2"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of the Disclosure Schedules or in the Title Proforma.</w:t>
      </w:r>
    </w:p>
    <w:p>
      <w:pPr>
        <w:spacing w:after="0" w:line="210" w:lineRule="exact"/>
        <w:rPr>
          <w:rFonts w:ascii="Arial" w:cs="Arial" w:eastAsia="Arial" w:hAnsi="Arial"/>
          <w:sz w:val="18"/>
          <w:szCs w:val="18"/>
          <w:i w:val="1"/>
          <w:iCs w:val="1"/>
          <w:color w:val="auto"/>
        </w:rPr>
      </w:pPr>
    </w:p>
    <w:p>
      <w:pPr>
        <w:ind w:left="660" w:firstLine="1292"/>
        <w:spacing w:after="0" w:line="308" w:lineRule="auto"/>
        <w:tabs>
          <w:tab w:leader="none" w:pos="2441" w:val="left"/>
        </w:tabs>
        <w:numPr>
          <w:ilvl w:val="2"/>
          <w:numId w:val="44"/>
        </w:numPr>
        <w:rPr>
          <w:rFonts w:ascii="Arial" w:cs="Arial" w:eastAsia="Arial" w:hAnsi="Arial"/>
          <w:sz w:val="17"/>
          <w:szCs w:val="17"/>
          <w:color w:val="auto"/>
        </w:rPr>
      </w:pPr>
      <w:r>
        <w:rPr>
          <w:rFonts w:ascii="Arial" w:cs="Arial" w:eastAsia="Arial" w:hAnsi="Arial"/>
          <w:sz w:val="17"/>
          <w:szCs w:val="17"/>
          <w:color w:val="auto"/>
        </w:rPr>
        <w:t xml:space="preserve">Except as set forth on Part II of </w:t>
      </w:r>
      <w:r>
        <w:rPr>
          <w:rFonts w:ascii="Arial" w:cs="Arial" w:eastAsia="Arial" w:hAnsi="Arial"/>
          <w:sz w:val="17"/>
          <w:szCs w:val="17"/>
          <w:i w:val="1"/>
          <w:iCs w:val="1"/>
          <w:color w:val="auto"/>
        </w:rPr>
        <w:t>Schedule 3.01(n)(iii)</w:t>
      </w:r>
      <w:r>
        <w:rPr>
          <w:rFonts w:ascii="Arial" w:cs="Arial" w:eastAsia="Arial" w:hAnsi="Arial"/>
          <w:sz w:val="17"/>
          <w:szCs w:val="17"/>
          <w:color w:val="auto"/>
        </w:rPr>
        <w:t xml:space="preserve"> of the Disclosure Schedules, the Real Property Rights are all the real property rights necessary for the Company and the Mesquite Sky Entities to develop, construct, own and operate the Project.</w:t>
      </w:r>
    </w:p>
    <w:p>
      <w:pPr>
        <w:spacing w:after="0" w:line="146" w:lineRule="exact"/>
        <w:rPr>
          <w:rFonts w:ascii="Arial" w:cs="Arial" w:eastAsia="Arial" w:hAnsi="Arial"/>
          <w:sz w:val="17"/>
          <w:szCs w:val="17"/>
          <w:color w:val="auto"/>
        </w:rPr>
      </w:pPr>
    </w:p>
    <w:p>
      <w:pPr>
        <w:jc w:val="both"/>
        <w:ind w:left="660" w:firstLine="1292"/>
        <w:spacing w:after="0" w:line="263" w:lineRule="auto"/>
        <w:tabs>
          <w:tab w:leader="none" w:pos="2413" w:val="left"/>
        </w:tabs>
        <w:numPr>
          <w:ilvl w:val="2"/>
          <w:numId w:val="44"/>
        </w:numPr>
        <w:rPr>
          <w:rFonts w:ascii="Arial" w:cs="Arial" w:eastAsia="Arial" w:hAnsi="Arial"/>
          <w:sz w:val="18"/>
          <w:szCs w:val="18"/>
          <w:color w:val="auto"/>
        </w:rPr>
      </w:pPr>
      <w:r>
        <w:rPr>
          <w:rFonts w:ascii="Arial" w:cs="Arial" w:eastAsia="Arial" w:hAnsi="Arial"/>
          <w:sz w:val="18"/>
          <w:szCs w:val="18"/>
          <w:color w:val="auto"/>
        </w:rPr>
        <w:t>None of Seller, the Company or the Mesquite Sky Entities has received any written notice of (</w:t>
      </w:r>
      <w:r>
        <w:rPr>
          <w:rFonts w:ascii="Arial" w:cs="Arial" w:eastAsia="Arial" w:hAnsi="Arial"/>
          <w:sz w:val="18"/>
          <w:szCs w:val="18"/>
          <w:i w:val="1"/>
          <w:iCs w:val="1"/>
          <w:color w:val="auto"/>
        </w:rPr>
        <w:t>A</w:t>
      </w:r>
      <w:r>
        <w:rPr>
          <w:rFonts w:ascii="Arial" w:cs="Arial" w:eastAsia="Arial" w:hAnsi="Arial"/>
          <w:sz w:val="18"/>
          <w:szCs w:val="18"/>
          <w:color w:val="auto"/>
        </w:rPr>
        <w:t>) condemnation, eminent domain or similar governmental proceeding materially affecting, individually or in the aggregate, the Project or (</w:t>
      </w:r>
      <w:r>
        <w:rPr>
          <w:rFonts w:ascii="Arial" w:cs="Arial" w:eastAsia="Arial" w:hAnsi="Arial"/>
          <w:sz w:val="18"/>
          <w:szCs w:val="18"/>
          <w:i w:val="1"/>
          <w:iCs w:val="1"/>
          <w:color w:val="auto"/>
        </w:rPr>
        <w:t>B</w:t>
      </w:r>
      <w:r>
        <w:rPr>
          <w:rFonts w:ascii="Arial" w:cs="Arial" w:eastAsia="Arial" w:hAnsi="Arial"/>
          <w:sz w:val="18"/>
          <w:szCs w:val="18"/>
          <w:color w:val="auto"/>
        </w:rPr>
        <w:t>) zoning, ordinance, building, fire, health, or safety code violations materially affecting the Project.</w:t>
      </w:r>
    </w:p>
    <w:p>
      <w:pPr>
        <w:spacing w:after="0" w:line="179" w:lineRule="exact"/>
        <w:rPr>
          <w:rFonts w:ascii="Arial" w:cs="Arial" w:eastAsia="Arial" w:hAnsi="Arial"/>
          <w:sz w:val="18"/>
          <w:szCs w:val="18"/>
          <w:color w:val="auto"/>
        </w:rPr>
      </w:pPr>
    </w:p>
    <w:p>
      <w:pPr>
        <w:jc w:val="both"/>
        <w:ind w:firstLine="1304"/>
        <w:spacing w:after="0" w:line="266" w:lineRule="auto"/>
        <w:tabs>
          <w:tab w:leader="none" w:pos="1776" w:val="left"/>
        </w:tabs>
        <w:numPr>
          <w:ilvl w:val="1"/>
          <w:numId w:val="44"/>
        </w:numPr>
        <w:rPr>
          <w:rFonts w:ascii="Arial" w:cs="Arial" w:eastAsia="Arial" w:hAnsi="Arial"/>
          <w:sz w:val="18"/>
          <w:szCs w:val="18"/>
          <w:color w:val="auto"/>
        </w:rPr>
      </w:pPr>
      <w:r>
        <w:rPr>
          <w:rFonts w:ascii="Arial" w:cs="Arial" w:eastAsia="Arial" w:hAnsi="Arial"/>
          <w:sz w:val="18"/>
          <w:szCs w:val="18"/>
          <w:b w:val="1"/>
          <w:bCs w:val="1"/>
          <w:color w:val="auto"/>
        </w:rPr>
        <w:t>Title Policy</w:t>
      </w:r>
      <w:r>
        <w:rPr>
          <w:rFonts w:ascii="Arial" w:cs="Arial" w:eastAsia="Arial" w:hAnsi="Arial"/>
          <w:sz w:val="18"/>
          <w:szCs w:val="18"/>
          <w:color w:val="auto"/>
        </w:rPr>
        <w:t>. As of the Closing Date, Seller has provided to Purchaser a true and correct copy of the Title Policy covering the Real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Real Property Rights are subject only to (</w:t>
      </w:r>
      <w:r>
        <w:rPr>
          <w:rFonts w:ascii="Arial" w:cs="Arial" w:eastAsia="Arial" w:hAnsi="Arial"/>
          <w:sz w:val="18"/>
          <w:szCs w:val="18"/>
          <w:i w:val="1"/>
          <w:iCs w:val="1"/>
          <w:color w:val="auto"/>
        </w:rPr>
        <w:t>i</w:t>
      </w:r>
      <w:r>
        <w:rPr>
          <w:rFonts w:ascii="Arial" w:cs="Arial" w:eastAsia="Arial" w:hAnsi="Arial"/>
          <w:sz w:val="18"/>
          <w:szCs w:val="18"/>
          <w:color w:val="auto"/>
        </w:rPr>
        <w:t>) Permitted Exceptions, (</w:t>
      </w:r>
      <w:r>
        <w:rPr>
          <w:rFonts w:ascii="Arial" w:cs="Arial" w:eastAsia="Arial" w:hAnsi="Arial"/>
          <w:sz w:val="18"/>
          <w:szCs w:val="18"/>
          <w:i w:val="1"/>
          <w:iCs w:val="1"/>
          <w:color w:val="auto"/>
        </w:rPr>
        <w:t>ii</w:t>
      </w:r>
      <w:r>
        <w:rPr>
          <w:rFonts w:ascii="Arial" w:cs="Arial" w:eastAsia="Arial" w:hAnsi="Arial"/>
          <w:sz w:val="18"/>
          <w:szCs w:val="18"/>
          <w:color w:val="auto"/>
        </w:rPr>
        <w:t>) matters disclosed in the Title Policy and (</w:t>
      </w:r>
      <w:r>
        <w:rPr>
          <w:rFonts w:ascii="Arial" w:cs="Arial" w:eastAsia="Arial" w:hAnsi="Arial"/>
          <w:sz w:val="18"/>
          <w:szCs w:val="18"/>
          <w:i w:val="1"/>
          <w:iCs w:val="1"/>
          <w:color w:val="auto"/>
        </w:rPr>
        <w:t>iii</w:t>
      </w:r>
      <w:r>
        <w:rPr>
          <w:rFonts w:ascii="Arial" w:cs="Arial" w:eastAsia="Arial" w:hAnsi="Arial"/>
          <w:sz w:val="18"/>
          <w:szCs w:val="18"/>
          <w:color w:val="auto"/>
        </w:rPr>
        <w:t>) matters consented to in writing by Purchaser.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left="840" w:hanging="656"/>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Environmental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60" w:firstLine="1292"/>
        <w:spacing w:after="0" w:line="259" w:lineRule="auto"/>
        <w:tabs>
          <w:tab w:leader="none" w:pos="1276"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3.01(p)(i)</w:t>
      </w:r>
      <w:r>
        <w:rPr>
          <w:rFonts w:ascii="Arial" w:cs="Arial" w:eastAsia="Arial" w:hAnsi="Arial"/>
          <w:sz w:val="18"/>
          <w:szCs w:val="18"/>
          <w:color w:val="auto"/>
        </w:rPr>
        <w:t xml:space="preserve"> of the Disclosure Schedules, the Company and the Mesquite Sky Entities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Project or the Land.</w:t>
      </w:r>
    </w:p>
    <w:p>
      <w:pPr>
        <w:spacing w:after="0" w:line="186" w:lineRule="exact"/>
        <w:rPr>
          <w:rFonts w:ascii="Arial" w:cs="Arial" w:eastAsia="Arial" w:hAnsi="Arial"/>
          <w:sz w:val="18"/>
          <w:szCs w:val="18"/>
          <w:color w:val="auto"/>
        </w:rPr>
      </w:pPr>
    </w:p>
    <w:p>
      <w:pPr>
        <w:jc w:val="both"/>
        <w:ind w:left="-460" w:firstLine="1292"/>
        <w:spacing w:after="0" w:line="25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There are no Actions or Proceedings pending or, to the Knowledge of Seller, threatened, as of the date of this Agreement against Seller (solely in respect of the Project, the Company or the Mesquite Sky Entities), the Company or the Mesquite Sky Entities relating to any material violation of Environmental Law. None of Seller, the Company or the Mesquite Sky Entities has received written notice from any Governmental Authority of any material violation of any Environmental Law in respect of the Project, the Company or the Mesquite Sky Entities (other than those violations that have been resolved or remedied).</w:t>
      </w:r>
    </w:p>
    <w:p>
      <w:pPr>
        <w:spacing w:after="0" w:line="187" w:lineRule="exact"/>
        <w:rPr>
          <w:rFonts w:ascii="Arial" w:cs="Arial" w:eastAsia="Arial" w:hAnsi="Arial"/>
          <w:sz w:val="18"/>
          <w:szCs w:val="18"/>
          <w:color w:val="auto"/>
        </w:rPr>
      </w:pPr>
    </w:p>
    <w:p>
      <w:pPr>
        <w:jc w:val="both"/>
        <w:ind w:left="-460" w:firstLine="1292"/>
        <w:spacing w:after="0" w:line="257" w:lineRule="auto"/>
        <w:tabs>
          <w:tab w:leader="none" w:pos="1353"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Schedule 3.01(p)(iii) </w:t>
      </w:r>
      <w:r>
        <w:rPr>
          <w:rFonts w:ascii="Arial" w:cs="Arial" w:eastAsia="Arial" w:hAnsi="Arial"/>
          <w:sz w:val="18"/>
          <w:szCs w:val="18"/>
          <w:color w:val="auto"/>
        </w:rPr>
        <w:t>of the Disclosure Schedules sets forth all material Permits required pursuant to any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 to be acquired or held by or for the benefit of Seller, the Company or the Mesquite Sky Entities for the development, construction, ownership, use or operation of the Land or the business of the Company and the Mesquite Sky Entities as currently conducted. Except as set forth in </w:t>
      </w:r>
      <w:r>
        <w:rPr>
          <w:rFonts w:ascii="Arial" w:cs="Arial" w:eastAsia="Arial" w:hAnsi="Arial"/>
          <w:sz w:val="18"/>
          <w:szCs w:val="18"/>
          <w:i w:val="1"/>
          <w:iCs w:val="1"/>
          <w:color w:val="auto"/>
        </w:rPr>
        <w:t>Schedule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3.01(p)(iii) </w:t>
      </w:r>
      <w:r>
        <w:rPr>
          <w:rFonts w:ascii="Arial" w:cs="Arial" w:eastAsia="Arial" w:hAnsi="Arial"/>
          <w:sz w:val="18"/>
          <w:szCs w:val="18"/>
          <w:color w:val="auto"/>
        </w:rPr>
        <w:t>of the Disclosure Schedules, such Permits have been obtained in a timely manner and are presently maintained in full force and effect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name of the Company or the Mesquite Sky Entities.</w:t>
      </w:r>
    </w:p>
    <w:p>
      <w:pPr>
        <w:spacing w:after="0" w:line="187" w:lineRule="exact"/>
        <w:rPr>
          <w:rFonts w:ascii="Arial" w:cs="Arial" w:eastAsia="Arial" w:hAnsi="Arial"/>
          <w:sz w:val="18"/>
          <w:szCs w:val="18"/>
          <w:color w:val="auto"/>
        </w:rPr>
      </w:pPr>
    </w:p>
    <w:p>
      <w:pPr>
        <w:jc w:val="both"/>
        <w:ind w:left="-460" w:firstLine="1292"/>
        <w:spacing w:after="0" w:line="257" w:lineRule="auto"/>
        <w:tabs>
          <w:tab w:leader="none" w:pos="1343"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3.01(p)(iv)</w:t>
      </w:r>
      <w:r>
        <w:rPr>
          <w:rFonts w:ascii="Arial" w:cs="Arial" w:eastAsia="Arial" w:hAnsi="Arial"/>
          <w:sz w:val="18"/>
          <w:szCs w:val="18"/>
          <w:color w:val="auto"/>
        </w:rPr>
        <w:t xml:space="preserve"> of the Disclosure Schedules, 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Company and the Mesquite Sky Entities as currently conducted that would be reasonably expected to trigger any obligation of Seller, the Company or the Mesquite Sky Entities under Environmental Laws to report, investigate, remove or remediate such Release.</w:t>
      </w:r>
    </w:p>
    <w:p>
      <w:pPr>
        <w:spacing w:after="0" w:line="187" w:lineRule="exact"/>
        <w:rPr>
          <w:rFonts w:ascii="Arial" w:cs="Arial" w:eastAsia="Arial" w:hAnsi="Arial"/>
          <w:sz w:val="18"/>
          <w:szCs w:val="18"/>
          <w:color w:val="auto"/>
        </w:rPr>
      </w:pPr>
    </w:p>
    <w:p>
      <w:pPr>
        <w:jc w:val="both"/>
        <w:ind w:left="-460" w:firstLine="1292"/>
        <w:spacing w:after="0" w:line="263" w:lineRule="auto"/>
        <w:tabs>
          <w:tab w:leader="none" w:pos="1293" w:val="left"/>
        </w:tabs>
        <w:numPr>
          <w:ilvl w:val="1"/>
          <w:numId w:val="45"/>
        </w:numPr>
        <w:rPr>
          <w:rFonts w:ascii="Arial" w:cs="Arial" w:eastAsia="Arial" w:hAnsi="Arial"/>
          <w:sz w:val="18"/>
          <w:szCs w:val="18"/>
          <w:color w:val="auto"/>
        </w:rPr>
      </w:pPr>
      <w:r>
        <w:rPr>
          <w:rFonts w:ascii="Arial" w:cs="Arial" w:eastAsia="Arial" w:hAnsi="Arial"/>
          <w:sz w:val="18"/>
          <w:szCs w:val="18"/>
          <w:color w:val="auto"/>
        </w:rPr>
        <w:t>Seller has made available to Purchaser all material environmental reports, assessments and documents that are in the possession of Seller, the Company or the Mesquite Sky Entities and that relate to actual or potential material liabilities or obligations under Environmental Laws with respect to the Project or the Land.</w:t>
      </w:r>
    </w:p>
    <w:p>
      <w:pPr>
        <w:spacing w:after="0" w:line="179" w:lineRule="exact"/>
        <w:rPr>
          <w:rFonts w:ascii="Arial" w:cs="Arial" w:eastAsia="Arial" w:hAnsi="Arial"/>
          <w:sz w:val="18"/>
          <w:szCs w:val="18"/>
          <w:color w:val="auto"/>
        </w:rPr>
      </w:pPr>
    </w:p>
    <w:p>
      <w:pPr>
        <w:ind w:left="840" w:hanging="656"/>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Permits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60" w:firstLine="1292"/>
        <w:spacing w:after="0" w:line="254" w:lineRule="auto"/>
        <w:tabs>
          <w:tab w:leader="none" w:pos="1276"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Schedule 3.01(q)(i) </w:t>
      </w:r>
      <w:r>
        <w:rPr>
          <w:rFonts w:ascii="Arial" w:cs="Arial" w:eastAsia="Arial" w:hAnsi="Arial"/>
          <w:sz w:val="18"/>
          <w:szCs w:val="18"/>
          <w:color w:val="auto"/>
        </w:rPr>
        <w:t>of the Disclosure Schedules sets forth all material Permits required pursuant to any Law to be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held by or for the benefit of Seller, the Company or the Mesquite Sky Entities in connection with the development, construction, ownership, maintenance, or operation of the Project, except for those required by the Environmental Laws, which are exclusively and solely governed by </w:t>
      </w:r>
      <w:r>
        <w:rPr>
          <w:rFonts w:ascii="Arial" w:cs="Arial" w:eastAsia="Arial" w:hAnsi="Arial"/>
          <w:sz w:val="18"/>
          <w:szCs w:val="18"/>
          <w:i w:val="1"/>
          <w:iCs w:val="1"/>
          <w:color w:val="auto"/>
        </w:rPr>
        <w:t xml:space="preserve">Section 3.01(p) </w:t>
      </w:r>
      <w:r>
        <w:rPr>
          <w:rFonts w:ascii="Arial" w:cs="Arial" w:eastAsia="Arial" w:hAnsi="Arial"/>
          <w:sz w:val="18"/>
          <w:szCs w:val="18"/>
          <w:color w:val="auto"/>
        </w:rPr>
        <w:t>hereof, or those of a type that are routinely granted on application and for which none of Seller, the Company or the Mesquite Sky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Entities has reason to believe will not be obtained in due course. Except as set forth in </w:t>
      </w:r>
      <w:r>
        <w:rPr>
          <w:rFonts w:ascii="Arial" w:cs="Arial" w:eastAsia="Arial" w:hAnsi="Arial"/>
          <w:sz w:val="18"/>
          <w:szCs w:val="18"/>
          <w:i w:val="1"/>
          <w:iCs w:val="1"/>
          <w:color w:val="auto"/>
        </w:rPr>
        <w:t>Schedule 3.01(q)(i)</w:t>
      </w:r>
      <w:r>
        <w:rPr>
          <w:rFonts w:ascii="Arial" w:cs="Arial" w:eastAsia="Arial" w:hAnsi="Arial"/>
          <w:sz w:val="18"/>
          <w:szCs w:val="18"/>
          <w:color w:val="auto"/>
        </w:rPr>
        <w:t xml:space="preserve"> of the Disclosure Schedules, such Permits have been obtained in a timely manner and are presently maintained in full force and effect in the name of the Company or the Mesquite Sky Entities.</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9" w:name="page50"/>
    <w:bookmarkEnd w:id="49"/>
    <w:p>
      <w:pPr>
        <w:jc w:val="both"/>
        <w:ind w:left="660" w:firstLine="1292"/>
        <w:spacing w:after="0" w:line="284" w:lineRule="auto"/>
        <w:tabs>
          <w:tab w:leader="none" w:pos="2423" w:val="left"/>
        </w:tabs>
        <w:numPr>
          <w:ilvl w:val="2"/>
          <w:numId w:val="46"/>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i w:val="1"/>
          <w:iCs w:val="1"/>
          <w:color w:val="auto"/>
        </w:rPr>
        <w:t>Schedule 3.01(q)(ii)</w:t>
      </w:r>
      <w:r>
        <w:rPr>
          <w:rFonts w:ascii="Arial" w:cs="Arial" w:eastAsia="Arial" w:hAnsi="Arial"/>
          <w:sz w:val="16"/>
          <w:szCs w:val="16"/>
          <w:color w:val="auto"/>
        </w:rPr>
        <w:t xml:space="preserve"> of the Disclosure Schedules, and except as relates to compliance with Environmental Laws which is exclusively and solely governed by </w:t>
      </w:r>
      <w:r>
        <w:rPr>
          <w:rFonts w:ascii="Arial" w:cs="Arial" w:eastAsia="Arial" w:hAnsi="Arial"/>
          <w:sz w:val="16"/>
          <w:szCs w:val="16"/>
          <w:i w:val="1"/>
          <w:iCs w:val="1"/>
          <w:color w:val="auto"/>
        </w:rPr>
        <w:t>Section 3.01(p)</w:t>
      </w:r>
      <w:r>
        <w:rPr>
          <w:rFonts w:ascii="Arial" w:cs="Arial" w:eastAsia="Arial" w:hAnsi="Arial"/>
          <w:sz w:val="16"/>
          <w:szCs w:val="16"/>
          <w:color w:val="auto"/>
        </w:rPr>
        <w:t xml:space="preserve"> hereof, Seller, the Company and the Mesquite Sky Entities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Arial" w:cs="Arial" w:eastAsia="Arial" w:hAnsi="Arial"/>
          <w:sz w:val="16"/>
          <w:szCs w:val="16"/>
          <w:i w:val="1"/>
          <w:iCs w:val="1"/>
          <w:color w:val="auto"/>
        </w:rPr>
        <w:t>i</w:t>
      </w:r>
      <w:r>
        <w:rPr>
          <w:rFonts w:ascii="Arial" w:cs="Arial" w:eastAsia="Arial" w:hAnsi="Arial"/>
          <w:sz w:val="16"/>
          <w:szCs w:val="16"/>
          <w:color w:val="auto"/>
        </w:rPr>
        <w:t>) is not in full force and effect, or (</w:t>
      </w:r>
      <w:r>
        <w:rPr>
          <w:rFonts w:ascii="Arial" w:cs="Arial" w:eastAsia="Arial" w:hAnsi="Arial"/>
          <w:sz w:val="16"/>
          <w:szCs w:val="16"/>
          <w:i w:val="1"/>
          <w:iCs w:val="1"/>
          <w:color w:val="auto"/>
        </w:rPr>
        <w:t>ii</w:t>
      </w:r>
      <w:r>
        <w:rPr>
          <w:rFonts w:ascii="Arial" w:cs="Arial" w:eastAsia="Arial" w:hAnsi="Arial"/>
          <w:sz w:val="16"/>
          <w:szCs w:val="16"/>
          <w:color w:val="auto"/>
        </w:rPr>
        <w:t>) is subject to any Action or Proceeding or unsatisfied condition, in each case of clause (i) and</w:t>
      </w:r>
    </w:p>
    <w:p>
      <w:pPr>
        <w:spacing w:after="0" w:line="4" w:lineRule="exact"/>
        <w:rPr>
          <w:rFonts w:ascii="Arial" w:cs="Arial" w:eastAsia="Arial" w:hAnsi="Arial"/>
          <w:sz w:val="16"/>
          <w:szCs w:val="16"/>
          <w:color w:val="auto"/>
        </w:rPr>
      </w:pPr>
    </w:p>
    <w:p>
      <w:pPr>
        <w:ind w:left="920" w:hanging="264"/>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which has not been remedied or resolved.</w:t>
      </w:r>
    </w:p>
    <w:p>
      <w:pPr>
        <w:spacing w:after="0" w:line="210" w:lineRule="exact"/>
        <w:rPr>
          <w:rFonts w:ascii="Arial" w:cs="Arial" w:eastAsia="Arial" w:hAnsi="Arial"/>
          <w:sz w:val="18"/>
          <w:szCs w:val="18"/>
          <w:color w:val="auto"/>
        </w:rPr>
      </w:pPr>
    </w:p>
    <w:p>
      <w:pPr>
        <w:ind w:left="660" w:firstLine="1292"/>
        <w:spacing w:after="0" w:line="308" w:lineRule="auto"/>
        <w:tabs>
          <w:tab w:leader="none" w:pos="2447" w:val="left"/>
        </w:tabs>
        <w:numPr>
          <w:ilvl w:val="2"/>
          <w:numId w:val="47"/>
        </w:numPr>
        <w:rPr>
          <w:rFonts w:ascii="Arial" w:cs="Arial" w:eastAsia="Arial" w:hAnsi="Arial"/>
          <w:sz w:val="17"/>
          <w:szCs w:val="17"/>
          <w:color w:val="auto"/>
        </w:rPr>
      </w:pPr>
      <w:r>
        <w:rPr>
          <w:rFonts w:ascii="Arial" w:cs="Arial" w:eastAsia="Arial" w:hAnsi="Arial"/>
          <w:sz w:val="17"/>
          <w:szCs w:val="17"/>
          <w:color w:val="auto"/>
        </w:rPr>
        <w:t xml:space="preserve">There are no proceedings pending or, to the Knowledge of Seller, threatened which would reasonably be expected to result in the modification, revocation or termination of any material Permit set forth in </w:t>
      </w:r>
      <w:r>
        <w:rPr>
          <w:rFonts w:ascii="Arial" w:cs="Arial" w:eastAsia="Arial" w:hAnsi="Arial"/>
          <w:sz w:val="17"/>
          <w:szCs w:val="17"/>
          <w:i w:val="1"/>
          <w:iCs w:val="1"/>
          <w:color w:val="auto"/>
        </w:rPr>
        <w:t>Schedule 3.01(q)(i)</w:t>
      </w:r>
      <w:r>
        <w:rPr>
          <w:rFonts w:ascii="Arial" w:cs="Arial" w:eastAsia="Arial" w:hAnsi="Arial"/>
          <w:sz w:val="17"/>
          <w:szCs w:val="17"/>
          <w:color w:val="auto"/>
        </w:rPr>
        <w:t xml:space="preserve"> of the Disclosure Schedules.</w:t>
      </w:r>
    </w:p>
    <w:p>
      <w:pPr>
        <w:spacing w:after="0" w:line="142" w:lineRule="exact"/>
        <w:rPr>
          <w:rFonts w:ascii="Arial" w:cs="Arial" w:eastAsia="Arial" w:hAnsi="Arial"/>
          <w:sz w:val="17"/>
          <w:szCs w:val="17"/>
          <w:color w:val="auto"/>
        </w:rPr>
      </w:pPr>
    </w:p>
    <w:p>
      <w:pPr>
        <w:jc w:val="both"/>
        <w:ind w:firstLine="1304"/>
        <w:spacing w:after="0" w:line="281" w:lineRule="auto"/>
        <w:tabs>
          <w:tab w:leader="none" w:pos="1746" w:val="left"/>
        </w:tabs>
        <w:numPr>
          <w:ilvl w:val="1"/>
          <w:numId w:val="47"/>
        </w:numPr>
        <w:rPr>
          <w:rFonts w:ascii="Arial" w:cs="Arial" w:eastAsia="Arial" w:hAnsi="Arial"/>
          <w:sz w:val="17"/>
          <w:szCs w:val="17"/>
          <w:color w:val="auto"/>
        </w:rPr>
      </w:pPr>
      <w:r>
        <w:rPr>
          <w:rFonts w:ascii="Arial" w:cs="Arial" w:eastAsia="Arial" w:hAnsi="Arial"/>
          <w:sz w:val="17"/>
          <w:szCs w:val="17"/>
          <w:b w:val="1"/>
          <w:bCs w:val="1"/>
          <w:color w:val="auto"/>
        </w:rPr>
        <w:t>Affiliate Transactions</w:t>
      </w:r>
      <w:r>
        <w:rPr>
          <w:rFonts w:ascii="Arial" w:cs="Arial" w:eastAsia="Arial" w:hAnsi="Arial"/>
          <w:sz w:val="17"/>
          <w:szCs w:val="17"/>
          <w:color w:val="auto"/>
        </w:rPr>
        <w:t>. Except (</w:t>
      </w:r>
      <w:r>
        <w:rPr>
          <w:rFonts w:ascii="Arial" w:cs="Arial" w:eastAsia="Arial" w:hAnsi="Arial"/>
          <w:sz w:val="17"/>
          <w:szCs w:val="17"/>
          <w:i w:val="1"/>
          <w:iCs w:val="1"/>
          <w:color w:val="auto"/>
        </w:rPr>
        <w:t>i</w:t>
      </w:r>
      <w:r>
        <w:rPr>
          <w:rFonts w:ascii="Arial" w:cs="Arial" w:eastAsia="Arial" w:hAnsi="Arial"/>
          <w:sz w:val="17"/>
          <w:szCs w:val="17"/>
          <w:color w:val="auto"/>
        </w:rPr>
        <w:t>) for transactions (</w:t>
      </w:r>
      <w:r>
        <w:rPr>
          <w:rFonts w:ascii="Arial" w:cs="Arial" w:eastAsia="Arial" w:hAnsi="Arial"/>
          <w:sz w:val="17"/>
          <w:szCs w:val="17"/>
          <w:i w:val="1"/>
          <w:iCs w:val="1"/>
          <w:color w:val="auto"/>
        </w:rPr>
        <w:t>A</w:t>
      </w:r>
      <w:r>
        <w:rPr>
          <w:rFonts w:ascii="Arial" w:cs="Arial" w:eastAsia="Arial" w:hAnsi="Arial"/>
          <w:sz w:val="17"/>
          <w:szCs w:val="17"/>
          <w:color w:val="auto"/>
        </w:rPr>
        <w:t>) disclosed 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w:t>
      </w:r>
      <w:r>
        <w:rPr>
          <w:rFonts w:ascii="Arial" w:cs="Arial" w:eastAsia="Arial" w:hAnsi="Arial"/>
          <w:sz w:val="17"/>
          <w:szCs w:val="17"/>
          <w:i w:val="1"/>
          <w:iCs w:val="1"/>
          <w:color w:val="auto"/>
        </w:rPr>
        <w:t>B</w:t>
      </w:r>
      <w:r>
        <w:rPr>
          <w:rFonts w:ascii="Arial" w:cs="Arial" w:eastAsia="Arial" w:hAnsi="Arial"/>
          <w:sz w:val="17"/>
          <w:szCs w:val="17"/>
          <w:color w:val="auto"/>
        </w:rPr>
        <w:t>)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Contracts disclosed on </w:t>
      </w:r>
      <w:r>
        <w:rPr>
          <w:rFonts w:ascii="Arial" w:cs="Arial" w:eastAsia="Arial" w:hAnsi="Arial"/>
          <w:sz w:val="17"/>
          <w:szCs w:val="17"/>
          <w:i w:val="1"/>
          <w:iCs w:val="1"/>
          <w:color w:val="auto"/>
        </w:rPr>
        <w:t>Schedule 3.01(m)(i)</w:t>
      </w:r>
      <w:r>
        <w:rPr>
          <w:rFonts w:ascii="Arial" w:cs="Arial" w:eastAsia="Arial" w:hAnsi="Arial"/>
          <w:sz w:val="17"/>
          <w:szCs w:val="17"/>
          <w:color w:val="auto"/>
        </w:rPr>
        <w:t xml:space="preserve"> of the Disclosure Schedules, or (</w:t>
      </w:r>
      <w:r>
        <w:rPr>
          <w:rFonts w:ascii="Arial" w:cs="Arial" w:eastAsia="Arial" w:hAnsi="Arial"/>
          <w:sz w:val="17"/>
          <w:szCs w:val="17"/>
          <w:i w:val="1"/>
          <w:iCs w:val="1"/>
          <w:color w:val="auto"/>
        </w:rPr>
        <w:t>C</w:t>
      </w:r>
      <w:r>
        <w:rPr>
          <w:rFonts w:ascii="Arial" w:cs="Arial" w:eastAsia="Arial" w:hAnsi="Arial"/>
          <w:sz w:val="17"/>
          <w:szCs w:val="17"/>
          <w:color w:val="auto"/>
        </w:rPr>
        <w:t xml:space="preserve">) under Company Contracts entered into pursuant to the terms and subject to the conditions of </w:t>
      </w:r>
      <w:r>
        <w:rPr>
          <w:rFonts w:ascii="Arial" w:cs="Arial" w:eastAsia="Arial" w:hAnsi="Arial"/>
          <w:sz w:val="17"/>
          <w:szCs w:val="17"/>
          <w:i w:val="1"/>
          <w:iCs w:val="1"/>
          <w:color w:val="auto"/>
        </w:rPr>
        <w:t>Section 5.12(a)</w:t>
      </w:r>
      <w:r>
        <w:rPr>
          <w:rFonts w:ascii="Arial" w:cs="Arial" w:eastAsia="Arial" w:hAnsi="Arial"/>
          <w:sz w:val="17"/>
          <w:szCs w:val="17"/>
          <w:color w:val="auto"/>
        </w:rPr>
        <w:t>, and (</w:t>
      </w:r>
      <w:r>
        <w:rPr>
          <w:rFonts w:ascii="Arial" w:cs="Arial" w:eastAsia="Arial" w:hAnsi="Arial"/>
          <w:sz w:val="17"/>
          <w:szCs w:val="17"/>
          <w:i w:val="1"/>
          <w:iCs w:val="1"/>
          <w:color w:val="auto"/>
        </w:rPr>
        <w:t>ii</w:t>
      </w:r>
      <w:r>
        <w:rPr>
          <w:rFonts w:ascii="Arial" w:cs="Arial" w:eastAsia="Arial" w:hAnsi="Arial"/>
          <w:sz w:val="17"/>
          <w:szCs w:val="17"/>
          <w:color w:val="auto"/>
        </w:rPr>
        <w:t>) for this Agreement, there are no existing or pending transactions, Contracts or Liabilities between or among the Company or the Mesquite Sky Entity on the one hand, and Seller or any of Seller’s Affiliates on the other hand.</w:t>
      </w:r>
    </w:p>
    <w:p>
      <w:pPr>
        <w:spacing w:after="0" w:line="164" w:lineRule="exact"/>
        <w:rPr>
          <w:rFonts w:ascii="Arial" w:cs="Arial" w:eastAsia="Arial" w:hAnsi="Arial"/>
          <w:sz w:val="17"/>
          <w:szCs w:val="17"/>
          <w:color w:val="auto"/>
        </w:rPr>
      </w:pPr>
    </w:p>
    <w:p>
      <w:pPr>
        <w:ind w:left="1960" w:hanging="656"/>
        <w:spacing w:after="0"/>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272" w:lineRule="auto"/>
        <w:tabs>
          <w:tab w:leader="none" w:pos="2392" w:val="left"/>
        </w:tabs>
        <w:numPr>
          <w:ilvl w:val="2"/>
          <w:numId w:val="48"/>
        </w:numPr>
        <w:rPr>
          <w:rFonts w:ascii="Arial" w:cs="Arial" w:eastAsia="Arial" w:hAnsi="Arial"/>
          <w:sz w:val="17"/>
          <w:szCs w:val="17"/>
          <w:color w:val="auto"/>
        </w:rPr>
      </w:pPr>
      <w:r>
        <w:rPr>
          <w:rFonts w:ascii="Arial" w:cs="Arial" w:eastAsia="Arial" w:hAnsi="Arial"/>
          <w:sz w:val="17"/>
          <w:szCs w:val="17"/>
          <w:color w:val="auto"/>
        </w:rPr>
        <w:t xml:space="preserve">To the Knowledge of Seller, except as set forth in </w:t>
      </w:r>
      <w:r>
        <w:rPr>
          <w:rFonts w:ascii="Arial" w:cs="Arial" w:eastAsia="Arial" w:hAnsi="Arial"/>
          <w:sz w:val="17"/>
          <w:szCs w:val="17"/>
          <w:i w:val="1"/>
          <w:iCs w:val="1"/>
          <w:color w:val="auto"/>
        </w:rPr>
        <w:t>Schedule 3.01(s)(i)</w:t>
      </w:r>
      <w:r>
        <w:rPr>
          <w:rFonts w:ascii="Arial" w:cs="Arial" w:eastAsia="Arial" w:hAnsi="Arial"/>
          <w:sz w:val="17"/>
          <w:szCs w:val="17"/>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Company or the Mesquite Sky Entities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Company or the Mesquite Sky Entities and which is owned by any third party and which, in each case, would reasonably be expected to have a Material Adverse Effect.</w:t>
      </w:r>
    </w:p>
    <w:p>
      <w:pPr>
        <w:spacing w:after="0" w:line="177" w:lineRule="exact"/>
        <w:rPr>
          <w:sz w:val="20"/>
          <w:szCs w:val="20"/>
          <w:color w:val="auto"/>
        </w:rPr>
      </w:pPr>
    </w:p>
    <w:p>
      <w:pPr>
        <w:jc w:val="both"/>
        <w:ind w:left="660" w:firstLine="1292"/>
        <w:spacing w:after="0" w:line="259" w:lineRule="auto"/>
        <w:tabs>
          <w:tab w:leader="none" w:pos="2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and each of the Mesquite Sky Entities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86" w:lineRule="exact"/>
        <w:rPr>
          <w:rFonts w:ascii="Arial" w:cs="Arial" w:eastAsia="Arial" w:hAnsi="Arial"/>
          <w:sz w:val="18"/>
          <w:szCs w:val="18"/>
          <w:color w:val="auto"/>
        </w:rPr>
      </w:pPr>
    </w:p>
    <w:p>
      <w:pPr>
        <w:jc w:val="both"/>
        <w:ind w:left="660" w:firstLine="1292"/>
        <w:spacing w:after="0" w:line="259" w:lineRule="auto"/>
        <w:tabs>
          <w:tab w:leader="none" w:pos="24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Company or the Mesquite Sky Entities that would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0" w:name="page51"/>
    <w:bookmarkEnd w:id="50"/>
    <w:p>
      <w:pPr>
        <w:jc w:val="both"/>
        <w:ind w:firstLine="1304"/>
        <w:spacing w:after="0" w:line="287" w:lineRule="auto"/>
        <w:tabs>
          <w:tab w:leader="none" w:pos="1736"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Schedule 3.01(t)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contains a true, correct and complete list of all insurance policies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of this Agreement that insure the assets and properties and business of the Company or the Mesquite Sky Entities or affect or relate to the ownership of any of the assets and properties the Company or the Mesquite Sky Entities. Seller has delivered to Purchaser detailed summaries of all the insurance policies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all of which are in full force and effect. None of Seller, the Company or the Mesquite Sky Entities has received any notice with respect to the assets and properties and business of the Company or the Mesquite Sky Entities from any insurer under any insurance policy applicable to the assets and properties and business of the Company or the Mesquite Sky Entities disclaiming coverage, reserving rights with respect to a particular claim or such policy in general or canceling any such policy. All premiums due and payable under all such policies have been paid and the terms of such policies have been complied with by Seller, the Company and the Mesquite Sky Entities, as applicable, in all material respects. The insurance maintained by or on behalf of the Company or the Mesquite Sky Entities is adequate to comply with all Laws and Company Contracts. Except as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spacing w:after="0" w:line="163" w:lineRule="exact"/>
        <w:rPr>
          <w:rFonts w:ascii="Arial" w:cs="Arial" w:eastAsia="Arial" w:hAnsi="Arial"/>
          <w:sz w:val="16"/>
          <w:szCs w:val="16"/>
          <w:color w:val="auto"/>
        </w:rPr>
      </w:pPr>
    </w:p>
    <w:p>
      <w:pPr>
        <w:jc w:val="both"/>
        <w:ind w:firstLine="1304"/>
        <w:spacing w:after="0" w:line="294" w:lineRule="auto"/>
        <w:tabs>
          <w:tab w:leader="none" w:pos="1753"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Balance Sheet</w:t>
      </w:r>
      <w:r>
        <w:rPr>
          <w:rFonts w:ascii="Arial" w:cs="Arial" w:eastAsia="Arial" w:hAnsi="Arial"/>
          <w:sz w:val="16"/>
          <w:szCs w:val="16"/>
          <w:color w:val="auto"/>
        </w:rPr>
        <w:t>. Seller has previously delivered to Purchaser true, correct and complete copies of the most recent unaudited balance</w:t>
      </w:r>
      <w:r>
        <w:rPr>
          <w:rFonts w:ascii="Arial" w:cs="Arial" w:eastAsia="Arial" w:hAnsi="Arial"/>
          <w:sz w:val="16"/>
          <w:szCs w:val="16"/>
          <w:b w:val="1"/>
          <w:bCs w:val="1"/>
          <w:color w:val="auto"/>
        </w:rPr>
        <w:t xml:space="preserve"> </w:t>
      </w:r>
      <w:r>
        <w:rPr>
          <w:rFonts w:ascii="Arial" w:cs="Arial" w:eastAsia="Arial" w:hAnsi="Arial"/>
          <w:sz w:val="16"/>
          <w:szCs w:val="16"/>
          <w:color w:val="auto"/>
        </w:rPr>
        <w:t>sheet (the “</w:t>
      </w:r>
      <w:r>
        <w:rPr>
          <w:rFonts w:ascii="Arial" w:cs="Arial" w:eastAsia="Arial" w:hAnsi="Arial"/>
          <w:sz w:val="16"/>
          <w:szCs w:val="16"/>
          <w:i w:val="1"/>
          <w:iCs w:val="1"/>
          <w:color w:val="auto"/>
        </w:rPr>
        <w:t>Balance Sheet</w:t>
      </w:r>
      <w:r>
        <w:rPr>
          <w:rFonts w:ascii="Arial" w:cs="Arial" w:eastAsia="Arial" w:hAnsi="Arial"/>
          <w:sz w:val="16"/>
          <w:szCs w:val="16"/>
          <w:color w:val="auto"/>
        </w:rPr>
        <w:t>”) of the Company and the Mesquite Sky Entities on a consolidated basis for the quarter ended November 30, 2020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w:t>
      </w:r>
      <w:r>
        <w:rPr>
          <w:rFonts w:ascii="Arial" w:cs="Arial" w:eastAsia="Arial" w:hAnsi="Arial"/>
          <w:sz w:val="16"/>
          <w:szCs w:val="16"/>
          <w:i w:val="1"/>
          <w:iCs w:val="1"/>
          <w:color w:val="auto"/>
        </w:rPr>
        <w:t>Sheet Date</w:t>
      </w:r>
      <w:r>
        <w:rPr>
          <w:rFonts w:ascii="Arial" w:cs="Arial" w:eastAsia="Arial" w:hAnsi="Arial"/>
          <w:sz w:val="16"/>
          <w:szCs w:val="16"/>
          <w:color w:val="auto"/>
        </w:rPr>
        <w:t>”). The Balance Sheet (</w:t>
      </w:r>
      <w:r>
        <w:rPr>
          <w:rFonts w:ascii="Arial" w:cs="Arial" w:eastAsia="Arial" w:hAnsi="Arial"/>
          <w:sz w:val="16"/>
          <w:szCs w:val="16"/>
          <w:i w:val="1"/>
          <w:iCs w:val="1"/>
          <w:color w:val="auto"/>
        </w:rPr>
        <w:t>i</w:t>
      </w:r>
      <w:r>
        <w:rPr>
          <w:rFonts w:ascii="Arial" w:cs="Arial" w:eastAsia="Arial" w:hAnsi="Arial"/>
          <w:sz w:val="16"/>
          <w:szCs w:val="16"/>
          <w:color w:val="auto"/>
        </w:rPr>
        <w:t>) fairly presents, in all material respects, the consolidated financial position and consolidated results of operations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the Mesquite Sky Entities, as of the Balance Sheet Date, (</w:t>
      </w:r>
      <w:r>
        <w:rPr>
          <w:rFonts w:ascii="Arial" w:cs="Arial" w:eastAsia="Arial" w:hAnsi="Arial"/>
          <w:sz w:val="16"/>
          <w:szCs w:val="16"/>
          <w:i w:val="1"/>
          <w:iCs w:val="1"/>
          <w:color w:val="auto"/>
        </w:rPr>
        <w:t>ii</w:t>
      </w:r>
      <w:r>
        <w:rPr>
          <w:rFonts w:ascii="Arial" w:cs="Arial" w:eastAsia="Arial" w:hAnsi="Arial"/>
          <w:sz w:val="16"/>
          <w:szCs w:val="16"/>
          <w:color w:val="auto"/>
        </w:rPr>
        <w:t>) has been prepared in accordance with GAAP consistently applied during the period(s) involved except as otherwise noted therein, subject to normal and recurring year-end adjustments that have not been and are not expected to be material in amount, and (</w:t>
      </w:r>
      <w:r>
        <w:rPr>
          <w:rFonts w:ascii="Arial" w:cs="Arial" w:eastAsia="Arial" w:hAnsi="Arial"/>
          <w:sz w:val="16"/>
          <w:szCs w:val="16"/>
          <w:i w:val="1"/>
          <w:iCs w:val="1"/>
          <w:color w:val="auto"/>
        </w:rPr>
        <w:t>iii</w:t>
      </w:r>
      <w:r>
        <w:rPr>
          <w:rFonts w:ascii="Arial" w:cs="Arial" w:eastAsia="Arial" w:hAnsi="Arial"/>
          <w:sz w:val="16"/>
          <w:szCs w:val="16"/>
          <w:color w:val="auto"/>
        </w:rPr>
        <w:t>) has been prepared from the books and records of the Company and the Mesquite Sky Entities.</w:t>
      </w:r>
    </w:p>
    <w:p>
      <w:pPr>
        <w:spacing w:after="0" w:line="159" w:lineRule="exact"/>
        <w:rPr>
          <w:rFonts w:ascii="Arial" w:cs="Arial" w:eastAsia="Arial" w:hAnsi="Arial"/>
          <w:sz w:val="16"/>
          <w:szCs w:val="16"/>
          <w:color w:val="auto"/>
        </w:rPr>
      </w:pPr>
    </w:p>
    <w:p>
      <w:pPr>
        <w:ind w:firstLine="1304"/>
        <w:spacing w:after="0" w:line="282" w:lineRule="auto"/>
        <w:tabs>
          <w:tab w:leader="none" w:pos="1776"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Absence of Changes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3.01(v)</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since the Balance Sheet Date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indicated in subparagraph (vii) below) until the date of this Agreement, there has not been:</w:t>
      </w:r>
    </w:p>
    <w:p>
      <w:pPr>
        <w:spacing w:after="0" w:line="165" w:lineRule="exact"/>
        <w:rPr>
          <w:rFonts w:ascii="Arial" w:cs="Arial" w:eastAsia="Arial" w:hAnsi="Arial"/>
          <w:sz w:val="18"/>
          <w:szCs w:val="18"/>
          <w:color w:val="auto"/>
        </w:rPr>
      </w:pPr>
    </w:p>
    <w:p>
      <w:pPr>
        <w:jc w:val="both"/>
        <w:ind w:left="660" w:firstLine="1292"/>
        <w:spacing w:after="0" w:line="311" w:lineRule="auto"/>
        <w:tabs>
          <w:tab w:leader="none" w:pos="2396"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any repurchase, redemption or other acquisition of any equity interests of the Company or the Mesquite Sky Entities or any interests convertible into equity interests of the Company or the Mesquite Sky Entities or any other change in the capitalization or ownership of the Company or the Mesquite Sky Entities, other than as permitted pursuant to the terms and subject to the conditions of </w:t>
      </w:r>
      <w:r>
        <w:rPr>
          <w:rFonts w:ascii="Arial" w:cs="Arial" w:eastAsia="Arial" w:hAnsi="Arial"/>
          <w:sz w:val="16"/>
          <w:szCs w:val="16"/>
          <w:i w:val="1"/>
          <w:iCs w:val="1"/>
          <w:color w:val="auto"/>
        </w:rPr>
        <w:t>Section 5.12(a)</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left="660" w:firstLine="1292"/>
        <w:spacing w:after="0" w:line="263" w:lineRule="auto"/>
        <w:tabs>
          <w:tab w:leader="none" w:pos="242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merger of the Company or the Mesquite Sky Entities into or with any other Person, consolidation of the Company or the Mesquite Sky Entities with any other Person or acquisition by the Company or the Mesquite Sky Entities of all or substantially all of the business or assets of any Person;</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47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action by the Company or the Mesquite Sky Entities or any commitment entered into by any member of the Company or the Mesquite Sky Entities with respect to or in contemplation of any liquidation, dissolution, recapitalization, reorganization or other winding up of its business or operations;</w:t>
      </w:r>
    </w:p>
    <w:p>
      <w:pPr>
        <w:spacing w:after="0" w:line="183" w:lineRule="exact"/>
        <w:rPr>
          <w:rFonts w:ascii="Arial" w:cs="Arial" w:eastAsia="Arial" w:hAnsi="Arial"/>
          <w:sz w:val="18"/>
          <w:szCs w:val="18"/>
          <w:color w:val="auto"/>
        </w:rPr>
      </w:pPr>
    </w:p>
    <w:p>
      <w:pPr>
        <w:ind w:left="660" w:right="20" w:firstLine="1292"/>
        <w:spacing w:after="0" w:line="277" w:lineRule="auto"/>
        <w:tabs>
          <w:tab w:leader="none" w:pos="244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material change in accounting policies or practices (including any change in depreciation or amortization policies) of the Company or the Mesquite Sky Entities, except as required under GAAP;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660" w:firstLine="1292"/>
        <w:spacing w:after="0" w:line="263" w:lineRule="auto"/>
        <w:tabs>
          <w:tab w:leader="none" w:pos="241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183" w:lineRule="exact"/>
        <w:rPr>
          <w:rFonts w:ascii="Arial" w:cs="Arial" w:eastAsia="Arial" w:hAnsi="Arial"/>
          <w:sz w:val="18"/>
          <w:szCs w:val="18"/>
          <w:color w:val="auto"/>
        </w:rPr>
      </w:pPr>
    </w:p>
    <w:p>
      <w:pPr>
        <w:jc w:val="both"/>
        <w:ind w:left="660" w:firstLine="1292"/>
        <w:spacing w:after="0" w:line="301" w:lineRule="auto"/>
        <w:tabs>
          <w:tab w:leader="none" w:pos="2441"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as permitted pursuant to the terms and subject to the conditions of </w:t>
      </w:r>
      <w:r>
        <w:rPr>
          <w:rFonts w:ascii="Arial" w:cs="Arial" w:eastAsia="Arial" w:hAnsi="Arial"/>
          <w:sz w:val="16"/>
          <w:szCs w:val="16"/>
          <w:i w:val="1"/>
          <w:iCs w:val="1"/>
          <w:color w:val="auto"/>
        </w:rPr>
        <w:t>Section 5.12(a)</w:t>
      </w:r>
      <w:r>
        <w:rPr>
          <w:rFonts w:ascii="Arial" w:cs="Arial" w:eastAsia="Arial" w:hAnsi="Arial"/>
          <w:sz w:val="16"/>
          <w:szCs w:val="16"/>
          <w:color w:val="auto"/>
        </w:rPr>
        <w:t>; or</w:t>
      </w:r>
    </w:p>
    <w:p>
      <w:pPr>
        <w:spacing w:after="0" w:line="157" w:lineRule="exact"/>
        <w:rPr>
          <w:rFonts w:ascii="Arial" w:cs="Arial" w:eastAsia="Arial" w:hAnsi="Arial"/>
          <w:sz w:val="16"/>
          <w:szCs w:val="16"/>
          <w:color w:val="auto"/>
        </w:rPr>
      </w:pPr>
    </w:p>
    <w:p>
      <w:pPr>
        <w:ind w:left="660" w:firstLine="1292"/>
        <w:spacing w:after="0" w:line="277" w:lineRule="auto"/>
        <w:tabs>
          <w:tab w:leader="none" w:pos="24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event, circumstance, condition or change relating or with respect to the Company or the Mesquite Sky Entities that would reasonably be expected to have, individually or in the aggregate, a Material Adverse Effect.</w:t>
      </w:r>
    </w:p>
    <w:p>
      <w:pPr>
        <w:spacing w:after="0" w:line="166" w:lineRule="exact"/>
        <w:rPr>
          <w:rFonts w:ascii="Arial" w:cs="Arial" w:eastAsia="Arial" w:hAnsi="Arial"/>
          <w:sz w:val="18"/>
          <w:szCs w:val="18"/>
          <w:color w:val="auto"/>
        </w:rPr>
      </w:pPr>
    </w:p>
    <w:p>
      <w:pPr>
        <w:jc w:val="both"/>
        <w:ind w:firstLine="1304"/>
        <w:spacing w:after="0" w:line="289" w:lineRule="auto"/>
        <w:tabs>
          <w:tab w:leader="none" w:pos="1816"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Bank Accounts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3.01(w)</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sets forth the names and locations of banks, trust companies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financial institutions at which the Company or the Mesquite Sky Entities maintain bank accounts or safe deposit boxes, in each case listing the type of account, the account number, and the names of all Persons authorized to draw thereupon or who have access thereto.</w:t>
      </w:r>
    </w:p>
    <w:p>
      <w:pPr>
        <w:spacing w:after="0" w:line="157" w:lineRule="exact"/>
        <w:rPr>
          <w:rFonts w:ascii="Arial" w:cs="Arial" w:eastAsia="Arial" w:hAnsi="Arial"/>
          <w:sz w:val="17"/>
          <w:szCs w:val="17"/>
          <w:color w:val="auto"/>
        </w:rPr>
      </w:pPr>
    </w:p>
    <w:p>
      <w:pPr>
        <w:ind w:left="1960" w:hanging="656"/>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Regulatory Status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20" w:firstLine="1292"/>
        <w:spacing w:after="0" w:line="277" w:lineRule="auto"/>
        <w:tabs>
          <w:tab w:leader="none" w:pos="23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Project Company is an “exempt wholesale generator,” as such term is defined in PUHCA. As an “exempt wholesale generator,” the Project Company is exempt from PUHCA to the extent provided for in 18 C.F.R. § 366.7(e).</w:t>
      </w:r>
    </w:p>
    <w:p>
      <w:pPr>
        <w:spacing w:after="0" w:line="170" w:lineRule="exact"/>
        <w:rPr>
          <w:rFonts w:ascii="Arial" w:cs="Arial" w:eastAsia="Arial" w:hAnsi="Arial"/>
          <w:sz w:val="18"/>
          <w:szCs w:val="18"/>
          <w:color w:val="auto"/>
        </w:rPr>
      </w:pPr>
    </w:p>
    <w:p>
      <w:pPr>
        <w:jc w:val="both"/>
        <w:ind w:left="660" w:firstLine="1292"/>
        <w:spacing w:after="0" w:line="259" w:lineRule="auto"/>
        <w:tabs>
          <w:tab w:leader="none" w:pos="2423"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Company and each of the Mesquite Sky Entities other than the Project Company will become a “holding company,” as defined in PUHCA, solely with respect to its direct or indirect, as applicable, ownership of the Project Company and, therefore, Company and each of the Mesquite Sky Entities other than the Project Company is entitled to the exemptions and waivers set forth in at 18 C.F.R. § 366.3(a). The Project Company is not a “holding company.”</w:t>
      </w:r>
    </w:p>
    <w:p>
      <w:pPr>
        <w:spacing w:after="0" w:line="186" w:lineRule="exact"/>
        <w:rPr>
          <w:rFonts w:ascii="Arial" w:cs="Arial" w:eastAsia="Arial" w:hAnsi="Arial"/>
          <w:sz w:val="18"/>
          <w:szCs w:val="18"/>
          <w:color w:val="auto"/>
        </w:rPr>
      </w:pPr>
    </w:p>
    <w:p>
      <w:pPr>
        <w:jc w:val="both"/>
        <w:ind w:left="660" w:firstLine="1292"/>
        <w:spacing w:after="0" w:line="279" w:lineRule="auto"/>
        <w:tabs>
          <w:tab w:leader="none" w:pos="2486" w:val="left"/>
        </w:tabs>
        <w:numPr>
          <w:ilvl w:val="1"/>
          <w:numId w:val="52"/>
        </w:numPr>
        <w:rPr>
          <w:rFonts w:ascii="Arial" w:cs="Arial" w:eastAsia="Arial" w:hAnsi="Arial"/>
          <w:sz w:val="17"/>
          <w:szCs w:val="17"/>
          <w:color w:val="auto"/>
        </w:rPr>
      </w:pPr>
      <w:r>
        <w:rPr>
          <w:rFonts w:ascii="Arial" w:cs="Arial" w:eastAsia="Arial" w:hAnsi="Arial"/>
          <w:sz w:val="17"/>
          <w:szCs w:val="17"/>
          <w:color w:val="auto"/>
        </w:rPr>
        <w:t>As of the Closing Date, Purchaser, solely by virtue of its indirect ownership of the Project Company, will not be subject to, or will not lose the exemption from, (A) FERC regulation as an “electric utility company,” a “public-utility company,” or a “holding company,” or an “affiliate” or “subsidiary company” as defined under PUHCA, (B) as “public utility” under the FPA, and (C) PUCT regulation as an “electric utility,” “public utility,” “utility,” “transmission and distribution utility,” or “retail electric provider” under PURA.</w:t>
      </w:r>
    </w:p>
    <w:p>
      <w:pPr>
        <w:spacing w:after="0" w:line="171" w:lineRule="exact"/>
        <w:rPr>
          <w:rFonts w:ascii="Arial" w:cs="Arial" w:eastAsia="Arial" w:hAnsi="Arial"/>
          <w:sz w:val="17"/>
          <w:szCs w:val="17"/>
          <w:color w:val="auto"/>
        </w:rPr>
      </w:pPr>
    </w:p>
    <w:p>
      <w:pPr>
        <w:ind w:left="660" w:firstLine="1292"/>
        <w:spacing w:after="0" w:line="277" w:lineRule="auto"/>
        <w:tabs>
          <w:tab w:leader="none" w:pos="2441" w:val="left"/>
        </w:tabs>
        <w:numPr>
          <w:ilvl w:val="1"/>
          <w:numId w:val="52"/>
        </w:numPr>
        <w:rPr>
          <w:rFonts w:ascii="Arial" w:cs="Arial" w:eastAsia="Arial" w:hAnsi="Arial"/>
          <w:sz w:val="18"/>
          <w:szCs w:val="18"/>
          <w:color w:val="auto"/>
        </w:rPr>
      </w:pPr>
      <w:r>
        <w:rPr>
          <w:rFonts w:ascii="Arial" w:cs="Arial" w:eastAsia="Arial" w:hAnsi="Arial"/>
          <w:sz w:val="18"/>
          <w:szCs w:val="18"/>
          <w:color w:val="auto"/>
        </w:rPr>
        <w:t>Neither the Company nor any of the Mesquite Sky Entities is subject to regulation as a “public utility” as that term is defined under FPA Section 201(e).</w:t>
      </w:r>
    </w:p>
    <w:p>
      <w:pPr>
        <w:spacing w:after="0" w:line="166" w:lineRule="exact"/>
        <w:rPr>
          <w:rFonts w:ascii="Arial" w:cs="Arial" w:eastAsia="Arial" w:hAnsi="Arial"/>
          <w:sz w:val="18"/>
          <w:szCs w:val="18"/>
          <w:color w:val="auto"/>
        </w:rPr>
      </w:pPr>
    </w:p>
    <w:p>
      <w:pPr>
        <w:ind w:left="1780" w:hanging="476"/>
        <w:spacing w:after="0"/>
        <w:tabs>
          <w:tab w:leader="none" w:pos="178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Support Obligations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sets forth a true and complete list of all the Support</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206" w:lineRule="exact"/>
        <w:rPr>
          <w:rFonts w:ascii="Arial" w:cs="Arial" w:eastAsia="Arial" w:hAnsi="Arial"/>
          <w:sz w:val="17"/>
          <w:szCs w:val="17"/>
          <w:color w:val="auto"/>
        </w:rPr>
      </w:pPr>
    </w:p>
    <w:p>
      <w:pPr>
        <w:jc w:val="both"/>
        <w:ind w:firstLine="1304"/>
        <w:spacing w:after="0" w:line="258" w:lineRule="auto"/>
        <w:tabs>
          <w:tab w:leader="none" w:pos="1766"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Disclosures</w:t>
      </w:r>
      <w:r>
        <w:rPr>
          <w:rFonts w:ascii="Arial" w:cs="Arial" w:eastAsia="Arial" w:hAnsi="Arial"/>
          <w:sz w:val="18"/>
          <w:szCs w:val="18"/>
          <w:color w:val="auto"/>
        </w:rPr>
        <w:t>. To the Knowledge of Seller, no representation or warranty by Seller contained in this Agreement, and no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the Disclosure Schedules or any other document, certificate or other instrument delivered to or to be delivered by or on behalf of Seller, the Company or the Mesquite Sky Entities contains, or will contain any untrue statement of a material fact or omits or will omit to state any material fact necessary, in light of the circumstances under which it was or will be made, in order to make the statements herein or therein not misleading when taken as a whole.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1304"/>
        <w:spacing w:after="0" w:line="289"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Reports</w:t>
      </w:r>
      <w:r>
        <w:rPr>
          <w:rFonts w:ascii="Arial" w:cs="Arial" w:eastAsia="Arial" w:hAnsi="Arial"/>
          <w:sz w:val="17"/>
          <w:szCs w:val="17"/>
          <w:color w:val="auto"/>
        </w:rPr>
        <w:t>. Seller has made available to Purchaser true, complete and correct copies of all Reports delivered pursuant to the Tax Equity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of the Execution Date. As of the Closing Date, Seller has made available to Purchaser true, correct and complete copies of all Reports that were not made available to Purchaser on the Execution Date.</w:t>
      </w:r>
    </w:p>
    <w:p>
      <w:pPr>
        <w:spacing w:after="0" w:line="157" w:lineRule="exact"/>
        <w:rPr>
          <w:rFonts w:ascii="Arial" w:cs="Arial" w:eastAsia="Arial" w:hAnsi="Arial"/>
          <w:sz w:val="17"/>
          <w:szCs w:val="17"/>
          <w:color w:val="auto"/>
        </w:rPr>
      </w:pPr>
    </w:p>
    <w:p>
      <w:pPr>
        <w:jc w:val="both"/>
        <w:ind w:firstLine="1304"/>
        <w:spacing w:after="0" w:line="261" w:lineRule="auto"/>
        <w:tabs>
          <w:tab w:leader="none" w:pos="1641"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Projections</w:t>
      </w:r>
      <w:r>
        <w:rPr>
          <w:rFonts w:ascii="Arial" w:cs="Arial" w:eastAsia="Arial" w:hAnsi="Arial"/>
          <w:sz w:val="18"/>
          <w:szCs w:val="18"/>
          <w:color w:val="auto"/>
        </w:rPr>
        <w:t>. Seller has prepared the financial projections for the Company and the Mesquite Sky Entities, which are reflected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 Case Model (the “</w:t>
      </w:r>
      <w:r>
        <w:rPr>
          <w:rFonts w:ascii="Arial" w:cs="Arial" w:eastAsia="Arial" w:hAnsi="Arial"/>
          <w:sz w:val="18"/>
          <w:szCs w:val="18"/>
          <w:i w:val="1"/>
          <w:iCs w:val="1"/>
          <w:color w:val="auto"/>
        </w:rPr>
        <w:t>Projections</w:t>
      </w:r>
      <w:r>
        <w:rPr>
          <w:rFonts w:ascii="Arial" w:cs="Arial" w:eastAsia="Arial" w:hAnsi="Arial"/>
          <w:sz w:val="18"/>
          <w:szCs w:val="18"/>
          <w:color w:val="auto"/>
        </w:rPr>
        <w:t>”), in good faith. To the Knowledge of Seller, the Projections (</w:t>
      </w:r>
      <w:r>
        <w:rPr>
          <w:rFonts w:ascii="Arial" w:cs="Arial" w:eastAsia="Arial" w:hAnsi="Arial"/>
          <w:sz w:val="18"/>
          <w:szCs w:val="18"/>
          <w:i w:val="1"/>
          <w:iCs w:val="1"/>
          <w:color w:val="auto"/>
        </w:rPr>
        <w:t>i</w:t>
      </w:r>
      <w:r>
        <w:rPr>
          <w:rFonts w:ascii="Arial" w:cs="Arial" w:eastAsia="Arial" w:hAnsi="Arial"/>
          <w:sz w:val="18"/>
          <w:szCs w:val="18"/>
          <w:color w:val="auto"/>
        </w:rPr>
        <w:t>) are based on reasonable assumptions, (</w:t>
      </w:r>
      <w:r>
        <w:rPr>
          <w:rFonts w:ascii="Arial" w:cs="Arial" w:eastAsia="Arial" w:hAnsi="Arial"/>
          <w:sz w:val="18"/>
          <w:szCs w:val="18"/>
          <w:i w:val="1"/>
          <w:iCs w:val="1"/>
          <w:color w:val="auto"/>
        </w:rPr>
        <w:t>ii</w:t>
      </w:r>
      <w:r>
        <w:rPr>
          <w:rFonts w:ascii="Arial" w:cs="Arial" w:eastAsia="Arial" w:hAnsi="Arial"/>
          <w:sz w:val="18"/>
          <w:szCs w:val="18"/>
          <w:color w:val="auto"/>
        </w:rPr>
        <w:t>) are consistent in all material respects with Prudent Industry Practices, and (</w:t>
      </w:r>
      <w:r>
        <w:rPr>
          <w:rFonts w:ascii="Arial" w:cs="Arial" w:eastAsia="Arial" w:hAnsi="Arial"/>
          <w:sz w:val="18"/>
          <w:szCs w:val="18"/>
          <w:i w:val="1"/>
          <w:iCs w:val="1"/>
          <w:color w:val="auto"/>
        </w:rPr>
        <w:t>iii</w:t>
      </w:r>
      <w:r>
        <w:rPr>
          <w:rFonts w:ascii="Arial" w:cs="Arial" w:eastAsia="Arial" w:hAnsi="Arial"/>
          <w:sz w:val="18"/>
          <w:szCs w:val="18"/>
          <w:color w:val="auto"/>
        </w:rPr>
        <w:t>) reflect all material payments to be made by the Company or the Mesquite Sky Entities to Sellers or its Affiliates.</w:t>
      </w:r>
    </w:p>
    <w:p>
      <w:pPr>
        <w:spacing w:after="0" w:line="179" w:lineRule="exact"/>
        <w:rPr>
          <w:rFonts w:ascii="Arial" w:cs="Arial" w:eastAsia="Arial" w:hAnsi="Arial"/>
          <w:sz w:val="18"/>
          <w:szCs w:val="18"/>
          <w:color w:val="auto"/>
        </w:rPr>
      </w:pPr>
    </w:p>
    <w:p>
      <w:pPr>
        <w:jc w:val="both"/>
        <w:ind w:firstLine="1304"/>
        <w:spacing w:after="0" w:line="253" w:lineRule="auto"/>
        <w:tabs>
          <w:tab w:leader="none" w:pos="1634"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No Other Warranties</w:t>
      </w:r>
      <w:r>
        <w:rPr>
          <w:rFonts w:ascii="Arial" w:cs="Arial" w:eastAsia="Arial" w:hAnsi="Arial"/>
          <w:sz w:val="18"/>
          <w:szCs w:val="18"/>
          <w:color w:val="auto"/>
        </w:rPr>
        <w:t>. EXCEPT FOR THE WARRANTIES SET FORTH HEREIN, THE ACQUIRED INTERESTS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CLASS A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CLASS A INTERESTS, THE COMPANY, THE PROJECT, THE MESQUITE SKY ENTITIES, THE ASSETS OF THE COMPANY, OR THE ASSETS OF THE MESQUITE SKY ENTITIES, INCLUDING IMPLIED WARRANTIES OF MERCHANTABILITY AND FITNESS FOR A PARTICULAR PURPOSE, AND WARRANTIES ARISING FROM COURSE OF DEALING OR USAGE OF TRADE, ALL OF WHICH ARE EXPRESSLY DISCLAIMED. EXCEPT AS EXPRESSLY SET FORTH IN </w:t>
      </w:r>
      <w:r>
        <w:rPr>
          <w:rFonts w:ascii="Arial" w:cs="Arial" w:eastAsia="Arial" w:hAnsi="Arial"/>
          <w:sz w:val="18"/>
          <w:szCs w:val="18"/>
          <w:i w:val="1"/>
          <w:iCs w:val="1"/>
          <w:color w:val="auto"/>
        </w:rPr>
        <w:t>SECTION 3.01</w:t>
      </w:r>
      <w:r>
        <w:rPr>
          <w:rFonts w:ascii="Arial" w:cs="Arial" w:eastAsia="Arial" w:hAnsi="Arial"/>
          <w:sz w:val="18"/>
          <w:szCs w:val="18"/>
          <w:color w:val="auto"/>
        </w:rPr>
        <w:t>, SELLER MAKES NO REPRESENTATION OR WARRANTY TO PURCHASER WITH RESPECT TO ANY FINANCIAL PROJECTIONS, FORECASTS OR FORWARD LOOKING STATEMENTS OF ANY KIND OR NATURE WHATSOEVER RELATING TO THE COMPANY, THE PROJECT, THE MESQUITE SKY ENTITIES, THE ASSETS OF THE COMPANY, THE ASSETS OF THE MESQUITE SKY ENTITIES, THE CLASS A INTERESTS OR THE ACQUIRED INTERESTS.</w:t>
      </w:r>
    </w:p>
    <w:p>
      <w:pPr>
        <w:spacing w:after="0" w:line="19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3.02. </w:t>
      </w:r>
      <w:r>
        <w:rPr>
          <w:rFonts w:ascii="Arial" w:cs="Arial" w:eastAsia="Arial" w:hAnsi="Arial"/>
          <w:sz w:val="16"/>
          <w:szCs w:val="16"/>
          <w:b w:val="1"/>
          <w:bCs w:val="1"/>
          <w:i w:val="1"/>
          <w:iCs w:val="1"/>
          <w:color w:val="auto"/>
        </w:rPr>
        <w:t>Representations and Warranties with Respect to Purchaser</w:t>
      </w:r>
      <w:r>
        <w:rPr>
          <w:rFonts w:ascii="Arial" w:cs="Arial" w:eastAsia="Arial" w:hAnsi="Arial"/>
          <w:sz w:val="16"/>
          <w:szCs w:val="16"/>
          <w:color w:val="auto"/>
        </w:rPr>
        <w:t>. Purchaser hereby represents to Seller as of the Execution Date, the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and, solely with respect to </w:t>
      </w:r>
      <w:r>
        <w:rPr>
          <w:rFonts w:ascii="Arial" w:cs="Arial" w:eastAsia="Arial" w:hAnsi="Arial"/>
          <w:sz w:val="16"/>
          <w:szCs w:val="16"/>
          <w:i w:val="1"/>
          <w:iCs w:val="1"/>
          <w:color w:val="auto"/>
        </w:rPr>
        <w:t>Section 3.02(a)</w:t>
      </w:r>
      <w:r>
        <w:rPr>
          <w:rFonts w:ascii="Arial" w:cs="Arial" w:eastAsia="Arial" w:hAnsi="Arial"/>
          <w:sz w:val="16"/>
          <w:szCs w:val="16"/>
          <w:color w:val="auto"/>
        </w:rPr>
        <w:t xml:space="preserve"> (Existence), </w:t>
      </w:r>
      <w:r>
        <w:rPr>
          <w:rFonts w:ascii="Arial" w:cs="Arial" w:eastAsia="Arial" w:hAnsi="Arial"/>
          <w:sz w:val="16"/>
          <w:szCs w:val="16"/>
          <w:i w:val="1"/>
          <w:iCs w:val="1"/>
          <w:color w:val="auto"/>
        </w:rPr>
        <w:t>Section 3.02(b)</w:t>
      </w:r>
      <w:r>
        <w:rPr>
          <w:rFonts w:ascii="Arial" w:cs="Arial" w:eastAsia="Arial" w:hAnsi="Arial"/>
          <w:sz w:val="16"/>
          <w:szCs w:val="16"/>
          <w:color w:val="auto"/>
        </w:rPr>
        <w:t xml:space="preserve"> (Authority), </w:t>
      </w:r>
      <w:r>
        <w:rPr>
          <w:rFonts w:ascii="Arial" w:cs="Arial" w:eastAsia="Arial" w:hAnsi="Arial"/>
          <w:sz w:val="16"/>
          <w:szCs w:val="16"/>
          <w:i w:val="1"/>
          <w:iCs w:val="1"/>
          <w:color w:val="auto"/>
        </w:rPr>
        <w:t>Section 3.02(g)</w:t>
      </w:r>
      <w:r>
        <w:rPr>
          <w:rFonts w:ascii="Arial" w:cs="Arial" w:eastAsia="Arial" w:hAnsi="Arial"/>
          <w:sz w:val="16"/>
          <w:szCs w:val="16"/>
          <w:color w:val="auto"/>
        </w:rPr>
        <w:t xml:space="preserve"> (Purchase for Investment) and </w:t>
      </w:r>
      <w:r>
        <w:rPr>
          <w:rFonts w:ascii="Arial" w:cs="Arial" w:eastAsia="Arial" w:hAnsi="Arial"/>
          <w:sz w:val="16"/>
          <w:szCs w:val="16"/>
          <w:i w:val="1"/>
          <w:iCs w:val="1"/>
          <w:color w:val="auto"/>
        </w:rPr>
        <w:t xml:space="preserve">Section 3.02(k) </w:t>
      </w:r>
      <w:r>
        <w:rPr>
          <w:rFonts w:ascii="Arial" w:cs="Arial" w:eastAsia="Arial" w:hAnsi="Arial"/>
          <w:sz w:val="16"/>
          <w:szCs w:val="16"/>
          <w:color w:val="auto"/>
        </w:rPr>
        <w:t>(Due Diligence) (collectively, the “</w:t>
      </w:r>
      <w:r>
        <w:rPr>
          <w:rFonts w:ascii="Arial" w:cs="Arial" w:eastAsia="Arial" w:hAnsi="Arial"/>
          <w:sz w:val="16"/>
          <w:szCs w:val="16"/>
          <w:i w:val="1"/>
          <w:iCs w:val="1"/>
          <w:color w:val="auto"/>
        </w:rPr>
        <w:t>Purchaser Second Closing Representations</w:t>
      </w:r>
      <w:r>
        <w:rPr>
          <w:rFonts w:ascii="Arial" w:cs="Arial" w:eastAsia="Arial" w:hAnsi="Arial"/>
          <w:sz w:val="16"/>
          <w:szCs w:val="16"/>
          <w:color w:val="auto"/>
        </w:rPr>
        <w:t>”), the Second Closing Date, as follows;</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representation and warranty set forth in this </w:t>
      </w:r>
      <w:r>
        <w:rPr>
          <w:rFonts w:ascii="Arial" w:cs="Arial" w:eastAsia="Arial" w:hAnsi="Arial"/>
          <w:sz w:val="16"/>
          <w:szCs w:val="16"/>
          <w:i w:val="1"/>
          <w:iCs w:val="1"/>
          <w:color w:val="auto"/>
        </w:rPr>
        <w:t>Section 3.02</w:t>
      </w:r>
      <w:r>
        <w:rPr>
          <w:rFonts w:ascii="Arial" w:cs="Arial" w:eastAsia="Arial" w:hAnsi="Arial"/>
          <w:sz w:val="16"/>
          <w:szCs w:val="16"/>
          <w:color w:val="auto"/>
        </w:rPr>
        <w:t xml:space="preserve"> and expressly stated to be made only as of a specified date shall be made solely as of such date:</w:t>
      </w:r>
    </w:p>
    <w:p>
      <w:pPr>
        <w:spacing w:after="0" w:line="151" w:lineRule="exact"/>
        <w:rPr>
          <w:sz w:val="20"/>
          <w:szCs w:val="20"/>
          <w:color w:val="auto"/>
        </w:rPr>
      </w:pPr>
    </w:p>
    <w:p>
      <w:pPr>
        <w:jc w:val="both"/>
        <w:ind w:firstLine="1304"/>
        <w:spacing w:after="0" w:line="261" w:lineRule="auto"/>
        <w:tabs>
          <w:tab w:leader="none" w:pos="1766"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Existence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is a limited liability company duly formed, validly existing and in good standing under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79" w:lineRule="exact"/>
        <w:rPr>
          <w:rFonts w:ascii="Arial" w:cs="Arial" w:eastAsia="Arial" w:hAnsi="Arial"/>
          <w:sz w:val="18"/>
          <w:szCs w:val="18"/>
          <w:color w:val="auto"/>
        </w:rPr>
      </w:pPr>
    </w:p>
    <w:p>
      <w:pPr>
        <w:jc w:val="both"/>
        <w:ind w:firstLine="1304"/>
        <w:spacing w:after="0" w:line="277" w:lineRule="auto"/>
        <w:tabs>
          <w:tab w:leader="none" w:pos="1776"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Authority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All actions or proceedings necessary to authorize the execution and delivery by Purchaser of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304"/>
        <w:spacing w:after="0" w:line="303" w:lineRule="auto"/>
        <w:tabs>
          <w:tab w:leader="none" w:pos="1766"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No Consent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disclosed 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Schedule 3.02(c)</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and except as would not, individually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50" w:lineRule="exact"/>
        <w:rPr>
          <w:rFonts w:ascii="Arial" w:cs="Arial" w:eastAsia="Arial" w:hAnsi="Arial"/>
          <w:sz w:val="16"/>
          <w:szCs w:val="16"/>
          <w:color w:val="auto"/>
        </w:rPr>
      </w:pPr>
    </w:p>
    <w:p>
      <w:pPr>
        <w:jc w:val="both"/>
        <w:ind w:firstLine="1304"/>
        <w:spacing w:after="0" w:line="258" w:lineRule="auto"/>
        <w:tabs>
          <w:tab w:leader="none" w:pos="1776"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No Conflicts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delivery and performance of this Agreement by Purchaser does not and will not (</w:t>
      </w:r>
      <w:r>
        <w:rPr>
          <w:rFonts w:ascii="Arial" w:cs="Arial" w:eastAsia="Arial" w:hAnsi="Arial"/>
          <w:sz w:val="18"/>
          <w:szCs w:val="18"/>
          <w:i w:val="1"/>
          <w:iCs w:val="1"/>
          <w:color w:val="auto"/>
        </w:rPr>
        <w:t>i</w:t>
      </w:r>
      <w:r>
        <w:rPr>
          <w:rFonts w:ascii="Arial" w:cs="Arial" w:eastAsia="Arial" w:hAnsi="Arial"/>
          <w:sz w:val="18"/>
          <w:szCs w:val="18"/>
          <w:color w:val="auto"/>
        </w:rPr>
        <w:t>) conflict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a breach of, or constitute a default under, Purchaser’s Constitutive Documents, or any material Contract to which Purchaser is a party, (</w:t>
      </w:r>
      <w:r>
        <w:rPr>
          <w:rFonts w:ascii="Arial" w:cs="Arial" w:eastAsia="Arial" w:hAnsi="Arial"/>
          <w:sz w:val="18"/>
          <w:szCs w:val="18"/>
          <w:i w:val="1"/>
          <w:iCs w:val="1"/>
          <w:color w:val="auto"/>
        </w:rPr>
        <w:t>ii</w:t>
      </w:r>
      <w:r>
        <w:rPr>
          <w:rFonts w:ascii="Arial" w:cs="Arial" w:eastAsia="Arial" w:hAnsi="Arial"/>
          <w:sz w:val="18"/>
          <w:szCs w:val="18"/>
          <w:color w:val="auto"/>
        </w:rPr>
        <w:t>) result in the creation of any Lien upon any of the assets or properties of Purchaser or (</w:t>
      </w:r>
      <w:r>
        <w:rPr>
          <w:rFonts w:ascii="Arial" w:cs="Arial" w:eastAsia="Arial" w:hAnsi="Arial"/>
          <w:sz w:val="18"/>
          <w:szCs w:val="18"/>
          <w:i w:val="1"/>
          <w:iCs w:val="1"/>
          <w:color w:val="auto"/>
        </w:rPr>
        <w:t>iii</w:t>
      </w:r>
      <w:r>
        <w:rPr>
          <w:rFonts w:ascii="Arial" w:cs="Arial" w:eastAsia="Arial" w:hAnsi="Arial"/>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83" w:lineRule="exact"/>
        <w:rPr>
          <w:rFonts w:ascii="Arial" w:cs="Arial" w:eastAsia="Arial" w:hAnsi="Arial"/>
          <w:sz w:val="18"/>
          <w:szCs w:val="18"/>
          <w:color w:val="auto"/>
        </w:rPr>
      </w:pPr>
    </w:p>
    <w:p>
      <w:pPr>
        <w:jc w:val="both"/>
        <w:ind w:firstLine="1304"/>
        <w:spacing w:after="0" w:line="261" w:lineRule="auto"/>
        <w:tabs>
          <w:tab w:leader="none" w:pos="1766"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Permits and Filings</w:t>
      </w:r>
      <w:r>
        <w:rPr>
          <w:rFonts w:ascii="Arial" w:cs="Arial" w:eastAsia="Arial" w:hAnsi="Arial"/>
          <w:sz w:val="18"/>
          <w:szCs w:val="18"/>
          <w:color w:val="auto"/>
        </w:rPr>
        <w:t>. Except as disclosed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3.02(e)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no Permit is required on the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79" w:lineRule="exact"/>
        <w:rPr>
          <w:rFonts w:ascii="Arial" w:cs="Arial" w:eastAsia="Arial" w:hAnsi="Arial"/>
          <w:sz w:val="18"/>
          <w:szCs w:val="18"/>
          <w:color w:val="auto"/>
        </w:rPr>
      </w:pPr>
    </w:p>
    <w:p>
      <w:pPr>
        <w:jc w:val="both"/>
        <w:ind w:firstLine="1304"/>
        <w:spacing w:after="0" w:line="314" w:lineRule="auto"/>
        <w:tabs>
          <w:tab w:leader="none" w:pos="1746"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 There are no Actions or Proceedings pending or, to the knowledge of Purchaser, threatened as of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41" w:lineRule="exact"/>
        <w:rPr>
          <w:rFonts w:ascii="Arial" w:cs="Arial" w:eastAsia="Arial" w:hAnsi="Arial"/>
          <w:sz w:val="16"/>
          <w:szCs w:val="16"/>
          <w:color w:val="auto"/>
        </w:rPr>
      </w:pPr>
    </w:p>
    <w:p>
      <w:pPr>
        <w:jc w:val="both"/>
        <w:ind w:firstLine="1304"/>
        <w:spacing w:after="0" w:line="254" w:lineRule="auto"/>
        <w:tabs>
          <w:tab w:leader="none" w:pos="1776"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Purchase for Investment</w:t>
      </w:r>
      <w:r>
        <w:rPr>
          <w:rFonts w:ascii="Arial" w:cs="Arial" w:eastAsia="Arial" w:hAnsi="Arial"/>
          <w:sz w:val="18"/>
          <w:szCs w:val="18"/>
          <w:color w:val="auto"/>
        </w:rPr>
        <w:t>. Purchaser (</w:t>
      </w:r>
      <w:r>
        <w:rPr>
          <w:rFonts w:ascii="Arial" w:cs="Arial" w:eastAsia="Arial" w:hAnsi="Arial"/>
          <w:sz w:val="18"/>
          <w:szCs w:val="18"/>
          <w:i w:val="1"/>
          <w:iCs w:val="1"/>
          <w:color w:val="auto"/>
        </w:rPr>
        <w:t>i</w:t>
      </w:r>
      <w:r>
        <w:rPr>
          <w:rFonts w:ascii="Arial" w:cs="Arial" w:eastAsia="Arial" w:hAnsi="Arial"/>
          <w:sz w:val="18"/>
          <w:szCs w:val="18"/>
          <w:color w:val="auto"/>
        </w:rPr>
        <w:t>) is acquiring the Acquired Interests and as of the Second Closing Date, the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for its own account and not with a view to distribution, (ii) is an “accredited investor” as such term is defined in Rule 501(a) under the Securities Act of 1933, (</w:t>
      </w:r>
      <w:r>
        <w:rPr>
          <w:rFonts w:ascii="Arial" w:cs="Arial" w:eastAsia="Arial" w:hAnsi="Arial"/>
          <w:sz w:val="18"/>
          <w:szCs w:val="18"/>
          <w:i w:val="1"/>
          <w:iCs w:val="1"/>
          <w:color w:val="auto"/>
        </w:rPr>
        <w:t>iii</w:t>
      </w:r>
      <w:r>
        <w:rPr>
          <w:rFonts w:ascii="Arial" w:cs="Arial" w:eastAsia="Arial" w:hAnsi="Arial"/>
          <w:sz w:val="18"/>
          <w:szCs w:val="18"/>
          <w:color w:val="auto"/>
        </w:rPr>
        <w:t>) has sufficient knowledge and experience in financial and business matters so as to be able to evaluate the merits and risk of an investment in the Acquired Interests and the Class A Interests and is able financially to bear the risks thereof, and (</w:t>
      </w:r>
      <w:r>
        <w:rPr>
          <w:rFonts w:ascii="Arial" w:cs="Arial" w:eastAsia="Arial" w:hAnsi="Arial"/>
          <w:sz w:val="18"/>
          <w:szCs w:val="18"/>
          <w:i w:val="1"/>
          <w:iCs w:val="1"/>
          <w:color w:val="auto"/>
        </w:rPr>
        <w:t>iv</w:t>
      </w:r>
      <w:r>
        <w:rPr>
          <w:rFonts w:ascii="Arial" w:cs="Arial" w:eastAsia="Arial" w:hAnsi="Arial"/>
          <w:sz w:val="18"/>
          <w:szCs w:val="18"/>
          <w:color w:val="auto"/>
        </w:rPr>
        <w:t>) understands that the Acquired Interests and the Class A Interests will, upon purchase, be characterized as “restricted securities” under state and federal securities laws and that under such laws and applicable regulations the Acquired Interests and the Class A Interests may be resold without registration under such laws only in certain limited circumstances. Purchaser agrees that it will not sell, convey, transfer or dispose of the Acquired Interests or the Class A Interests, unless such transaction is made pursuant to an effective registration statement under applicable federal and state securities laws or an exemption from registration requirements of such securities laws.</w:t>
      </w:r>
    </w:p>
    <w:p>
      <w:pPr>
        <w:spacing w:after="0" w:line="188" w:lineRule="exact"/>
        <w:rPr>
          <w:rFonts w:ascii="Arial" w:cs="Arial" w:eastAsia="Arial" w:hAnsi="Arial"/>
          <w:sz w:val="18"/>
          <w:szCs w:val="18"/>
          <w:color w:val="auto"/>
        </w:rPr>
      </w:pPr>
    </w:p>
    <w:p>
      <w:pPr>
        <w:ind w:firstLine="1304"/>
        <w:spacing w:after="0" w:line="312" w:lineRule="auto"/>
        <w:tabs>
          <w:tab w:leader="none" w:pos="1776"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3.02(h)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no Person has any claim against Purchaser for a</w:t>
      </w:r>
      <w:r>
        <w:rPr>
          <w:rFonts w:ascii="Arial" w:cs="Arial" w:eastAsia="Arial" w:hAnsi="Arial"/>
          <w:sz w:val="17"/>
          <w:szCs w:val="17"/>
          <w:b w:val="1"/>
          <w:bCs w:val="1"/>
          <w:color w:val="auto"/>
        </w:rPr>
        <w:t xml:space="preserve"> </w:t>
      </w:r>
      <w:r>
        <w:rPr>
          <w:rFonts w:ascii="Arial" w:cs="Arial" w:eastAsia="Arial" w:hAnsi="Arial"/>
          <w:sz w:val="17"/>
          <w:szCs w:val="17"/>
          <w:color w:val="auto"/>
        </w:rPr>
        <w:t>finder’s fee, brokerage commission or similar payment directly or indirectly in connection with the transactions contemplated by this Agreement.</w:t>
      </w:r>
    </w:p>
    <w:p>
      <w:pPr>
        <w:spacing w:after="0" w:line="139" w:lineRule="exact"/>
        <w:rPr>
          <w:rFonts w:ascii="Arial" w:cs="Arial" w:eastAsia="Arial" w:hAnsi="Arial"/>
          <w:sz w:val="17"/>
          <w:szCs w:val="17"/>
          <w:color w:val="auto"/>
        </w:rPr>
      </w:pPr>
    </w:p>
    <w:p>
      <w:pPr>
        <w:jc w:val="both"/>
        <w:ind w:firstLine="1304"/>
        <w:spacing w:after="0" w:line="266" w:lineRule="auto"/>
        <w:tabs>
          <w:tab w:leader="none" w:pos="1808"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Governmental Approvals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3.02(i)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or which have already been</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no Governmental Approval is required on the part of Purchaser in connection with the execution, delivery and performance of this Agreement or the consummation of the transactions contemplated hereby.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right="20" w:firstLine="1304"/>
        <w:spacing w:after="0" w:line="312" w:lineRule="auto"/>
        <w:tabs>
          <w:tab w:leader="none" w:pos="1781"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Compliance with Laws</w:t>
      </w:r>
      <w:r>
        <w:rPr>
          <w:rFonts w:ascii="Arial" w:cs="Arial" w:eastAsia="Arial" w:hAnsi="Arial"/>
          <w:sz w:val="17"/>
          <w:szCs w:val="17"/>
          <w:color w:val="auto"/>
        </w:rPr>
        <w:t>. Purchaser is not in material violation of any Law except where any such material violation would not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reasonably be expected to have a material adverse effect on Purchaser’s ability to satisfy its obligations under this Agreement.</w:t>
      </w:r>
    </w:p>
    <w:p>
      <w:pPr>
        <w:spacing w:after="0" w:line="139" w:lineRule="exact"/>
        <w:rPr>
          <w:rFonts w:ascii="Arial" w:cs="Arial" w:eastAsia="Arial" w:hAnsi="Arial"/>
          <w:sz w:val="17"/>
          <w:szCs w:val="17"/>
          <w:color w:val="auto"/>
        </w:rPr>
      </w:pPr>
    </w:p>
    <w:p>
      <w:pPr>
        <w:jc w:val="both"/>
        <w:ind w:firstLine="1304"/>
        <w:spacing w:after="0" w:line="274" w:lineRule="auto"/>
        <w:tabs>
          <w:tab w:leader="none" w:pos="1776"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Due Diligence</w:t>
      </w:r>
      <w:r>
        <w:rPr>
          <w:rFonts w:ascii="Arial" w:cs="Arial" w:eastAsia="Arial" w:hAnsi="Arial"/>
          <w:sz w:val="17"/>
          <w:szCs w:val="17"/>
          <w:color w:val="auto"/>
        </w:rPr>
        <w:t>. Purchaser, or its Representatives, have had the opportunity to conduct all such due diligence investigations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Acquired Interests, the Class A Interests, the Company, the Mesquite Sky Entities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Arial" w:cs="Arial" w:eastAsia="Arial" w:hAnsi="Arial"/>
          <w:sz w:val="17"/>
          <w:szCs w:val="17"/>
          <w:i w:val="1"/>
          <w:iCs w:val="1"/>
          <w:color w:val="auto"/>
        </w:rPr>
        <w:t>SECTION 3.01</w:t>
      </w:r>
      <w:r>
        <w:rPr>
          <w:rFonts w:ascii="Arial" w:cs="Arial" w:eastAsia="Arial" w:hAnsi="Arial"/>
          <w:sz w:val="17"/>
          <w:szCs w:val="17"/>
          <w:color w:val="auto"/>
        </w:rPr>
        <w:t xml:space="preserve"> IN MAKING ITS DECISION TO ACQUIRE THE ACQUIRED INTERESTS AND THE CLASS A INTERESTS AND HAS NOT RELIED ON ANY OTHER STATEMENTS OR ADVICE FROM SELLER OR ITS REPRESENTATIVES.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ind w:right="160" w:firstLine="648"/>
        <w:spacing w:after="0" w:line="312" w:lineRule="auto"/>
        <w:rPr>
          <w:sz w:val="20"/>
          <w:szCs w:val="20"/>
          <w:color w:val="auto"/>
        </w:rPr>
      </w:pPr>
      <w:r>
        <w:rPr>
          <w:rFonts w:ascii="Arial" w:cs="Arial" w:eastAsia="Arial" w:hAnsi="Arial"/>
          <w:sz w:val="17"/>
          <w:szCs w:val="17"/>
          <w:b w:val="1"/>
          <w:bCs w:val="1"/>
          <w:color w:val="auto"/>
        </w:rPr>
        <w:t xml:space="preserve">4.01. </w:t>
      </w:r>
      <w:r>
        <w:rPr>
          <w:rFonts w:ascii="Arial" w:cs="Arial" w:eastAsia="Arial" w:hAnsi="Arial"/>
          <w:sz w:val="17"/>
          <w:szCs w:val="17"/>
          <w:b w:val="1"/>
          <w:bCs w:val="1"/>
          <w:i w:val="1"/>
          <w:iCs w:val="1"/>
          <w:color w:val="auto"/>
        </w:rPr>
        <w:t>Closing Date Conditions Precedent</w:t>
      </w:r>
      <w:r>
        <w:rPr>
          <w:rFonts w:ascii="Arial" w:cs="Arial" w:eastAsia="Arial" w:hAnsi="Arial"/>
          <w:sz w:val="17"/>
          <w:szCs w:val="17"/>
          <w:color w:val="auto"/>
        </w:rPr>
        <w:t>. The obligations of the Parties to sell and purchase, respectively, the Acquired Interests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fulfillment (or waiver by the applicable Party), at or before the Closing, by the applicable Party of each of the following conditions:</w:t>
      </w:r>
    </w:p>
    <w:p>
      <w:pPr>
        <w:spacing w:after="0" w:line="140" w:lineRule="exact"/>
        <w:rPr>
          <w:sz w:val="20"/>
          <w:szCs w:val="20"/>
          <w:color w:val="auto"/>
        </w:rPr>
      </w:pPr>
    </w:p>
    <w:p>
      <w:pPr>
        <w:ind w:left="1960" w:hanging="656"/>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Tax Equity Funding</w:t>
      </w:r>
      <w:r>
        <w:rPr>
          <w:rFonts w:ascii="Arial" w:cs="Arial" w:eastAsia="Arial" w:hAnsi="Arial"/>
          <w:sz w:val="18"/>
          <w:szCs w:val="18"/>
          <w:color w:val="auto"/>
        </w:rPr>
        <w:t>. The Tax Equity Funding Date shall have occurred.</w:t>
      </w:r>
    </w:p>
    <w:p>
      <w:pPr>
        <w:spacing w:after="0" w:line="225" w:lineRule="exact"/>
        <w:rPr>
          <w:rFonts w:ascii="Arial" w:cs="Arial" w:eastAsia="Arial" w:hAnsi="Arial"/>
          <w:sz w:val="18"/>
          <w:szCs w:val="18"/>
          <w:color w:val="auto"/>
        </w:rPr>
      </w:pPr>
    </w:p>
    <w:p>
      <w:pPr>
        <w:jc w:val="both"/>
        <w:ind w:right="20" w:firstLine="1304"/>
        <w:spacing w:after="0" w:line="266" w:lineRule="auto"/>
        <w:tabs>
          <w:tab w:leader="none" w:pos="1776"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Approvals/Consents</w:t>
      </w:r>
      <w:r>
        <w:rPr>
          <w:rFonts w:ascii="Arial" w:cs="Arial" w:eastAsia="Arial" w:hAnsi="Arial"/>
          <w:sz w:val="18"/>
          <w:szCs w:val="18"/>
          <w:color w:val="auto"/>
        </w:rPr>
        <w:t>. All consents of Purchaser specified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3.02(c)</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and all approvals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Purchaser specified in </w:t>
      </w:r>
      <w:r>
        <w:rPr>
          <w:rFonts w:ascii="Arial" w:cs="Arial" w:eastAsia="Arial" w:hAnsi="Arial"/>
          <w:sz w:val="18"/>
          <w:szCs w:val="18"/>
          <w:i w:val="1"/>
          <w:iCs w:val="1"/>
          <w:color w:val="auto"/>
        </w:rPr>
        <w:t>Schedule 3.02(i)</w:t>
      </w:r>
      <w:r>
        <w:rPr>
          <w:rFonts w:ascii="Arial" w:cs="Arial" w:eastAsia="Arial" w:hAnsi="Arial"/>
          <w:sz w:val="18"/>
          <w:szCs w:val="18"/>
          <w:color w:val="auto"/>
        </w:rPr>
        <w:t xml:space="preserve"> of the Disclosure Schedules shall have been obtained by the Purchaser; and all Seller Approvals and Seller Consents shall have been obtained by the Seller and shall in each case be in full force and effect.</w:t>
      </w:r>
    </w:p>
    <w:p>
      <w:pPr>
        <w:spacing w:after="0" w:line="175" w:lineRule="exact"/>
        <w:rPr>
          <w:rFonts w:ascii="Arial" w:cs="Arial" w:eastAsia="Arial" w:hAnsi="Arial"/>
          <w:sz w:val="18"/>
          <w:szCs w:val="18"/>
          <w:color w:val="auto"/>
        </w:rPr>
      </w:pPr>
    </w:p>
    <w:p>
      <w:pPr>
        <w:jc w:val="both"/>
        <w:ind w:firstLine="1304"/>
        <w:spacing w:after="0" w:line="261" w:lineRule="auto"/>
        <w:tabs>
          <w:tab w:leader="none" w:pos="1766"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No Order shall have been entered which restrains, enjoins or otherwise prohibits or makes illegal the consummation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9" w:lineRule="exact"/>
        <w:rPr>
          <w:rFonts w:ascii="Arial" w:cs="Arial" w:eastAsia="Arial" w:hAnsi="Arial"/>
          <w:sz w:val="18"/>
          <w:szCs w:val="18"/>
          <w:color w:val="auto"/>
        </w:rPr>
      </w:pPr>
    </w:p>
    <w:p>
      <w:pPr>
        <w:jc w:val="both"/>
        <w:ind w:firstLine="1304"/>
        <w:spacing w:after="0" w:line="303" w:lineRule="auto"/>
        <w:tabs>
          <w:tab w:leader="none" w:pos="1776"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Seller Representations and Warranties</w:t>
      </w:r>
      <w:r>
        <w:rPr>
          <w:rFonts w:ascii="Arial" w:cs="Arial" w:eastAsia="Arial" w:hAnsi="Arial"/>
          <w:sz w:val="16"/>
          <w:szCs w:val="16"/>
          <w:color w:val="auto"/>
        </w:rPr>
        <w:t>. The representations and warranties made by Seller in this Agreement shall be true and</w:t>
      </w:r>
      <w:r>
        <w:rPr>
          <w:rFonts w:ascii="Arial" w:cs="Arial" w:eastAsia="Arial" w:hAnsi="Arial"/>
          <w:sz w:val="16"/>
          <w:szCs w:val="16"/>
          <w:b w:val="1"/>
          <w:bCs w:val="1"/>
          <w:color w:val="auto"/>
        </w:rPr>
        <w:t xml:space="preserve"> </w:t>
      </w:r>
      <w:r>
        <w:rPr>
          <w:rFonts w:ascii="Arial" w:cs="Arial" w:eastAsia="Arial" w:hAnsi="Arial"/>
          <w:sz w:val="16"/>
          <w:szCs w:val="16"/>
          <w:color w:val="auto"/>
        </w:rPr>
        <w:t>correct in all material respects (except for any of such representations and warranties that are qualified by materiality, including by reference to Material Adverse Effect,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50" w:lineRule="exact"/>
        <w:rPr>
          <w:rFonts w:ascii="Arial" w:cs="Arial" w:eastAsia="Arial" w:hAnsi="Arial"/>
          <w:sz w:val="16"/>
          <w:szCs w:val="16"/>
          <w:color w:val="auto"/>
        </w:rPr>
      </w:pPr>
    </w:p>
    <w:p>
      <w:pPr>
        <w:ind w:firstLine="1304"/>
        <w:spacing w:after="0" w:line="282" w:lineRule="auto"/>
        <w:tabs>
          <w:tab w:leader="none" w:pos="1766"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Seller Covenants</w:t>
      </w:r>
      <w:r>
        <w:rPr>
          <w:rFonts w:ascii="Arial" w:cs="Arial" w:eastAsia="Arial" w:hAnsi="Arial"/>
          <w:sz w:val="18"/>
          <w:szCs w:val="18"/>
          <w:color w:val="auto"/>
        </w:rPr>
        <w:t>. The covenants and obligations required by this Agreement to be performed or complied with by Seller at or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Closing Date have been duly performed or complied with in all material respects.</w:t>
      </w:r>
    </w:p>
    <w:p>
      <w:pPr>
        <w:spacing w:after="0" w:line="161" w:lineRule="exact"/>
        <w:rPr>
          <w:rFonts w:ascii="Arial" w:cs="Arial" w:eastAsia="Arial" w:hAnsi="Arial"/>
          <w:sz w:val="18"/>
          <w:szCs w:val="18"/>
          <w:color w:val="auto"/>
        </w:rPr>
      </w:pPr>
    </w:p>
    <w:p>
      <w:pPr>
        <w:ind w:firstLine="1304"/>
        <w:spacing w:after="0" w:line="282" w:lineRule="auto"/>
        <w:tabs>
          <w:tab w:leader="none" w:pos="1746"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Material Adverse Effect</w:t>
      </w:r>
      <w:r>
        <w:rPr>
          <w:rFonts w:ascii="Arial" w:cs="Arial" w:eastAsia="Arial" w:hAnsi="Arial"/>
          <w:sz w:val="18"/>
          <w:szCs w:val="18"/>
          <w:color w:val="auto"/>
        </w:rPr>
        <w:t>. There will not exist on the Closing Date any condition or fact that, individually or in the aggregate, has</w:t>
      </w:r>
      <w:r>
        <w:rPr>
          <w:rFonts w:ascii="Arial" w:cs="Arial" w:eastAsia="Arial" w:hAnsi="Arial"/>
          <w:sz w:val="18"/>
          <w:szCs w:val="18"/>
          <w:b w:val="1"/>
          <w:bCs w:val="1"/>
          <w:color w:val="auto"/>
        </w:rPr>
        <w:t xml:space="preserve"> </w:t>
      </w:r>
      <w:r>
        <w:rPr>
          <w:rFonts w:ascii="Arial" w:cs="Arial" w:eastAsia="Arial" w:hAnsi="Arial"/>
          <w:sz w:val="18"/>
          <w:szCs w:val="18"/>
          <w:color w:val="auto"/>
        </w:rPr>
        <w:t>or would reasonably be expected to result in a Material Adverse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304"/>
        <w:spacing w:after="0" w:line="281" w:lineRule="auto"/>
        <w:tabs>
          <w:tab w:leader="none" w:pos="1776"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Purchaser Representations and Warranties</w:t>
      </w:r>
      <w:r>
        <w:rPr>
          <w:rFonts w:ascii="Arial" w:cs="Arial" w:eastAsia="Arial" w:hAnsi="Arial"/>
          <w:sz w:val="17"/>
          <w:szCs w:val="17"/>
          <w:color w:val="auto"/>
        </w:rPr>
        <w:t>. The representations and warranties made by Purchaser in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true and correct in all material respects (except for any of such representations and warranties that are qualified by materiality,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64" w:lineRule="exact"/>
        <w:rPr>
          <w:rFonts w:ascii="Arial" w:cs="Arial" w:eastAsia="Arial" w:hAnsi="Arial"/>
          <w:sz w:val="17"/>
          <w:szCs w:val="17"/>
          <w:color w:val="auto"/>
        </w:rPr>
      </w:pPr>
    </w:p>
    <w:p>
      <w:pPr>
        <w:ind w:right="20" w:firstLine="1304"/>
        <w:spacing w:after="0" w:line="282" w:lineRule="auto"/>
        <w:tabs>
          <w:tab w:leader="none" w:pos="177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Purchaser Covenants</w:t>
      </w:r>
      <w:r>
        <w:rPr>
          <w:rFonts w:ascii="Arial" w:cs="Arial" w:eastAsia="Arial" w:hAnsi="Arial"/>
          <w:sz w:val="18"/>
          <w:szCs w:val="18"/>
          <w:color w:val="auto"/>
        </w:rPr>
        <w:t>. The covenants and obligations required by this Agreement to be performed or complied with by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at or before the Closing Date have been duly performed or complied with in all material respects.</w:t>
      </w:r>
    </w:p>
    <w:p>
      <w:pPr>
        <w:spacing w:after="0" w:line="161" w:lineRule="exact"/>
        <w:rPr>
          <w:rFonts w:ascii="Arial" w:cs="Arial" w:eastAsia="Arial" w:hAnsi="Arial"/>
          <w:sz w:val="18"/>
          <w:szCs w:val="18"/>
          <w:color w:val="auto"/>
        </w:rPr>
      </w:pPr>
    </w:p>
    <w:p>
      <w:pPr>
        <w:ind w:firstLine="1304"/>
        <w:spacing w:after="0" w:line="347" w:lineRule="auto"/>
        <w:tabs>
          <w:tab w:leader="none" w:pos="1781"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Withholding Certificate</w:t>
      </w:r>
      <w:r>
        <w:rPr>
          <w:rFonts w:ascii="Arial" w:cs="Arial" w:eastAsia="Arial" w:hAnsi="Arial"/>
          <w:sz w:val="16"/>
          <w:szCs w:val="16"/>
          <w:color w:val="auto"/>
        </w:rPr>
        <w:t>. Seller shall have delivered to the Purchaser a certificate in form and substance reasonably satisfactory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Purchaser, certifying that the transactions contemplated by this Agreement are exempt from withholding under Code Sections 1445 and 1446(f).</w:t>
      </w:r>
    </w:p>
    <w:p>
      <w:pPr>
        <w:spacing w:after="0" w:line="115" w:lineRule="exact"/>
        <w:rPr>
          <w:rFonts w:ascii="Arial" w:cs="Arial" w:eastAsia="Arial" w:hAnsi="Arial"/>
          <w:sz w:val="16"/>
          <w:szCs w:val="16"/>
          <w:color w:val="auto"/>
        </w:rPr>
      </w:pPr>
    </w:p>
    <w:p>
      <w:pPr>
        <w:ind w:firstLine="1304"/>
        <w:spacing w:after="0" w:line="282" w:lineRule="auto"/>
        <w:tabs>
          <w:tab w:leader="none" w:pos="1781"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HASI Purchase Agreement</w:t>
      </w:r>
      <w:r>
        <w:rPr>
          <w:rFonts w:ascii="Arial" w:cs="Arial" w:eastAsia="Arial" w:hAnsi="Arial"/>
          <w:sz w:val="18"/>
          <w:szCs w:val="18"/>
          <w:color w:val="auto"/>
        </w:rPr>
        <w:t>. HASI shall, simultaneously with or prior to the Closing, have closed the acquisition of the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Units (other than the Acquired Interests) pursuant to the HASI Purchase Agreement.</w:t>
      </w:r>
    </w:p>
    <w:p>
      <w:pPr>
        <w:spacing w:after="0" w:line="161" w:lineRule="exact"/>
        <w:rPr>
          <w:rFonts w:ascii="Arial" w:cs="Arial" w:eastAsia="Arial" w:hAnsi="Arial"/>
          <w:sz w:val="18"/>
          <w:szCs w:val="18"/>
          <w:color w:val="auto"/>
        </w:rPr>
      </w:pPr>
    </w:p>
    <w:p>
      <w:pPr>
        <w:ind w:firstLine="1304"/>
        <w:spacing w:after="0" w:line="282" w:lineRule="auto"/>
        <w:tabs>
          <w:tab w:leader="none" w:pos="177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Drop-Down Assignment</w:t>
      </w:r>
      <w:r>
        <w:rPr>
          <w:rFonts w:ascii="Arial" w:cs="Arial" w:eastAsia="Arial" w:hAnsi="Arial"/>
          <w:sz w:val="18"/>
          <w:szCs w:val="18"/>
          <w:color w:val="auto"/>
        </w:rPr>
        <w:t>. Each of Purchaser and the Master JV HoldCo shall have delivered executed counterparts to the Drop</w:t>
      </w:r>
      <w:r>
        <w:rPr>
          <w:rFonts w:ascii="Arial" w:cs="Arial" w:eastAsia="Arial" w:hAnsi="Arial"/>
          <w:sz w:val="18"/>
          <w:szCs w:val="18"/>
          <w:b w:val="1"/>
          <w:bCs w:val="1"/>
          <w:color w:val="auto"/>
        </w:rPr>
        <w:t xml:space="preserve"> </w:t>
      </w:r>
      <w:r>
        <w:rPr>
          <w:rFonts w:ascii="Arial" w:cs="Arial" w:eastAsia="Arial" w:hAnsi="Arial"/>
          <w:sz w:val="18"/>
          <w:szCs w:val="18"/>
          <w:color w:val="auto"/>
        </w:rPr>
        <w:t>Down Assignment &amp; Assumption Agreement, to be held in escrow and released immediately following the Closing.</w:t>
      </w:r>
    </w:p>
    <w:p>
      <w:pPr>
        <w:spacing w:after="0" w:line="161" w:lineRule="exact"/>
        <w:rPr>
          <w:rFonts w:ascii="Arial" w:cs="Arial" w:eastAsia="Arial" w:hAnsi="Arial"/>
          <w:sz w:val="18"/>
          <w:szCs w:val="18"/>
          <w:color w:val="auto"/>
        </w:rPr>
      </w:pPr>
    </w:p>
    <w:p>
      <w:pPr>
        <w:ind w:left="1960" w:hanging="656"/>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Amendment of Certain Agreements</w:t>
      </w:r>
      <w:r>
        <w:rPr>
          <w:rFonts w:ascii="Arial" w:cs="Arial" w:eastAsia="Arial" w:hAnsi="Arial"/>
          <w:sz w:val="16"/>
          <w:szCs w:val="16"/>
          <w:color w:val="auto"/>
        </w:rPr>
        <w:t>. The agreement set forth in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Schedule 4.01(m)</w:t>
      </w:r>
      <w:r>
        <w:rPr>
          <w:rFonts w:ascii="Arial" w:cs="Arial" w:eastAsia="Arial" w:hAnsi="Arial"/>
          <w:sz w:val="16"/>
          <w:szCs w:val="16"/>
          <w:b w:val="1"/>
          <w:bCs w:val="1"/>
          <w:color w:val="auto"/>
        </w:rPr>
        <w:t xml:space="preserve"> </w:t>
      </w:r>
      <w:r>
        <w:rPr>
          <w:rFonts w:ascii="Arial" w:cs="Arial" w:eastAsia="Arial" w:hAnsi="Arial"/>
          <w:sz w:val="16"/>
          <w:szCs w:val="16"/>
          <w:color w:val="auto"/>
        </w:rPr>
        <w:t>will have been amended as provided in such</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schedule.</w:t>
      </w:r>
    </w:p>
    <w:p>
      <w:pPr>
        <w:spacing w:after="0" w:line="206" w:lineRule="exact"/>
        <w:rPr>
          <w:rFonts w:ascii="Arial" w:cs="Arial" w:eastAsia="Arial" w:hAnsi="Arial"/>
          <w:sz w:val="16"/>
          <w:szCs w:val="16"/>
          <w:color w:val="auto"/>
        </w:rPr>
      </w:pPr>
    </w:p>
    <w:p>
      <w:pPr>
        <w:ind w:left="1960" w:hanging="656"/>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177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Certificates; Other Ancillary Documents</w:t>
      </w:r>
      <w:r>
        <w:rPr>
          <w:rFonts w:ascii="Arial" w:cs="Arial" w:eastAsia="Arial" w:hAnsi="Arial"/>
          <w:sz w:val="18"/>
          <w:szCs w:val="18"/>
          <w:color w:val="auto"/>
        </w:rPr>
        <w:t>. Seller shall have delivered to Purchaser (</w:t>
      </w:r>
      <w:r>
        <w:rPr>
          <w:rFonts w:ascii="Arial" w:cs="Arial" w:eastAsia="Arial" w:hAnsi="Arial"/>
          <w:sz w:val="18"/>
          <w:szCs w:val="18"/>
          <w:i w:val="1"/>
          <w:iCs w:val="1"/>
          <w:color w:val="auto"/>
        </w:rPr>
        <w:t>i</w:t>
      </w:r>
      <w:r>
        <w:rPr>
          <w:rFonts w:ascii="Arial" w:cs="Arial" w:eastAsia="Arial" w:hAnsi="Arial"/>
          <w:sz w:val="18"/>
          <w:szCs w:val="18"/>
          <w:color w:val="auto"/>
        </w:rPr>
        <w:t>) a certificate, dated as of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executed by an authorized officer of Seller substantially in the form and to the effect of </w:t>
      </w:r>
      <w:r>
        <w:rPr>
          <w:rFonts w:ascii="Arial" w:cs="Arial" w:eastAsia="Arial" w:hAnsi="Arial"/>
          <w:sz w:val="18"/>
          <w:szCs w:val="18"/>
          <w:i w:val="1"/>
          <w:iCs w:val="1"/>
          <w:color w:val="auto"/>
        </w:rPr>
        <w:t>Exhibit B</w:t>
      </w:r>
      <w:r>
        <w:rPr>
          <w:rFonts w:ascii="Arial" w:cs="Arial" w:eastAsia="Arial" w:hAnsi="Arial"/>
          <w:sz w:val="18"/>
          <w:szCs w:val="18"/>
          <w:color w:val="auto"/>
        </w:rPr>
        <w:t>; (</w:t>
      </w:r>
      <w:r>
        <w:rPr>
          <w:rFonts w:ascii="Arial" w:cs="Arial" w:eastAsia="Arial" w:hAnsi="Arial"/>
          <w:sz w:val="18"/>
          <w:szCs w:val="18"/>
          <w:i w:val="1"/>
          <w:iCs w:val="1"/>
          <w:color w:val="auto"/>
        </w:rPr>
        <w:t>ii</w:t>
      </w:r>
      <w:r>
        <w:rPr>
          <w:rFonts w:ascii="Arial" w:cs="Arial" w:eastAsia="Arial" w:hAnsi="Arial"/>
          <w:sz w:val="18"/>
          <w:szCs w:val="18"/>
          <w:color w:val="auto"/>
        </w:rPr>
        <w:t xml:space="preserve">) a certificate, dated as of the Closing Date and executed by the Secretary of Seller substantially in the form and to the effect of </w:t>
      </w:r>
      <w:r>
        <w:rPr>
          <w:rFonts w:ascii="Arial" w:cs="Arial" w:eastAsia="Arial" w:hAnsi="Arial"/>
          <w:sz w:val="18"/>
          <w:szCs w:val="18"/>
          <w:i w:val="1"/>
          <w:iCs w:val="1"/>
          <w:color w:val="auto"/>
        </w:rPr>
        <w:t>Exhibit C</w:t>
      </w:r>
      <w:r>
        <w:rPr>
          <w:rFonts w:ascii="Arial" w:cs="Arial" w:eastAsia="Arial" w:hAnsi="Arial"/>
          <w:sz w:val="18"/>
          <w:szCs w:val="18"/>
          <w:color w:val="auto"/>
        </w:rPr>
        <w:t>; (</w:t>
      </w:r>
      <w:r>
        <w:rPr>
          <w:rFonts w:ascii="Arial" w:cs="Arial" w:eastAsia="Arial" w:hAnsi="Arial"/>
          <w:sz w:val="18"/>
          <w:szCs w:val="18"/>
          <w:i w:val="1"/>
          <w:iCs w:val="1"/>
          <w:color w:val="auto"/>
        </w:rPr>
        <w:t>iii</w:t>
      </w:r>
      <w:r>
        <w:rPr>
          <w:rFonts w:ascii="Arial" w:cs="Arial" w:eastAsia="Arial" w:hAnsi="Arial"/>
          <w:sz w:val="18"/>
          <w:szCs w:val="18"/>
          <w:color w:val="auto"/>
        </w:rPr>
        <w:t>) [intentionally omitted] (</w:t>
      </w:r>
      <w:r>
        <w:rPr>
          <w:rFonts w:ascii="Arial" w:cs="Arial" w:eastAsia="Arial" w:hAnsi="Arial"/>
          <w:sz w:val="18"/>
          <w:szCs w:val="18"/>
          <w:i w:val="1"/>
          <w:iCs w:val="1"/>
          <w:color w:val="auto"/>
        </w:rPr>
        <w:t>iv</w:t>
      </w:r>
      <w:r>
        <w:rPr>
          <w:rFonts w:ascii="Arial" w:cs="Arial" w:eastAsia="Arial" w:hAnsi="Arial"/>
          <w:sz w:val="18"/>
          <w:szCs w:val="18"/>
          <w:color w:val="auto"/>
        </w:rPr>
        <w:t>) the Title Policy consistent with the Title Proforma in all material respects; and (</w:t>
      </w:r>
      <w:r>
        <w:rPr>
          <w:rFonts w:ascii="Arial" w:cs="Arial" w:eastAsia="Arial" w:hAnsi="Arial"/>
          <w:sz w:val="18"/>
          <w:szCs w:val="18"/>
          <w:i w:val="1"/>
          <w:iCs w:val="1"/>
          <w:color w:val="auto"/>
        </w:rPr>
        <w:t>v</w:t>
      </w:r>
      <w:r>
        <w:rPr>
          <w:rFonts w:ascii="Arial" w:cs="Arial" w:eastAsia="Arial" w:hAnsi="Arial"/>
          <w:sz w:val="18"/>
          <w:szCs w:val="18"/>
          <w:color w:val="auto"/>
        </w:rPr>
        <w:t>) copies of all recorded documents referred to, or listed as exceptions to title in, the Title Policy and a copy of all other material documents affecting the Real Property Rights. Purchaser shall have delivered to Seller (</w:t>
      </w:r>
      <w:r>
        <w:rPr>
          <w:rFonts w:ascii="Arial" w:cs="Arial" w:eastAsia="Arial" w:hAnsi="Arial"/>
          <w:sz w:val="18"/>
          <w:szCs w:val="18"/>
          <w:i w:val="1"/>
          <w:iCs w:val="1"/>
          <w:color w:val="auto"/>
        </w:rPr>
        <w:t>A</w:t>
      </w:r>
      <w:r>
        <w:rPr>
          <w:rFonts w:ascii="Arial" w:cs="Arial" w:eastAsia="Arial" w:hAnsi="Arial"/>
          <w:sz w:val="18"/>
          <w:szCs w:val="18"/>
          <w:color w:val="auto"/>
        </w:rPr>
        <w:t xml:space="preserve">) a certificate, dated as of the Closing Date and executed by an authorized officer of Purchaser substantially in the form and to the effect of </w:t>
      </w:r>
      <w:r>
        <w:rPr>
          <w:rFonts w:ascii="Arial" w:cs="Arial" w:eastAsia="Arial" w:hAnsi="Arial"/>
          <w:sz w:val="18"/>
          <w:szCs w:val="18"/>
          <w:i w:val="1"/>
          <w:iCs w:val="1"/>
          <w:color w:val="auto"/>
        </w:rPr>
        <w:t>Exhibit D</w:t>
      </w:r>
      <w:r>
        <w:rPr>
          <w:rFonts w:ascii="Arial" w:cs="Arial" w:eastAsia="Arial" w:hAnsi="Arial"/>
          <w:sz w:val="18"/>
          <w:szCs w:val="18"/>
          <w:color w:val="auto"/>
        </w:rPr>
        <w:t>; (</w:t>
      </w:r>
      <w:r>
        <w:rPr>
          <w:rFonts w:ascii="Arial" w:cs="Arial" w:eastAsia="Arial" w:hAnsi="Arial"/>
          <w:sz w:val="18"/>
          <w:szCs w:val="18"/>
          <w:i w:val="1"/>
          <w:iCs w:val="1"/>
          <w:color w:val="auto"/>
        </w:rPr>
        <w:t>B</w:t>
      </w:r>
      <w:r>
        <w:rPr>
          <w:rFonts w:ascii="Arial" w:cs="Arial" w:eastAsia="Arial" w:hAnsi="Arial"/>
          <w:sz w:val="18"/>
          <w:szCs w:val="18"/>
          <w:color w:val="auto"/>
        </w:rPr>
        <w:t xml:space="preserve">) a certificate, dated as of the Closing Date and executed by the Secretary of Purchaser substantially in the form and to the effect of </w:t>
      </w:r>
      <w:r>
        <w:rPr>
          <w:rFonts w:ascii="Arial" w:cs="Arial" w:eastAsia="Arial" w:hAnsi="Arial"/>
          <w:sz w:val="18"/>
          <w:szCs w:val="18"/>
          <w:i w:val="1"/>
          <w:iCs w:val="1"/>
          <w:color w:val="auto"/>
        </w:rPr>
        <w:t>Exhibit E</w:t>
      </w:r>
      <w:r>
        <w:rPr>
          <w:rFonts w:ascii="Arial" w:cs="Arial" w:eastAsia="Arial" w:hAnsi="Arial"/>
          <w:sz w:val="18"/>
          <w:szCs w:val="18"/>
          <w:color w:val="auto"/>
        </w:rPr>
        <w:t>; (</w:t>
      </w:r>
      <w:r>
        <w:rPr>
          <w:rFonts w:ascii="Arial" w:cs="Arial" w:eastAsia="Arial" w:hAnsi="Arial"/>
          <w:sz w:val="18"/>
          <w:szCs w:val="18"/>
          <w:i w:val="1"/>
          <w:iCs w:val="1"/>
          <w:color w:val="auto"/>
        </w:rPr>
        <w:t>C</w:t>
      </w:r>
      <w:r>
        <w:rPr>
          <w:rFonts w:ascii="Arial" w:cs="Arial" w:eastAsia="Arial" w:hAnsi="Arial"/>
          <w:sz w:val="18"/>
          <w:szCs w:val="18"/>
          <w:color w:val="auto"/>
        </w:rPr>
        <w:t>) an executed counterpart to the Build-Out Agreement executed by the Project Company, TE HoldCo, and Clearway Energy Operating LLC, to be held in escrow and released immediately following the Closing; and (</w:t>
      </w:r>
      <w:r>
        <w:rPr>
          <w:rFonts w:ascii="Arial" w:cs="Arial" w:eastAsia="Arial" w:hAnsi="Arial"/>
          <w:sz w:val="18"/>
          <w:szCs w:val="18"/>
          <w:i w:val="1"/>
          <w:iCs w:val="1"/>
          <w:color w:val="auto"/>
        </w:rPr>
        <w:t>D</w:t>
      </w:r>
      <w:r>
        <w:rPr>
          <w:rFonts w:ascii="Arial" w:cs="Arial" w:eastAsia="Arial" w:hAnsi="Arial"/>
          <w:sz w:val="18"/>
          <w:szCs w:val="18"/>
          <w:color w:val="auto"/>
        </w:rPr>
        <w:t>) [intentionally omitted].</w:t>
      </w:r>
    </w:p>
    <w:p>
      <w:pPr>
        <w:spacing w:after="0" w:line="188"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b w:val="1"/>
          <w:bCs w:val="1"/>
          <w:color w:val="auto"/>
        </w:rPr>
        <w:t xml:space="preserve">4.02. </w:t>
      </w:r>
      <w:r>
        <w:rPr>
          <w:rFonts w:ascii="Arial" w:cs="Arial" w:eastAsia="Arial" w:hAnsi="Arial"/>
          <w:sz w:val="16"/>
          <w:szCs w:val="16"/>
          <w:b w:val="1"/>
          <w:bCs w:val="1"/>
          <w:i w:val="1"/>
          <w:iCs w:val="1"/>
          <w:color w:val="auto"/>
        </w:rPr>
        <w:t>Second Closing Date Conditions Precedent</w:t>
      </w:r>
      <w:r>
        <w:rPr>
          <w:rFonts w:ascii="Arial" w:cs="Arial" w:eastAsia="Arial" w:hAnsi="Arial"/>
          <w:sz w:val="16"/>
          <w:szCs w:val="16"/>
          <w:color w:val="auto"/>
        </w:rPr>
        <w:t>. The obligations of the Parties to sell and purchase, respectively, the Class A Interests 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fulfillment (or waiver by the applicable Party), at or before the Second Closing, by the applicable Party of each of the following conditions:</w:t>
      </w:r>
    </w:p>
    <w:p>
      <w:pPr>
        <w:spacing w:after="0" w:line="116" w:lineRule="exact"/>
        <w:rPr>
          <w:sz w:val="20"/>
          <w:szCs w:val="20"/>
          <w:color w:val="auto"/>
        </w:rPr>
      </w:pPr>
    </w:p>
    <w:p>
      <w:pPr>
        <w:jc w:val="both"/>
        <w:ind w:firstLine="1304"/>
        <w:spacing w:after="0" w:line="266" w:lineRule="auto"/>
        <w:tabs>
          <w:tab w:leader="none" w:pos="1766"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No Order shall have been entered which restrains, enjoins or otherwise prohibits or makes illegal the consummation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Closing and no Action or Proceeding shall have been instituted before any Governmental Authority of competent jurisdiction seeking to restrain, enjoin or otherwise prohibit or make illegal the consummation of the Second Closing.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304"/>
        <w:spacing w:after="0" w:line="303" w:lineRule="auto"/>
        <w:tabs>
          <w:tab w:leader="none" w:pos="1776"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Seller Representations and Warranties</w:t>
      </w:r>
      <w:r>
        <w:rPr>
          <w:rFonts w:ascii="Arial" w:cs="Arial" w:eastAsia="Arial" w:hAnsi="Arial"/>
          <w:sz w:val="16"/>
          <w:szCs w:val="16"/>
          <w:color w:val="auto"/>
        </w:rPr>
        <w:t>. The Seller Second Closing Representations shall be true and correct in all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respects (except for any of such representations and warranties that are qualified by materiality, including by reference to Material Adverse Effect, which shall be true and correct in all respects) on and as of the Second Closing Date as though such representations and warranties were made on and as of the Second Closing Date, except to the extent such representations and warranties expressly relate to an earlier date, in which case as of such earlier date.</w:t>
      </w:r>
    </w:p>
    <w:p>
      <w:pPr>
        <w:spacing w:after="0" w:line="150" w:lineRule="exact"/>
        <w:rPr>
          <w:rFonts w:ascii="Arial" w:cs="Arial" w:eastAsia="Arial" w:hAnsi="Arial"/>
          <w:sz w:val="16"/>
          <w:szCs w:val="16"/>
          <w:color w:val="auto"/>
        </w:rPr>
      </w:pPr>
    </w:p>
    <w:p>
      <w:pPr>
        <w:jc w:val="both"/>
        <w:ind w:firstLine="1304"/>
        <w:spacing w:after="0" w:line="281" w:lineRule="auto"/>
        <w:tabs>
          <w:tab w:leader="none" w:pos="1766"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Purchaser Representations and Warranties</w:t>
      </w:r>
      <w:r>
        <w:rPr>
          <w:rFonts w:ascii="Arial" w:cs="Arial" w:eastAsia="Arial" w:hAnsi="Arial"/>
          <w:sz w:val="17"/>
          <w:szCs w:val="17"/>
          <w:color w:val="auto"/>
        </w:rPr>
        <w:t>. The Purchaser Second Closing Representations shall be true and correct in all</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respects (except for any of such representations and warranties that are qualified by materiality, which shall be true and correct in all respects) on and as of the Second Closing Date as though such representations and warranties were made on and as of the Second Closing Date, except to the extent such representations and warranties expressly relate to an earlier date, in which case as of such earlier date.</w:t>
      </w:r>
    </w:p>
    <w:p>
      <w:pPr>
        <w:spacing w:after="0" w:line="164" w:lineRule="exact"/>
        <w:rPr>
          <w:rFonts w:ascii="Arial" w:cs="Arial" w:eastAsia="Arial" w:hAnsi="Arial"/>
          <w:sz w:val="17"/>
          <w:szCs w:val="17"/>
          <w:color w:val="auto"/>
        </w:rPr>
      </w:pPr>
    </w:p>
    <w:p>
      <w:pPr>
        <w:ind w:right="20" w:firstLine="1304"/>
        <w:spacing w:after="0" w:line="282" w:lineRule="auto"/>
        <w:tabs>
          <w:tab w:leader="none" w:pos="1776"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Apex Purchase Agreement</w:t>
      </w:r>
      <w:r>
        <w:rPr>
          <w:rFonts w:ascii="Arial" w:cs="Arial" w:eastAsia="Arial" w:hAnsi="Arial"/>
          <w:sz w:val="18"/>
          <w:szCs w:val="18"/>
          <w:color w:val="auto"/>
        </w:rPr>
        <w:t>. Seller shall, on or prior to the Second Closing Date, have closed the acquisition of the Class A Units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Apex Purchase Agreement.</w:t>
      </w:r>
    </w:p>
    <w:p>
      <w:pPr>
        <w:spacing w:after="0" w:line="161" w:lineRule="exact"/>
        <w:rPr>
          <w:rFonts w:ascii="Arial" w:cs="Arial" w:eastAsia="Arial" w:hAnsi="Arial"/>
          <w:sz w:val="18"/>
          <w:szCs w:val="18"/>
          <w:color w:val="auto"/>
        </w:rPr>
      </w:pPr>
    </w:p>
    <w:p>
      <w:pPr>
        <w:ind w:firstLine="1304"/>
        <w:spacing w:after="0" w:line="282" w:lineRule="auto"/>
        <w:tabs>
          <w:tab w:leader="none" w:pos="1766"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HASI Purchase Agreement</w:t>
      </w:r>
      <w:r>
        <w:rPr>
          <w:rFonts w:ascii="Arial" w:cs="Arial" w:eastAsia="Arial" w:hAnsi="Arial"/>
          <w:sz w:val="18"/>
          <w:szCs w:val="18"/>
          <w:color w:val="auto"/>
        </w:rPr>
        <w:t>. HASI shall, simultaneously with or prior to the Second Closing, have closed the acquisition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Units (other than the Class A Interests) pursuant to the HASI Purchase Agreement.</w:t>
      </w:r>
    </w:p>
    <w:p>
      <w:pPr>
        <w:spacing w:after="0" w:line="161" w:lineRule="exact"/>
        <w:rPr>
          <w:rFonts w:ascii="Arial" w:cs="Arial" w:eastAsia="Arial" w:hAnsi="Arial"/>
          <w:sz w:val="18"/>
          <w:szCs w:val="18"/>
          <w:color w:val="auto"/>
        </w:rPr>
      </w:pPr>
    </w:p>
    <w:p>
      <w:pPr>
        <w:ind w:firstLine="1304"/>
        <w:spacing w:after="0" w:line="282" w:lineRule="auto"/>
        <w:tabs>
          <w:tab w:leader="none" w:pos="1746"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Drop-Down Assignment</w:t>
      </w:r>
      <w:r>
        <w:rPr>
          <w:rFonts w:ascii="Arial" w:cs="Arial" w:eastAsia="Arial" w:hAnsi="Arial"/>
          <w:sz w:val="18"/>
          <w:szCs w:val="18"/>
          <w:color w:val="auto"/>
        </w:rPr>
        <w:t>. Each of Purchaser and the Master JV HoldCo shall have delivered executed counterparts to the Drop</w:t>
      </w:r>
      <w:r>
        <w:rPr>
          <w:rFonts w:ascii="Arial" w:cs="Arial" w:eastAsia="Arial" w:hAnsi="Arial"/>
          <w:sz w:val="18"/>
          <w:szCs w:val="18"/>
          <w:b w:val="1"/>
          <w:bCs w:val="1"/>
          <w:color w:val="auto"/>
        </w:rPr>
        <w:t xml:space="preserve"> </w:t>
      </w:r>
      <w:r>
        <w:rPr>
          <w:rFonts w:ascii="Arial" w:cs="Arial" w:eastAsia="Arial" w:hAnsi="Arial"/>
          <w:sz w:val="18"/>
          <w:szCs w:val="18"/>
          <w:color w:val="auto"/>
        </w:rPr>
        <w:t>Down Assignment &amp; Assumption Agreement, to be held in escrow and released immediately following the Second Closing.</w:t>
      </w:r>
    </w:p>
    <w:p>
      <w:pPr>
        <w:spacing w:after="0" w:line="161" w:lineRule="exact"/>
        <w:rPr>
          <w:rFonts w:ascii="Arial" w:cs="Arial" w:eastAsia="Arial" w:hAnsi="Arial"/>
          <w:sz w:val="18"/>
          <w:szCs w:val="18"/>
          <w:color w:val="auto"/>
        </w:rPr>
      </w:pPr>
    </w:p>
    <w:p>
      <w:pPr>
        <w:jc w:val="both"/>
        <w:ind w:firstLine="1304"/>
        <w:spacing w:after="0" w:line="314" w:lineRule="auto"/>
        <w:tabs>
          <w:tab w:leader="none" w:pos="1776"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Certificates; Other Ancillary Documents</w:t>
      </w:r>
      <w:r>
        <w:rPr>
          <w:rFonts w:ascii="Arial" w:cs="Arial" w:eastAsia="Arial" w:hAnsi="Arial"/>
          <w:sz w:val="16"/>
          <w:szCs w:val="16"/>
          <w:color w:val="auto"/>
        </w:rPr>
        <w:t>. Seller shall have delivered to Purchaser a certificate, dated as of the Second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and executed by an authorized officer of Seller substantially in the form and to the effect of </w:t>
      </w:r>
      <w:r>
        <w:rPr>
          <w:rFonts w:ascii="Arial" w:cs="Arial" w:eastAsia="Arial" w:hAnsi="Arial"/>
          <w:sz w:val="16"/>
          <w:szCs w:val="16"/>
          <w:i w:val="1"/>
          <w:iCs w:val="1"/>
          <w:color w:val="auto"/>
        </w:rPr>
        <w:t>Exhibit K</w:t>
      </w:r>
      <w:r>
        <w:rPr>
          <w:rFonts w:ascii="Arial" w:cs="Arial" w:eastAsia="Arial" w:hAnsi="Arial"/>
          <w:sz w:val="16"/>
          <w:szCs w:val="16"/>
          <w:color w:val="auto"/>
        </w:rPr>
        <w:t>. Purchaser shall have delivered to Seller (</w:t>
      </w:r>
      <w:r>
        <w:rPr>
          <w:rFonts w:ascii="Arial" w:cs="Arial" w:eastAsia="Arial" w:hAnsi="Arial"/>
          <w:sz w:val="16"/>
          <w:szCs w:val="16"/>
          <w:i w:val="1"/>
          <w:iCs w:val="1"/>
          <w:color w:val="auto"/>
        </w:rPr>
        <w:t>A</w:t>
      </w:r>
      <w:r>
        <w:rPr>
          <w:rFonts w:ascii="Arial" w:cs="Arial" w:eastAsia="Arial" w:hAnsi="Arial"/>
          <w:sz w:val="16"/>
          <w:szCs w:val="16"/>
          <w:color w:val="auto"/>
        </w:rPr>
        <w:t xml:space="preserve">) a certificate, dated as of the Second Closing Date and executed by an authorized officer of Purchaser substantially in the form and to the effect of </w:t>
      </w:r>
      <w:r>
        <w:rPr>
          <w:rFonts w:ascii="Arial" w:cs="Arial" w:eastAsia="Arial" w:hAnsi="Arial"/>
          <w:sz w:val="16"/>
          <w:szCs w:val="16"/>
          <w:i w:val="1"/>
          <w:iCs w:val="1"/>
          <w:color w:val="auto"/>
        </w:rPr>
        <w:t>Exhibit L</w:t>
      </w:r>
      <w:r>
        <w:rPr>
          <w:rFonts w:ascii="Arial" w:cs="Arial" w:eastAsia="Arial" w:hAnsi="Arial"/>
          <w:sz w:val="16"/>
          <w:szCs w:val="16"/>
          <w:color w:val="auto"/>
        </w:rPr>
        <w:t>.</w:t>
      </w:r>
    </w:p>
    <w:p>
      <w:pPr>
        <w:spacing w:after="0" w:line="1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COVENANTS</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5.01. </w:t>
      </w:r>
      <w:r>
        <w:rPr>
          <w:rFonts w:ascii="Arial" w:cs="Arial" w:eastAsia="Arial" w:hAnsi="Arial"/>
          <w:sz w:val="16"/>
          <w:szCs w:val="16"/>
          <w:b w:val="1"/>
          <w:bCs w:val="1"/>
          <w:i w:val="1"/>
          <w:iCs w:val="1"/>
          <w:color w:val="auto"/>
        </w:rPr>
        <w:t>Regulatory and Other Permits</w:t>
      </w:r>
      <w:r>
        <w:rPr>
          <w:rFonts w:ascii="Arial" w:cs="Arial" w:eastAsia="Arial" w:hAnsi="Arial"/>
          <w:sz w:val="16"/>
          <w:szCs w:val="16"/>
          <w:color w:val="auto"/>
        </w:rPr>
        <w:t>. Seller shall, or shall cause the Company and the Mesquite Sky Entities to, as promptly as practicable, use</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(A) prior to the first sale of test power from the Project, Project Company shall have obtained EWG status and (B) Project Company shall register as a Power Generation Company and certify as a REC generator pursuant to the requirements of PURA.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Seller shall use commercially reasonable efforts not to cause its Representatives, or the Company, the Mesquite Sky Entities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Section 5.01.</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5.02. </w:t>
      </w:r>
      <w:r>
        <w:rPr>
          <w:rFonts w:ascii="Arial" w:cs="Arial" w:eastAsia="Arial" w:hAnsi="Arial"/>
          <w:sz w:val="17"/>
          <w:szCs w:val="17"/>
          <w:b w:val="1"/>
          <w:bCs w:val="1"/>
          <w:i w:val="1"/>
          <w:iCs w:val="1"/>
          <w:color w:val="auto"/>
        </w:rPr>
        <w:t>Access to Information</w:t>
      </w:r>
      <w:r>
        <w:rPr>
          <w:rFonts w:ascii="Arial" w:cs="Arial" w:eastAsia="Arial" w:hAnsi="Arial"/>
          <w:sz w:val="17"/>
          <w:szCs w:val="17"/>
          <w:color w:val="auto"/>
        </w:rPr>
        <w:t>. From the Execution Date and continuing until the earlier of the termination of this Agreement or the Closing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i w:val="1"/>
          <w:iCs w:val="1"/>
          <w:color w:val="auto"/>
        </w:rPr>
        <w:t>Interim Period</w:t>
      </w:r>
      <w:r>
        <w:rPr>
          <w:rFonts w:ascii="Arial" w:cs="Arial" w:eastAsia="Arial" w:hAnsi="Arial"/>
          <w:sz w:val="17"/>
          <w:szCs w:val="17"/>
          <w:color w:val="auto"/>
        </w:rPr>
        <w:t xml:space="preserve">”), Seller shall at all reasonable times and upon reasonable prior notice during regular business hours make the properties, assets, books and records pertaining to the Company and the Mesquite Sky Entities, the Acquired Interests or the Project reasonably available for examination, inspection and review by Purchaser and its Representatives;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t>
      </w:r>
      <w:r>
        <w:rPr>
          <w:rFonts w:ascii="Arial" w:cs="Arial" w:eastAsia="Arial" w:hAnsi="Arial"/>
          <w:sz w:val="17"/>
          <w:szCs w:val="17"/>
          <w:i w:val="1"/>
          <w:iCs w:val="1"/>
          <w:color w:val="auto"/>
        </w:rPr>
        <w:t>a</w:t>
      </w:r>
      <w:r>
        <w:rPr>
          <w:rFonts w:ascii="Arial" w:cs="Arial" w:eastAsia="Arial" w:hAnsi="Arial"/>
          <w:sz w:val="17"/>
          <w:szCs w:val="17"/>
          <w:color w:val="auto"/>
        </w:rPr>
        <w:t>) Purchaser and its Representatives shall be subject to customary confidentiality undertakings with respect to any such information or access made available, (</w:t>
      </w:r>
      <w:r>
        <w:rPr>
          <w:rFonts w:ascii="Arial" w:cs="Arial" w:eastAsia="Arial" w:hAnsi="Arial"/>
          <w:sz w:val="17"/>
          <w:szCs w:val="17"/>
          <w:i w:val="1"/>
          <w:iCs w:val="1"/>
          <w:color w:val="auto"/>
        </w:rPr>
        <w:t>b</w:t>
      </w:r>
      <w:r>
        <w:rPr>
          <w:rFonts w:ascii="Arial" w:cs="Arial" w:eastAsia="Arial" w:hAnsi="Arial"/>
          <w:sz w:val="17"/>
          <w:szCs w:val="17"/>
          <w:color w:val="auto"/>
        </w:rPr>
        <w:t>) for any site visit or access, Purchaser and its Representatives will agree to comply with all safety and other policies and procedures disclosed to it while conducting such visit or access, and (</w:t>
      </w:r>
      <w:r>
        <w:rPr>
          <w:rFonts w:ascii="Arial" w:cs="Arial" w:eastAsia="Arial" w:hAnsi="Arial"/>
          <w:sz w:val="17"/>
          <w:szCs w:val="17"/>
          <w:i w:val="1"/>
          <w:iCs w:val="1"/>
          <w:color w:val="auto"/>
        </w:rPr>
        <w:t>c</w:t>
      </w:r>
      <w:r>
        <w:rPr>
          <w:rFonts w:ascii="Arial" w:cs="Arial" w:eastAsia="Arial" w:hAnsi="Arial"/>
          <w:sz w:val="17"/>
          <w:szCs w:val="17"/>
          <w:color w:val="auto"/>
        </w:rPr>
        <w:t xml:space="preserve">) Purchaser’s and its Representatives’ inspections and examinations shall not unreasonably disrupt the normal operations of Seller, the Company, the Mesquite Sky Entities or the Project and shall be at Purchaser’s sole cost and expense;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neither Purchaser, nor any of its Affiliates or Representatives, shall conduct any intrusive environmental site assessment or activities with respect to the Company or the Mesquite Sky Entities or their properties without the prior written consent of Seller.</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5.03. </w:t>
      </w:r>
      <w:r>
        <w:rPr>
          <w:rFonts w:ascii="Arial" w:cs="Arial" w:eastAsia="Arial" w:hAnsi="Arial"/>
          <w:sz w:val="17"/>
          <w:szCs w:val="17"/>
          <w:b w:val="1"/>
          <w:bCs w:val="1"/>
          <w:i w:val="1"/>
          <w:iCs w:val="1"/>
          <w:color w:val="auto"/>
        </w:rPr>
        <w:t>Notification of Certain Matters</w:t>
      </w:r>
      <w:r>
        <w:rPr>
          <w:rFonts w:ascii="Arial" w:cs="Arial" w:eastAsia="Arial" w:hAnsi="Arial"/>
          <w:sz w:val="17"/>
          <w:szCs w:val="17"/>
          <w:color w:val="auto"/>
        </w:rPr>
        <w:t>. Seller shall have the right (but not the obligation) to deliver to Purchaser, not later than ten (10)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Days prior to the Closing Date, a supplement to the Disclosure Schedules (the “</w:t>
      </w:r>
      <w:r>
        <w:rPr>
          <w:rFonts w:ascii="Arial" w:cs="Arial" w:eastAsia="Arial" w:hAnsi="Arial"/>
          <w:sz w:val="17"/>
          <w:szCs w:val="17"/>
          <w:i w:val="1"/>
          <w:iCs w:val="1"/>
          <w:color w:val="auto"/>
        </w:rPr>
        <w:t>Closing Date Schedule Supplement</w:t>
      </w:r>
      <w:r>
        <w:rPr>
          <w:rFonts w:ascii="Arial" w:cs="Arial" w:eastAsia="Arial" w:hAnsi="Arial"/>
          <w:sz w:val="17"/>
          <w:szCs w:val="17"/>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the exercise of any Land Option by the applicable counterparty, Seller shall be entitled to supplement </w:t>
      </w:r>
      <w:r>
        <w:rPr>
          <w:rFonts w:ascii="Arial" w:cs="Arial" w:eastAsia="Arial" w:hAnsi="Arial"/>
          <w:sz w:val="17"/>
          <w:szCs w:val="17"/>
          <w:i w:val="1"/>
          <w:iCs w:val="1"/>
          <w:color w:val="auto"/>
        </w:rPr>
        <w:t>Schedule 3.01(n)(i)</w:t>
      </w:r>
      <w:r>
        <w:rPr>
          <w:rFonts w:ascii="Arial" w:cs="Arial" w:eastAsia="Arial" w:hAnsi="Arial"/>
          <w:sz w:val="17"/>
          <w:szCs w:val="17"/>
          <w:color w:val="auto"/>
        </w:rPr>
        <w:t xml:space="preserve"> of the Disclosure Schedules with respect to the Real Property Right Seller acquired in accordance with such Land Option (each such update, a “</w:t>
      </w:r>
      <w:r>
        <w:rPr>
          <w:rFonts w:ascii="Arial" w:cs="Arial" w:eastAsia="Arial" w:hAnsi="Arial"/>
          <w:sz w:val="17"/>
          <w:szCs w:val="17"/>
          <w:i w:val="1"/>
          <w:iCs w:val="1"/>
          <w:color w:val="auto"/>
        </w:rPr>
        <w:t>Land Option Schedule Supplement</w:t>
      </w:r>
      <w:r>
        <w:rPr>
          <w:rFonts w:ascii="Arial" w:cs="Arial" w:eastAsia="Arial" w:hAnsi="Arial"/>
          <w:sz w:val="17"/>
          <w:szCs w:val="17"/>
          <w:color w:val="auto"/>
        </w:rPr>
        <w:t xml:space="preserve">”), and the Disclosure Schedules shall be deemed to be modified, supplemented and amended for all purposes hereunder.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Arial" w:cs="Arial" w:eastAsia="Arial" w:hAnsi="Arial"/>
          <w:sz w:val="17"/>
          <w:szCs w:val="17"/>
          <w:i w:val="1"/>
          <w:iCs w:val="1"/>
          <w:color w:val="auto"/>
        </w:rPr>
        <w:t>Section 4.01</w:t>
      </w:r>
      <w:r>
        <w:rPr>
          <w:rFonts w:ascii="Arial" w:cs="Arial" w:eastAsia="Arial" w:hAnsi="Arial"/>
          <w:sz w:val="17"/>
          <w:szCs w:val="17"/>
          <w:color w:val="auto"/>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Arial" w:cs="Arial" w:eastAsia="Arial" w:hAnsi="Arial"/>
          <w:sz w:val="17"/>
          <w:szCs w:val="17"/>
          <w:i w:val="1"/>
          <w:iCs w:val="1"/>
          <w:color w:val="auto"/>
        </w:rPr>
        <w:t>Section 4.01</w:t>
      </w:r>
      <w:r>
        <w:rPr>
          <w:rFonts w:ascii="Arial" w:cs="Arial" w:eastAsia="Arial" w:hAnsi="Arial"/>
          <w:sz w:val="17"/>
          <w:szCs w:val="17"/>
          <w:color w:val="auto"/>
        </w:rPr>
        <w:t xml:space="preserve">, but shall not be deemed to have irrevocably waived its right to indemnification under </w:t>
      </w:r>
      <w:r>
        <w:rPr>
          <w:rFonts w:ascii="Arial" w:cs="Arial" w:eastAsia="Arial" w:hAnsi="Arial"/>
          <w:sz w:val="17"/>
          <w:szCs w:val="17"/>
          <w:i w:val="1"/>
          <w:iCs w:val="1"/>
          <w:color w:val="auto"/>
        </w:rPr>
        <w:t>Section 6.01</w:t>
      </w:r>
      <w:r>
        <w:rPr>
          <w:rFonts w:ascii="Arial" w:cs="Arial" w:eastAsia="Arial" w:hAnsi="Arial"/>
          <w:sz w:val="17"/>
          <w:szCs w:val="17"/>
          <w:color w:val="auto"/>
        </w:rPr>
        <w:t xml:space="preserve"> with respect to such item.</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5.04.</w:t>
      </w:r>
      <w:r>
        <w:rPr>
          <w:sz w:val="20"/>
          <w:szCs w:val="20"/>
          <w:color w:val="auto"/>
        </w:rPr>
        <w:tab/>
      </w:r>
      <w:r>
        <w:rPr>
          <w:rFonts w:ascii="Arial" w:cs="Arial" w:eastAsia="Arial" w:hAnsi="Arial"/>
          <w:sz w:val="15"/>
          <w:szCs w:val="15"/>
          <w:b w:val="1"/>
          <w:bCs w:val="1"/>
          <w:i w:val="1"/>
          <w:iCs w:val="1"/>
          <w:color w:val="auto"/>
        </w:rPr>
        <w:t>Conduct of Business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96" w:lineRule="auto"/>
        <w:tabs>
          <w:tab w:leader="none" w:pos="1766" w:val="left"/>
        </w:tabs>
        <w:numPr>
          <w:ilvl w:val="0"/>
          <w:numId w:val="61"/>
        </w:numPr>
        <w:rPr>
          <w:rFonts w:ascii="Arial" w:cs="Arial" w:eastAsia="Arial" w:hAnsi="Arial"/>
          <w:sz w:val="16"/>
          <w:szCs w:val="16"/>
          <w:color w:val="auto"/>
        </w:rPr>
      </w:pPr>
      <w:r>
        <w:rPr>
          <w:rFonts w:ascii="Arial" w:cs="Arial" w:eastAsia="Arial" w:hAnsi="Arial"/>
          <w:sz w:val="16"/>
          <w:szCs w:val="16"/>
          <w:color w:val="auto"/>
        </w:rPr>
        <w:t>During the Interim Period, Seller shall cause the Company and each Mesquite Sky Entity to operate and carry on its business in the ordinary course and substantially as operated prior to the date of this Agreement. Without limiting the foregoing, Seller shall cause the Company and each Mesquite Sky Entity to perform in all material respects the Company Contracts to which the Company or such Mesquite Sky Entity is a party and use commercially reasonable efforts consistent with good business practice to preserve the goodwill of the suppliers, contractors, lenders, Governmental Authorities, licensors, customers, distributors and others having business relations with the Company and the Mesquite Sky Entities.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304"/>
        <w:spacing w:after="0" w:line="259" w:lineRule="auto"/>
        <w:tabs>
          <w:tab w:leader="none" w:pos="1772"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i w:val="1"/>
          <w:iCs w:val="1"/>
          <w:color w:val="auto"/>
        </w:rPr>
        <w:t>Section 5.04(a)</w:t>
      </w:r>
      <w:r>
        <w:rPr>
          <w:rFonts w:ascii="Arial" w:cs="Arial" w:eastAsia="Arial" w:hAnsi="Arial"/>
          <w:sz w:val="18"/>
          <w:szCs w:val="18"/>
          <w:color w:val="auto"/>
        </w:rPr>
        <w:t>, except (</w:t>
      </w:r>
      <w:r>
        <w:rPr>
          <w:rFonts w:ascii="Arial" w:cs="Arial" w:eastAsia="Arial" w:hAnsi="Arial"/>
          <w:sz w:val="18"/>
          <w:szCs w:val="18"/>
          <w:i w:val="1"/>
          <w:iCs w:val="1"/>
          <w:color w:val="auto"/>
        </w:rPr>
        <w:t>x</w:t>
      </w:r>
      <w:r>
        <w:rPr>
          <w:rFonts w:ascii="Arial" w:cs="Arial" w:eastAsia="Arial" w:hAnsi="Arial"/>
          <w:sz w:val="18"/>
          <w:szCs w:val="18"/>
          <w:color w:val="auto"/>
        </w:rPr>
        <w:t xml:space="preserve">) as set forth on </w:t>
      </w:r>
      <w:r>
        <w:rPr>
          <w:rFonts w:ascii="Arial" w:cs="Arial" w:eastAsia="Arial" w:hAnsi="Arial"/>
          <w:sz w:val="18"/>
          <w:szCs w:val="18"/>
          <w:i w:val="1"/>
          <w:iCs w:val="1"/>
          <w:color w:val="auto"/>
        </w:rPr>
        <w:t>Schedule 5.04(b)</w:t>
      </w:r>
      <w:r>
        <w:rPr>
          <w:rFonts w:ascii="Arial" w:cs="Arial" w:eastAsia="Arial" w:hAnsi="Arial"/>
          <w:sz w:val="18"/>
          <w:szCs w:val="18"/>
          <w:color w:val="auto"/>
        </w:rPr>
        <w:t xml:space="preserve"> of the Disclosure Schedules, (</w:t>
      </w:r>
      <w:r>
        <w:rPr>
          <w:rFonts w:ascii="Arial" w:cs="Arial" w:eastAsia="Arial" w:hAnsi="Arial"/>
          <w:sz w:val="18"/>
          <w:szCs w:val="18"/>
          <w:i w:val="1"/>
          <w:iCs w:val="1"/>
          <w:color w:val="auto"/>
        </w:rPr>
        <w:t>y</w:t>
      </w:r>
      <w:r>
        <w:rPr>
          <w:rFonts w:ascii="Arial" w:cs="Arial" w:eastAsia="Arial" w:hAnsi="Arial"/>
          <w:sz w:val="18"/>
          <w:szCs w:val="18"/>
          <w:color w:val="auto"/>
        </w:rPr>
        <w:t xml:space="preserve">) as would not be reasonably likely to cause a Major Project Change (with respect to clauses (vi), (vii), (ix) and (xiv) of this </w:t>
      </w:r>
      <w:r>
        <w:rPr>
          <w:rFonts w:ascii="Arial" w:cs="Arial" w:eastAsia="Arial" w:hAnsi="Arial"/>
          <w:sz w:val="18"/>
          <w:szCs w:val="18"/>
          <w:i w:val="1"/>
          <w:iCs w:val="1"/>
          <w:color w:val="auto"/>
        </w:rPr>
        <w:t>Section 5.04(b)</w:t>
      </w:r>
      <w:r>
        <w:rPr>
          <w:rFonts w:ascii="Arial" w:cs="Arial" w:eastAsia="Arial" w:hAnsi="Arial"/>
          <w:sz w:val="18"/>
          <w:szCs w:val="18"/>
          <w:color w:val="auto"/>
        </w:rPr>
        <w:t xml:space="preserve"> only) or (</w:t>
      </w:r>
      <w:r>
        <w:rPr>
          <w:rFonts w:ascii="Arial" w:cs="Arial" w:eastAsia="Arial" w:hAnsi="Arial"/>
          <w:sz w:val="18"/>
          <w:szCs w:val="18"/>
          <w:i w:val="1"/>
          <w:iCs w:val="1"/>
          <w:color w:val="auto"/>
        </w:rPr>
        <w:t>z</w:t>
      </w:r>
      <w:r>
        <w:rPr>
          <w:rFonts w:ascii="Arial" w:cs="Arial" w:eastAsia="Arial" w:hAnsi="Arial"/>
          <w:sz w:val="18"/>
          <w:szCs w:val="18"/>
          <w:color w:val="auto"/>
        </w:rPr>
        <w:t>) with the express written approval of Purchaser, such approval not to be unreasonably withheld or delayed, during the Interim Period, Seller shall cause the Company and each Mesquite Sky Entity not to:</w:t>
      </w:r>
    </w:p>
    <w:p>
      <w:pPr>
        <w:spacing w:after="0" w:line="186" w:lineRule="exact"/>
        <w:rPr>
          <w:rFonts w:ascii="Arial" w:cs="Arial" w:eastAsia="Arial" w:hAnsi="Arial"/>
          <w:sz w:val="18"/>
          <w:szCs w:val="18"/>
          <w:color w:val="auto"/>
        </w:rPr>
      </w:pPr>
    </w:p>
    <w:p>
      <w:pPr>
        <w:ind w:left="660" w:firstLine="1292"/>
        <w:spacing w:after="0" w:line="277" w:lineRule="auto"/>
        <w:tabs>
          <w:tab w:leader="none" w:pos="23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transfer any of the Acquired Interests to any Person or create or suffer to exist any Lien upon the Acquired Interests other than Permitted Liens set forth in clauses (f) and (g) of the definition thereof;</w:t>
      </w:r>
    </w:p>
    <w:p>
      <w:pPr>
        <w:spacing w:after="0" w:line="170" w:lineRule="exact"/>
        <w:rPr>
          <w:rFonts w:ascii="Arial" w:cs="Arial" w:eastAsia="Arial" w:hAnsi="Arial"/>
          <w:sz w:val="18"/>
          <w:szCs w:val="18"/>
          <w:color w:val="auto"/>
        </w:rPr>
      </w:pPr>
    </w:p>
    <w:p>
      <w:pPr>
        <w:jc w:val="both"/>
        <w:ind w:left="660" w:firstLine="1292"/>
        <w:spacing w:after="0" w:line="296" w:lineRule="auto"/>
        <w:tabs>
          <w:tab w:leader="none" w:pos="2446" w:val="left"/>
        </w:tabs>
        <w:numPr>
          <w:ilvl w:val="1"/>
          <w:numId w:val="62"/>
        </w:numPr>
        <w:rPr>
          <w:rFonts w:ascii="Arial" w:cs="Arial" w:eastAsia="Arial" w:hAnsi="Arial"/>
          <w:sz w:val="16"/>
          <w:szCs w:val="16"/>
          <w:color w:val="auto"/>
        </w:rPr>
      </w:pPr>
      <w:r>
        <w:rPr>
          <w:rFonts w:ascii="Arial" w:cs="Arial" w:eastAsia="Arial" w:hAnsi="Arial"/>
          <w:sz w:val="16"/>
          <w:szCs w:val="16"/>
          <w:color w:val="auto"/>
        </w:rPr>
        <w:t>issue, grant, deliver or sell or authorize or propose to issue, grant, deliver or sell, or purchase or propose to purchase, any of its equity securities (other than the sale and delivery of the Acquired Interests pursuant to this Agreement and the issuance of membership interests in TE Holdco pursuant to the Tax Equity Agreement),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and the Tax Equity Agreement);</w:t>
      </w:r>
    </w:p>
    <w:p>
      <w:pPr>
        <w:spacing w:after="0" w:line="161" w:lineRule="exact"/>
        <w:rPr>
          <w:rFonts w:ascii="Arial" w:cs="Arial" w:eastAsia="Arial" w:hAnsi="Arial"/>
          <w:sz w:val="16"/>
          <w:szCs w:val="16"/>
          <w:color w:val="auto"/>
        </w:rPr>
      </w:pPr>
    </w:p>
    <w:p>
      <w:pPr>
        <w:jc w:val="both"/>
        <w:ind w:left="660" w:firstLine="1292"/>
        <w:spacing w:after="0" w:line="257" w:lineRule="auto"/>
        <w:tabs>
          <w:tab w:leader="none" w:pos="245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a distribution by the Company to Seller of up to Thirty- Nine Million, Five Hundred Thousand Dollars ($39,500,000) from the proceeds received by Class B HoldCo from the closing of the debt financing under the Financing Agreement;</w:t>
      </w:r>
    </w:p>
    <w:p>
      <w:pPr>
        <w:spacing w:after="0" w:line="187" w:lineRule="exact"/>
        <w:rPr>
          <w:rFonts w:ascii="Arial" w:cs="Arial" w:eastAsia="Arial" w:hAnsi="Arial"/>
          <w:sz w:val="18"/>
          <w:szCs w:val="18"/>
          <w:color w:val="auto"/>
        </w:rPr>
      </w:pPr>
    </w:p>
    <w:p>
      <w:pPr>
        <w:ind w:left="660" w:firstLine="1292"/>
        <w:spacing w:after="0" w:line="277" w:lineRule="auto"/>
        <w:tabs>
          <w:tab w:leader="none" w:pos="2441" w:val="left"/>
        </w:tabs>
        <w:numPr>
          <w:ilvl w:val="1"/>
          <w:numId w:val="62"/>
        </w:numPr>
        <w:rPr>
          <w:rFonts w:ascii="Arial" w:cs="Arial" w:eastAsia="Arial" w:hAnsi="Arial"/>
          <w:sz w:val="18"/>
          <w:szCs w:val="18"/>
          <w:color w:val="auto"/>
        </w:rPr>
      </w:pPr>
      <w:r>
        <w:rPr>
          <w:rFonts w:ascii="Arial" w:cs="Arial" w:eastAsia="Arial" w:hAnsi="Arial"/>
          <w:sz w:val="18"/>
          <w:szCs w:val="18"/>
          <w:color w:val="auto"/>
        </w:rPr>
        <w:t>take any action or enter into any commitment with respect to or in contemplation of any liquidation, dissolution, recapitalization, reorganization, or other winding up of business or operations;</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open or establish any new accounts with financial institutions;</w:t>
      </w:r>
    </w:p>
    <w:p>
      <w:pPr>
        <w:spacing w:after="0" w:line="225" w:lineRule="exact"/>
        <w:rPr>
          <w:rFonts w:ascii="Arial" w:cs="Arial" w:eastAsia="Arial" w:hAnsi="Arial"/>
          <w:sz w:val="18"/>
          <w:szCs w:val="18"/>
          <w:color w:val="auto"/>
        </w:rPr>
      </w:pPr>
    </w:p>
    <w:p>
      <w:pPr>
        <w:ind w:left="2440" w:hanging="488"/>
        <w:spacing w:after="0"/>
        <w:tabs>
          <w:tab w:leader="none" w:pos="24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make any material change in its business or operations, except such changes as may be required to comply with any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7"/>
          <w:szCs w:val="17"/>
          <w:color w:val="auto"/>
        </w:rPr>
      </w:pPr>
    </w:p>
    <w:p>
      <w:pPr>
        <w:ind w:left="660" w:right="20" w:firstLine="1292"/>
        <w:spacing w:after="0" w:line="277" w:lineRule="auto"/>
        <w:tabs>
          <w:tab w:leader="none" w:pos="2491" w:val="left"/>
        </w:tabs>
        <w:numPr>
          <w:ilvl w:val="1"/>
          <w:numId w:val="62"/>
        </w:numPr>
        <w:rPr>
          <w:rFonts w:ascii="Arial" w:cs="Arial" w:eastAsia="Arial" w:hAnsi="Arial"/>
          <w:sz w:val="18"/>
          <w:szCs w:val="18"/>
          <w:color w:val="auto"/>
        </w:rPr>
      </w:pPr>
      <w:r>
        <w:rPr>
          <w:rFonts w:ascii="Arial" w:cs="Arial" w:eastAsia="Arial" w:hAnsi="Arial"/>
          <w:sz w:val="18"/>
          <w:szCs w:val="18"/>
          <w:color w:val="auto"/>
        </w:rPr>
        <w:t>make any material capital expenditures (or enter into any Contracts in respect of material capital expenditures) other than as contemplated by the Company Contracts;</w:t>
      </w:r>
    </w:p>
    <w:p>
      <w:pPr>
        <w:spacing w:after="0" w:line="170" w:lineRule="exact"/>
        <w:rPr>
          <w:rFonts w:ascii="Arial" w:cs="Arial" w:eastAsia="Arial" w:hAnsi="Arial"/>
          <w:sz w:val="18"/>
          <w:szCs w:val="18"/>
          <w:color w:val="auto"/>
        </w:rPr>
      </w:pPr>
    </w:p>
    <w:p>
      <w:pPr>
        <w:ind w:left="660" w:right="20" w:firstLine="1292"/>
        <w:spacing w:after="0" w:line="277" w:lineRule="auto"/>
        <w:tabs>
          <w:tab w:leader="none" w:pos="24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merge Company or any Mesquite Sky Entity into or with any other Person or consolidate Company or any Mesquite Sky Entity with any other Person;</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enter into any Contract for the purchase of real property or any interests therein;</w:t>
      </w:r>
    </w:p>
    <w:p>
      <w:pPr>
        <w:spacing w:after="0" w:line="225" w:lineRule="exact"/>
        <w:rPr>
          <w:rFonts w:ascii="Arial" w:cs="Arial" w:eastAsia="Arial" w:hAnsi="Arial"/>
          <w:sz w:val="18"/>
          <w:szCs w:val="18"/>
          <w:color w:val="auto"/>
        </w:rPr>
      </w:pPr>
    </w:p>
    <w:p>
      <w:pPr>
        <w:ind w:left="660" w:right="20" w:firstLine="1292"/>
        <w:spacing w:after="0" w:line="277" w:lineRule="auto"/>
        <w:tabs>
          <w:tab w:leader="none" w:pos="243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acquire, or enter into any Contract for any acquisitions (by merger, consolidation, or acquisition of stock or assets or any other business combination), of any Person or business or any division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left="-460" w:firstLine="1292"/>
        <w:spacing w:after="0" w:line="263" w:lineRule="auto"/>
        <w:tabs>
          <w:tab w:leader="none" w:pos="13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sell, lease (as lessor), transfer or otherwise dispose of (including any transfers to any of its Affiliates), or mortgage or pledge, or impose or suffer to be imposed any Lien on, any of its assets or properties, other than (x) inventory and personal property sold or otherwise disposed of in the ordinary course of business, and (y) Permitted Liens;</w:t>
      </w:r>
    </w:p>
    <w:p>
      <w:pPr>
        <w:spacing w:after="0" w:line="183" w:lineRule="exact"/>
        <w:rPr>
          <w:rFonts w:ascii="Arial" w:cs="Arial" w:eastAsia="Arial" w:hAnsi="Arial"/>
          <w:sz w:val="18"/>
          <w:szCs w:val="18"/>
          <w:color w:val="auto"/>
        </w:rPr>
      </w:pPr>
    </w:p>
    <w:p>
      <w:pPr>
        <w:jc w:val="both"/>
        <w:ind w:left="-460" w:firstLine="1292"/>
        <w:spacing w:after="0" w:line="257" w:lineRule="auto"/>
        <w:tabs>
          <w:tab w:leader="none" w:pos="13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create, incur, assume or guarantee, or agree to create, incur, assume or guarantee any Indebtedness for borrowed money or enter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any Indebtedness arising from the Financing Agreement, any of the Financing Documents or the Morgan Stanley Capital Hedge (as defined in the Disclosure Schedules);</w:t>
      </w:r>
    </w:p>
    <w:p>
      <w:pPr>
        <w:spacing w:after="0" w:line="187" w:lineRule="exact"/>
        <w:rPr>
          <w:rFonts w:ascii="Arial" w:cs="Arial" w:eastAsia="Arial" w:hAnsi="Arial"/>
          <w:sz w:val="18"/>
          <w:szCs w:val="18"/>
          <w:color w:val="auto"/>
        </w:rPr>
      </w:pPr>
    </w:p>
    <w:p>
      <w:pPr>
        <w:ind w:left="1420" w:hanging="588"/>
        <w:spacing w:after="0"/>
        <w:tabs>
          <w:tab w:leader="none" w:pos="1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make any loans or advances to any Person, except in the ordinary course of business consistent with past practice;</w:t>
      </w:r>
    </w:p>
    <w:p>
      <w:pPr>
        <w:spacing w:after="0" w:line="236" w:lineRule="exact"/>
        <w:rPr>
          <w:rFonts w:ascii="Arial" w:cs="Arial" w:eastAsia="Arial" w:hAnsi="Arial"/>
          <w:sz w:val="17"/>
          <w:szCs w:val="17"/>
          <w:color w:val="auto"/>
        </w:rPr>
      </w:pPr>
    </w:p>
    <w:p>
      <w:pPr>
        <w:jc w:val="both"/>
        <w:ind w:left="-460" w:firstLine="1292"/>
        <w:spacing w:after="0" w:line="263" w:lineRule="auto"/>
        <w:tabs>
          <w:tab w:leader="none" w:pos="13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83" w:lineRule="exact"/>
        <w:rPr>
          <w:rFonts w:ascii="Arial" w:cs="Arial" w:eastAsia="Arial" w:hAnsi="Arial"/>
          <w:sz w:val="18"/>
          <w:szCs w:val="18"/>
          <w:color w:val="auto"/>
        </w:rPr>
      </w:pPr>
    </w:p>
    <w:p>
      <w:pPr>
        <w:jc w:val="both"/>
        <w:ind w:left="-460" w:firstLine="1292"/>
        <w:spacing w:after="0" w:line="259" w:lineRule="auto"/>
        <w:tabs>
          <w:tab w:leader="none" w:pos="1361"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Company or any Mesquite Sky Entity;</w:t>
      </w:r>
    </w:p>
    <w:p>
      <w:pPr>
        <w:spacing w:after="0" w:line="186" w:lineRule="exact"/>
        <w:rPr>
          <w:rFonts w:ascii="Arial" w:cs="Arial" w:eastAsia="Arial" w:hAnsi="Arial"/>
          <w:sz w:val="18"/>
          <w:szCs w:val="18"/>
          <w:color w:val="auto"/>
        </w:rPr>
      </w:pPr>
    </w:p>
    <w:p>
      <w:pPr>
        <w:jc w:val="both"/>
        <w:ind w:left="-460" w:firstLine="1292"/>
        <w:spacing w:after="0" w:line="263" w:lineRule="auto"/>
        <w:tabs>
          <w:tab w:leader="none" w:pos="13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make any material change in accounting policies or practices (including any change in depreciation or amortization policies) of Company or any Mesquite Sky Entity, except as required under Seller’s GAAP or revalue any of the Company’s or any Mesquite Sky Entity’s assets;</w:t>
      </w:r>
    </w:p>
    <w:p>
      <w:pPr>
        <w:spacing w:after="0" w:line="183" w:lineRule="exact"/>
        <w:rPr>
          <w:rFonts w:ascii="Arial" w:cs="Arial" w:eastAsia="Arial" w:hAnsi="Arial"/>
          <w:sz w:val="18"/>
          <w:szCs w:val="18"/>
          <w:color w:val="auto"/>
        </w:rPr>
      </w:pPr>
    </w:p>
    <w:p>
      <w:pPr>
        <w:jc w:val="both"/>
        <w:ind w:left="-460" w:firstLine="1292"/>
        <w:spacing w:after="0" w:line="257" w:lineRule="auto"/>
        <w:tabs>
          <w:tab w:leader="none" w:pos="1416"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make or change any material Tax election, change an annual accounting period, adopt or change any accounting method with respect to Taxes, file any amended Tax Return, enter into any closing agreement, settle or compromise any proceeding with respect to any Tax claim or assessment, surrender any right to claim a refund of Taxes, consent to any extension or waiver of the limitation period applicable to any material Tax claim or assessment relating to Company or the Mesquite Sky Entities, or take any other similar action relating to the filing of any Tax Return or the payment of any Tax;</w:t>
      </w:r>
    </w:p>
    <w:p>
      <w:pPr>
        <w:spacing w:after="0" w:line="187" w:lineRule="exact"/>
        <w:rPr>
          <w:rFonts w:ascii="Arial" w:cs="Arial" w:eastAsia="Arial" w:hAnsi="Arial"/>
          <w:sz w:val="18"/>
          <w:szCs w:val="18"/>
          <w:color w:val="auto"/>
        </w:rPr>
      </w:pPr>
    </w:p>
    <w:p>
      <w:pPr>
        <w:jc w:val="both"/>
        <w:ind w:left="-460" w:firstLine="1292"/>
        <w:spacing w:after="0" w:line="263" w:lineRule="auto"/>
        <w:tabs>
          <w:tab w:leader="none" w:pos="14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submit a self-report or mitigation plan to FERC, NERC or the applicable Regional Entity in connection with the violation or possible violation of an applicable NERC reliability standard without first notifying Purchaser and providing information regarding the violation or possible violation;</w:t>
      </w:r>
    </w:p>
    <w:p>
      <w:pPr>
        <w:spacing w:after="0" w:line="183" w:lineRule="exact"/>
        <w:rPr>
          <w:rFonts w:ascii="Arial" w:cs="Arial" w:eastAsia="Arial" w:hAnsi="Arial"/>
          <w:sz w:val="18"/>
          <w:szCs w:val="18"/>
          <w:color w:val="auto"/>
        </w:rPr>
      </w:pPr>
    </w:p>
    <w:p>
      <w:pPr>
        <w:ind w:left="-460" w:firstLine="1292"/>
        <w:spacing w:after="0" w:line="277" w:lineRule="auto"/>
        <w:tabs>
          <w:tab w:leader="none" w:pos="13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 discharge, settle or satisfy any claims, liabilities or obligations prior to the same being due in excess of $50,000 in the aggregate other than as due and payable in the ordinary course under material Contracts;</w:t>
      </w:r>
    </w:p>
    <w:p>
      <w:pPr>
        <w:spacing w:after="0" w:line="170" w:lineRule="exact"/>
        <w:rPr>
          <w:rFonts w:ascii="Arial" w:cs="Arial" w:eastAsia="Arial" w:hAnsi="Arial"/>
          <w:sz w:val="18"/>
          <w:szCs w:val="18"/>
          <w:color w:val="auto"/>
        </w:rPr>
      </w:pPr>
    </w:p>
    <w:p>
      <w:pPr>
        <w:ind w:left="1480" w:hanging="648"/>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hire any employees or adopt any Employee Plans;</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0" w:name="page61"/>
    <w:bookmarkEnd w:id="60"/>
    <w:p>
      <w:pPr>
        <w:ind w:left="2600" w:hanging="648"/>
        <w:spacing w:after="0"/>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enter into any joint venture;</w:t>
      </w:r>
    </w:p>
    <w:p>
      <w:pPr>
        <w:spacing w:after="0" w:line="225" w:lineRule="exact"/>
        <w:rPr>
          <w:rFonts w:ascii="Arial" w:cs="Arial" w:eastAsia="Arial" w:hAnsi="Arial"/>
          <w:sz w:val="18"/>
          <w:szCs w:val="18"/>
          <w:color w:val="auto"/>
        </w:rPr>
      </w:pPr>
    </w:p>
    <w:p>
      <w:pPr>
        <w:ind w:left="2540" w:hanging="588"/>
        <w:spacing w:after="0"/>
        <w:tabs>
          <w:tab w:leader="none" w:pos="2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fail to maintain insurance coverage substantially equivalent to its insurance coverage as in effect on the date hereof;</w:t>
      </w:r>
    </w:p>
    <w:p>
      <w:pPr>
        <w:spacing w:after="0" w:line="248" w:lineRule="exact"/>
        <w:rPr>
          <w:rFonts w:ascii="Arial" w:cs="Arial" w:eastAsia="Arial" w:hAnsi="Arial"/>
          <w:sz w:val="16"/>
          <w:szCs w:val="16"/>
          <w:color w:val="auto"/>
        </w:rPr>
      </w:pPr>
    </w:p>
    <w:p>
      <w:pPr>
        <w:ind w:left="2600" w:hanging="648"/>
        <w:spacing w:after="0"/>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take any action inconsistent with </w:t>
      </w:r>
      <w:r>
        <w:rPr>
          <w:rFonts w:ascii="Arial" w:cs="Arial" w:eastAsia="Arial" w:hAnsi="Arial"/>
          <w:sz w:val="18"/>
          <w:szCs w:val="18"/>
          <w:i w:val="1"/>
          <w:iCs w:val="1"/>
          <w:color w:val="auto"/>
        </w:rPr>
        <w:t>Schedule 5.04(b)(xxiii)</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otherwise make any commitment to do any of the foregoing in this </w:t>
      </w:r>
      <w:r>
        <w:rPr>
          <w:rFonts w:ascii="Arial" w:cs="Arial" w:eastAsia="Arial" w:hAnsi="Arial"/>
          <w:sz w:val="18"/>
          <w:szCs w:val="18"/>
          <w:i w:val="1"/>
          <w:iCs w:val="1"/>
          <w:color w:val="auto"/>
        </w:rPr>
        <w:t>Section 5.04.</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Notwithstanding the foregoing, Seller may permit the Mesquite Sky Entities to take commercially reasonable actions with respect to emergency situations so long as Seller shall, upon receipt of notice of any such actions, promptly inform Purchaser of any such actions taken outside the ordinary course of business.</w:t>
      </w:r>
    </w:p>
    <w:p>
      <w:pPr>
        <w:spacing w:after="0" w:line="184" w:lineRule="exact"/>
        <w:rPr>
          <w:sz w:val="20"/>
          <w:szCs w:val="20"/>
          <w:color w:val="auto"/>
        </w:rPr>
      </w:pPr>
    </w:p>
    <w:p>
      <w:pPr>
        <w:ind w:firstLine="1304"/>
        <w:spacing w:after="0" w:line="277" w:lineRule="auto"/>
        <w:tabs>
          <w:tab w:leader="none" w:pos="1569"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i w:val="1"/>
          <w:iCs w:val="1"/>
          <w:color w:val="auto"/>
        </w:rPr>
        <w:t>Section 5.04</w:t>
      </w:r>
      <w:r>
        <w:rPr>
          <w:rFonts w:ascii="Arial" w:cs="Arial" w:eastAsia="Arial" w:hAnsi="Arial"/>
          <w:sz w:val="18"/>
          <w:szCs w:val="18"/>
          <w:color w:val="auto"/>
        </w:rPr>
        <w:t xml:space="preserve">, an action taken by Seller or any of the Mesquite Sky Entities in accordance with </w:t>
      </w:r>
      <w:r>
        <w:rPr>
          <w:rFonts w:ascii="Arial" w:cs="Arial" w:eastAsia="Arial" w:hAnsi="Arial"/>
          <w:sz w:val="18"/>
          <w:szCs w:val="18"/>
          <w:i w:val="1"/>
          <w:iCs w:val="1"/>
          <w:color w:val="auto"/>
        </w:rPr>
        <w:t>Section 5.12</w:t>
      </w:r>
      <w:r>
        <w:rPr>
          <w:rFonts w:ascii="Arial" w:cs="Arial" w:eastAsia="Arial" w:hAnsi="Arial"/>
          <w:sz w:val="18"/>
          <w:szCs w:val="18"/>
          <w:color w:val="auto"/>
        </w:rPr>
        <w:t xml:space="preserve"> shall in no event be deemed a breach of this </w:t>
      </w:r>
      <w:r>
        <w:rPr>
          <w:rFonts w:ascii="Arial" w:cs="Arial" w:eastAsia="Arial" w:hAnsi="Arial"/>
          <w:sz w:val="18"/>
          <w:szCs w:val="18"/>
          <w:i w:val="1"/>
          <w:iCs w:val="1"/>
          <w:color w:val="auto"/>
        </w:rPr>
        <w:t>Section 5.04</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5.05. </w:t>
      </w:r>
      <w:r>
        <w:rPr>
          <w:rFonts w:ascii="Arial" w:cs="Arial" w:eastAsia="Arial" w:hAnsi="Arial"/>
          <w:sz w:val="18"/>
          <w:szCs w:val="18"/>
          <w:b w:val="1"/>
          <w:bCs w:val="1"/>
          <w:i w:val="1"/>
          <w:iCs w:val="1"/>
          <w:color w:val="auto"/>
        </w:rPr>
        <w:t>Fulfillment of Conditions</w:t>
      </w:r>
      <w:r>
        <w:rPr>
          <w:rFonts w:ascii="Arial" w:cs="Arial" w:eastAsia="Arial" w:hAnsi="Arial"/>
          <w:sz w:val="18"/>
          <w:szCs w:val="18"/>
          <w:color w:val="auto"/>
        </w:rPr>
        <w:t>. Each Party shall take all commercially reasonable steps necessary or desirable, and proceed diligently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to satisfy each other condition to the obligations of the other Party contained in this Agreement.</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5.06. </w:t>
      </w:r>
      <w:r>
        <w:rPr>
          <w:rFonts w:ascii="Arial" w:cs="Arial" w:eastAsia="Arial" w:hAnsi="Arial"/>
          <w:sz w:val="16"/>
          <w:szCs w:val="16"/>
          <w:b w:val="1"/>
          <w:bCs w:val="1"/>
          <w:i w:val="1"/>
          <w:iCs w:val="1"/>
          <w:color w:val="auto"/>
        </w:rPr>
        <w:t>Further Assurances</w:t>
      </w:r>
      <w:r>
        <w:rPr>
          <w:rFonts w:ascii="Arial" w:cs="Arial" w:eastAsia="Arial" w:hAnsi="Arial"/>
          <w:sz w:val="16"/>
          <w:szCs w:val="16"/>
          <w:color w:val="auto"/>
        </w:rPr>
        <w:t>. From the Execution Date until the earlier of the termination of this Agreement or the Second Closing, each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From the Execution Date until the earlier of the termination of this Agreement or the Second Closing,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Arial" w:cs="Arial" w:eastAsia="Arial" w:hAnsi="Arial"/>
          <w:sz w:val="16"/>
          <w:szCs w:val="16"/>
          <w:i w:val="1"/>
          <w:iCs w:val="1"/>
          <w:color w:val="auto"/>
        </w:rPr>
        <w:t>Section 5.06</w:t>
      </w:r>
      <w:r>
        <w:rPr>
          <w:rFonts w:ascii="Arial" w:cs="Arial" w:eastAsia="Arial" w:hAnsi="Arial"/>
          <w:sz w:val="16"/>
          <w:szCs w:val="16"/>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6"/>
          <w:szCs w:val="16"/>
          <w:i w:val="1"/>
          <w:iCs w:val="1"/>
          <w:color w:val="auto"/>
        </w:rPr>
        <w:t>Section 5.06</w:t>
      </w:r>
      <w:r>
        <w:rPr>
          <w:rFonts w:ascii="Arial" w:cs="Arial" w:eastAsia="Arial" w:hAnsi="Arial"/>
          <w:sz w:val="16"/>
          <w:szCs w:val="16"/>
          <w:color w:val="auto"/>
        </w:rPr>
        <w:t xml:space="preserve"> shall not apply.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5.07.</w:t>
      </w:r>
      <w:r>
        <w:rPr>
          <w:sz w:val="20"/>
          <w:szCs w:val="20"/>
          <w:color w:val="auto"/>
        </w:rPr>
        <w:tab/>
      </w:r>
      <w:r>
        <w:rPr>
          <w:rFonts w:ascii="Arial" w:cs="Arial" w:eastAsia="Arial" w:hAnsi="Arial"/>
          <w:sz w:val="15"/>
          <w:szCs w:val="15"/>
          <w:b w:val="1"/>
          <w:bCs w:val="1"/>
          <w:i w:val="1"/>
          <w:iCs w:val="1"/>
          <w:color w:val="auto"/>
        </w:rPr>
        <w:t>Purchaser’s Substitute Support Obligations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2" w:lineRule="auto"/>
        <w:tabs>
          <w:tab w:leader="none" w:pos="1766"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Purchaser acknowledges that Seller and certain Affiliates have provided certain credit support pursuant to the support obligations and related agreements described on </w:t>
      </w:r>
      <w:r>
        <w:rPr>
          <w:rFonts w:ascii="Arial" w:cs="Arial" w:eastAsia="Arial" w:hAnsi="Arial"/>
          <w:sz w:val="17"/>
          <w:szCs w:val="17"/>
          <w:i w:val="1"/>
          <w:iCs w:val="1"/>
          <w:color w:val="auto"/>
        </w:rPr>
        <w:t>Schedule 3.01(y)</w:t>
      </w:r>
      <w:r>
        <w:rPr>
          <w:rFonts w:ascii="Arial" w:cs="Arial" w:eastAsia="Arial" w:hAnsi="Arial"/>
          <w:sz w:val="17"/>
          <w:szCs w:val="17"/>
          <w:color w:val="auto"/>
        </w:rPr>
        <w:t xml:space="preserve"> of the Disclosure Schedules (the “</w:t>
      </w:r>
      <w:r>
        <w:rPr>
          <w:rFonts w:ascii="Arial" w:cs="Arial" w:eastAsia="Arial" w:hAnsi="Arial"/>
          <w:sz w:val="17"/>
          <w:szCs w:val="17"/>
          <w:i w:val="1"/>
          <w:iCs w:val="1"/>
          <w:color w:val="auto"/>
        </w:rPr>
        <w:t>Support Obligations</w:t>
      </w:r>
      <w:r>
        <w:rPr>
          <w:rFonts w:ascii="Arial" w:cs="Arial" w:eastAsia="Arial" w:hAnsi="Arial"/>
          <w:sz w:val="17"/>
          <w:szCs w:val="17"/>
          <w:color w:val="auto"/>
        </w:rPr>
        <w:t>”). From the Execution Date and continuing until the earlier of the termination of this Agreement or the replacement and/or release of each Support Obligation, Purchaser shall use commercially reasonable efforts to negotiate a replacement of each Support Obligations (each, a “</w:t>
      </w:r>
      <w:r>
        <w:rPr>
          <w:rFonts w:ascii="Arial" w:cs="Arial" w:eastAsia="Arial" w:hAnsi="Arial"/>
          <w:sz w:val="17"/>
          <w:szCs w:val="17"/>
          <w:i w:val="1"/>
          <w:iCs w:val="1"/>
          <w:color w:val="auto"/>
        </w:rPr>
        <w:t>Substitute Support Obligation</w:t>
      </w:r>
      <w:r>
        <w:rPr>
          <w:rFonts w:ascii="Arial" w:cs="Arial" w:eastAsia="Arial" w:hAnsi="Arial"/>
          <w:sz w:val="17"/>
          <w:szCs w:val="17"/>
          <w:color w:val="auto"/>
        </w:rPr>
        <w:t>”) with the beneficiary thereof and/or to effect the complete and unconditional release of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Closing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1304"/>
        <w:spacing w:after="0" w:line="272" w:lineRule="auto"/>
        <w:tabs>
          <w:tab w:leader="none" w:pos="1776" w:val="left"/>
        </w:tabs>
        <w:numPr>
          <w:ilvl w:val="0"/>
          <w:numId w:val="67"/>
        </w:numPr>
        <w:rPr>
          <w:rFonts w:ascii="Arial" w:cs="Arial" w:eastAsia="Arial" w:hAnsi="Arial"/>
          <w:sz w:val="17"/>
          <w:szCs w:val="17"/>
          <w:color w:val="auto"/>
        </w:rPr>
      </w:pPr>
      <w:r>
        <w:rPr>
          <w:rFonts w:ascii="Arial" w:cs="Arial" w:eastAsia="Arial" w:hAnsi="Arial"/>
          <w:sz w:val="17"/>
          <w:szCs w:val="17"/>
          <w:color w:val="auto"/>
        </w:rPr>
        <w:t>From the Execution Date and continuing until the earlier of (</w:t>
      </w:r>
      <w:r>
        <w:rPr>
          <w:rFonts w:ascii="Arial" w:cs="Arial" w:eastAsia="Arial" w:hAnsi="Arial"/>
          <w:sz w:val="17"/>
          <w:szCs w:val="17"/>
          <w:i w:val="1"/>
          <w:iCs w:val="1"/>
          <w:color w:val="auto"/>
        </w:rPr>
        <w:t>i</w:t>
      </w:r>
      <w:r>
        <w:rPr>
          <w:rFonts w:ascii="Arial" w:cs="Arial" w:eastAsia="Arial" w:hAnsi="Arial"/>
          <w:sz w:val="17"/>
          <w:szCs w:val="17"/>
          <w:color w:val="auto"/>
        </w:rPr>
        <w:t>) the termination of this Agreement, (</w:t>
      </w:r>
      <w:r>
        <w:rPr>
          <w:rFonts w:ascii="Arial" w:cs="Arial" w:eastAsia="Arial" w:hAnsi="Arial"/>
          <w:sz w:val="17"/>
          <w:szCs w:val="17"/>
          <w:i w:val="1"/>
          <w:iCs w:val="1"/>
          <w:color w:val="auto"/>
        </w:rPr>
        <w:t>ii</w:t>
      </w:r>
      <w:r>
        <w:rPr>
          <w:rFonts w:ascii="Arial" w:cs="Arial" w:eastAsia="Arial" w:hAnsi="Arial"/>
          <w:sz w:val="17"/>
          <w:szCs w:val="17"/>
          <w:color w:val="auto"/>
        </w:rPr>
        <w:t>) the effective date of the applicable Substitute Support Obligation, and (</w:t>
      </w:r>
      <w:r>
        <w:rPr>
          <w:rFonts w:ascii="Arial" w:cs="Arial" w:eastAsia="Arial" w:hAnsi="Arial"/>
          <w:sz w:val="17"/>
          <w:szCs w:val="17"/>
          <w:i w:val="1"/>
          <w:iCs w:val="1"/>
          <w:color w:val="auto"/>
        </w:rPr>
        <w:t>iii</w:t>
      </w:r>
      <w:r>
        <w:rPr>
          <w:rFonts w:ascii="Arial" w:cs="Arial" w:eastAsia="Arial" w:hAnsi="Arial"/>
          <w:sz w:val="17"/>
          <w:szCs w:val="17"/>
          <w:color w:val="auto"/>
        </w:rPr>
        <w:t>) the date such Support Obligation is no longer required to be maintained under the applicable Company Contract, Seller shall, and shall cause its Affiliates to, (</w:t>
      </w:r>
      <w:r>
        <w:rPr>
          <w:rFonts w:ascii="Arial" w:cs="Arial" w:eastAsia="Arial" w:hAnsi="Arial"/>
          <w:sz w:val="17"/>
          <w:szCs w:val="17"/>
          <w:i w:val="1"/>
          <w:iCs w:val="1"/>
          <w:color w:val="auto"/>
        </w:rPr>
        <w:t>x</w:t>
      </w:r>
      <w:r>
        <w:rPr>
          <w:rFonts w:ascii="Arial" w:cs="Arial" w:eastAsia="Arial" w:hAnsi="Arial"/>
          <w:sz w:val="17"/>
          <w:szCs w:val="17"/>
          <w:color w:val="auto"/>
        </w:rPr>
        <w:t>) maintain each Support Obligation in full force and effect in accordance with the requirements under the applicable Company Contract, (</w:t>
      </w:r>
      <w:r>
        <w:rPr>
          <w:rFonts w:ascii="Arial" w:cs="Arial" w:eastAsia="Arial" w:hAnsi="Arial"/>
          <w:sz w:val="17"/>
          <w:szCs w:val="17"/>
          <w:i w:val="1"/>
          <w:iCs w:val="1"/>
          <w:color w:val="auto"/>
        </w:rPr>
        <w:t>y</w:t>
      </w:r>
      <w:r>
        <w:rPr>
          <w:rFonts w:ascii="Arial" w:cs="Arial" w:eastAsia="Arial" w:hAnsi="Arial"/>
          <w:sz w:val="17"/>
          <w:szCs w:val="17"/>
          <w:color w:val="auto"/>
        </w:rPr>
        <w:t>) perform all of its obligations under each Support Obligation and (</w:t>
      </w:r>
      <w:r>
        <w:rPr>
          <w:rFonts w:ascii="Arial" w:cs="Arial" w:eastAsia="Arial" w:hAnsi="Arial"/>
          <w:sz w:val="17"/>
          <w:szCs w:val="17"/>
          <w:i w:val="1"/>
          <w:iCs w:val="1"/>
          <w:color w:val="auto"/>
        </w:rPr>
        <w:t>z</w:t>
      </w:r>
      <w:r>
        <w:rPr>
          <w:rFonts w:ascii="Arial" w:cs="Arial" w:eastAsia="Arial" w:hAnsi="Arial"/>
          <w:sz w:val="17"/>
          <w:szCs w:val="17"/>
          <w:color w:val="auto"/>
        </w:rPr>
        <w:t xml:space="preserve">) not amend, modify, grant a waiver in respect of, cancel or consent to the termination of such Support Obligation;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solely to the extent that a Support Obligation cannot be released, terminated or replaced by Purchaser at or prior to the Closing (a “</w:t>
      </w:r>
      <w:r>
        <w:rPr>
          <w:rFonts w:ascii="Arial" w:cs="Arial" w:eastAsia="Arial" w:hAnsi="Arial"/>
          <w:sz w:val="17"/>
          <w:szCs w:val="17"/>
          <w:i w:val="1"/>
          <w:iCs w:val="1"/>
          <w:color w:val="auto"/>
        </w:rPr>
        <w:t>Retained Support Obligation</w:t>
      </w:r>
      <w:r>
        <w:rPr>
          <w:rFonts w:ascii="Arial" w:cs="Arial" w:eastAsia="Arial" w:hAnsi="Arial"/>
          <w:sz w:val="17"/>
          <w:szCs w:val="17"/>
          <w:color w:val="auto"/>
        </w:rPr>
        <w:t xml:space="preserve">”), subject to </w:t>
      </w:r>
      <w:r>
        <w:rPr>
          <w:rFonts w:ascii="Arial" w:cs="Arial" w:eastAsia="Arial" w:hAnsi="Arial"/>
          <w:sz w:val="17"/>
          <w:szCs w:val="17"/>
          <w:i w:val="1"/>
          <w:iCs w:val="1"/>
          <w:color w:val="auto"/>
        </w:rPr>
        <w:t>Section 5.07(c)</w:t>
      </w:r>
      <w:r>
        <w:rPr>
          <w:rFonts w:ascii="Arial" w:cs="Arial" w:eastAsia="Arial" w:hAnsi="Arial"/>
          <w:sz w:val="17"/>
          <w:szCs w:val="17"/>
          <w:color w:val="auto"/>
        </w:rPr>
        <w:t xml:space="preserve"> below, Seller shall, and shall cause its Affiliates to, perform its obligations with respect to such Retained Support Obligation.</w:t>
      </w:r>
    </w:p>
    <w:p>
      <w:pPr>
        <w:spacing w:after="0" w:line="177" w:lineRule="exact"/>
        <w:rPr>
          <w:rFonts w:ascii="Arial" w:cs="Arial" w:eastAsia="Arial" w:hAnsi="Arial"/>
          <w:sz w:val="17"/>
          <w:szCs w:val="17"/>
          <w:color w:val="auto"/>
        </w:rPr>
      </w:pPr>
    </w:p>
    <w:p>
      <w:pPr>
        <w:jc w:val="both"/>
        <w:ind w:firstLine="1304"/>
        <w:spacing w:after="0" w:line="270" w:lineRule="auto"/>
        <w:tabs>
          <w:tab w:leader="none" w:pos="1762"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the extent there is a Retained Support Obligation, Purchaser shall (</w:t>
      </w:r>
      <w:r>
        <w:rPr>
          <w:rFonts w:ascii="Arial" w:cs="Arial" w:eastAsia="Arial" w:hAnsi="Arial"/>
          <w:sz w:val="17"/>
          <w:szCs w:val="17"/>
          <w:i w:val="1"/>
          <w:iCs w:val="1"/>
          <w:color w:val="auto"/>
        </w:rPr>
        <w:t>i</w:t>
      </w:r>
      <w:r>
        <w:rPr>
          <w:rFonts w:ascii="Arial" w:cs="Arial" w:eastAsia="Arial" w:hAnsi="Arial"/>
          <w:sz w:val="17"/>
          <w:szCs w:val="17"/>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the Company or the Mesquite Sky Entities conducted, existing or arising after the Closing (including as a result of any draw or demand for or making of any payment by Seller or any such Affiliate of Seller under any Support Obligation), (</w:t>
      </w:r>
      <w:r>
        <w:rPr>
          <w:rFonts w:ascii="Arial" w:cs="Arial" w:eastAsia="Arial" w:hAnsi="Arial"/>
          <w:sz w:val="17"/>
          <w:szCs w:val="17"/>
          <w:i w:val="1"/>
          <w:iCs w:val="1"/>
          <w:color w:val="auto"/>
        </w:rPr>
        <w:t>ii</w:t>
      </w:r>
      <w:r>
        <w:rPr>
          <w:rFonts w:ascii="Arial" w:cs="Arial" w:eastAsia="Arial" w:hAnsi="Arial"/>
          <w:sz w:val="17"/>
          <w:szCs w:val="17"/>
          <w:color w:val="auto"/>
        </w:rPr>
        <w:t>) diligently continue to seek the release, termination and replacement of such Support Obligation, and (</w:t>
      </w:r>
      <w:r>
        <w:rPr>
          <w:rFonts w:ascii="Arial" w:cs="Arial" w:eastAsia="Arial" w:hAnsi="Arial"/>
          <w:sz w:val="17"/>
          <w:szCs w:val="17"/>
          <w:i w:val="1"/>
          <w:iCs w:val="1"/>
          <w:color w:val="auto"/>
        </w:rPr>
        <w:t>iii</w:t>
      </w:r>
      <w:r>
        <w:rPr>
          <w:rFonts w:ascii="Arial" w:cs="Arial" w:eastAsia="Arial" w:hAnsi="Arial"/>
          <w:sz w:val="17"/>
          <w:szCs w:val="17"/>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Purchaser’s indemnification obligations under clause (i) shall not affect Seller’s indemnification obligations under </w:t>
      </w:r>
      <w:r>
        <w:rPr>
          <w:rFonts w:ascii="Arial" w:cs="Arial" w:eastAsia="Arial" w:hAnsi="Arial"/>
          <w:sz w:val="17"/>
          <w:szCs w:val="17"/>
          <w:i w:val="1"/>
          <w:iCs w:val="1"/>
          <w:color w:val="auto"/>
        </w:rPr>
        <w:t>Section 5.07(d)</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6.01</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304"/>
        <w:spacing w:after="0" w:line="255" w:lineRule="auto"/>
        <w:tabs>
          <w:tab w:leader="none" w:pos="17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the Company or the Mesquite Sky Entities conducted, existing or arising at or prior to the Closing (including as a result of any draw or demand for or making of any payment by Purchaser or any such Affiliate of Purchaser under any Substitute Support Obligation).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5.08.</w:t>
      </w:r>
      <w:r>
        <w:rPr>
          <w:sz w:val="20"/>
          <w:szCs w:val="20"/>
          <w:color w:val="auto"/>
        </w:rPr>
        <w:tab/>
      </w:r>
      <w:r>
        <w:rPr>
          <w:rFonts w:ascii="Arial" w:cs="Arial" w:eastAsia="Arial" w:hAnsi="Arial"/>
          <w:sz w:val="16"/>
          <w:szCs w:val="16"/>
          <w:b w:val="1"/>
          <w:bCs w:val="1"/>
          <w:i w:val="1"/>
          <w:iCs w:val="1"/>
          <w:color w:val="auto"/>
        </w:rPr>
        <w:t>Tax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96" w:lineRule="auto"/>
        <w:tabs>
          <w:tab w:leader="none" w:pos="1756"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sales, use transfer, controlling interest transfer, recording, stock transfer, real property transfer, value-added and other similar Taxes and fees (“</w:t>
      </w:r>
      <w:r>
        <w:rPr>
          <w:rFonts w:ascii="Arial" w:cs="Arial" w:eastAsia="Arial" w:hAnsi="Arial"/>
          <w:sz w:val="16"/>
          <w:szCs w:val="16"/>
          <w:i w:val="1"/>
          <w:iCs w:val="1"/>
          <w:color w:val="auto"/>
        </w:rPr>
        <w:t>Transfer Taxes</w:t>
      </w:r>
      <w:r>
        <w:rPr>
          <w:rFonts w:ascii="Arial" w:cs="Arial" w:eastAsia="Arial" w:hAnsi="Arial"/>
          <w:sz w:val="16"/>
          <w:szCs w:val="16"/>
          <w:color w:val="auto"/>
        </w:rPr>
        <w:t>”), if any, arising out of or in connection with the consummation of the transactions contemplated by this Agreement shall be shared equally by Purchaser and Seller. Tax Returns that must be filed in connection with such Transfer Taxes shall be prepared and filed by the Party primarily or customarily responsible under applicable local Law for filing such Tax Returns, and such Party will use commercially reasonable efforts to provide such Tax Returns to the other Party at least ten (10) business days prior to the date such Tax Returns are due to be filed.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1304"/>
        <w:spacing w:after="0" w:line="267" w:lineRule="auto"/>
        <w:tabs>
          <w:tab w:leader="none" w:pos="1766"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real property Taxes, personal property Taxes and similar obligations of the Company and Mesquite Sky Entities imposed by any Governmental Authority that are due or become due for Tax periods within which the Closing Date occurs shall be apportioned between Seller for the pre- Closing Date period (which shall include the Closing Date), on the one hand, and the Company (or the applicable Mesquite Sky Entity) for the post-Closing Date period, on the other hand, as of the Closing Date, based upon the actual number of days of the Tax period that have elapsed before and after the Closing Date, and any income Taxes imposed on the Company and the Mesquite Sky Entities shall be allocated between the pre-Closing Date period and the post-Closing Date period as though a taxable year of the Company and the Mesquite Sky Entities (as applicable) has ended on (and includes) the Closing Date (collectively, the “</w:t>
      </w:r>
      <w:r>
        <w:rPr>
          <w:rFonts w:ascii="Arial" w:cs="Arial" w:eastAsia="Arial" w:hAnsi="Arial"/>
          <w:sz w:val="17"/>
          <w:szCs w:val="17"/>
          <w:i w:val="1"/>
          <w:iCs w:val="1"/>
          <w:color w:val="auto"/>
        </w:rPr>
        <w:t>Apportioned Obligations</w:t>
      </w:r>
      <w:r>
        <w:rPr>
          <w:rFonts w:ascii="Arial" w:cs="Arial" w:eastAsia="Arial" w:hAnsi="Arial"/>
          <w:sz w:val="17"/>
          <w:szCs w:val="17"/>
          <w:color w:val="auto"/>
        </w:rPr>
        <w:t xml:space="preserve">”). Seller shall be responsible for the portion of such Apportioned Obligations attributable to the period ending on (and including) the Closing Date. The Company (or the applicable Mesquite Sky Entity)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Company (or the applicable Mesquite Sky Entity) pursuant to the preceding sentence shall be paid by the Company (or the applicable Mesquite Sky Entity). If any refund, rebate or similar payment is received by the Company or the Mesquite Sky Entities for any real property Taxes, personal property Taxes or similar obligations referred to above that are Apportioned Obligations, such refund shall be apportioned between Seller and the Company (or the applicable Mesquite Sky Entity) as aforesaid on the basis of the obligations of the Company and the Mesquite Sky Entities during the applicable Tax period. Any refund, rebate or similar payment received by the Company or a Mesquite Sky Entity for any income Tax or Transfer Tax (other than Transfer Taxes governed under </w:t>
      </w:r>
      <w:r>
        <w:rPr>
          <w:rFonts w:ascii="Arial" w:cs="Arial" w:eastAsia="Arial" w:hAnsi="Arial"/>
          <w:sz w:val="17"/>
          <w:szCs w:val="17"/>
          <w:i w:val="1"/>
          <w:iCs w:val="1"/>
          <w:color w:val="auto"/>
        </w:rPr>
        <w:t>Section 5.08(a)</w:t>
      </w:r>
      <w:r>
        <w:rPr>
          <w:rFonts w:ascii="Arial" w:cs="Arial" w:eastAsia="Arial" w:hAnsi="Arial"/>
          <w:sz w:val="17"/>
          <w:szCs w:val="17"/>
          <w:color w:val="auto"/>
        </w:rPr>
        <w:t>) attributable to the pre-Closing Date period, as determined above, shall be for the benefit of Seller; and any such refund, rebate or similar payment attributable to the post-Closing Date period, as determined above, shall be for the benefit of the Company (or the applicable Mesquite Sky Entity).</w:t>
      </w:r>
    </w:p>
    <w:p>
      <w:pPr>
        <w:spacing w:after="0" w:line="189" w:lineRule="exact"/>
        <w:rPr>
          <w:rFonts w:ascii="Arial" w:cs="Arial" w:eastAsia="Arial" w:hAnsi="Arial"/>
          <w:sz w:val="17"/>
          <w:szCs w:val="17"/>
          <w:color w:val="auto"/>
        </w:rPr>
      </w:pPr>
    </w:p>
    <w:p>
      <w:pPr>
        <w:jc w:val="both"/>
        <w:ind w:firstLine="1304"/>
        <w:spacing w:after="0" w:line="296" w:lineRule="auto"/>
        <w:tabs>
          <w:tab w:leader="none" w:pos="1766"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any Taxes with respect to which the taxable period of the Company or the Mesquite Sky Entities (as applicable) ends on or before the Closing Date, Seller shall, at its sole cost and expense, timely prepare and file with the appropriate authorities all Tax Returns required to be filed by the Company and the Mesquite Sky Entities (as applicable), and pay or cause to be paid all Taxes shown to be due thereon. After the Closing Date, the Company shall, at its sole cost and expense, timely prepare and file, or cause to be timely prepared and filed, with the appropriate authorities all other Tax Returns required to be filed by the Company and the Mesquite Sky Entities, as applicable, and pay all Taxes shown to be due thereon.</w:t>
      </w:r>
    </w:p>
    <w:p>
      <w:pPr>
        <w:spacing w:after="0" w:line="161" w:lineRule="exact"/>
        <w:rPr>
          <w:rFonts w:ascii="Arial" w:cs="Arial" w:eastAsia="Arial" w:hAnsi="Arial"/>
          <w:sz w:val="16"/>
          <w:szCs w:val="16"/>
          <w:color w:val="auto"/>
        </w:rPr>
      </w:pPr>
    </w:p>
    <w:p>
      <w:pPr>
        <w:jc w:val="both"/>
        <w:ind w:firstLine="1304"/>
        <w:spacing w:after="0" w:line="259" w:lineRule="auto"/>
        <w:tabs>
          <w:tab w:leader="none" w:pos="17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Seller and Purchaser shall reasonably cooperate, and shall cause their respective Affiliates, employees and agents reasonably to cooperate, in preparing and filing all Tax Returns of the Company and applicable Mesquite Sky Entities, including maintaining and making available to each other all records that are necessary for the preparation of any Tax Returns that the Party is required to file under this </w:t>
      </w:r>
      <w:r>
        <w:rPr>
          <w:rFonts w:ascii="Arial" w:cs="Arial" w:eastAsia="Arial" w:hAnsi="Arial"/>
          <w:sz w:val="18"/>
          <w:szCs w:val="18"/>
          <w:i w:val="1"/>
          <w:iCs w:val="1"/>
          <w:color w:val="auto"/>
        </w:rPr>
        <w:t>Section 5.08</w:t>
      </w:r>
      <w:r>
        <w:rPr>
          <w:rFonts w:ascii="Arial" w:cs="Arial" w:eastAsia="Arial" w:hAnsi="Arial"/>
          <w:sz w:val="18"/>
          <w:szCs w:val="18"/>
          <w:color w:val="auto"/>
        </w:rPr>
        <w:t>, and in resolving all Actions or Proceedings, and audits or examinations with respect to such Tax Returns.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5.09. </w:t>
      </w:r>
      <w:r>
        <w:rPr>
          <w:rFonts w:ascii="Arial" w:cs="Arial" w:eastAsia="Arial" w:hAnsi="Arial"/>
          <w:sz w:val="17"/>
          <w:szCs w:val="17"/>
          <w:b w:val="1"/>
          <w:bCs w:val="1"/>
          <w:i w:val="1"/>
          <w:iCs w:val="1"/>
          <w:color w:val="auto"/>
        </w:rPr>
        <w:t>No Solicitation</w:t>
      </w:r>
      <w:r>
        <w:rPr>
          <w:rFonts w:ascii="Arial" w:cs="Arial" w:eastAsia="Arial" w:hAnsi="Arial"/>
          <w:sz w:val="17"/>
          <w:szCs w:val="17"/>
          <w:color w:val="auto"/>
        </w:rPr>
        <w:t>. Until the Closing, Seller shall not, and shall not authorize or permit the Company, the Mesquite Sky Entities, any of its or</w:t>
      </w:r>
      <w:r>
        <w:rPr>
          <w:rFonts w:ascii="Arial" w:cs="Arial" w:eastAsia="Arial" w:hAnsi="Arial"/>
          <w:sz w:val="17"/>
          <w:szCs w:val="17"/>
          <w:b w:val="1"/>
          <w:bCs w:val="1"/>
          <w:color w:val="auto"/>
        </w:rPr>
        <w:t xml:space="preserve"> </w:t>
      </w:r>
      <w:r>
        <w:rPr>
          <w:rFonts w:ascii="Arial" w:cs="Arial" w:eastAsia="Arial" w:hAnsi="Arial"/>
          <w:sz w:val="17"/>
          <w:szCs w:val="17"/>
          <w:color w:val="auto"/>
        </w:rPr>
        <w:t>their Affiliates or any of its or their Representatives to, directly or indirectly, (</w:t>
      </w:r>
      <w:r>
        <w:rPr>
          <w:rFonts w:ascii="Arial" w:cs="Arial" w:eastAsia="Arial" w:hAnsi="Arial"/>
          <w:sz w:val="17"/>
          <w:szCs w:val="17"/>
          <w:i w:val="1"/>
          <w:iCs w:val="1"/>
          <w:color w:val="auto"/>
        </w:rPr>
        <w:t>a</w:t>
      </w:r>
      <w:r>
        <w:rPr>
          <w:rFonts w:ascii="Arial" w:cs="Arial" w:eastAsia="Arial" w:hAnsi="Arial"/>
          <w:sz w:val="17"/>
          <w:szCs w:val="17"/>
          <w:color w:val="auto"/>
        </w:rPr>
        <w:t>) encourage, solicit, initiate, facilitate or continue inquiries regarding an Acquisition Proposal, (</w:t>
      </w:r>
      <w:r>
        <w:rPr>
          <w:rFonts w:ascii="Arial" w:cs="Arial" w:eastAsia="Arial" w:hAnsi="Arial"/>
          <w:sz w:val="17"/>
          <w:szCs w:val="17"/>
          <w:i w:val="1"/>
          <w:iCs w:val="1"/>
          <w:color w:val="auto"/>
        </w:rPr>
        <w:t>b</w:t>
      </w:r>
      <w:r>
        <w:rPr>
          <w:rFonts w:ascii="Arial" w:cs="Arial" w:eastAsia="Arial" w:hAnsi="Arial"/>
          <w:sz w:val="17"/>
          <w:szCs w:val="17"/>
          <w:color w:val="auto"/>
        </w:rPr>
        <w:t>) enter into discussions or negotiations with, or provide any information to, any Person concerning a possible Acquisition Proposal or (</w:t>
      </w:r>
      <w:r>
        <w:rPr>
          <w:rFonts w:ascii="Arial" w:cs="Arial" w:eastAsia="Arial" w:hAnsi="Arial"/>
          <w:sz w:val="17"/>
          <w:szCs w:val="17"/>
          <w:i w:val="1"/>
          <w:iCs w:val="1"/>
          <w:color w:val="auto"/>
        </w:rPr>
        <w:t>c</w:t>
      </w:r>
      <w:r>
        <w:rPr>
          <w:rFonts w:ascii="Arial" w:cs="Arial" w:eastAsia="Arial" w:hAnsi="Arial"/>
          <w:sz w:val="17"/>
          <w:szCs w:val="17"/>
          <w:color w:val="auto"/>
        </w:rPr>
        <w:t>) enter into any agreements or other instruments (whether or not binding) regarding an Acquisition Proposal. Seller shall immediately cease and cause to be terminated, and shall cause the Company, the Mesquite Sky Entities, any of its and their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7"/>
          <w:szCs w:val="17"/>
          <w:i w:val="1"/>
          <w:iCs w:val="1"/>
          <w:color w:val="auto"/>
        </w:rPr>
        <w:t>Acquisition Proposal</w:t>
      </w:r>
      <w:r>
        <w:rPr>
          <w:rFonts w:ascii="Arial" w:cs="Arial" w:eastAsia="Arial" w:hAnsi="Arial"/>
          <w:sz w:val="17"/>
          <w:szCs w:val="17"/>
          <w:color w:val="auto"/>
        </w:rPr>
        <w:t>” shall mean (other than with respect to the transactions contemplated by the Tax Equity Agreement, the Financing Documents and the HASI Purchase Agreement) any inquiry, proposal or offer from any Person concerning (</w:t>
      </w:r>
      <w:r>
        <w:rPr>
          <w:rFonts w:ascii="Arial" w:cs="Arial" w:eastAsia="Arial" w:hAnsi="Arial"/>
          <w:sz w:val="17"/>
          <w:szCs w:val="17"/>
          <w:i w:val="1"/>
          <w:iCs w:val="1"/>
          <w:color w:val="auto"/>
        </w:rPr>
        <w:t>i</w:t>
      </w:r>
      <w:r>
        <w:rPr>
          <w:rFonts w:ascii="Arial" w:cs="Arial" w:eastAsia="Arial" w:hAnsi="Arial"/>
          <w:sz w:val="17"/>
          <w:szCs w:val="17"/>
          <w:color w:val="auto"/>
        </w:rPr>
        <w:t>) a merger, consolidation, liquidation, recapitalization, share exchange or other business combination transaction involving the Company or the Mesquite Sky Entities, (</w:t>
      </w:r>
      <w:r>
        <w:rPr>
          <w:rFonts w:ascii="Arial" w:cs="Arial" w:eastAsia="Arial" w:hAnsi="Arial"/>
          <w:sz w:val="17"/>
          <w:szCs w:val="17"/>
          <w:i w:val="1"/>
          <w:iCs w:val="1"/>
          <w:color w:val="auto"/>
        </w:rPr>
        <w:t>ii</w:t>
      </w:r>
      <w:r>
        <w:rPr>
          <w:rFonts w:ascii="Arial" w:cs="Arial" w:eastAsia="Arial" w:hAnsi="Arial"/>
          <w:sz w:val="17"/>
          <w:szCs w:val="17"/>
          <w:color w:val="auto"/>
        </w:rPr>
        <w:t>) the issuance or acquisition of equity securities of the Company or the Mesquite Sky Entities, or (</w:t>
      </w:r>
      <w:r>
        <w:rPr>
          <w:rFonts w:ascii="Arial" w:cs="Arial" w:eastAsia="Arial" w:hAnsi="Arial"/>
          <w:sz w:val="17"/>
          <w:szCs w:val="17"/>
          <w:i w:val="1"/>
          <w:iCs w:val="1"/>
          <w:color w:val="auto"/>
        </w:rPr>
        <w:t>iii</w:t>
      </w:r>
      <w:r>
        <w:rPr>
          <w:rFonts w:ascii="Arial" w:cs="Arial" w:eastAsia="Arial" w:hAnsi="Arial"/>
          <w:sz w:val="17"/>
          <w:szCs w:val="17"/>
          <w:color w:val="auto"/>
        </w:rPr>
        <w:t>) the sale, lease, exchange or other disposition of any significant portion of the Company’s or the Mesquite Sky Entities’ properties or assets.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660"/>
        <w:spacing w:after="0"/>
        <w:tabs>
          <w:tab w:leader="none" w:pos="128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i w:val="1"/>
          <w:iCs w:val="1"/>
          <w:color w:val="auto"/>
        </w:rPr>
        <w:t>[Reserved</w:t>
      </w:r>
      <w:r>
        <w:rPr>
          <w:rFonts w:ascii="Arial" w:cs="Arial" w:eastAsia="Arial" w:hAnsi="Arial"/>
          <w:sz w:val="15"/>
          <w:szCs w:val="15"/>
          <w:i w:val="1"/>
          <w:iCs w:val="1"/>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i w:val="1"/>
          <w:iCs w:val="1"/>
          <w:color w:val="auto"/>
        </w:rPr>
        <w:t>Purchaser Parent Guaranty</w:t>
      </w:r>
      <w:r>
        <w:rPr>
          <w:rFonts w:ascii="Arial" w:cs="Arial" w:eastAsia="Arial" w:hAnsi="Arial"/>
          <w:sz w:val="18"/>
          <w:szCs w:val="18"/>
          <w:color w:val="auto"/>
        </w:rPr>
        <w:t>. Purchaser shall, concurrently with the execution and delivery of this Agreement, cause to be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Seller the Purchaser Parent Guaranty.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i w:val="1"/>
          <w:iCs w:val="1"/>
          <w:color w:val="auto"/>
        </w:rPr>
        <w:t>Post-Execution Date Documents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63" w:lineRule="auto"/>
        <w:tabs>
          <w:tab w:leader="none" w:pos="17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soon as practicable (but, with respect to the Financing Documents, in no event later than January 29, 2021), Seller shall (or shall cause the Company and/or applicable Mesquite Sky Entity to) enter into the Financing Documents and the Ancillary Documents on the following terms and conditions:</w:t>
      </w:r>
    </w:p>
    <w:p>
      <w:pPr>
        <w:spacing w:after="0" w:line="183" w:lineRule="exact"/>
        <w:rPr>
          <w:rFonts w:ascii="Arial" w:cs="Arial" w:eastAsia="Arial" w:hAnsi="Arial"/>
          <w:sz w:val="18"/>
          <w:szCs w:val="18"/>
          <w:color w:val="auto"/>
        </w:rPr>
      </w:pPr>
    </w:p>
    <w:p>
      <w:pPr>
        <w:jc w:val="both"/>
        <w:ind w:left="660" w:firstLine="1292"/>
        <w:spacing w:after="0" w:line="293" w:lineRule="auto"/>
        <w:tabs>
          <w:tab w:leader="none" w:pos="2415" w:val="left"/>
        </w:tabs>
        <w:numPr>
          <w:ilvl w:val="1"/>
          <w:numId w:val="70"/>
        </w:numPr>
        <w:rPr>
          <w:rFonts w:ascii="Arial" w:cs="Arial" w:eastAsia="Arial" w:hAnsi="Arial"/>
          <w:sz w:val="16"/>
          <w:szCs w:val="16"/>
          <w:color w:val="auto"/>
        </w:rPr>
      </w:pPr>
      <w:r>
        <w:rPr>
          <w:rFonts w:ascii="Arial" w:cs="Arial" w:eastAsia="Arial" w:hAnsi="Arial"/>
          <w:sz w:val="16"/>
          <w:szCs w:val="16"/>
          <w:color w:val="auto"/>
        </w:rPr>
        <w:t>With respect to the Financing Agreement and the Tax Equity Agreement: (</w:t>
      </w:r>
      <w:r>
        <w:rPr>
          <w:rFonts w:ascii="Arial" w:cs="Arial" w:eastAsia="Arial" w:hAnsi="Arial"/>
          <w:sz w:val="16"/>
          <w:szCs w:val="16"/>
          <w:i w:val="1"/>
          <w:iCs w:val="1"/>
          <w:color w:val="auto"/>
        </w:rPr>
        <w:t>A</w:t>
      </w:r>
      <w:r>
        <w:rPr>
          <w:rFonts w:ascii="Arial" w:cs="Arial" w:eastAsia="Arial" w:hAnsi="Arial"/>
          <w:sz w:val="16"/>
          <w:szCs w:val="16"/>
          <w:color w:val="auto"/>
        </w:rPr>
        <w:t>) to the extent such Financing Document is in a form that deviates in any material respect from the latest form of such Financing Document provided to Purchaser prior to the Execution Date (provided that, for the avoidance of doubt, any deviation in those certain conditions to the obligations of the Tax Equity Investor set forth in Article V of such form of Tax Equity Agreement shall be deemed a material deviation), enter into such Financing Document only upon the prior written consent of Purchaser; or (</w:t>
      </w:r>
      <w:r>
        <w:rPr>
          <w:rFonts w:ascii="Arial" w:cs="Arial" w:eastAsia="Arial" w:hAnsi="Arial"/>
          <w:sz w:val="16"/>
          <w:szCs w:val="16"/>
          <w:i w:val="1"/>
          <w:iCs w:val="1"/>
          <w:color w:val="auto"/>
        </w:rPr>
        <w:t>B</w:t>
      </w:r>
      <w:r>
        <w:rPr>
          <w:rFonts w:ascii="Arial" w:cs="Arial" w:eastAsia="Arial" w:hAnsi="Arial"/>
          <w:sz w:val="16"/>
          <w:szCs w:val="16"/>
          <w:color w:val="auto"/>
        </w:rPr>
        <w:t>) to the extent such Financing Document is not otherwise subject to the terms and conditions of the foregoing clause (A), enter into such Financing Document without the necessity of Purchaser’s prior consent in any respect; and</w:t>
      </w:r>
    </w:p>
    <w:p>
      <w:pPr>
        <w:spacing w:after="0" w:line="164" w:lineRule="exact"/>
        <w:rPr>
          <w:rFonts w:ascii="Arial" w:cs="Arial" w:eastAsia="Arial" w:hAnsi="Arial"/>
          <w:sz w:val="16"/>
          <w:szCs w:val="16"/>
          <w:color w:val="auto"/>
        </w:rPr>
      </w:pPr>
    </w:p>
    <w:p>
      <w:pPr>
        <w:jc w:val="both"/>
        <w:ind w:left="660" w:firstLine="1292"/>
        <w:spacing w:after="0" w:line="273" w:lineRule="auto"/>
        <w:tabs>
          <w:tab w:leader="none" w:pos="2442" w:val="left"/>
        </w:tabs>
        <w:numPr>
          <w:ilvl w:val="1"/>
          <w:numId w:val="70"/>
        </w:numPr>
        <w:rPr>
          <w:rFonts w:ascii="Arial" w:cs="Arial" w:eastAsia="Arial" w:hAnsi="Arial"/>
          <w:sz w:val="17"/>
          <w:szCs w:val="17"/>
          <w:color w:val="auto"/>
        </w:rPr>
      </w:pPr>
      <w:r>
        <w:rPr>
          <w:rFonts w:ascii="Arial" w:cs="Arial" w:eastAsia="Arial" w:hAnsi="Arial"/>
          <w:sz w:val="17"/>
          <w:szCs w:val="17"/>
          <w:color w:val="auto"/>
        </w:rPr>
        <w:t>With respect to each Ancillary Document: (</w:t>
      </w:r>
      <w:r>
        <w:rPr>
          <w:rFonts w:ascii="Arial" w:cs="Arial" w:eastAsia="Arial" w:hAnsi="Arial"/>
          <w:sz w:val="17"/>
          <w:szCs w:val="17"/>
          <w:i w:val="1"/>
          <w:iCs w:val="1"/>
          <w:color w:val="auto"/>
        </w:rPr>
        <w:t>A</w:t>
      </w:r>
      <w:r>
        <w:rPr>
          <w:rFonts w:ascii="Arial" w:cs="Arial" w:eastAsia="Arial" w:hAnsi="Arial"/>
          <w:sz w:val="17"/>
          <w:szCs w:val="17"/>
          <w:color w:val="auto"/>
        </w:rPr>
        <w:t>) to the extent such Ancillary Document is (</w:t>
      </w:r>
      <w:r>
        <w:rPr>
          <w:rFonts w:ascii="Arial" w:cs="Arial" w:eastAsia="Arial" w:hAnsi="Arial"/>
          <w:sz w:val="17"/>
          <w:szCs w:val="17"/>
          <w:i w:val="1"/>
          <w:iCs w:val="1"/>
          <w:color w:val="auto"/>
        </w:rPr>
        <w:t>1</w:t>
      </w:r>
      <w:r>
        <w:rPr>
          <w:rFonts w:ascii="Arial" w:cs="Arial" w:eastAsia="Arial" w:hAnsi="Arial"/>
          <w:sz w:val="17"/>
          <w:szCs w:val="17"/>
          <w:color w:val="auto"/>
        </w:rPr>
        <w:t xml:space="preserve">) material to the Company and/or applicable Mesquite Sky Entity and such Ancillary Document is not designated with an asterisk on </w:t>
      </w:r>
      <w:r>
        <w:rPr>
          <w:rFonts w:ascii="Arial" w:cs="Arial" w:eastAsia="Arial" w:hAnsi="Arial"/>
          <w:sz w:val="17"/>
          <w:szCs w:val="17"/>
          <w:i w:val="1"/>
          <w:iCs w:val="1"/>
          <w:color w:val="auto"/>
        </w:rPr>
        <w:t>Schedule 1.03</w:t>
      </w:r>
      <w:r>
        <w:rPr>
          <w:rFonts w:ascii="Arial" w:cs="Arial" w:eastAsia="Arial" w:hAnsi="Arial"/>
          <w:sz w:val="17"/>
          <w:szCs w:val="17"/>
          <w:color w:val="auto"/>
        </w:rPr>
        <w:t xml:space="preserve"> or (</w:t>
      </w:r>
      <w:r>
        <w:rPr>
          <w:rFonts w:ascii="Arial" w:cs="Arial" w:eastAsia="Arial" w:hAnsi="Arial"/>
          <w:sz w:val="17"/>
          <w:szCs w:val="17"/>
          <w:i w:val="1"/>
          <w:iCs w:val="1"/>
          <w:color w:val="auto"/>
        </w:rPr>
        <w:t>2</w:t>
      </w:r>
      <w:r>
        <w:rPr>
          <w:rFonts w:ascii="Arial" w:cs="Arial" w:eastAsia="Arial" w:hAnsi="Arial"/>
          <w:sz w:val="17"/>
          <w:szCs w:val="17"/>
          <w:color w:val="auto"/>
        </w:rPr>
        <w:t>) has been designated with an asterisk but deviates in any material respect from the latest form of such Ancillary Document provided to Purchaser prior to the Execution Date, enter into such Ancillary Document only upon the prior written consent of Purchaser (which consent shall not be unreasonably withheld or delayed); or (</w:t>
      </w:r>
      <w:r>
        <w:rPr>
          <w:rFonts w:ascii="Arial" w:cs="Arial" w:eastAsia="Arial" w:hAnsi="Arial"/>
          <w:sz w:val="17"/>
          <w:szCs w:val="17"/>
          <w:i w:val="1"/>
          <w:iCs w:val="1"/>
          <w:color w:val="auto"/>
        </w:rPr>
        <w:t>B</w:t>
      </w:r>
      <w:r>
        <w:rPr>
          <w:rFonts w:ascii="Arial" w:cs="Arial" w:eastAsia="Arial" w:hAnsi="Arial"/>
          <w:sz w:val="17"/>
          <w:szCs w:val="17"/>
          <w:color w:val="auto"/>
        </w:rPr>
        <w:t>) to the extent such Ancillary Document is not subject to the terms and conditions of the foregoing clause (A), enter into such Ancillary Document without the necessity of Purchaser’s consent in any respect.</w:t>
      </w:r>
    </w:p>
    <w:p>
      <w:pPr>
        <w:spacing w:after="0" w:line="177" w:lineRule="exact"/>
        <w:rPr>
          <w:rFonts w:ascii="Arial" w:cs="Arial" w:eastAsia="Arial" w:hAnsi="Arial"/>
          <w:sz w:val="17"/>
          <w:szCs w:val="17"/>
          <w:color w:val="auto"/>
        </w:rPr>
      </w:pPr>
    </w:p>
    <w:p>
      <w:pPr>
        <w:ind w:right="20" w:firstLine="1304"/>
        <w:spacing w:after="0" w:line="277" w:lineRule="auto"/>
        <w:tabs>
          <w:tab w:leader="none" w:pos="17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Following entry into any Financing Document or Ancillary Document, Seller shall promptly provide to Purchaser a true, complete and correct copy of such Contract or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6.01. </w:t>
      </w:r>
      <w:r>
        <w:rPr>
          <w:rFonts w:ascii="Arial" w:cs="Arial" w:eastAsia="Arial" w:hAnsi="Arial"/>
          <w:sz w:val="17"/>
          <w:szCs w:val="17"/>
          <w:b w:val="1"/>
          <w:bCs w:val="1"/>
          <w:i w:val="1"/>
          <w:iCs w:val="1"/>
          <w:color w:val="auto"/>
        </w:rPr>
        <w:t>Indemnification by Seller</w:t>
      </w:r>
      <w:r>
        <w:rPr>
          <w:rFonts w:ascii="Arial" w:cs="Arial" w:eastAsia="Arial" w:hAnsi="Arial"/>
          <w:sz w:val="17"/>
          <w:szCs w:val="17"/>
          <w:color w:val="auto"/>
        </w:rPr>
        <w:t>. Seller hereby indemnifies and holds harmless the Purchaser Indemnified Parties in respect of, and holds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them harmless from and against, any and all Losses suffered, incurred or sustained by any of them or to which any of them become subject, resulting from, arising out of or related to (</w:t>
      </w:r>
      <w:r>
        <w:rPr>
          <w:rFonts w:ascii="Arial" w:cs="Arial" w:eastAsia="Arial" w:hAnsi="Arial"/>
          <w:sz w:val="17"/>
          <w:szCs w:val="17"/>
          <w:i w:val="1"/>
          <w:iCs w:val="1"/>
          <w:color w:val="auto"/>
        </w:rPr>
        <w:t>a</w:t>
      </w:r>
      <w:r>
        <w:rPr>
          <w:rFonts w:ascii="Arial" w:cs="Arial" w:eastAsia="Arial" w:hAnsi="Arial"/>
          <w:sz w:val="17"/>
          <w:szCs w:val="17"/>
          <w:color w:val="auto"/>
        </w:rPr>
        <w:t>) any breach of any representation, warranty, covenant, agreement or obligation made by Seller in this Agreement or any certificate delivered by Seller pursuant to this Agreement, (</w:t>
      </w:r>
      <w:r>
        <w:rPr>
          <w:rFonts w:ascii="Arial" w:cs="Arial" w:eastAsia="Arial" w:hAnsi="Arial"/>
          <w:sz w:val="17"/>
          <w:szCs w:val="17"/>
          <w:i w:val="1"/>
          <w:iCs w:val="1"/>
          <w:color w:val="auto"/>
        </w:rPr>
        <w:t>b</w:t>
      </w:r>
      <w:r>
        <w:rPr>
          <w:rFonts w:ascii="Arial" w:cs="Arial" w:eastAsia="Arial" w:hAnsi="Arial"/>
          <w:sz w:val="17"/>
          <w:szCs w:val="17"/>
          <w:color w:val="auto"/>
        </w:rPr>
        <w:t xml:space="preserve">) the matters referenced on </w:t>
      </w:r>
      <w:r>
        <w:rPr>
          <w:rFonts w:ascii="Arial" w:cs="Arial" w:eastAsia="Arial" w:hAnsi="Arial"/>
          <w:sz w:val="17"/>
          <w:szCs w:val="17"/>
          <w:i w:val="1"/>
          <w:iCs w:val="1"/>
          <w:color w:val="auto"/>
        </w:rPr>
        <w:t>Schedule 6.01(b)</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w:t>
      </w:r>
      <w:r>
        <w:rPr>
          <w:rFonts w:ascii="Arial" w:cs="Arial" w:eastAsia="Arial" w:hAnsi="Arial"/>
          <w:sz w:val="17"/>
          <w:szCs w:val="17"/>
          <w:color w:val="auto"/>
        </w:rPr>
        <w:t>r, that the foregoing indemnity shall not apply to Losses to the extent caused by the gross negligence or willful misconduct of Purchaser Indemnified Parties or their agents, officers, employees or contractors (c) any payment obligations of the Class B Member under Section 11.1(a)(x) of the limited liability company agreement of TE Holdco or (d) any payment obligations under the Tax Equity Guaranty above the Guaranty Cap (as defined in the Tax Equity Guaranty) resulting from fraud, gross negligence or willful misconduct of Apex Clean Energy Holdings, LLC or any of its affiliates.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6.02. </w:t>
      </w:r>
      <w:r>
        <w:rPr>
          <w:rFonts w:ascii="Arial" w:cs="Arial" w:eastAsia="Arial" w:hAnsi="Arial"/>
          <w:sz w:val="16"/>
          <w:szCs w:val="16"/>
          <w:b w:val="1"/>
          <w:bCs w:val="1"/>
          <w:i w:val="1"/>
          <w:iCs w:val="1"/>
          <w:color w:val="auto"/>
        </w:rPr>
        <w:t>Indemnification by Purchaser</w:t>
      </w:r>
      <w:r>
        <w:rPr>
          <w:rFonts w:ascii="Arial" w:cs="Arial" w:eastAsia="Arial" w:hAnsi="Arial"/>
          <w:sz w:val="16"/>
          <w:szCs w:val="16"/>
          <w:color w:val="auto"/>
        </w:rPr>
        <w:t>. Purchaser hereby indemnifies and holds harmless the Seller Indemnified Parties in respect of, and holds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w:t>
      </w:r>
      <w:r>
        <w:rPr>
          <w:rFonts w:ascii="Arial" w:cs="Arial" w:eastAsia="Arial" w:hAnsi="Arial"/>
          <w:sz w:val="16"/>
          <w:szCs w:val="16"/>
          <w:color w:val="auto"/>
        </w:rPr>
        <w:t>r, that the foregoing indemnity shall not apply to Losses to the extent caused by the gross negligence or willful misconduct of Seller Indemnified Parties or their agents, officers, employees or contractors.</w:t>
      </w:r>
    </w:p>
    <w:p>
      <w:pPr>
        <w:spacing w:after="0" w:line="15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6.03. </w:t>
      </w:r>
      <w:r>
        <w:rPr>
          <w:rFonts w:ascii="Arial" w:cs="Arial" w:eastAsia="Arial" w:hAnsi="Arial"/>
          <w:sz w:val="16"/>
          <w:szCs w:val="16"/>
          <w:b w:val="1"/>
          <w:bCs w:val="1"/>
          <w:i w:val="1"/>
          <w:iCs w:val="1"/>
          <w:color w:val="auto"/>
        </w:rPr>
        <w:t>Survival of Representations, Warranties, Covenants and Agreements</w:t>
      </w:r>
      <w:r>
        <w:rPr>
          <w:rFonts w:ascii="Arial" w:cs="Arial" w:eastAsia="Arial" w:hAnsi="Arial"/>
          <w:sz w:val="16"/>
          <w:szCs w:val="16"/>
          <w:color w:val="auto"/>
        </w:rPr>
        <w:t>. The representations, warranties, covenants, agreements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of Seller and Purchaser contained in this Agreement are material, were relied on by such Parties, and will survive the Closing Date and the Second Closing Date as provided in this </w:t>
      </w:r>
      <w:r>
        <w:rPr>
          <w:rFonts w:ascii="Arial" w:cs="Arial" w:eastAsia="Arial" w:hAnsi="Arial"/>
          <w:sz w:val="16"/>
          <w:szCs w:val="16"/>
          <w:i w:val="1"/>
          <w:iCs w:val="1"/>
          <w:color w:val="auto"/>
        </w:rPr>
        <w:t>Section 6.03</w:t>
      </w:r>
      <w:r>
        <w:rPr>
          <w:rFonts w:ascii="Arial" w:cs="Arial" w:eastAsia="Arial" w:hAnsi="Arial"/>
          <w:sz w:val="16"/>
          <w:szCs w:val="16"/>
          <w:color w:val="auto"/>
        </w:rPr>
        <w:t xml:space="preserve">. Subject to the limitations and other provisions of this Agreement: (a) the representations and warranties contained herein and made as of the Execution Date or the Closing Date shall survive the Closing for twelve (12) months after the Closing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w:t>
      </w:r>
      <w:r>
        <w:rPr>
          <w:rFonts w:ascii="Arial" w:cs="Arial" w:eastAsia="Arial" w:hAnsi="Arial"/>
          <w:sz w:val="16"/>
          <w:szCs w:val="16"/>
          <w:i w:val="1"/>
          <w:iCs w:val="1"/>
          <w:color w:val="auto"/>
        </w:rPr>
        <w:t>i</w:t>
      </w:r>
      <w:r>
        <w:rPr>
          <w:rFonts w:ascii="Arial" w:cs="Arial" w:eastAsia="Arial" w:hAnsi="Arial"/>
          <w:sz w:val="16"/>
          <w:szCs w:val="16"/>
          <w:color w:val="auto"/>
        </w:rPr>
        <w:t>) the representations and warranties contained in</w:t>
      </w:r>
      <w:r>
        <w:rPr>
          <w:rFonts w:ascii="Arial" w:cs="Arial" w:eastAsia="Arial" w:hAnsi="Arial"/>
          <w:sz w:val="16"/>
          <w:szCs w:val="16"/>
          <w:i w:val="1"/>
          <w:iCs w:val="1"/>
          <w:color w:val="auto"/>
        </w:rPr>
        <w:t xml:space="preserve"> Section 3.01(a) </w:t>
      </w:r>
      <w:r>
        <w:rPr>
          <w:rFonts w:ascii="Arial" w:cs="Arial" w:eastAsia="Arial" w:hAnsi="Arial"/>
          <w:sz w:val="16"/>
          <w:szCs w:val="16"/>
          <w:color w:val="auto"/>
        </w:rPr>
        <w:t>(Existence),</w:t>
      </w:r>
      <w:r>
        <w:rPr>
          <w:rFonts w:ascii="Arial" w:cs="Arial" w:eastAsia="Arial" w:hAnsi="Arial"/>
          <w:sz w:val="16"/>
          <w:szCs w:val="16"/>
          <w:i w:val="1"/>
          <w:iCs w:val="1"/>
          <w:color w:val="auto"/>
        </w:rPr>
        <w:t xml:space="preserve"> Section 3.01(b) </w:t>
      </w:r>
      <w:r>
        <w:rPr>
          <w:rFonts w:ascii="Arial" w:cs="Arial" w:eastAsia="Arial" w:hAnsi="Arial"/>
          <w:sz w:val="16"/>
          <w:szCs w:val="16"/>
          <w:color w:val="auto"/>
        </w:rPr>
        <w:t>(Authority),</w:t>
      </w:r>
      <w:r>
        <w:rPr>
          <w:rFonts w:ascii="Arial" w:cs="Arial" w:eastAsia="Arial" w:hAnsi="Arial"/>
          <w:sz w:val="16"/>
          <w:szCs w:val="16"/>
          <w:i w:val="1"/>
          <w:iCs w:val="1"/>
          <w:color w:val="auto"/>
        </w:rPr>
        <w:t xml:space="preserve"> Section 3.01(g) </w:t>
      </w:r>
      <w:r>
        <w:rPr>
          <w:rFonts w:ascii="Arial" w:cs="Arial" w:eastAsia="Arial" w:hAnsi="Arial"/>
          <w:sz w:val="16"/>
          <w:szCs w:val="16"/>
          <w:color w:val="auto"/>
        </w:rPr>
        <w:t>(Brokers) and</w:t>
      </w:r>
      <w:r>
        <w:rPr>
          <w:rFonts w:ascii="Arial" w:cs="Arial" w:eastAsia="Arial" w:hAnsi="Arial"/>
          <w:sz w:val="16"/>
          <w:szCs w:val="16"/>
          <w:i w:val="1"/>
          <w:iCs w:val="1"/>
          <w:color w:val="auto"/>
        </w:rPr>
        <w:t xml:space="preserve"> Sections 3.01(i)(i)</w:t>
      </w:r>
      <w:r>
        <w:rPr>
          <w:rFonts w:ascii="Arial" w:cs="Arial" w:eastAsia="Arial" w:hAnsi="Arial"/>
          <w:sz w:val="16"/>
          <w:szCs w:val="16"/>
          <w:color w:val="auto"/>
        </w:rPr>
        <w:t>,</w:t>
      </w:r>
      <w:r>
        <w:rPr>
          <w:rFonts w:ascii="Arial" w:cs="Arial" w:eastAsia="Arial" w:hAnsi="Arial"/>
          <w:sz w:val="16"/>
          <w:szCs w:val="16"/>
          <w:i w:val="1"/>
          <w:iCs w:val="1"/>
          <w:color w:val="auto"/>
        </w:rPr>
        <w:t xml:space="preserve"> (ii), (v) and (ix) </w:t>
      </w:r>
      <w:r>
        <w:rPr>
          <w:rFonts w:ascii="Arial" w:cs="Arial" w:eastAsia="Arial" w:hAnsi="Arial"/>
          <w:sz w:val="16"/>
          <w:szCs w:val="16"/>
          <w:color w:val="auto"/>
        </w:rPr>
        <w:t>(Company and Mesquite Sky Entities) given on the Closing Date (collectively, the “</w:t>
      </w:r>
      <w:r>
        <w:rPr>
          <w:rFonts w:ascii="Arial" w:cs="Arial" w:eastAsia="Arial" w:hAnsi="Arial"/>
          <w:sz w:val="16"/>
          <w:szCs w:val="16"/>
          <w:i w:val="1"/>
          <w:iCs w:val="1"/>
          <w:color w:val="auto"/>
        </w:rPr>
        <w:t>Seller Closing Date Fundamental Representations</w:t>
      </w:r>
      <w:r>
        <w:rPr>
          <w:rFonts w:ascii="Arial" w:cs="Arial" w:eastAsia="Arial" w:hAnsi="Arial"/>
          <w:sz w:val="16"/>
          <w:szCs w:val="16"/>
          <w:color w:val="auto"/>
        </w:rPr>
        <w:t>”) and</w:t>
      </w:r>
      <w:r>
        <w:rPr>
          <w:rFonts w:ascii="Arial" w:cs="Arial" w:eastAsia="Arial" w:hAnsi="Arial"/>
          <w:sz w:val="16"/>
          <w:szCs w:val="16"/>
          <w:i w:val="1"/>
          <w:iCs w:val="1"/>
          <w:color w:val="auto"/>
        </w:rPr>
        <w:t xml:space="preserve"> Section 3.02(a) </w:t>
      </w:r>
      <w:r>
        <w:rPr>
          <w:rFonts w:ascii="Arial" w:cs="Arial" w:eastAsia="Arial" w:hAnsi="Arial"/>
          <w:sz w:val="16"/>
          <w:szCs w:val="16"/>
          <w:color w:val="auto"/>
        </w:rPr>
        <w:t>(Existence),</w:t>
      </w:r>
      <w:r>
        <w:rPr>
          <w:rFonts w:ascii="Arial" w:cs="Arial" w:eastAsia="Arial" w:hAnsi="Arial"/>
          <w:sz w:val="16"/>
          <w:szCs w:val="16"/>
          <w:i w:val="1"/>
          <w:iCs w:val="1"/>
          <w:color w:val="auto"/>
        </w:rPr>
        <w:t xml:space="preserve"> Section 3.02(b) </w:t>
      </w:r>
      <w:r>
        <w:rPr>
          <w:rFonts w:ascii="Arial" w:cs="Arial" w:eastAsia="Arial" w:hAnsi="Arial"/>
          <w:sz w:val="16"/>
          <w:szCs w:val="16"/>
          <w:color w:val="auto"/>
        </w:rPr>
        <w:t>(Authority) and</w:t>
      </w:r>
      <w:r>
        <w:rPr>
          <w:rFonts w:ascii="Arial" w:cs="Arial" w:eastAsia="Arial" w:hAnsi="Arial"/>
          <w:sz w:val="16"/>
          <w:szCs w:val="16"/>
          <w:i w:val="1"/>
          <w:iCs w:val="1"/>
          <w:color w:val="auto"/>
        </w:rPr>
        <w:t xml:space="preserve"> Section 3.02(h) </w:t>
      </w:r>
      <w:r>
        <w:rPr>
          <w:rFonts w:ascii="Arial" w:cs="Arial" w:eastAsia="Arial" w:hAnsi="Arial"/>
          <w:sz w:val="16"/>
          <w:szCs w:val="16"/>
          <w:color w:val="auto"/>
        </w:rPr>
        <w:t>(Brokers) shall survive the Closing for five (5)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Closing Date and (</w:t>
      </w:r>
      <w:r>
        <w:rPr>
          <w:rFonts w:ascii="Arial" w:cs="Arial" w:eastAsia="Arial" w:hAnsi="Arial"/>
          <w:sz w:val="16"/>
          <w:szCs w:val="16"/>
          <w:i w:val="1"/>
          <w:iCs w:val="1"/>
          <w:color w:val="auto"/>
        </w:rPr>
        <w:t>ii</w:t>
      </w:r>
      <w:r>
        <w:rPr>
          <w:rFonts w:ascii="Arial" w:cs="Arial" w:eastAsia="Arial" w:hAnsi="Arial"/>
          <w:sz w:val="16"/>
          <w:szCs w:val="16"/>
          <w:color w:val="auto"/>
        </w:rPr>
        <w:t xml:space="preserve">) the representations and warranties in </w:t>
      </w:r>
      <w:r>
        <w:rPr>
          <w:rFonts w:ascii="Arial" w:cs="Arial" w:eastAsia="Arial" w:hAnsi="Arial"/>
          <w:sz w:val="16"/>
          <w:szCs w:val="16"/>
          <w:i w:val="1"/>
          <w:iCs w:val="1"/>
          <w:color w:val="auto"/>
        </w:rPr>
        <w:t>Section 3.01(k)</w:t>
      </w:r>
      <w:r>
        <w:rPr>
          <w:rFonts w:ascii="Arial" w:cs="Arial" w:eastAsia="Arial" w:hAnsi="Arial"/>
          <w:sz w:val="16"/>
          <w:szCs w:val="16"/>
          <w:color w:val="auto"/>
        </w:rPr>
        <w:t xml:space="preserve"> (Taxes) shall survive the Closing until thirty (30) days after the expiration of the applicable Tax statute of limitations; and (b) the representations and warranties contained herein and made as of the Second Closing Date shall survive the Second Closing for twelve (12) months after the Second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representations and warranties contained in </w:t>
      </w:r>
      <w:r>
        <w:rPr>
          <w:rFonts w:ascii="Arial" w:cs="Arial" w:eastAsia="Arial" w:hAnsi="Arial"/>
          <w:sz w:val="16"/>
          <w:szCs w:val="16"/>
          <w:i w:val="1"/>
          <w:iCs w:val="1"/>
          <w:color w:val="auto"/>
        </w:rPr>
        <w:t xml:space="preserve">Section 3.01(a) </w:t>
      </w:r>
      <w:r>
        <w:rPr>
          <w:rFonts w:ascii="Arial" w:cs="Arial" w:eastAsia="Arial" w:hAnsi="Arial"/>
          <w:sz w:val="16"/>
          <w:szCs w:val="16"/>
          <w:color w:val="auto"/>
        </w:rPr>
        <w:t>(Existence),</w:t>
      </w:r>
      <w:r>
        <w:rPr>
          <w:rFonts w:ascii="Arial" w:cs="Arial" w:eastAsia="Arial" w:hAnsi="Arial"/>
          <w:sz w:val="16"/>
          <w:szCs w:val="16"/>
          <w:i w:val="1"/>
          <w:iCs w:val="1"/>
          <w:color w:val="auto"/>
        </w:rPr>
        <w:t xml:space="preserve"> Section 3.01(b) </w:t>
      </w:r>
      <w:r>
        <w:rPr>
          <w:rFonts w:ascii="Arial" w:cs="Arial" w:eastAsia="Arial" w:hAnsi="Arial"/>
          <w:sz w:val="16"/>
          <w:szCs w:val="16"/>
          <w:color w:val="auto"/>
        </w:rPr>
        <w:t>(Authority),</w:t>
      </w:r>
      <w:r>
        <w:rPr>
          <w:rFonts w:ascii="Arial" w:cs="Arial" w:eastAsia="Arial" w:hAnsi="Arial"/>
          <w:sz w:val="16"/>
          <w:szCs w:val="16"/>
          <w:i w:val="1"/>
          <w:iCs w:val="1"/>
          <w:color w:val="auto"/>
        </w:rPr>
        <w:t xml:space="preserve"> Section 3.01(g) </w:t>
      </w:r>
      <w:r>
        <w:rPr>
          <w:rFonts w:ascii="Arial" w:cs="Arial" w:eastAsia="Arial" w:hAnsi="Arial"/>
          <w:sz w:val="16"/>
          <w:szCs w:val="16"/>
          <w:color w:val="auto"/>
        </w:rPr>
        <w:t>(Brokers),</w:t>
      </w:r>
      <w:r>
        <w:rPr>
          <w:rFonts w:ascii="Arial" w:cs="Arial" w:eastAsia="Arial" w:hAnsi="Arial"/>
          <w:sz w:val="16"/>
          <w:szCs w:val="16"/>
          <w:i w:val="1"/>
          <w:iCs w:val="1"/>
          <w:color w:val="auto"/>
        </w:rPr>
        <w:t xml:space="preserve"> Sections 3.01(i)(x), 3.01(i)(xi) </w:t>
      </w:r>
      <w:r>
        <w:rPr>
          <w:rFonts w:ascii="Arial" w:cs="Arial" w:eastAsia="Arial" w:hAnsi="Arial"/>
          <w:sz w:val="16"/>
          <w:szCs w:val="16"/>
          <w:color w:val="auto"/>
        </w:rPr>
        <w:t>and</w:t>
      </w:r>
      <w:r>
        <w:rPr>
          <w:rFonts w:ascii="Arial" w:cs="Arial" w:eastAsia="Arial" w:hAnsi="Arial"/>
          <w:sz w:val="16"/>
          <w:szCs w:val="16"/>
          <w:i w:val="1"/>
          <w:iCs w:val="1"/>
          <w:color w:val="auto"/>
        </w:rPr>
        <w:t xml:space="preserve"> 3.01(i)(xii) </w:t>
      </w:r>
      <w:r>
        <w:rPr>
          <w:rFonts w:ascii="Arial" w:cs="Arial" w:eastAsia="Arial" w:hAnsi="Arial"/>
          <w:sz w:val="16"/>
          <w:szCs w:val="16"/>
          <w:color w:val="auto"/>
        </w:rPr>
        <w:t>(Company and Mesquite</w:t>
      </w:r>
      <w:r>
        <w:rPr>
          <w:rFonts w:ascii="Arial" w:cs="Arial" w:eastAsia="Arial" w:hAnsi="Arial"/>
          <w:sz w:val="16"/>
          <w:szCs w:val="16"/>
          <w:i w:val="1"/>
          <w:iCs w:val="1"/>
          <w:color w:val="auto"/>
        </w:rPr>
        <w:t xml:space="preserve"> </w:t>
      </w:r>
      <w:r>
        <w:rPr>
          <w:rFonts w:ascii="Arial" w:cs="Arial" w:eastAsia="Arial" w:hAnsi="Arial"/>
          <w:sz w:val="16"/>
          <w:szCs w:val="16"/>
          <w:color w:val="auto"/>
        </w:rPr>
        <w:t>Sky Entities) given on the Second Closing Date (collectively, the “</w:t>
      </w:r>
      <w:r>
        <w:rPr>
          <w:rFonts w:ascii="Arial" w:cs="Arial" w:eastAsia="Arial" w:hAnsi="Arial"/>
          <w:sz w:val="16"/>
          <w:szCs w:val="16"/>
          <w:i w:val="1"/>
          <w:iCs w:val="1"/>
          <w:color w:val="auto"/>
        </w:rPr>
        <w:t>Seller Second Closing Date Fundamental Representations</w:t>
      </w:r>
      <w:r>
        <w:rPr>
          <w:rFonts w:ascii="Arial" w:cs="Arial" w:eastAsia="Arial" w:hAnsi="Arial"/>
          <w:sz w:val="16"/>
          <w:szCs w:val="16"/>
          <w:color w:val="auto"/>
        </w:rPr>
        <w:t>” and, together with the Seller Closing Date Fundamental Representations, the “</w:t>
      </w:r>
      <w:r>
        <w:rPr>
          <w:rFonts w:ascii="Arial" w:cs="Arial" w:eastAsia="Arial" w:hAnsi="Arial"/>
          <w:sz w:val="16"/>
          <w:szCs w:val="16"/>
          <w:i w:val="1"/>
          <w:iCs w:val="1"/>
          <w:color w:val="auto"/>
        </w:rPr>
        <w:t>Seller Fundamental Representations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3.02(a)</w:t>
      </w:r>
      <w:r>
        <w:rPr>
          <w:rFonts w:ascii="Arial" w:cs="Arial" w:eastAsia="Arial" w:hAnsi="Arial"/>
          <w:sz w:val="16"/>
          <w:szCs w:val="16"/>
          <w:color w:val="auto"/>
        </w:rPr>
        <w:t xml:space="preserve"> (Existence) and </w:t>
      </w:r>
      <w:r>
        <w:rPr>
          <w:rFonts w:ascii="Arial" w:cs="Arial" w:eastAsia="Arial" w:hAnsi="Arial"/>
          <w:sz w:val="16"/>
          <w:szCs w:val="16"/>
          <w:i w:val="1"/>
          <w:iCs w:val="1"/>
          <w:color w:val="auto"/>
        </w:rPr>
        <w:t>Section 3.02(b)</w:t>
      </w:r>
      <w:r>
        <w:rPr>
          <w:rFonts w:ascii="Arial" w:cs="Arial" w:eastAsia="Arial" w:hAnsi="Arial"/>
          <w:sz w:val="16"/>
          <w:szCs w:val="16"/>
          <w:color w:val="auto"/>
        </w:rPr>
        <w:t xml:space="preserve"> (Authority) shall survive the Closing for five (5) years after the Second Closing Date. The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Arial" w:cs="Arial" w:eastAsia="Arial" w:hAnsi="Arial"/>
          <w:sz w:val="16"/>
          <w:szCs w:val="16"/>
          <w:i w:val="1"/>
          <w:iCs w:val="1"/>
          <w:color w:val="auto"/>
        </w:rPr>
        <w:t>Section 6.01</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6.02</w:t>
      </w:r>
      <w:r>
        <w:rPr>
          <w:rFonts w:ascii="Arial" w:cs="Arial" w:eastAsia="Arial" w:hAnsi="Arial"/>
          <w:sz w:val="16"/>
          <w:szCs w:val="16"/>
          <w:color w:val="auto"/>
        </w:rPr>
        <w:t xml:space="preserve"> a written notice of claim prior to the applicable survival expiration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written notice for a claim of indemnification has been provided by the Indemnified Party pursuant to </w:t>
      </w:r>
      <w:r>
        <w:rPr>
          <w:rFonts w:ascii="Arial" w:cs="Arial" w:eastAsia="Arial" w:hAnsi="Arial"/>
          <w:sz w:val="16"/>
          <w:szCs w:val="16"/>
          <w:i w:val="1"/>
          <w:iCs w:val="1"/>
          <w:color w:val="auto"/>
        </w:rPr>
        <w:t>Section 6.04(a)</w:t>
      </w:r>
      <w:r>
        <w:rPr>
          <w:rFonts w:ascii="Arial" w:cs="Arial" w:eastAsia="Arial" w:hAnsi="Arial"/>
          <w:sz w:val="16"/>
          <w:szCs w:val="16"/>
          <w:color w:val="auto"/>
        </w:rPr>
        <w:t xml:space="preserve"> on or prior to the applicable survival expiration date, then the obligation of the Indemnifying Party to indemnify the Indemnified Party pursuant to this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shall survive with respect to such claim until such claim is finally resolved.</w:t>
      </w:r>
    </w:p>
    <w:p>
      <w:pPr>
        <w:spacing w:after="0" w:line="3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5"/>
          <w:szCs w:val="15"/>
          <w:b w:val="1"/>
          <w:bCs w:val="1"/>
          <w:i w:val="1"/>
          <w:iCs w:val="1"/>
          <w:color w:val="auto"/>
        </w:rPr>
        <w:t>Limitations on Claims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57" w:lineRule="auto"/>
        <w:tabs>
          <w:tab w:leader="none" w:pos="17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equal or exceed [***] of the portion of the Purchase Price paid by Purchaser as of such date (the “</w:t>
      </w:r>
      <w:r>
        <w:rPr>
          <w:rFonts w:ascii="Arial" w:cs="Arial" w:eastAsia="Arial" w:hAnsi="Arial"/>
          <w:sz w:val="18"/>
          <w:szCs w:val="18"/>
          <w:i w:val="1"/>
          <w:iCs w:val="1"/>
          <w:color w:val="auto"/>
        </w:rPr>
        <w:t>Deductible</w:t>
      </w:r>
      <w:r>
        <w:rPr>
          <w:rFonts w:ascii="Arial" w:cs="Arial" w:eastAsia="Arial" w:hAnsi="Arial"/>
          <w:sz w:val="18"/>
          <w:szCs w:val="18"/>
          <w:color w:val="auto"/>
        </w:rPr>
        <w:t xml:space="preserve">”) in which event the Indemnifying Party shall be liable for Losses only to the extent they are in excess of the Deductible;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Deductible shall not apply to Losses resulting from, arising out of or relating to (</w:t>
      </w:r>
      <w:r>
        <w:rPr>
          <w:rFonts w:ascii="Arial" w:cs="Arial" w:eastAsia="Arial" w:hAnsi="Arial"/>
          <w:sz w:val="18"/>
          <w:szCs w:val="18"/>
          <w:i w:val="1"/>
          <w:iCs w:val="1"/>
          <w:color w:val="auto"/>
        </w:rPr>
        <w:t>i</w:t>
      </w:r>
      <w:r>
        <w:rPr>
          <w:rFonts w:ascii="Arial" w:cs="Arial" w:eastAsia="Arial" w:hAnsi="Arial"/>
          <w:sz w:val="18"/>
          <w:szCs w:val="18"/>
          <w:color w:val="auto"/>
        </w:rPr>
        <w:t>) any Fraudulent Action or (</w:t>
      </w:r>
      <w:r>
        <w:rPr>
          <w:rFonts w:ascii="Arial" w:cs="Arial" w:eastAsia="Arial" w:hAnsi="Arial"/>
          <w:sz w:val="18"/>
          <w:szCs w:val="18"/>
          <w:i w:val="1"/>
          <w:iCs w:val="1"/>
          <w:color w:val="auto"/>
        </w:rPr>
        <w:t>ii</w:t>
      </w:r>
      <w:r>
        <w:rPr>
          <w:rFonts w:ascii="Arial" w:cs="Arial" w:eastAsia="Arial" w:hAnsi="Arial"/>
          <w:sz w:val="18"/>
          <w:szCs w:val="18"/>
          <w:color w:val="auto"/>
        </w:rPr>
        <w:t xml:space="preserve">) the matters referenced on </w:t>
      </w:r>
      <w:r>
        <w:rPr>
          <w:rFonts w:ascii="Arial" w:cs="Arial" w:eastAsia="Arial" w:hAnsi="Arial"/>
          <w:sz w:val="18"/>
          <w:szCs w:val="18"/>
          <w:i w:val="1"/>
          <w:iCs w:val="1"/>
          <w:color w:val="auto"/>
        </w:rPr>
        <w:t>Schedule 6.01(b)</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304"/>
        <w:spacing w:after="0" w:line="270" w:lineRule="auto"/>
        <w:tabs>
          <w:tab w:leader="none" w:pos="1772"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aggregate liability of the Seller Indemnifying Parties and the Purchaser Indemnifying Parties under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resulting from any claims under any breaches of representations or warranties herein and in any certificates delivered pursuant hereto, shall be limited to an amount equal to [***] of the portion of the Purchase Price paid by Purchaser as of such date (the “</w:t>
      </w:r>
      <w:r>
        <w:rPr>
          <w:rFonts w:ascii="Arial" w:cs="Arial" w:eastAsia="Arial" w:hAnsi="Arial"/>
          <w:sz w:val="17"/>
          <w:szCs w:val="17"/>
          <w:i w:val="1"/>
          <w:iCs w:val="1"/>
          <w:color w:val="auto"/>
        </w:rPr>
        <w:t>Cap</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Cap shall not apply to Losses resulting from, arising out of or relating to (i) any Fraudulent Action or (ii) a breach of the Seller Fundamental Representations;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aggregate liability of the Seller Indemnifying Parties resulting from the Seller Fundamental Representations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other Losses resulting from any claims under breaches of representations or warranties herein and in any certificates delivered pursuant hereto shall be limited to an amount equal to the portion of the Purchase Price paid by Purchaser as of such date. For the avoidance of doubt, the foregoing limitation will not apply to Losses resulting from, arising out of or relating to (</w:t>
      </w:r>
      <w:r>
        <w:rPr>
          <w:rFonts w:ascii="Arial" w:cs="Arial" w:eastAsia="Arial" w:hAnsi="Arial"/>
          <w:sz w:val="17"/>
          <w:szCs w:val="17"/>
          <w:i w:val="1"/>
          <w:iCs w:val="1"/>
          <w:color w:val="auto"/>
        </w:rPr>
        <w:t>i</w:t>
      </w:r>
      <w:r>
        <w:rPr>
          <w:rFonts w:ascii="Arial" w:cs="Arial" w:eastAsia="Arial" w:hAnsi="Arial"/>
          <w:sz w:val="17"/>
          <w:szCs w:val="17"/>
          <w:color w:val="auto"/>
        </w:rPr>
        <w:t>) any breach of any covenant, agreement or obligation made herein or any certificate delivered pursuant hereto or (</w:t>
      </w:r>
      <w:r>
        <w:rPr>
          <w:rFonts w:ascii="Arial" w:cs="Arial" w:eastAsia="Arial" w:hAnsi="Arial"/>
          <w:sz w:val="17"/>
          <w:szCs w:val="17"/>
          <w:i w:val="1"/>
          <w:iCs w:val="1"/>
          <w:color w:val="auto"/>
        </w:rPr>
        <w:t>ii</w:t>
      </w:r>
      <w:r>
        <w:rPr>
          <w:rFonts w:ascii="Arial" w:cs="Arial" w:eastAsia="Arial" w:hAnsi="Arial"/>
          <w:sz w:val="17"/>
          <w:szCs w:val="17"/>
          <w:color w:val="auto"/>
        </w:rPr>
        <w:t xml:space="preserve">) the matters referenced on </w:t>
      </w:r>
      <w:r>
        <w:rPr>
          <w:rFonts w:ascii="Arial" w:cs="Arial" w:eastAsia="Arial" w:hAnsi="Arial"/>
          <w:sz w:val="17"/>
          <w:szCs w:val="17"/>
          <w:i w:val="1"/>
          <w:iCs w:val="1"/>
          <w:color w:val="auto"/>
        </w:rPr>
        <w:t>Schedule 6.01(b)</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304"/>
        <w:spacing w:after="0" w:line="270" w:lineRule="auto"/>
        <w:tabs>
          <w:tab w:leader="none" w:pos="1762"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amount of any claim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payment shall not exceed the amount of the indemnity payment.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6"/>
          <w:szCs w:val="16"/>
          <w:b w:val="1"/>
          <w:bCs w:val="1"/>
          <w:i w:val="1"/>
          <w:iCs w:val="1"/>
          <w:color w:val="auto"/>
        </w:rPr>
        <w:t>Procedure for Indemnification of 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4" w:lineRule="auto"/>
        <w:tabs>
          <w:tab w:leader="none" w:pos="1766"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Whenever any claim by a third party shall arise for indemnification under this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Article 6</w:t>
      </w:r>
      <w:r>
        <w:rPr>
          <w:rFonts w:ascii="Arial" w:cs="Arial" w:eastAsia="Arial" w:hAnsi="Arial"/>
          <w:sz w:val="17"/>
          <w:szCs w:val="17"/>
          <w:color w:val="auto"/>
        </w:rPr>
        <w:t>, the Indemnified Party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73" w:lineRule="exact"/>
        <w:rPr>
          <w:rFonts w:ascii="Arial" w:cs="Arial" w:eastAsia="Arial" w:hAnsi="Arial"/>
          <w:sz w:val="17"/>
          <w:szCs w:val="17"/>
          <w:color w:val="auto"/>
        </w:rPr>
      </w:pPr>
    </w:p>
    <w:p>
      <w:pPr>
        <w:jc w:val="both"/>
        <w:ind w:firstLine="1304"/>
        <w:spacing w:after="0" w:line="289" w:lineRule="auto"/>
        <w:tabs>
          <w:tab w:leader="none" w:pos="1776"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Settlement of Losses</w:t>
      </w:r>
      <w:r>
        <w:rPr>
          <w:rFonts w:ascii="Arial" w:cs="Arial" w:eastAsia="Arial" w:hAnsi="Arial"/>
          <w:sz w:val="17"/>
          <w:szCs w:val="17"/>
          <w:color w:val="auto"/>
        </w:rPr>
        <w:t>. If the Indemnified Party has assumed the defense of any claim by a third party which may give rise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indemnity hereunder pursuant to </w:t>
      </w:r>
      <w:r>
        <w:rPr>
          <w:rFonts w:ascii="Arial" w:cs="Arial" w:eastAsia="Arial" w:hAnsi="Arial"/>
          <w:sz w:val="17"/>
          <w:szCs w:val="17"/>
          <w:i w:val="1"/>
          <w:iCs w:val="1"/>
          <w:color w:val="auto"/>
        </w:rPr>
        <w:t>Section 6.06(c)</w:t>
      </w:r>
      <w:r>
        <w:rPr>
          <w:rFonts w:ascii="Arial" w:cs="Arial" w:eastAsia="Arial" w:hAnsi="Arial"/>
          <w:sz w:val="17"/>
          <w:szCs w:val="17"/>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5"/>
          <w:szCs w:val="15"/>
          <w:b w:val="1"/>
          <w:bCs w:val="1"/>
          <w:i w:val="1"/>
          <w:iCs w:val="1"/>
          <w:color w:val="auto"/>
        </w:rPr>
        <w:t>Rights of the Indemnifying Party in the Defense of Third Party Claims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61" w:lineRule="auto"/>
        <w:tabs>
          <w:tab w:leader="none" w:pos="1766"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Right to Assume the Defense</w:t>
      </w:r>
      <w:r>
        <w:rPr>
          <w:rFonts w:ascii="Arial" w:cs="Arial" w:eastAsia="Arial" w:hAnsi="Arial"/>
          <w:sz w:val="18"/>
          <w:szCs w:val="18"/>
          <w:color w:val="auto"/>
        </w:rPr>
        <w:t>. In connection with any claim by a third party which may give rise to indemnity hereunder,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1304"/>
        <w:spacing w:after="0" w:line="293" w:lineRule="auto"/>
        <w:tabs>
          <w:tab w:leader="none" w:pos="177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Procedure</w:t>
      </w:r>
      <w:r>
        <w:rPr>
          <w:rFonts w:ascii="Arial" w:cs="Arial" w:eastAsia="Arial" w:hAnsi="Arial"/>
          <w:sz w:val="16"/>
          <w:szCs w:val="16"/>
          <w:color w:val="auto"/>
        </w:rPr>
        <w:t>. If the Indemnifying Party assumes the defense of any such claim, the Indemnifying Party shall (</w:t>
      </w:r>
      <w:r>
        <w:rPr>
          <w:rFonts w:ascii="Arial" w:cs="Arial" w:eastAsia="Arial" w:hAnsi="Arial"/>
          <w:sz w:val="16"/>
          <w:szCs w:val="16"/>
          <w:i w:val="1"/>
          <w:iCs w:val="1"/>
          <w:color w:val="auto"/>
        </w:rPr>
        <w:t>i</w:t>
      </w:r>
      <w:r>
        <w:rPr>
          <w:rFonts w:ascii="Arial" w:cs="Arial" w:eastAsia="Arial" w:hAnsi="Arial"/>
          <w:sz w:val="16"/>
          <w:szCs w:val="16"/>
          <w:color w:val="auto"/>
        </w:rPr>
        <w:t>) select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acceptable to the Indemnified Party to conduct the defense of such claim and (</w:t>
      </w:r>
      <w:r>
        <w:rPr>
          <w:rFonts w:ascii="Arial" w:cs="Arial" w:eastAsia="Arial" w:hAnsi="Arial"/>
          <w:sz w:val="16"/>
          <w:szCs w:val="16"/>
          <w:i w:val="1"/>
          <w:iCs w:val="1"/>
          <w:color w:val="auto"/>
        </w:rPr>
        <w:t>ii</w:t>
      </w:r>
      <w:r>
        <w:rPr>
          <w:rFonts w:ascii="Arial" w:cs="Arial" w:eastAsia="Arial" w:hAnsi="Arial"/>
          <w:sz w:val="16"/>
          <w:szCs w:val="16"/>
          <w:color w:val="auto"/>
        </w:rPr>
        <w:t>) take all steps necessary in the defense or settlement thereof, at</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its sole cost and expense. The Indemnified Party shall be entitled to participate in (but not control) the defense of any such claim, with its own counsel and at its sole cost and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58" w:lineRule="exact"/>
        <w:rPr>
          <w:sz w:val="20"/>
          <w:szCs w:val="20"/>
          <w:color w:val="auto"/>
        </w:rPr>
      </w:pPr>
    </w:p>
    <w:p>
      <w:pPr>
        <w:ind w:firstLine="1304"/>
        <w:spacing w:after="0" w:line="347" w:lineRule="auto"/>
        <w:tabs>
          <w:tab w:leader="none" w:pos="1766"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Settlement of Losses</w:t>
      </w:r>
      <w:r>
        <w:rPr>
          <w:rFonts w:ascii="Arial" w:cs="Arial" w:eastAsia="Arial" w:hAnsi="Arial"/>
          <w:sz w:val="16"/>
          <w:szCs w:val="16"/>
          <w:color w:val="auto"/>
        </w:rPr>
        <w:t>. The Indemnifying Party shall not consent to a settlement of or the entry of any judgment arising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claim or legal proceeding, without the prior written consent of the Indemnified Party (which consent shall not be unreasonably withheld or delayed).</w:t>
      </w:r>
    </w:p>
    <w:p>
      <w:pPr>
        <w:spacing w:after="0" w:line="115" w:lineRule="exact"/>
        <w:rPr>
          <w:rFonts w:ascii="Arial" w:cs="Arial" w:eastAsia="Arial" w:hAnsi="Arial"/>
          <w:sz w:val="16"/>
          <w:szCs w:val="16"/>
          <w:color w:val="auto"/>
        </w:rPr>
      </w:pPr>
    </w:p>
    <w:p>
      <w:pPr>
        <w:jc w:val="both"/>
        <w:ind w:firstLine="1304"/>
        <w:spacing w:after="0" w:line="254" w:lineRule="auto"/>
        <w:tabs>
          <w:tab w:leader="none" w:pos="1776"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Decline to Assume the Defense</w:t>
      </w:r>
      <w:r>
        <w:rPr>
          <w:rFonts w:ascii="Arial" w:cs="Arial" w:eastAsia="Arial" w:hAnsi="Arial"/>
          <w:sz w:val="18"/>
          <w:szCs w:val="18"/>
          <w:color w:val="auto"/>
        </w:rPr>
        <w:t>. The Indemnified Party may defend against any such claim, at the sole cost and expense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Indemnifying Party, in such manner as it may deem reasonably appropriate, including settling such claim in accordance with the terms hereof if (</w:t>
      </w:r>
      <w:r>
        <w:rPr>
          <w:rFonts w:ascii="Arial" w:cs="Arial" w:eastAsia="Arial" w:hAnsi="Arial"/>
          <w:sz w:val="18"/>
          <w:szCs w:val="18"/>
          <w:i w:val="1"/>
          <w:iCs w:val="1"/>
          <w:color w:val="auto"/>
        </w:rPr>
        <w:t>i</w:t>
      </w:r>
      <w:r>
        <w:rPr>
          <w:rFonts w:ascii="Arial" w:cs="Arial" w:eastAsia="Arial" w:hAnsi="Arial"/>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Arial" w:cs="Arial" w:eastAsia="Arial" w:hAnsi="Arial"/>
          <w:sz w:val="18"/>
          <w:szCs w:val="18"/>
          <w:i w:val="1"/>
          <w:iCs w:val="1"/>
          <w:color w:val="auto"/>
        </w:rPr>
        <w:t>ii</w:t>
      </w:r>
      <w:r>
        <w:rPr>
          <w:rFonts w:ascii="Arial" w:cs="Arial" w:eastAsia="Arial" w:hAnsi="Arial"/>
          <w:sz w:val="18"/>
          <w:szCs w:val="18"/>
          <w:color w:val="auto"/>
        </w:rPr>
        <w:t>) the Indemnified Party reasonably concludes that the Indemnifying Party is (</w:t>
      </w:r>
      <w:r>
        <w:rPr>
          <w:rFonts w:ascii="Arial" w:cs="Arial" w:eastAsia="Arial" w:hAnsi="Arial"/>
          <w:sz w:val="18"/>
          <w:szCs w:val="18"/>
          <w:i w:val="1"/>
          <w:iCs w:val="1"/>
          <w:color w:val="auto"/>
        </w:rPr>
        <w:t>A</w:t>
      </w:r>
      <w:r>
        <w:rPr>
          <w:rFonts w:ascii="Arial" w:cs="Arial" w:eastAsia="Arial" w:hAnsi="Arial"/>
          <w:sz w:val="18"/>
          <w:szCs w:val="18"/>
          <w:color w:val="auto"/>
        </w:rPr>
        <w:t>) not diligently defending the Indemnified Party, (</w:t>
      </w:r>
      <w:r>
        <w:rPr>
          <w:rFonts w:ascii="Arial" w:cs="Arial" w:eastAsia="Arial" w:hAnsi="Arial"/>
          <w:sz w:val="18"/>
          <w:szCs w:val="18"/>
          <w:i w:val="1"/>
          <w:iCs w:val="1"/>
          <w:color w:val="auto"/>
        </w:rPr>
        <w:t>B</w:t>
      </w:r>
      <w:r>
        <w:rPr>
          <w:rFonts w:ascii="Arial" w:cs="Arial" w:eastAsia="Arial" w:hAnsi="Arial"/>
          <w:sz w:val="18"/>
          <w:szCs w:val="18"/>
          <w:color w:val="auto"/>
        </w:rPr>
        <w:t>) not contesting such claim in good faith through appropriate proceedings or (</w:t>
      </w:r>
      <w:r>
        <w:rPr>
          <w:rFonts w:ascii="Arial" w:cs="Arial" w:eastAsia="Arial" w:hAnsi="Arial"/>
          <w:sz w:val="18"/>
          <w:szCs w:val="18"/>
          <w:i w:val="1"/>
          <w:iCs w:val="1"/>
          <w:color w:val="auto"/>
        </w:rPr>
        <w:t>C</w:t>
      </w:r>
      <w:r>
        <w:rPr>
          <w:rFonts w:ascii="Arial" w:cs="Arial" w:eastAsia="Arial" w:hAnsi="Arial"/>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6.07. </w:t>
      </w:r>
      <w:r>
        <w:rPr>
          <w:rFonts w:ascii="Arial" w:cs="Arial" w:eastAsia="Arial" w:hAnsi="Arial"/>
          <w:sz w:val="17"/>
          <w:szCs w:val="17"/>
          <w:b w:val="1"/>
          <w:bCs w:val="1"/>
          <w:i w:val="1"/>
          <w:iCs w:val="1"/>
          <w:color w:val="auto"/>
        </w:rPr>
        <w:t>Direct Claims</w:t>
      </w:r>
      <w:r>
        <w:rPr>
          <w:rFonts w:ascii="Arial" w:cs="Arial" w:eastAsia="Arial" w:hAnsi="Arial"/>
          <w:sz w:val="17"/>
          <w:szCs w:val="17"/>
          <w:color w:val="auto"/>
        </w:rPr>
        <w:t>. In the event that any Indemnified Party has a claim against any Indemnifying Party which may give rise to indemnity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against the Indemnifying Party.</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6.08. </w:t>
      </w:r>
      <w:r>
        <w:rPr>
          <w:rFonts w:ascii="Arial" w:cs="Arial" w:eastAsia="Arial" w:hAnsi="Arial"/>
          <w:sz w:val="16"/>
          <w:szCs w:val="16"/>
          <w:b w:val="1"/>
          <w:bCs w:val="1"/>
          <w:i w:val="1"/>
          <w:iCs w:val="1"/>
          <w:color w:val="auto"/>
        </w:rPr>
        <w:t>Exclusive Remedy</w:t>
      </w:r>
      <w:r>
        <w:rPr>
          <w:rFonts w:ascii="Arial" w:cs="Arial" w:eastAsia="Arial" w:hAnsi="Arial"/>
          <w:sz w:val="16"/>
          <w:szCs w:val="16"/>
          <w:color w:val="auto"/>
        </w:rPr>
        <w:t>. Absent any Fraudulent Action, the indemnities set forth in this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Article 6</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exclusive remedies of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tabs>
          <w:tab w:leader="none" w:pos="1280" w:val="left"/>
        </w:tabs>
        <w:rPr>
          <w:sz w:val="20"/>
          <w:szCs w:val="20"/>
          <w:color w:val="auto"/>
        </w:rPr>
      </w:pPr>
      <w:r>
        <w:rPr>
          <w:rFonts w:ascii="Arial" w:cs="Arial" w:eastAsia="Arial" w:hAnsi="Arial"/>
          <w:sz w:val="18"/>
          <w:szCs w:val="18"/>
          <w:b w:val="1"/>
          <w:bCs w:val="1"/>
          <w:color w:val="auto"/>
        </w:rPr>
        <w:t>6.09.</w:t>
      </w:r>
      <w:r>
        <w:rPr>
          <w:sz w:val="20"/>
          <w:szCs w:val="20"/>
          <w:color w:val="auto"/>
        </w:rPr>
        <w:tab/>
      </w:r>
      <w:r>
        <w:rPr>
          <w:rFonts w:ascii="Arial" w:cs="Arial" w:eastAsia="Arial" w:hAnsi="Arial"/>
          <w:sz w:val="16"/>
          <w:szCs w:val="16"/>
          <w:b w:val="1"/>
          <w:bCs w:val="1"/>
          <w:i w:val="1"/>
          <w:iCs w:val="1"/>
          <w:color w:val="auto"/>
        </w:rPr>
        <w:t>Mitigations</w:t>
      </w:r>
      <w:r>
        <w:rPr>
          <w:rFonts w:ascii="Arial" w:cs="Arial" w:eastAsia="Arial" w:hAnsi="Arial"/>
          <w:sz w:val="16"/>
          <w:szCs w:val="16"/>
          <w:color w:val="auto"/>
        </w:rPr>
        <w:t>.</w:t>
      </w:r>
    </w:p>
    <w:p>
      <w:pPr>
        <w:spacing w:after="0" w:line="229" w:lineRule="exact"/>
        <w:rPr>
          <w:sz w:val="20"/>
          <w:szCs w:val="20"/>
          <w:color w:val="auto"/>
        </w:rPr>
      </w:pPr>
    </w:p>
    <w:p>
      <w:pPr>
        <w:ind w:firstLine="1304"/>
        <w:spacing w:after="0" w:line="277" w:lineRule="auto"/>
        <w:tabs>
          <w:tab w:leader="none" w:pos="1766"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776"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Upon making any payment to the Indemnified Party for any indemnification claim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6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i w:val="1"/>
          <w:iCs w:val="1"/>
          <w:color w:val="auto"/>
        </w:rPr>
        <w:t>Indemnity Treatment</w:t>
      </w:r>
      <w:r>
        <w:rPr>
          <w:rFonts w:ascii="Arial" w:cs="Arial" w:eastAsia="Arial" w:hAnsi="Arial"/>
          <w:sz w:val="18"/>
          <w:szCs w:val="18"/>
          <w:color w:val="auto"/>
        </w:rPr>
        <w:t>. Any amount of indemnification payable pursuant to the provisions of this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shall, to the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be treated as an adjustment to the Purchase Price (as determined for all relevant Tax purposes).</w:t>
      </w:r>
    </w:p>
    <w:p>
      <w:pPr>
        <w:spacing w:after="0" w:line="16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This Agreement may be terminated at any time prior to the Closing Date as follows:</w:t>
      </w:r>
    </w:p>
    <w:p>
      <w:pPr>
        <w:spacing w:after="0" w:line="229" w:lineRule="exact"/>
        <w:rPr>
          <w:sz w:val="20"/>
          <w:szCs w:val="20"/>
          <w:color w:val="auto"/>
        </w:rPr>
      </w:pPr>
    </w:p>
    <w:p>
      <w:pPr>
        <w:ind w:left="1960" w:hanging="656"/>
        <w:spacing w:after="0"/>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Agreement may be terminated at any time prior to the Closing Date as follows: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by mutual written consent of Seller and Purchaser;</w:t>
      </w:r>
    </w:p>
    <w:p>
      <w:pPr>
        <w:spacing w:after="0" w:line="225" w:lineRule="exact"/>
        <w:rPr>
          <w:rFonts w:ascii="Arial" w:cs="Arial" w:eastAsia="Arial" w:hAnsi="Arial"/>
          <w:sz w:val="18"/>
          <w:szCs w:val="18"/>
          <w:color w:val="auto"/>
        </w:rPr>
      </w:pPr>
    </w:p>
    <w:p>
      <w:pPr>
        <w:ind w:left="660" w:firstLine="1292"/>
        <w:spacing w:after="0" w:line="277" w:lineRule="auto"/>
        <w:tabs>
          <w:tab w:leader="none" w:pos="2446" w:val="left"/>
        </w:tabs>
        <w:numPr>
          <w:ilvl w:val="1"/>
          <w:numId w:val="78"/>
        </w:numPr>
        <w:rPr>
          <w:rFonts w:ascii="Arial" w:cs="Arial" w:eastAsia="Arial" w:hAnsi="Arial"/>
          <w:sz w:val="18"/>
          <w:szCs w:val="18"/>
          <w:color w:val="auto"/>
        </w:rPr>
      </w:pPr>
      <w:r>
        <w:rPr>
          <w:rFonts w:ascii="Arial" w:cs="Arial" w:eastAsia="Arial" w:hAnsi="Arial"/>
          <w:sz w:val="18"/>
          <w:szCs w:val="18"/>
          <w:color w:val="auto"/>
        </w:rPr>
        <w:t>by either Party if the Closing has not occurred on or before March 31, 2022 (the “</w:t>
      </w:r>
      <w:r>
        <w:rPr>
          <w:rFonts w:ascii="Arial" w:cs="Arial" w:eastAsia="Arial" w:hAnsi="Arial"/>
          <w:sz w:val="18"/>
          <w:szCs w:val="18"/>
          <w:i w:val="1"/>
          <w:iCs w:val="1"/>
          <w:color w:val="auto"/>
        </w:rPr>
        <w:t>Outside Date</w:t>
      </w:r>
      <w:r>
        <w:rPr>
          <w:rFonts w:ascii="Arial" w:cs="Arial" w:eastAsia="Arial" w:hAnsi="Arial"/>
          <w:sz w:val="18"/>
          <w:szCs w:val="18"/>
          <w:color w:val="auto"/>
        </w:rPr>
        <w:t>”), and the failure to reach the Closing Date was not caused by a breach of this Agreement by the terminating Party;</w:t>
      </w:r>
    </w:p>
    <w:p>
      <w:pPr>
        <w:spacing w:after="0" w:line="170" w:lineRule="exact"/>
        <w:rPr>
          <w:rFonts w:ascii="Arial" w:cs="Arial" w:eastAsia="Arial" w:hAnsi="Arial"/>
          <w:sz w:val="18"/>
          <w:szCs w:val="18"/>
          <w:color w:val="auto"/>
        </w:rPr>
      </w:pPr>
    </w:p>
    <w:p>
      <w:pPr>
        <w:jc w:val="both"/>
        <w:ind w:left="660" w:firstLine="1292"/>
        <w:spacing w:after="0" w:line="255" w:lineRule="auto"/>
        <w:tabs>
          <w:tab w:leader="none" w:pos="2473" w:val="left"/>
        </w:tabs>
        <w:numPr>
          <w:ilvl w:val="1"/>
          <w:numId w:val="78"/>
        </w:numPr>
        <w:rPr>
          <w:rFonts w:ascii="Arial" w:cs="Arial" w:eastAsia="Arial" w:hAnsi="Arial"/>
          <w:sz w:val="18"/>
          <w:szCs w:val="18"/>
          <w:color w:val="auto"/>
        </w:rPr>
      </w:pPr>
      <w:r>
        <w:rPr>
          <w:rFonts w:ascii="Arial" w:cs="Arial" w:eastAsia="Arial" w:hAnsi="Arial"/>
          <w:sz w:val="18"/>
          <w:szCs w:val="18"/>
          <w:color w:val="auto"/>
        </w:rPr>
        <w:t>by Purchaser if there has been a breach by Seller of any representation, warranty, covenant or agreement contained in this Agreement that (</w:t>
      </w:r>
      <w:r>
        <w:rPr>
          <w:rFonts w:ascii="Arial" w:cs="Arial" w:eastAsia="Arial" w:hAnsi="Arial"/>
          <w:sz w:val="18"/>
          <w:szCs w:val="18"/>
          <w:i w:val="1"/>
          <w:iCs w:val="1"/>
          <w:color w:val="auto"/>
        </w:rPr>
        <w:t>i</w:t>
      </w:r>
      <w:r>
        <w:rPr>
          <w:rFonts w:ascii="Arial" w:cs="Arial" w:eastAsia="Arial" w:hAnsi="Arial"/>
          <w:sz w:val="18"/>
          <w:szCs w:val="18"/>
          <w:color w:val="auto"/>
        </w:rPr>
        <w:t xml:space="preserve">) would result in a failure of a condition set forth in </w:t>
      </w:r>
      <w:r>
        <w:rPr>
          <w:rFonts w:ascii="Arial" w:cs="Arial" w:eastAsia="Arial" w:hAnsi="Arial"/>
          <w:sz w:val="18"/>
          <w:szCs w:val="18"/>
          <w:i w:val="1"/>
          <w:iCs w:val="1"/>
          <w:color w:val="auto"/>
        </w:rPr>
        <w:t>Section 4.01</w:t>
      </w:r>
      <w:r>
        <w:rPr>
          <w:rFonts w:ascii="Arial" w:cs="Arial" w:eastAsia="Arial" w:hAnsi="Arial"/>
          <w:sz w:val="18"/>
          <w:szCs w:val="18"/>
          <w:color w:val="auto"/>
        </w:rPr>
        <w:t>, as applicable, and (</w:t>
      </w:r>
      <w:r>
        <w:rPr>
          <w:rFonts w:ascii="Arial" w:cs="Arial" w:eastAsia="Arial" w:hAnsi="Arial"/>
          <w:sz w:val="18"/>
          <w:szCs w:val="18"/>
          <w:i w:val="1"/>
          <w:iCs w:val="1"/>
          <w:color w:val="auto"/>
        </w:rPr>
        <w:t>ii</w:t>
      </w:r>
      <w:r>
        <w:rPr>
          <w:rFonts w:ascii="Arial" w:cs="Arial" w:eastAsia="Arial" w:hAnsi="Arial"/>
          <w:sz w:val="18"/>
          <w:szCs w:val="18"/>
          <w:color w:val="auto"/>
        </w:rPr>
        <w:t xml:space="preserve">) either (x) is a breach of Seller’s obligations to transfer the Acquired Interests at Closing in accordance with this Agreement or (y) such breach has not been cured, or by its nature cannot be cured, within thirty (30) days following written notification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at the end of such thirty (30) day period, Seller is endeavoring in good faith, and proceeding diligently, to cure such breach, Seller shall have an additional thirty (30) days in which to effect such cure;</w:t>
      </w:r>
    </w:p>
    <w:p>
      <w:pPr>
        <w:spacing w:after="0" w:line="192" w:lineRule="exact"/>
        <w:rPr>
          <w:rFonts w:ascii="Arial" w:cs="Arial" w:eastAsia="Arial" w:hAnsi="Arial"/>
          <w:sz w:val="18"/>
          <w:szCs w:val="18"/>
          <w:color w:val="auto"/>
        </w:rPr>
      </w:pPr>
    </w:p>
    <w:p>
      <w:pPr>
        <w:jc w:val="both"/>
        <w:ind w:left="660" w:firstLine="1292"/>
        <w:spacing w:after="0" w:line="257" w:lineRule="auto"/>
        <w:tabs>
          <w:tab w:leader="none" w:pos="2441" w:val="left"/>
        </w:tabs>
        <w:numPr>
          <w:ilvl w:val="1"/>
          <w:numId w:val="78"/>
        </w:numPr>
        <w:rPr>
          <w:rFonts w:ascii="Arial" w:cs="Arial" w:eastAsia="Arial" w:hAnsi="Arial"/>
          <w:sz w:val="18"/>
          <w:szCs w:val="18"/>
          <w:color w:val="auto"/>
        </w:rPr>
      </w:pPr>
      <w:r>
        <w:rPr>
          <w:rFonts w:ascii="Arial" w:cs="Arial" w:eastAsia="Arial" w:hAnsi="Arial"/>
          <w:sz w:val="18"/>
          <w:szCs w:val="18"/>
          <w:color w:val="auto"/>
        </w:rPr>
        <w:t>by Seller if there has been a breach by Purchaser of any representation, warranty, covenant or agreement contained in this Agreement that (</w:t>
      </w:r>
      <w:r>
        <w:rPr>
          <w:rFonts w:ascii="Arial" w:cs="Arial" w:eastAsia="Arial" w:hAnsi="Arial"/>
          <w:sz w:val="18"/>
          <w:szCs w:val="18"/>
          <w:i w:val="1"/>
          <w:iCs w:val="1"/>
          <w:color w:val="auto"/>
        </w:rPr>
        <w:t>i</w:t>
      </w:r>
      <w:r>
        <w:rPr>
          <w:rFonts w:ascii="Arial" w:cs="Arial" w:eastAsia="Arial" w:hAnsi="Arial"/>
          <w:sz w:val="18"/>
          <w:szCs w:val="18"/>
          <w:color w:val="auto"/>
        </w:rPr>
        <w:t xml:space="preserve">) would result in a failure of a condition set forth in </w:t>
      </w:r>
      <w:r>
        <w:rPr>
          <w:rFonts w:ascii="Arial" w:cs="Arial" w:eastAsia="Arial" w:hAnsi="Arial"/>
          <w:sz w:val="18"/>
          <w:szCs w:val="18"/>
          <w:i w:val="1"/>
          <w:iCs w:val="1"/>
          <w:color w:val="auto"/>
        </w:rPr>
        <w:t>Section 4.01</w:t>
      </w:r>
      <w:r>
        <w:rPr>
          <w:rFonts w:ascii="Arial" w:cs="Arial" w:eastAsia="Arial" w:hAnsi="Arial"/>
          <w:sz w:val="18"/>
          <w:szCs w:val="18"/>
          <w:color w:val="auto"/>
        </w:rPr>
        <w:t>, as applicable, and (</w:t>
      </w:r>
      <w:r>
        <w:rPr>
          <w:rFonts w:ascii="Arial" w:cs="Arial" w:eastAsia="Arial" w:hAnsi="Arial"/>
          <w:sz w:val="18"/>
          <w:szCs w:val="18"/>
          <w:i w:val="1"/>
          <w:iCs w:val="1"/>
          <w:color w:val="auto"/>
        </w:rPr>
        <w:t>ii</w:t>
      </w:r>
      <w:r>
        <w:rPr>
          <w:rFonts w:ascii="Arial" w:cs="Arial" w:eastAsia="Arial" w:hAnsi="Arial"/>
          <w:sz w:val="18"/>
          <w:szCs w:val="18"/>
          <w:color w:val="auto"/>
        </w:rPr>
        <w:t xml:space="preserve">) such breach has not been cured, or by its nature cannot be cured, within 30 days following written notification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at the end of such thirty (30) day period, Purchaser is endeavoring in good faith, and proceeding diligently, to cure such breach, Purchaser shall have an additional thirty (30) days in which to effect such cure; and</w:t>
      </w:r>
    </w:p>
    <w:p>
      <w:pPr>
        <w:spacing w:after="0" w:line="187" w:lineRule="exact"/>
        <w:rPr>
          <w:rFonts w:ascii="Arial" w:cs="Arial" w:eastAsia="Arial" w:hAnsi="Arial"/>
          <w:sz w:val="18"/>
          <w:szCs w:val="18"/>
          <w:color w:val="auto"/>
        </w:rPr>
      </w:pPr>
    </w:p>
    <w:p>
      <w:pPr>
        <w:jc w:val="both"/>
        <w:ind w:left="660" w:firstLine="1292"/>
        <w:spacing w:after="0" w:line="263" w:lineRule="auto"/>
        <w:tabs>
          <w:tab w:leader="none" w:pos="2413"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by Purchaser if there has been a breach by Seller of its covenant in </w:t>
      </w:r>
      <w:r>
        <w:rPr>
          <w:rFonts w:ascii="Arial" w:cs="Arial" w:eastAsia="Arial" w:hAnsi="Arial"/>
          <w:sz w:val="18"/>
          <w:szCs w:val="18"/>
          <w:i w:val="1"/>
          <w:iCs w:val="1"/>
          <w:color w:val="auto"/>
        </w:rPr>
        <w:t>Section 5.12(a)</w:t>
      </w:r>
      <w:r>
        <w:rPr>
          <w:rFonts w:ascii="Arial" w:cs="Arial" w:eastAsia="Arial" w:hAnsi="Arial"/>
          <w:sz w:val="18"/>
          <w:szCs w:val="18"/>
          <w:color w:val="auto"/>
        </w:rPr>
        <w:t xml:space="preserve"> with respect to the Financing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breach was not caused by a breach by Purchaser of the terms and conditions with respect to its granting of consent under </w:t>
      </w:r>
      <w:r>
        <w:rPr>
          <w:rFonts w:ascii="Arial" w:cs="Arial" w:eastAsia="Arial" w:hAnsi="Arial"/>
          <w:sz w:val="18"/>
          <w:szCs w:val="18"/>
          <w:i w:val="1"/>
          <w:iCs w:val="1"/>
          <w:color w:val="auto"/>
        </w:rPr>
        <w:t>Section 5.12(a),</w:t>
      </w:r>
      <w:r>
        <w:rPr>
          <w:rFonts w:ascii="Arial" w:cs="Arial" w:eastAsia="Arial" w:hAnsi="Arial"/>
          <w:sz w:val="18"/>
          <w:szCs w:val="18"/>
          <w:color w:val="auto"/>
        </w:rPr>
        <w:t xml:space="preserve"> as applicable.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304"/>
        <w:spacing w:after="0" w:line="263" w:lineRule="auto"/>
        <w:tabs>
          <w:tab w:leader="none" w:pos="17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may be terminated, solely with respect to Purchaser’s obligations to purchase the Class A Interests from Seller for the Class A Purchase Price and subsequently contribute such Class A Interests to the Master JV HoldCo, at any time prior to the Second Closing Date as follows:</w:t>
      </w:r>
    </w:p>
    <w:p>
      <w:pPr>
        <w:spacing w:after="0" w:line="183" w:lineRule="exact"/>
        <w:rPr>
          <w:rFonts w:ascii="Arial" w:cs="Arial" w:eastAsia="Arial" w:hAnsi="Arial"/>
          <w:sz w:val="18"/>
          <w:szCs w:val="18"/>
          <w:color w:val="auto"/>
        </w:rPr>
      </w:pPr>
    </w:p>
    <w:p>
      <w:pPr>
        <w:ind w:left="660" w:firstLine="1292"/>
        <w:spacing w:after="0" w:line="277" w:lineRule="auto"/>
        <w:tabs>
          <w:tab w:leader="none" w:pos="2441" w:val="left"/>
        </w:tabs>
        <w:numPr>
          <w:ilvl w:val="1"/>
          <w:numId w:val="79"/>
        </w:numPr>
        <w:rPr>
          <w:rFonts w:ascii="Arial" w:cs="Arial" w:eastAsia="Arial" w:hAnsi="Arial"/>
          <w:sz w:val="18"/>
          <w:szCs w:val="18"/>
          <w:color w:val="auto"/>
        </w:rPr>
      </w:pPr>
      <w:r>
        <w:rPr>
          <w:rFonts w:ascii="Arial" w:cs="Arial" w:eastAsia="Arial" w:hAnsi="Arial"/>
          <w:sz w:val="18"/>
          <w:szCs w:val="18"/>
          <w:color w:val="auto"/>
        </w:rPr>
        <w:t>by either Party if the Closing has not occurred on or before Outside Date, and the failure to reach the Closing Date was not caused by a breach of this Agreement by the terminating Party.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5"/>
          <w:szCs w:val="15"/>
          <w:b w:val="1"/>
          <w:bCs w:val="1"/>
          <w:i w:val="1"/>
          <w:iCs w:val="1"/>
          <w:color w:val="auto"/>
        </w:rPr>
        <w:t>Effect of Termination</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57" w:lineRule="auto"/>
        <w:tabs>
          <w:tab w:leader="none" w:pos="1766"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If this Agreement is validly terminated pursuant to </w:t>
      </w:r>
      <w:r>
        <w:rPr>
          <w:rFonts w:ascii="Arial" w:cs="Arial" w:eastAsia="Arial" w:hAnsi="Arial"/>
          <w:sz w:val="18"/>
          <w:szCs w:val="18"/>
          <w:i w:val="1"/>
          <w:iCs w:val="1"/>
          <w:color w:val="auto"/>
        </w:rPr>
        <w:t>Section 7.01</w:t>
      </w:r>
      <w:r>
        <w:rPr>
          <w:rFonts w:ascii="Arial" w:cs="Arial" w:eastAsia="Arial" w:hAnsi="Arial"/>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and the entirety of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and </w:t>
      </w:r>
      <w:r>
        <w:rPr>
          <w:rFonts w:ascii="Arial" w:cs="Arial" w:eastAsia="Arial" w:hAnsi="Arial"/>
          <w:sz w:val="18"/>
          <w:szCs w:val="18"/>
          <w:i w:val="1"/>
          <w:iCs w:val="1"/>
          <w:color w:val="auto"/>
        </w:rPr>
        <w:t>Article 8</w:t>
      </w:r>
      <w:r>
        <w:rPr>
          <w:rFonts w:ascii="Arial" w:cs="Arial" w:eastAsia="Arial" w:hAnsi="Arial"/>
          <w:sz w:val="18"/>
          <w:szCs w:val="18"/>
          <w:color w:val="auto"/>
        </w:rPr>
        <w:t xml:space="preserve"> will continue to apply following any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776"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If Purchaser’s obligations to purchase the Class A Interests from Seller for the Class A Purchase Price and subsequently contribute such Class A Interests to the Master JV HoldCo are validly terminated pursuant to </w:t>
      </w:r>
      <w:r>
        <w:rPr>
          <w:rFonts w:ascii="Arial" w:cs="Arial" w:eastAsia="Arial" w:hAnsi="Arial"/>
          <w:sz w:val="18"/>
          <w:szCs w:val="18"/>
          <w:i w:val="1"/>
          <w:iCs w:val="1"/>
          <w:color w:val="auto"/>
        </w:rPr>
        <w:t>Section 7.01(b)</w:t>
      </w:r>
      <w:r>
        <w:rPr>
          <w:rFonts w:ascii="Arial" w:cs="Arial" w:eastAsia="Arial" w:hAnsi="Arial"/>
          <w:sz w:val="18"/>
          <w:szCs w:val="18"/>
          <w:color w:val="auto"/>
        </w:rPr>
        <w:t xml:space="preserve">, such obligations will forthwith become null and void, and there will be no liability or obligation on the part of either Purchaser or Seller (or any of their respective Representatives or Affiliates) in respect of such obligations, except that the applicable portions of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and the entirety of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and </w:t>
      </w:r>
      <w:r>
        <w:rPr>
          <w:rFonts w:ascii="Arial" w:cs="Arial" w:eastAsia="Arial" w:hAnsi="Arial"/>
          <w:sz w:val="18"/>
          <w:szCs w:val="18"/>
          <w:i w:val="1"/>
          <w:iCs w:val="1"/>
          <w:color w:val="auto"/>
        </w:rPr>
        <w:t>Article 8</w:t>
      </w:r>
      <w:r>
        <w:rPr>
          <w:rFonts w:ascii="Arial" w:cs="Arial" w:eastAsia="Arial" w:hAnsi="Arial"/>
          <w:sz w:val="18"/>
          <w:szCs w:val="18"/>
          <w:color w:val="auto"/>
        </w:rPr>
        <w:t xml:space="preserve"> will continue to apply following any termination.</w:t>
      </w:r>
    </w:p>
    <w:p>
      <w:pPr>
        <w:spacing w:after="0" w:line="187" w:lineRule="exact"/>
        <w:rPr>
          <w:rFonts w:ascii="Arial" w:cs="Arial" w:eastAsia="Arial" w:hAnsi="Arial"/>
          <w:sz w:val="18"/>
          <w:szCs w:val="18"/>
          <w:color w:val="auto"/>
        </w:rPr>
      </w:pPr>
    </w:p>
    <w:p>
      <w:pPr>
        <w:jc w:val="both"/>
        <w:ind w:firstLine="1304"/>
        <w:spacing w:after="0" w:line="293" w:lineRule="auto"/>
        <w:tabs>
          <w:tab w:leader="none" w:pos="1766"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Upon termination of this Agreement by a Party for any reason, (i) Purchaser shall return all documents and other materials of Seller relating to the Company and the Mesquite Sky Entities, the assets or properties of the Company and the Mesquite Sky Entities and the transactions contemplated hereby, and (ii)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Company, the Mesquite Sky Entities, the assets of the Company, the assets of the Mesquite Sky Entities or the other Party shall remain subject to the provisions of </w:t>
      </w:r>
      <w:r>
        <w:rPr>
          <w:rFonts w:ascii="Arial" w:cs="Arial" w:eastAsia="Arial" w:hAnsi="Arial"/>
          <w:sz w:val="16"/>
          <w:szCs w:val="16"/>
          <w:i w:val="1"/>
          <w:iCs w:val="1"/>
          <w:color w:val="auto"/>
        </w:rPr>
        <w:t>Section 8.06</w:t>
      </w:r>
      <w:r>
        <w:rPr>
          <w:rFonts w:ascii="Arial" w:cs="Arial" w:eastAsia="Arial" w:hAnsi="Arial"/>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8.01.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requests and other communications hereunder must be in writing and will be deemed to have been duly given only if</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personally, by email, by reputable national overnight courier service or by registered or certified mail (postage prepaid) to the Parties at the following addresses or email addresses, as applicable: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ind w:left="1260"/>
              <w:spacing w:after="0"/>
              <w:rPr>
                <w:sz w:val="20"/>
                <w:szCs w:val="20"/>
                <w:color w:val="auto"/>
              </w:rPr>
            </w:pPr>
            <w:r>
              <w:rPr>
                <w:rFonts w:ascii="Arial" w:cs="Arial" w:eastAsia="Arial" w:hAnsi="Arial"/>
                <w:sz w:val="18"/>
                <w:szCs w:val="18"/>
                <w:color w:val="auto"/>
              </w:rPr>
              <w:t>If to Purchaser, to:</w:t>
            </w:r>
          </w:p>
        </w:tc>
        <w:tc>
          <w:tcPr>
            <w:tcW w:w="7640" w:type="dxa"/>
            <w:vAlign w:val="bottom"/>
          </w:tcPr>
          <w:p>
            <w:pPr>
              <w:ind w:left="1020"/>
              <w:spacing w:after="0"/>
              <w:rPr>
                <w:sz w:val="20"/>
                <w:szCs w:val="20"/>
                <w:color w:val="auto"/>
              </w:rPr>
            </w:pPr>
            <w:r>
              <w:rPr>
                <w:rFonts w:ascii="Arial" w:cs="Arial" w:eastAsia="Arial" w:hAnsi="Arial"/>
                <w:sz w:val="18"/>
                <w:szCs w:val="18"/>
                <w:color w:val="auto"/>
              </w:rPr>
              <w:t>Lighthouse Renewable Class A LLC</w:t>
            </w:r>
          </w:p>
        </w:tc>
      </w:tr>
      <w:tr>
        <w:trPr>
          <w:trHeight w:val="216"/>
        </w:trPr>
        <w:tc>
          <w:tcPr>
            <w:tcW w:w="3600" w:type="dxa"/>
            <w:vAlign w:val="bottom"/>
          </w:tcPr>
          <w:p>
            <w:pPr>
              <w:spacing w:after="0"/>
              <w:rPr>
                <w:sz w:val="18"/>
                <w:szCs w:val="18"/>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c/o Clearway Energy, Inc.</w:t>
            </w:r>
          </w:p>
        </w:tc>
      </w:tr>
      <w:tr>
        <w:trPr>
          <w:trHeight w:val="216"/>
        </w:trPr>
        <w:tc>
          <w:tcPr>
            <w:tcW w:w="3600" w:type="dxa"/>
            <w:vAlign w:val="bottom"/>
          </w:tcPr>
          <w:p>
            <w:pPr>
              <w:spacing w:after="0"/>
              <w:rPr>
                <w:sz w:val="18"/>
                <w:szCs w:val="18"/>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300 Carnegie Center Drive, Suite 300</w:t>
            </w:r>
          </w:p>
        </w:tc>
      </w:tr>
      <w:tr>
        <w:trPr>
          <w:trHeight w:val="216"/>
        </w:trPr>
        <w:tc>
          <w:tcPr>
            <w:tcW w:w="3600" w:type="dxa"/>
            <w:vAlign w:val="bottom"/>
          </w:tcPr>
          <w:p>
            <w:pPr>
              <w:spacing w:after="0"/>
              <w:rPr>
                <w:sz w:val="18"/>
                <w:szCs w:val="18"/>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Princeton, NJ 08540</w:t>
            </w:r>
          </w:p>
        </w:tc>
      </w:tr>
      <w:tr>
        <w:trPr>
          <w:trHeight w:val="216"/>
        </w:trPr>
        <w:tc>
          <w:tcPr>
            <w:tcW w:w="3600" w:type="dxa"/>
            <w:vAlign w:val="bottom"/>
          </w:tcPr>
          <w:p>
            <w:pPr>
              <w:spacing w:after="0"/>
              <w:rPr>
                <w:sz w:val="18"/>
                <w:szCs w:val="18"/>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Attn: Christopher Sotos and Kevin Malcarney</w:t>
            </w:r>
          </w:p>
        </w:tc>
      </w:tr>
      <w:tr>
        <w:trPr>
          <w:trHeight w:val="216"/>
        </w:trPr>
        <w:tc>
          <w:tcPr>
            <w:tcW w:w="3600" w:type="dxa"/>
            <w:vAlign w:val="bottom"/>
          </w:tcPr>
          <w:p>
            <w:pPr>
              <w:spacing w:after="0"/>
              <w:rPr>
                <w:sz w:val="18"/>
                <w:szCs w:val="18"/>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Email: christopher.sotos@clearwayenergy.com and</w:t>
            </w:r>
          </w:p>
        </w:tc>
      </w:tr>
      <w:tr>
        <w:trPr>
          <w:trHeight w:val="230"/>
        </w:trPr>
        <w:tc>
          <w:tcPr>
            <w:tcW w:w="3600" w:type="dxa"/>
            <w:vAlign w:val="bottom"/>
          </w:tcPr>
          <w:p>
            <w:pPr>
              <w:spacing w:after="0"/>
              <w:rPr>
                <w:sz w:val="20"/>
                <w:szCs w:val="20"/>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kevin.malcarney@clearwayenergy.com</w:t>
            </w:r>
          </w:p>
        </w:tc>
      </w:tr>
      <w:tr>
        <w:trPr>
          <w:trHeight w:val="648"/>
        </w:trPr>
        <w:tc>
          <w:tcPr>
            <w:tcW w:w="36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240"/>
          </w:cols>
          <w:pgMar w:left="320" w:top="908" w:right="339" w:bottom="1440" w:gutter="0" w:footer="0" w:header="0"/>
        </w:sectPr>
      </w:pPr>
    </w:p>
    <w:bookmarkStart w:id="69" w:name="page70"/>
    <w:bookmarkEnd w:id="69"/>
    <w:p>
      <w:pPr>
        <w:ind w:left="12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Perkins Coie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 13th St.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Eric Dodson Greenberg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egreenberg@perkinscoie.com</w:t>
      </w:r>
    </w:p>
    <w:p>
      <w:pPr>
        <w:spacing w:after="0" w:line="200" w:lineRule="exact"/>
        <w:rPr>
          <w:sz w:val="20"/>
          <w:szCs w:val="20"/>
          <w:color w:val="auto"/>
        </w:rPr>
      </w:pPr>
    </w:p>
    <w:p>
      <w:pPr>
        <w:sectPr>
          <w:pgSz w:w="11900" w:h="16838" w:orient="portrait"/>
          <w:cols w:equalWidth="0" w:num="2">
            <w:col w:w="3900" w:space="720"/>
            <w:col w:w="6620"/>
          </w:cols>
          <w:pgMar w:left="320" w:top="908" w:right="339" w:bottom="1440" w:gutter="0" w:footer="0" w:header="0"/>
        </w:sectPr>
      </w:pPr>
    </w:p>
    <w:p>
      <w:pPr>
        <w:spacing w:after="0" w:line="3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to Seller,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4900 N Scottsdale Road, Suite 5000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Scottsdale, AZ 85251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Operating Officer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E-mail: am@clearwayenergy.com</w:t>
      </w:r>
    </w:p>
    <w:p>
      <w:pPr>
        <w:spacing w:after="0" w:line="200" w:lineRule="exact"/>
        <w:rPr>
          <w:sz w:val="20"/>
          <w:szCs w:val="20"/>
          <w:color w:val="auto"/>
        </w:rPr>
      </w:pPr>
    </w:p>
    <w:p>
      <w:pPr>
        <w:sectPr>
          <w:pgSz w:w="11900" w:h="16838" w:orient="portrait"/>
          <w:cols w:equalWidth="0" w:num="2">
            <w:col w:w="3900" w:space="720"/>
            <w:col w:w="6620"/>
          </w:cols>
          <w:pgMar w:left="320" w:top="908" w:right="339" w:bottom="1440" w:gutter="0" w:footer="0" w:header="0"/>
          <w:type w:val="continuous"/>
        </w:sectPr>
      </w:pPr>
    </w:p>
    <w:p>
      <w:pPr>
        <w:spacing w:after="0" w:line="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5780 Fleet St., Suite 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Carlsbad, CA 92008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legal@clearwayenergy.com</w:t>
      </w:r>
    </w:p>
    <w:p>
      <w:pPr>
        <w:spacing w:after="0" w:line="200" w:lineRule="exact"/>
        <w:rPr>
          <w:sz w:val="20"/>
          <w:szCs w:val="20"/>
          <w:color w:val="auto"/>
        </w:rPr>
      </w:pPr>
    </w:p>
    <w:p>
      <w:pPr>
        <w:sectPr>
          <w:pgSz w:w="11900" w:h="16838" w:orient="portrait"/>
          <w:cols w:equalWidth="0" w:num="2">
            <w:col w:w="3900" w:space="720"/>
            <w:col w:w="6620"/>
          </w:cols>
          <w:pgMar w:left="320" w:top="908" w:right="339" w:bottom="1440" w:gutter="0" w:footer="0" w:header="0"/>
          <w:type w:val="continuous"/>
        </w:sectPr>
      </w:pPr>
    </w:p>
    <w:p>
      <w:pPr>
        <w:spacing w:after="0" w:line="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Notices, requests and other communications will be deemed given upon the first to occur of such item having been (</w:t>
      </w:r>
      <w:r>
        <w:rPr>
          <w:rFonts w:ascii="Arial" w:cs="Arial" w:eastAsia="Arial" w:hAnsi="Arial"/>
          <w:sz w:val="18"/>
          <w:szCs w:val="18"/>
          <w:i w:val="1"/>
          <w:iCs w:val="1"/>
          <w:color w:val="auto"/>
        </w:rPr>
        <w:t>a</w:t>
      </w:r>
      <w:r>
        <w:rPr>
          <w:rFonts w:ascii="Arial" w:cs="Arial" w:eastAsia="Arial" w:hAnsi="Arial"/>
          <w:sz w:val="18"/>
          <w:szCs w:val="18"/>
          <w:color w:val="auto"/>
        </w:rPr>
        <w:t xml:space="preserve">) delivered personally (or refusal of delivery) to the address provided in this </w:t>
      </w:r>
      <w:r>
        <w:rPr>
          <w:rFonts w:ascii="Arial" w:cs="Arial" w:eastAsia="Arial" w:hAnsi="Arial"/>
          <w:sz w:val="18"/>
          <w:szCs w:val="18"/>
          <w:i w:val="1"/>
          <w:iCs w:val="1"/>
          <w:color w:val="auto"/>
        </w:rPr>
        <w:t>Section 8.01</w:t>
      </w:r>
      <w:r>
        <w:rPr>
          <w:rFonts w:ascii="Arial" w:cs="Arial" w:eastAsia="Arial" w:hAnsi="Arial"/>
          <w:sz w:val="18"/>
          <w:szCs w:val="18"/>
          <w:color w:val="auto"/>
        </w:rPr>
        <w:t xml:space="preserve">, (b) delivered by confirmed email transmission to the email address provided in this </w:t>
      </w:r>
      <w:r>
        <w:rPr>
          <w:rFonts w:ascii="Arial" w:cs="Arial" w:eastAsia="Arial" w:hAnsi="Arial"/>
          <w:sz w:val="18"/>
          <w:szCs w:val="18"/>
          <w:i w:val="1"/>
          <w:iCs w:val="1"/>
          <w:color w:val="auto"/>
        </w:rPr>
        <w:t>Section 8.01</w:t>
      </w:r>
      <w:r>
        <w:rPr>
          <w:rFonts w:ascii="Arial" w:cs="Arial" w:eastAsia="Arial" w:hAnsi="Arial"/>
          <w:sz w:val="18"/>
          <w:szCs w:val="18"/>
          <w:color w:val="auto"/>
        </w:rPr>
        <w:t xml:space="preserve"> or (c) delivered (or refusal of such delivery) by registered or certified mail (postage prepaid) or by reputable national overnight courier service in the manner described above to the address provided in this </w:t>
      </w:r>
      <w:r>
        <w:rPr>
          <w:rFonts w:ascii="Arial" w:cs="Arial" w:eastAsia="Arial" w:hAnsi="Arial"/>
          <w:sz w:val="18"/>
          <w:szCs w:val="18"/>
          <w:i w:val="1"/>
          <w:iCs w:val="1"/>
          <w:color w:val="auto"/>
        </w:rPr>
        <w:t>Section 8.01</w:t>
      </w:r>
      <w:r>
        <w:rPr>
          <w:rFonts w:ascii="Arial" w:cs="Arial" w:eastAsia="Arial" w:hAnsi="Arial"/>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8"/>
          <w:szCs w:val="18"/>
          <w:i w:val="1"/>
          <w:iCs w:val="1"/>
          <w:color w:val="auto"/>
        </w:rPr>
        <w:t>Section 8.01</w:t>
      </w:r>
      <w:r>
        <w:rPr>
          <w:rFonts w:ascii="Arial" w:cs="Arial" w:eastAsia="Arial" w:hAnsi="Arial"/>
          <w:sz w:val="18"/>
          <w:szCs w:val="18"/>
          <w:color w:val="auto"/>
        </w:rPr>
        <w:t>). Any Party from time to time may change its address, email address or other information for the purpose of notices to that Party by giving notice specifying such change to the other Party.</w:t>
      </w:r>
    </w:p>
    <w:p>
      <w:pPr>
        <w:spacing w:after="0" w:line="1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i w:val="1"/>
          <w:iCs w:val="1"/>
          <w:color w:val="auto"/>
        </w:rPr>
        <w:t>Entire Agreement</w:t>
      </w:r>
      <w:r>
        <w:rPr>
          <w:rFonts w:ascii="Arial" w:cs="Arial" w:eastAsia="Arial" w:hAnsi="Arial"/>
          <w:sz w:val="18"/>
          <w:szCs w:val="18"/>
          <w:color w:val="auto"/>
        </w:rPr>
        <w:t>. This Agreement and the documents referenced herein supersede all prior discussions and agreements, whether oral 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between the Parties with respect to the subject matter hereof, and contains the entire agreement between the Parties with respect to the subject matter hereof.</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8.03. </w:t>
      </w:r>
      <w:r>
        <w:rPr>
          <w:rFonts w:ascii="Arial" w:cs="Arial" w:eastAsia="Arial" w:hAnsi="Arial"/>
          <w:sz w:val="16"/>
          <w:szCs w:val="16"/>
          <w:b w:val="1"/>
          <w:bCs w:val="1"/>
          <w:i w:val="1"/>
          <w:iCs w:val="1"/>
          <w:color w:val="auto"/>
        </w:rPr>
        <w:t>Specific Performance</w:t>
      </w:r>
      <w:r>
        <w:rPr>
          <w:rFonts w:ascii="Arial" w:cs="Arial" w:eastAsia="Arial" w:hAnsi="Arial"/>
          <w:sz w:val="16"/>
          <w:szCs w:val="16"/>
          <w:color w:val="auto"/>
        </w:rPr>
        <w:t>. The Parties to this Agreement agree that if any of the provisions of this Agreement were not performed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8.04.</w:t>
      </w:r>
      <w:r>
        <w:rPr>
          <w:sz w:val="20"/>
          <w:szCs w:val="20"/>
          <w:color w:val="auto"/>
        </w:rPr>
        <w:tab/>
      </w:r>
      <w:r>
        <w:rPr>
          <w:rFonts w:ascii="Arial" w:cs="Arial" w:eastAsia="Arial" w:hAnsi="Arial"/>
          <w:sz w:val="16"/>
          <w:szCs w:val="16"/>
          <w:b w:val="1"/>
          <w:bCs w:val="1"/>
          <w:i w:val="1"/>
          <w:iCs w:val="1"/>
          <w:color w:val="auto"/>
        </w:rPr>
        <w:t>Time of the Essence</w:t>
      </w:r>
      <w:r>
        <w:rPr>
          <w:rFonts w:ascii="Arial" w:cs="Arial" w:eastAsia="Arial" w:hAnsi="Arial"/>
          <w:sz w:val="16"/>
          <w:szCs w:val="16"/>
          <w:color w:val="auto"/>
        </w:rPr>
        <w:t>. Time is of the essence with regard to all duties and time periods set forth in this Agreement.</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8.05.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Except as otherwise expressly provided in this Agreement, whether or not the transactions contemplated hereby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each Party will pay its own costs and expenses incurred in connection with the negotiation, execution and performance of this Agreement.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0" w:name="page71"/>
    <w:bookmarkEnd w:id="70"/>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8.06. </w:t>
      </w:r>
      <w:r>
        <w:rPr>
          <w:rFonts w:ascii="Arial" w:cs="Arial" w:eastAsia="Arial" w:hAnsi="Arial"/>
          <w:sz w:val="16"/>
          <w:szCs w:val="16"/>
          <w:b w:val="1"/>
          <w:bCs w:val="1"/>
          <w:i w:val="1"/>
          <w:iCs w:val="1"/>
          <w:color w:val="auto"/>
        </w:rPr>
        <w:t>Confidentiality; Disclosures</w:t>
      </w:r>
      <w:r>
        <w:rPr>
          <w:rFonts w:ascii="Arial" w:cs="Arial" w:eastAsia="Arial" w:hAnsi="Arial"/>
          <w:sz w:val="16"/>
          <w:szCs w:val="16"/>
          <w:color w:val="auto"/>
        </w:rPr>
        <w:t>. This Agreement is confidential, and neither Party shall disclose the terms and conditions of this Agreement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8.07.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Any term or condition of this Agreement may be waived at any time by the Party that is entitled to the benefit thereof, but no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waiver shall be effective unless set forth in a written instrument duly executed by or on behalf of the Party waiving such term or condition and delivered pursuant to </w:t>
      </w:r>
      <w:r>
        <w:rPr>
          <w:rFonts w:ascii="Arial" w:cs="Arial" w:eastAsia="Arial" w:hAnsi="Arial"/>
          <w:sz w:val="18"/>
          <w:szCs w:val="18"/>
          <w:i w:val="1"/>
          <w:iCs w:val="1"/>
          <w:color w:val="auto"/>
        </w:rPr>
        <w:t>Section 8.01</w:t>
      </w:r>
      <w:r>
        <w:rPr>
          <w:rFonts w:ascii="Arial" w:cs="Arial" w:eastAsia="Arial" w:hAnsi="Arial"/>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8.08.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This Agreement may be amended, supplemented or modified only by a written instrument duly executed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8.09. </w:t>
      </w:r>
      <w:r>
        <w:rPr>
          <w:rFonts w:ascii="Arial" w:cs="Arial" w:eastAsia="Arial" w:hAnsi="Arial"/>
          <w:sz w:val="18"/>
          <w:szCs w:val="18"/>
          <w:b w:val="1"/>
          <w:bCs w:val="1"/>
          <w:i w:val="1"/>
          <w:iCs w:val="1"/>
          <w:color w:val="auto"/>
        </w:rPr>
        <w:t>No Third Party Beneficiary</w:t>
      </w:r>
      <w:r>
        <w:rPr>
          <w:rFonts w:ascii="Arial" w:cs="Arial" w:eastAsia="Arial" w:hAnsi="Arial"/>
          <w:sz w:val="18"/>
          <w:szCs w:val="18"/>
          <w:color w:val="auto"/>
        </w:rPr>
        <w:t>. The terms and provisions of this Agreement are intended solely for the benefit of each Party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Arial" w:cs="Arial" w:eastAsia="Arial" w:hAnsi="Arial"/>
          <w:sz w:val="18"/>
          <w:szCs w:val="18"/>
          <w:i w:val="1"/>
          <w:iCs w:val="1"/>
          <w:color w:val="auto"/>
        </w:rPr>
        <w:t>Article 6</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The obligations of the Parties under this Agreement are not assignable without the prior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such Party may withhold in its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Purchaser may assign this Agreement, including the right to acquire the Acquired Interests or the Class A Interests, without the prior written consent of Seller, to (a) any Affiliate of Purchaser, or (b) any financial institution providing purchase money or other financing to Purchaser from time to time as collateral security for such financing, in each case so long as Purchaser remains fully liable for its obligations under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this Agreement is held to be illegal, invalid or unenforceable under any present or future Law, and if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or obligations of any Party under this Agreement shall not be materially and adversely affected thereby, (</w:t>
      </w:r>
      <w:r>
        <w:rPr>
          <w:rFonts w:ascii="Arial" w:cs="Arial" w:eastAsia="Arial" w:hAnsi="Arial"/>
          <w:sz w:val="18"/>
          <w:szCs w:val="18"/>
          <w:i w:val="1"/>
          <w:iCs w:val="1"/>
          <w:color w:val="auto"/>
        </w:rPr>
        <w:t>a</w:t>
      </w:r>
      <w:r>
        <w:rPr>
          <w:rFonts w:ascii="Arial" w:cs="Arial" w:eastAsia="Arial" w:hAnsi="Arial"/>
          <w:sz w:val="18"/>
          <w:szCs w:val="18"/>
          <w:color w:val="auto"/>
        </w:rPr>
        <w:t>) such provision shall be fully severable, (</w:t>
      </w:r>
      <w:r>
        <w:rPr>
          <w:rFonts w:ascii="Arial" w:cs="Arial" w:eastAsia="Arial" w:hAnsi="Arial"/>
          <w:sz w:val="18"/>
          <w:szCs w:val="18"/>
          <w:i w:val="1"/>
          <w:iCs w:val="1"/>
          <w:color w:val="auto"/>
        </w:rPr>
        <w:t>b</w:t>
      </w:r>
      <w:r>
        <w:rPr>
          <w:rFonts w:ascii="Arial" w:cs="Arial" w:eastAsia="Arial" w:hAnsi="Arial"/>
          <w:sz w:val="18"/>
          <w:szCs w:val="18"/>
          <w:color w:val="auto"/>
        </w:rPr>
        <w:t>) this Agreement shall be construed and enforced as if such illegal, invalid or unenforceable provision had never comprised a part hereof and (</w:t>
      </w:r>
      <w:r>
        <w:rPr>
          <w:rFonts w:ascii="Arial" w:cs="Arial" w:eastAsia="Arial" w:hAnsi="Arial"/>
          <w:sz w:val="18"/>
          <w:szCs w:val="18"/>
          <w:i w:val="1"/>
          <w:iCs w:val="1"/>
          <w:color w:val="auto"/>
        </w:rPr>
        <w:t>c</w:t>
      </w:r>
      <w:r>
        <w:rPr>
          <w:rFonts w:ascii="Arial" w:cs="Arial" w:eastAsia="Arial" w:hAnsi="Arial"/>
          <w:sz w:val="18"/>
          <w:szCs w:val="18"/>
          <w:color w:val="auto"/>
        </w:rPr>
        <w:t>) the remaining provisions of this Agreement shall remain in full force and effect and shall not be affected by the illegal, invalid or unenforceable provision or by its severance here from.</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AGREEMENT AND ALL DISPUTES AND CONTROVERSIES ARISING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CONSTRUED IN ALL RESPECTS IN ACCORDANCE WITH THE LAWS OF THE STATE OF NEW YORK WITHOUT GIVING EFFECT TO THE CONFLICTS OF LAWS PRINCIPLES THEREOF EXCEPT FOR SECTIONS 5-1401 AND 5- 1402 OF THE NEW YORK GENERAL OBLIGATIONS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660"/>
        <w:spacing w:after="0"/>
        <w:tabs>
          <w:tab w:leader="none" w:pos="128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5"/>
          <w:szCs w:val="15"/>
          <w:b w:val="1"/>
          <w:bCs w:val="1"/>
          <w:i w:val="1"/>
          <w:iCs w:val="1"/>
          <w:color w:val="auto"/>
        </w:rPr>
        <w:t>Consent to Jurisdiction</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2" w:lineRule="auto"/>
        <w:tabs>
          <w:tab w:leader="none" w:pos="1766" w:val="left"/>
        </w:tabs>
        <w:numPr>
          <w:ilvl w:val="0"/>
          <w:numId w:val="81"/>
        </w:numPr>
        <w:rPr>
          <w:rFonts w:ascii="Arial" w:cs="Arial" w:eastAsia="Arial" w:hAnsi="Arial"/>
          <w:sz w:val="17"/>
          <w:szCs w:val="17"/>
          <w:color w:val="auto"/>
        </w:rPr>
      </w:pPr>
      <w:r>
        <w:rPr>
          <w:rFonts w:ascii="Arial" w:cs="Arial" w:eastAsia="Arial" w:hAnsi="Arial"/>
          <w:sz w:val="17"/>
          <w:szCs w:val="17"/>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77" w:lineRule="exact"/>
        <w:rPr>
          <w:rFonts w:ascii="Arial" w:cs="Arial" w:eastAsia="Arial" w:hAnsi="Arial"/>
          <w:sz w:val="17"/>
          <w:szCs w:val="17"/>
          <w:color w:val="auto"/>
        </w:rPr>
      </w:pPr>
    </w:p>
    <w:p>
      <w:pPr>
        <w:ind w:left="1780" w:hanging="476"/>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Party hereto irrevocably and unconditionally waives, to the fullest extent it may legally and effectively do so:</w:t>
      </w:r>
    </w:p>
    <w:p>
      <w:pPr>
        <w:spacing w:after="0" w:line="225" w:lineRule="exact"/>
        <w:rPr>
          <w:rFonts w:ascii="Arial" w:cs="Arial" w:eastAsia="Arial" w:hAnsi="Arial"/>
          <w:sz w:val="18"/>
          <w:szCs w:val="18"/>
          <w:color w:val="auto"/>
        </w:rPr>
      </w:pPr>
    </w:p>
    <w:p>
      <w:pPr>
        <w:ind w:firstLine="1952"/>
        <w:spacing w:after="0" w:line="277" w:lineRule="auto"/>
        <w:tabs>
          <w:tab w:leader="none" w:pos="2384"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70" w:lineRule="exact"/>
        <w:rPr>
          <w:rFonts w:ascii="Arial" w:cs="Arial" w:eastAsia="Arial" w:hAnsi="Arial"/>
          <w:sz w:val="18"/>
          <w:szCs w:val="18"/>
          <w:color w:val="auto"/>
        </w:rPr>
      </w:pPr>
    </w:p>
    <w:p>
      <w:pPr>
        <w:ind w:left="2440" w:hanging="488"/>
        <w:spacing w:after="0"/>
        <w:tabs>
          <w:tab w:leader="none" w:pos="24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defense of an inconvenient forum to the maintenance of such Action or Proceeding in any such court.</w:t>
      </w:r>
    </w:p>
    <w:p>
      <w:pPr>
        <w:spacing w:after="0" w:line="225" w:lineRule="exact"/>
        <w:rPr>
          <w:rFonts w:ascii="Arial" w:cs="Arial" w:eastAsia="Arial" w:hAnsi="Arial"/>
          <w:sz w:val="18"/>
          <w:szCs w:val="18"/>
          <w:color w:val="auto"/>
        </w:rPr>
      </w:pPr>
    </w:p>
    <w:p>
      <w:pPr>
        <w:ind w:firstLine="1304"/>
        <w:spacing w:after="0" w:line="277" w:lineRule="auto"/>
        <w:tabs>
          <w:tab w:leader="none" w:pos="17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Each Party hereto irrevocably consents to service of process by registered mail, return receipt requested, as provided in </w:t>
      </w:r>
      <w:r>
        <w:rPr>
          <w:rFonts w:ascii="Arial" w:cs="Arial" w:eastAsia="Arial" w:hAnsi="Arial"/>
          <w:sz w:val="18"/>
          <w:szCs w:val="18"/>
          <w:i w:val="1"/>
          <w:iCs w:val="1"/>
          <w:color w:val="auto"/>
        </w:rPr>
        <w:t>Section 8.01</w:t>
      </w:r>
      <w:r>
        <w:rPr>
          <w:rFonts w:ascii="Arial" w:cs="Arial" w:eastAsia="Arial" w:hAnsi="Arial"/>
          <w:sz w:val="18"/>
          <w:szCs w:val="18"/>
          <w:color w:val="auto"/>
        </w:rPr>
        <w:t>. Nothing in this Agreement will affect the right of any Party hereto to serve process in any other manner permitted by Law.</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8.14.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TO THE FULLEST EXTENT PERMITTED BY LAW, EACH PARTY HEREBY WAIVES ALL RIGHTS TO A</w:t>
      </w:r>
      <w:r>
        <w:rPr>
          <w:rFonts w:ascii="Arial" w:cs="Arial" w:eastAsia="Arial" w:hAnsi="Arial"/>
          <w:sz w:val="18"/>
          <w:szCs w:val="18"/>
          <w:b w:val="1"/>
          <w:bCs w:val="1"/>
          <w:color w:val="auto"/>
        </w:rPr>
        <w:t xml:space="preserve"> </w:t>
      </w:r>
      <w:r>
        <w:rPr>
          <w:rFonts w:ascii="Arial" w:cs="Arial" w:eastAsia="Arial" w:hAnsi="Arial"/>
          <w:sz w:val="18"/>
          <w:szCs w:val="18"/>
          <w:color w:val="auto"/>
        </w:rPr>
        <w:t>TRIAL BY JURY IN ANY LEGAL ACTION TO ENFORCE OR INTERPRET THE PROVISIONS OF THIS AGREEMENT OR THAT OTHERWISE RELATES TO THIS AGREEMENT.</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8.15. </w:t>
      </w:r>
      <w:r>
        <w:rPr>
          <w:rFonts w:ascii="Arial" w:cs="Arial" w:eastAsia="Arial" w:hAnsi="Arial"/>
          <w:sz w:val="17"/>
          <w:szCs w:val="17"/>
          <w:b w:val="1"/>
          <w:bCs w:val="1"/>
          <w:i w:val="1"/>
          <w:iCs w:val="1"/>
          <w:color w:val="auto"/>
        </w:rPr>
        <w:t>Limitation on Certain Damages</w:t>
      </w:r>
      <w:r>
        <w:rPr>
          <w:rFonts w:ascii="Arial" w:cs="Arial" w:eastAsia="Arial" w:hAnsi="Arial"/>
          <w:sz w:val="17"/>
          <w:szCs w:val="17"/>
          <w:color w:val="auto"/>
        </w:rPr>
        <w:t>. NOTWITHSTANDING ANYTHING IN THIS AGREEMENT TO THE CONTRARY, NO PARTY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LIABLE TO ANY OTHER PARTY FOR ANY CONSEQUENTIAL, SPECIAL, INDIRECT, SPECULATIVE, EXEMPLARY, OR PUNITIVE DAMAGES (COLLECTIVELY, “</w:t>
      </w:r>
      <w:r>
        <w:rPr>
          <w:rFonts w:ascii="Arial" w:cs="Arial" w:eastAsia="Arial" w:hAnsi="Arial"/>
          <w:sz w:val="17"/>
          <w:szCs w:val="17"/>
          <w:i w:val="1"/>
          <w:iCs w:val="1"/>
          <w:color w:val="auto"/>
        </w:rPr>
        <w:t>CONSEQUENTIAL DAMAGES</w:t>
      </w:r>
      <w:r>
        <w:rPr>
          <w:rFonts w:ascii="Arial" w:cs="Arial" w:eastAsia="Arial" w:hAnsi="Arial"/>
          <w:sz w:val="17"/>
          <w:szCs w:val="17"/>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ANY LOSSES ARISING OUT OF THIRD PARTY CLAIMS FOR WHICH A PARTY IS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INDEMNIFICATION UNDER THIS AGREEMENT SHALL NOT CONSTITUTE CONSEQUENTIAL DAMAGES. FOR THE AVOIDANCE OF DOUBT, AN ACTION FOR THE PAYMENT OF THE PURCHASE PRICE SHALL NOT BE CONSIDERED CONSEQUENTIAL DAMAGES.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8.16. </w:t>
      </w:r>
      <w:r>
        <w:rPr>
          <w:rFonts w:ascii="Arial" w:cs="Arial" w:eastAsia="Arial" w:hAnsi="Arial"/>
          <w:sz w:val="18"/>
          <w:szCs w:val="18"/>
          <w:b w:val="1"/>
          <w:bCs w:val="1"/>
          <w:i w:val="1"/>
          <w:iCs w:val="1"/>
          <w:color w:val="auto"/>
        </w:rPr>
        <w:t>Disclosures</w:t>
      </w:r>
      <w:r>
        <w:rPr>
          <w:rFonts w:ascii="Arial" w:cs="Arial" w:eastAsia="Arial" w:hAnsi="Arial"/>
          <w:sz w:val="18"/>
          <w:szCs w:val="18"/>
          <w:color w:val="auto"/>
        </w:rPr>
        <w:t>. Seller or Purchaser may, at its option, include in the Disclosure Schedules items that are not material in order to avoid any</w:t>
      </w:r>
      <w:r>
        <w:rPr>
          <w:rFonts w:ascii="Arial" w:cs="Arial" w:eastAsia="Arial" w:hAnsi="Arial"/>
          <w:sz w:val="18"/>
          <w:szCs w:val="18"/>
          <w:b w:val="1"/>
          <w:bCs w:val="1"/>
          <w:color w:val="auto"/>
        </w:rPr>
        <w:t xml:space="preserve"> </w:t>
      </w:r>
      <w:r>
        <w:rPr>
          <w:rFonts w:ascii="Arial" w:cs="Arial" w:eastAsia="Arial" w:hAnsi="Arial"/>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Company, the Mesquite Sky Entities or Purchaser.</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8.17. </w:t>
      </w:r>
      <w:r>
        <w:rPr>
          <w:rFonts w:ascii="Arial" w:cs="Arial" w:eastAsia="Arial" w:hAnsi="Arial"/>
          <w:sz w:val="18"/>
          <w:szCs w:val="18"/>
          <w:b w:val="1"/>
          <w:bCs w:val="1"/>
          <w:i w:val="1"/>
          <w:iCs w:val="1"/>
          <w:color w:val="auto"/>
        </w:rPr>
        <w:t>PDF Signature; Counterparts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by PDF signature in any number of counterparts, each of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but all of which together will constitute one and the same instrument.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Membership Interest Purchase Agreement to be executed and delivered by their duly authorized officers as of the date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Seller: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[Signature Page – Mesquite Sky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74" w:name="page75"/>
    <w:bookmarkEnd w:id="74"/>
    <w:p>
      <w:pPr>
        <w:ind w:left="452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LIGHTHOUSE RENEWABLE CLASS A LLC, a</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Mesquite Sky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MEMBERSHIP INTEREST PURCHASE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First Amendment to Membership Interest Purchase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December 29, 2021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by and among Lighthouse Renewable Class A LLC, a Delaware limited liability company (“</w:t>
      </w:r>
      <w:r>
        <w:rPr>
          <w:rFonts w:ascii="Arial" w:cs="Arial" w:eastAsia="Arial" w:hAnsi="Arial"/>
          <w:sz w:val="18"/>
          <w:szCs w:val="18"/>
          <w:b w:val="1"/>
          <w:bCs w:val="1"/>
          <w:color w:val="auto"/>
        </w:rPr>
        <w:t>Purchaser</w:t>
      </w:r>
      <w:r>
        <w:rPr>
          <w:rFonts w:ascii="Arial" w:cs="Arial" w:eastAsia="Arial" w:hAnsi="Arial"/>
          <w:sz w:val="18"/>
          <w:szCs w:val="18"/>
          <w:color w:val="auto"/>
        </w:rPr>
        <w:t>”) and Clearway Renew LLC, a Delaware limited liability company (“</w:t>
      </w:r>
      <w:r>
        <w:rPr>
          <w:rFonts w:ascii="Arial" w:cs="Arial" w:eastAsia="Arial" w:hAnsi="Arial"/>
          <w:sz w:val="18"/>
          <w:szCs w:val="18"/>
          <w:b w:val="1"/>
          <w:bCs w:val="1"/>
          <w:color w:val="auto"/>
        </w:rPr>
        <w:t>Seller</w:t>
      </w:r>
      <w:r>
        <w:rPr>
          <w:rFonts w:ascii="Arial" w:cs="Arial" w:eastAsia="Arial" w:hAnsi="Arial"/>
          <w:sz w:val="18"/>
          <w:szCs w:val="18"/>
          <w:color w:val="auto"/>
        </w:rPr>
        <w:t>”). Purchaser and Seller are each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jointly,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STATEMENTS</w:t>
      </w:r>
    </w:p>
    <w:p>
      <w:pPr>
        <w:spacing w:after="0" w:line="221" w:lineRule="exact"/>
        <w:rPr>
          <w:sz w:val="20"/>
          <w:szCs w:val="20"/>
          <w:color w:val="auto"/>
        </w:rPr>
      </w:pPr>
    </w:p>
    <w:p>
      <w:pPr>
        <w:ind w:right="20" w:firstLine="656"/>
        <w:spacing w:after="0" w:line="282" w:lineRule="auto"/>
        <w:tabs>
          <w:tab w:leader="none" w:pos="1093"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Purchaser and Seller are parties to that certain Membership Interest Purchase Agreement (the “</w:t>
      </w:r>
      <w:r>
        <w:rPr>
          <w:rFonts w:ascii="Arial" w:cs="Arial" w:eastAsia="Arial" w:hAnsi="Arial"/>
          <w:sz w:val="18"/>
          <w:szCs w:val="18"/>
          <w:b w:val="1"/>
          <w:bCs w:val="1"/>
          <w:color w:val="auto"/>
        </w:rPr>
        <w:t>MIPA</w:t>
      </w:r>
      <w:r>
        <w:rPr>
          <w:rFonts w:ascii="Arial" w:cs="Arial" w:eastAsia="Arial" w:hAnsi="Arial"/>
          <w:sz w:val="18"/>
          <w:szCs w:val="18"/>
          <w:color w:val="auto"/>
        </w:rPr>
        <w:t>”), dated as of December 21, 2020 with respect to Black Rock Wind Holding LLC.</w:t>
      </w:r>
    </w:p>
    <w:p>
      <w:pPr>
        <w:spacing w:after="0" w:line="165" w:lineRule="exact"/>
        <w:rPr>
          <w:rFonts w:ascii="Arial" w:cs="Arial" w:eastAsia="Arial" w:hAnsi="Arial"/>
          <w:sz w:val="18"/>
          <w:szCs w:val="18"/>
          <w:color w:val="auto"/>
        </w:rPr>
      </w:pPr>
    </w:p>
    <w:p>
      <w:pPr>
        <w:ind w:left="1120" w:hanging="464"/>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Purchaser and Seller desire to amend the MIPA as set forth herein.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is hereby acknowledged, the parties hereto agree as follows:</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defined in this Amendment, each capitalized term used herein has the meaning assigned to such term in the MIPA.</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AMENDMENTS TO MIPA</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Agreement is hereby amended to reflect each of the changes on the redline of the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UPDATES TO DISCLOSURE SCHEDULES.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3.1 The Parties agree that the ten (10) Business Day period in Section 5.03 of the MIPA shall not be applicable to the modifications, supplements and amendments to the Disclosure Schedules attached hereto as Exhibit B (the “Schedule Updates”) and, notwithstanding Section 5.03 of the MIPA, from and after the date hereof, the Disclosure Schedules to the MIPA shall accordingly be deemed modified, supplemented and amended by the Schedule Updates in accordance with, and subject to, the other provisions of Section 5.03 of the MIPA.</w:t>
      </w:r>
    </w:p>
    <w:p>
      <w:pPr>
        <w:spacing w:after="0" w:line="1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REPRESENTATIONS</w:t>
      </w:r>
      <w:r>
        <w:rPr>
          <w:rFonts w:ascii="Arial" w:cs="Arial" w:eastAsia="Arial" w:hAnsi="Arial"/>
          <w:sz w:val="17"/>
          <w:szCs w:val="17"/>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4.1 In order to induce the other Party to execute and deliver this Amendment, each Party hereby represents and warrants to the other Party that this Amendment is duly authorized, executed and delivered by it and assuming due authorization, execution and delivery by the other Party, constitutes the legally valid and binding obligation of it, enforceable against it in accordance with its terms, except as limited by applicable bankruptcy, insolvency, reorganization, moratorium or similar Laws affecting enforcement of creditors rights generally and equitable principles (whether considered in a proceeding at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tabs>
          <w:tab w:leader="none" w:pos="10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specifically amended hereby, the MIPA shall continue in full force and effect in accordance with its original terms. Reference to this specific Amendment need not be made in the MIPA or any other instrument or document executed in connection therewith, or in any certificate, letter or communication issued or made pursuant to or with respect to the MIPA, any reference in any of such items to the MIPA being sufficient to refer to and mean the MIPA as amended hereby.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PDF Signature; Counterparts</w:t>
      </w:r>
      <w:r>
        <w:rPr>
          <w:rFonts w:ascii="Arial" w:cs="Arial" w:eastAsia="Arial" w:hAnsi="Arial"/>
          <w:sz w:val="18"/>
          <w:szCs w:val="18"/>
          <w:color w:val="auto"/>
        </w:rPr>
        <w:t>. This Amendment may be executed by PDF signature in any number of counterparts, each of which will be deemed an original, but all of which together will constitute one and the same instrument.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Governing Law; Consent to Jurisdiction; Waiver of Jury Trial</w:t>
      </w:r>
      <w:r>
        <w:rPr>
          <w:rFonts w:ascii="Arial" w:cs="Arial" w:eastAsia="Arial" w:hAnsi="Arial"/>
          <w:sz w:val="18"/>
          <w:szCs w:val="18"/>
          <w:color w:val="auto"/>
        </w:rPr>
        <w:t xml:space="preserve">. Sections 8.12, 8.13 and 8.14 of the MIPA are hereby incorporated herein by reference and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Amendment.</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This Amendment shall be effective as of the Amendment Effective Date.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Amendment is held to be illegal, invalid or unenforceable under any present or future Law, and if the rights or obligations of any Party under this Amendment shall not be materially and adversely affected thereby, (a) such provision shall be fully severable,</w:t>
      </w:r>
    </w:p>
    <w:p>
      <w:pPr>
        <w:jc w:val="both"/>
        <w:ind w:firstLine="8"/>
        <w:spacing w:after="0" w:line="255" w:lineRule="auto"/>
        <w:tabs>
          <w:tab w:leader="none" w:pos="26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Amendment shall be construed and enforced as if such illegal, invalid or unenforceable provision had never comprised a part hereof and (c) the remaining provisions of this Amendment shall remain in full force and effect and shall not be affected by the illegal, invalid or unenforceable provision or by its severance here from.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This First Amendment to Membership Interest Purchase Agreement is entered into as of the date and year first above written.</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CLEARWAY RENEW LLC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Craig Cornelius</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-130175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w:t>
      </w:r>
    </w:p>
    <w:p>
      <w:pPr>
        <w:spacing w:after="0" w:line="23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Amendment to Membership Interest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78" w:name="page79"/>
    <w:bookmarkEnd w:id="78"/>
    <w:p>
      <w:pPr>
        <w:ind w:left="4520"/>
        <w:spacing w:after="0"/>
        <w:rPr>
          <w:sz w:val="20"/>
          <w:szCs w:val="20"/>
          <w:color w:val="auto"/>
        </w:rPr>
      </w:pPr>
      <w:r>
        <w:rPr>
          <w:rFonts w:ascii="Arial" w:cs="Arial" w:eastAsia="Arial" w:hAnsi="Arial"/>
          <w:sz w:val="17"/>
          <w:szCs w:val="17"/>
          <w:b w:val="1"/>
          <w:bCs w:val="1"/>
          <w:color w:val="auto"/>
        </w:rPr>
        <w:t>LIGHTHOUSE RENEWABLE CLASS A LLC</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Sotos</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First Amendment to Membership Interest Purchase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Redline Changes to MIPA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FF0000"/>
          <w:strike w:val="1"/>
        </w:rPr>
        <w:t>CONFIDENTIAL</w:t>
      </w:r>
      <w:r>
        <w:rPr>
          <w:rFonts w:ascii="Arial" w:cs="Arial" w:eastAsia="Arial" w:hAnsi="Arial"/>
          <w:sz w:val="18"/>
          <w:szCs w:val="18"/>
          <w:b w:val="1"/>
          <w:bCs w:val="1"/>
          <w:i w:val="1"/>
          <w:iCs w:val="1"/>
          <w:u w:val="single" w:color="auto"/>
          <w:color w:val="0000FF"/>
          <w:strike w:val="1"/>
        </w:rPr>
        <w:t>Execution 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FF0000"/>
          <w:strike w:val="1"/>
        </w:rPr>
        <w:t>Akin Gump Draft 12/21/20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with respect 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Black Rock Wind Holding LLC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Clearway Renew LLC, as Seller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Lighthouse Renewable Class A LLC, as Purchaser</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as of December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600075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40" w:type="dxa"/>
            <w:vAlign w:val="bottom"/>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780" w:type="dxa"/>
            <w:vAlign w:val="bottom"/>
            <w:gridSpan w:val="4"/>
          </w:tcPr>
          <w:p>
            <w:pPr>
              <w:ind w:left="1420"/>
              <w:spacing w:after="0"/>
              <w:rPr>
                <w:sz w:val="20"/>
                <w:szCs w:val="20"/>
                <w:color w:val="auto"/>
              </w:rPr>
            </w:pPr>
            <w:r>
              <w:rPr>
                <w:rFonts w:ascii="Arial" w:cs="Arial" w:eastAsia="Arial" w:hAnsi="Arial"/>
                <w:sz w:val="18"/>
                <w:szCs w:val="18"/>
                <w:b w:val="1"/>
                <w:bCs w:val="1"/>
                <w:color w:val="auto"/>
                <w:w w:val="78"/>
              </w:rPr>
              <w:t>Page</w:t>
            </w:r>
          </w:p>
        </w:tc>
      </w:tr>
      <w:tr>
        <w:trPr>
          <w:trHeight w:val="418"/>
        </w:trPr>
        <w:tc>
          <w:tcPr>
            <w:tcW w:w="9460" w:type="dxa"/>
            <w:vAlign w:val="bottom"/>
            <w:gridSpan w:val="6"/>
          </w:tcPr>
          <w:p>
            <w:pPr>
              <w:spacing w:after="0"/>
              <w:rPr>
                <w:sz w:val="20"/>
                <w:szCs w:val="20"/>
                <w:color w:val="auto"/>
              </w:rPr>
            </w:pPr>
            <w:r>
              <w:rPr>
                <w:rFonts w:ascii="Arial" w:cs="Arial" w:eastAsia="Arial" w:hAnsi="Arial"/>
                <w:sz w:val="18"/>
                <w:szCs w:val="18"/>
                <w:color w:val="auto"/>
              </w:rPr>
              <w:t>ARTICLE 1 DEFINITIONS AND PRINCIPLES OF INTERPRETATION</w:t>
            </w:r>
          </w:p>
        </w:tc>
        <w:tc>
          <w:tcPr>
            <w:tcW w:w="16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1</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Definitions</w:t>
            </w:r>
          </w:p>
        </w:tc>
        <w:tc>
          <w:tcPr>
            <w:tcW w:w="16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1</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Rules of Interpretation</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13</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14</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9460" w:type="dxa"/>
            <w:vAlign w:val="bottom"/>
            <w:gridSpan w:val="6"/>
          </w:tcPr>
          <w:p>
            <w:pPr>
              <w:spacing w:after="0"/>
              <w:rPr>
                <w:sz w:val="20"/>
                <w:szCs w:val="20"/>
                <w:color w:val="auto"/>
              </w:rPr>
            </w:pPr>
            <w:r>
              <w:rPr>
                <w:rFonts w:ascii="Arial" w:cs="Arial" w:eastAsia="Arial" w:hAnsi="Arial"/>
                <w:sz w:val="18"/>
                <w:szCs w:val="18"/>
                <w:color w:val="auto"/>
              </w:rPr>
              <w:t>ARTICLE 2 SALE OF MEMBERSHIP INTERESTS AND CLOSING</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13</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14</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2.01.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Purchase and Sale</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13</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14</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5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2.02.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Payment of Purchase Price</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Closing</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14</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15</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2.04.</w:t>
            </w:r>
          </w:p>
        </w:tc>
        <w:tc>
          <w:tcPr>
            <w:tcW w:w="2480" w:type="dxa"/>
            <w:vAlign w:val="bottom"/>
          </w:tcPr>
          <w:p>
            <w:pPr>
              <w:spacing w:after="0"/>
              <w:rPr>
                <w:sz w:val="20"/>
                <w:szCs w:val="20"/>
                <w:color w:val="auto"/>
              </w:rPr>
            </w:pPr>
            <w:r>
              <w:rPr>
                <w:rFonts w:ascii="Arial" w:cs="Arial" w:eastAsia="Arial" w:hAnsi="Arial"/>
                <w:sz w:val="18"/>
                <w:szCs w:val="18"/>
                <w:b w:val="1"/>
                <w:bCs w:val="1"/>
                <w:i w:val="1"/>
                <w:iCs w:val="1"/>
                <w:color w:val="FF0000"/>
                <w:strike w:val="1"/>
                <w:w w:val="86"/>
              </w:rPr>
              <w:t>Adjusted Purchase Price Amount</w:t>
            </w:r>
          </w:p>
        </w:tc>
        <w:tc>
          <w:tcPr>
            <w:tcW w:w="5840" w:type="dxa"/>
            <w:vAlign w:val="bottom"/>
            <w:gridSpan w:val="4"/>
          </w:tcPr>
          <w:p>
            <w:pPr>
              <w:spacing w:after="0"/>
              <w:rPr>
                <w:sz w:val="20"/>
                <w:szCs w:val="20"/>
                <w:color w:val="auto"/>
              </w:rPr>
            </w:pPr>
            <w:r>
              <w:rPr>
                <w:rFonts w:ascii="Arial" w:cs="Arial" w:eastAsia="Arial" w:hAnsi="Arial"/>
                <w:sz w:val="18"/>
                <w:szCs w:val="18"/>
                <w:i w:val="1"/>
                <w:iCs w:val="1"/>
                <w:color w:val="0000FF"/>
              </w:rPr>
              <w:t>[Reserved]</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2.05.</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Post-Closing Additional Turbine Adjustments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2.06.</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Certain Proceeds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9460" w:type="dxa"/>
            <w:vAlign w:val="bottom"/>
            <w:gridSpan w:val="6"/>
          </w:tcPr>
          <w:p>
            <w:pPr>
              <w:spacing w:after="0"/>
              <w:rPr>
                <w:sz w:val="20"/>
                <w:szCs w:val="20"/>
                <w:color w:val="auto"/>
              </w:rPr>
            </w:pPr>
            <w:r>
              <w:rPr>
                <w:rFonts w:ascii="Arial" w:cs="Arial" w:eastAsia="Arial" w:hAnsi="Arial"/>
                <w:sz w:val="18"/>
                <w:szCs w:val="18"/>
                <w:color w:val="auto"/>
              </w:rPr>
              <w:t>ARTICLE 3 REPRESENTATIONS AND WARRANTIES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17</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3.01.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Representations and Warranties with respect to Seller, the Company and the Black Rock Entities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15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17</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5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3.02.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Representations and Warranties with Respect to Purchaser</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9460" w:type="dxa"/>
            <w:vAlign w:val="bottom"/>
            <w:gridSpan w:val="6"/>
          </w:tcPr>
          <w:p>
            <w:pPr>
              <w:spacing w:after="0"/>
              <w:rPr>
                <w:sz w:val="20"/>
                <w:szCs w:val="20"/>
                <w:color w:val="auto"/>
              </w:rPr>
            </w:pPr>
            <w:r>
              <w:rPr>
                <w:rFonts w:ascii="Arial" w:cs="Arial" w:eastAsia="Arial" w:hAnsi="Arial"/>
                <w:sz w:val="18"/>
                <w:szCs w:val="18"/>
                <w:color w:val="auto"/>
              </w:rPr>
              <w:t>ARTICLE 4 CONDITIONS PRECEDENT</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27</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29</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4.01.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Closing Date Conditions Precedent</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27</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29</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0000FF"/>
              </w:rPr>
              <w:t>4.02.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0000FF"/>
              </w:rPr>
              <w:t>Second Closing Date Conditions Precedent</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30</w:t>
            </w:r>
          </w:p>
        </w:tc>
      </w:tr>
      <w:tr>
        <w:trPr>
          <w:trHeight w:val="20"/>
        </w:trPr>
        <w:tc>
          <w:tcPr>
            <w:tcW w:w="1140" w:type="dxa"/>
            <w:vAlign w:val="bottom"/>
          </w:tcPr>
          <w:p>
            <w:pPr>
              <w:spacing w:after="0" w:line="20" w:lineRule="exact"/>
              <w:rPr>
                <w:sz w:val="1"/>
                <w:szCs w:val="1"/>
                <w:color w:val="auto"/>
              </w:rPr>
            </w:pPr>
          </w:p>
        </w:tc>
        <w:tc>
          <w:tcPr>
            <w:tcW w:w="248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r>
      <w:tr>
        <w:trPr>
          <w:trHeight w:val="210"/>
        </w:trPr>
        <w:tc>
          <w:tcPr>
            <w:tcW w:w="9460" w:type="dxa"/>
            <w:vAlign w:val="bottom"/>
            <w:gridSpan w:val="6"/>
          </w:tcPr>
          <w:p>
            <w:pPr>
              <w:spacing w:after="0"/>
              <w:rPr>
                <w:sz w:val="20"/>
                <w:szCs w:val="20"/>
                <w:color w:val="auto"/>
              </w:rPr>
            </w:pPr>
            <w:r>
              <w:rPr>
                <w:rFonts w:ascii="Arial" w:cs="Arial" w:eastAsia="Arial" w:hAnsi="Arial"/>
                <w:sz w:val="18"/>
                <w:szCs w:val="18"/>
                <w:color w:val="auto"/>
              </w:rPr>
              <w:t>ARTICLE 5 CERTAIN COVENANTS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28</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31</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Regulatory and Other Permits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28</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31</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51"/>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Access to Information</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5.03.</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Notification of Certain Matters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5.04.</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Conduct of Business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29</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33</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5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5.05.</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Fulfillment of Conditions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5.06.</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Further Assurances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5.07.</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Purchaser’s Substitute Support Obligations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32</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35</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5.08.</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Tax Matters</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33</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36</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5.09.</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No Solicitation</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34</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37</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5.10.</w:t>
            </w:r>
          </w:p>
        </w:tc>
        <w:tc>
          <w:tcPr>
            <w:tcW w:w="2480" w:type="dxa"/>
            <w:vAlign w:val="bottom"/>
          </w:tcPr>
          <w:p>
            <w:pPr>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34</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37</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51"/>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5.11.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Purchaser Parent Guaranty</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5.12.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Post-Execution Date Documents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9460" w:type="dxa"/>
            <w:vAlign w:val="bottom"/>
            <w:gridSpan w:val="6"/>
          </w:tcPr>
          <w:p>
            <w:pPr>
              <w:spacing w:after="0"/>
              <w:rPr>
                <w:sz w:val="20"/>
                <w:szCs w:val="20"/>
                <w:color w:val="auto"/>
              </w:rPr>
            </w:pPr>
            <w:r>
              <w:rPr>
                <w:rFonts w:ascii="Arial" w:cs="Arial" w:eastAsia="Arial" w:hAnsi="Arial"/>
                <w:sz w:val="18"/>
                <w:szCs w:val="18"/>
                <w:color w:val="auto"/>
              </w:rPr>
              <w:t>ARTICLE 6 INDEMNIFICATION</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38</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6.01.</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Indemnification by Seller</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38</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10"/>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6.02.</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Indemnification by Purchaser</w:t>
            </w:r>
          </w:p>
        </w:tc>
        <w:tc>
          <w:tcPr>
            <w:tcW w:w="1600" w:type="dxa"/>
            <w:vAlign w:val="bottom"/>
          </w:tcPr>
          <w:p>
            <w:pPr>
              <w:ind w:left="1420"/>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38</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r>
      <w:tr>
        <w:trPr>
          <w:trHeight w:val="251"/>
        </w:trPr>
        <w:tc>
          <w:tcPr>
            <w:tcW w:w="1140" w:type="dxa"/>
            <w:vAlign w:val="bottom"/>
          </w:tcPr>
          <w:p>
            <w:pPr>
              <w:jc w:val="right"/>
              <w:ind w:right="110"/>
              <w:spacing w:after="0"/>
              <w:rPr>
                <w:sz w:val="20"/>
                <w:szCs w:val="20"/>
                <w:color w:val="auto"/>
              </w:rPr>
            </w:pPr>
            <w:r>
              <w:rPr>
                <w:rFonts w:ascii="Arial" w:cs="Arial" w:eastAsia="Arial" w:hAnsi="Arial"/>
                <w:sz w:val="18"/>
                <w:szCs w:val="18"/>
                <w:color w:val="auto"/>
              </w:rPr>
              <w:t>6.03.</w:t>
            </w:r>
          </w:p>
        </w:tc>
        <w:tc>
          <w:tcPr>
            <w:tcW w:w="8320" w:type="dxa"/>
            <w:vAlign w:val="bottom"/>
            <w:gridSpan w:val="5"/>
          </w:tcPr>
          <w:p>
            <w:pPr>
              <w:spacing w:after="0"/>
              <w:rPr>
                <w:sz w:val="20"/>
                <w:szCs w:val="20"/>
                <w:color w:val="auto"/>
              </w:rPr>
            </w:pPr>
            <w:r>
              <w:rPr>
                <w:rFonts w:ascii="Arial" w:cs="Arial" w:eastAsia="Arial" w:hAnsi="Arial"/>
                <w:sz w:val="18"/>
                <w:szCs w:val="18"/>
                <w:i w:val="1"/>
                <w:iCs w:val="1"/>
                <w:color w:val="auto"/>
              </w:rPr>
              <w:t>Survival of Representations, Warranties, Covenants and Agreements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720" w:type="dxa"/>
            <w:vAlign w:val="bottom"/>
            <w:gridSpan w:val="3"/>
          </w:tcPr>
          <w:p>
            <w:pPr>
              <w:ind w:left="2360"/>
              <w:spacing w:after="0"/>
              <w:rPr>
                <w:sz w:val="20"/>
                <w:szCs w:val="20"/>
                <w:color w:val="auto"/>
              </w:rPr>
            </w:pPr>
            <w:r>
              <w:rPr>
                <w:rFonts w:ascii="Arial" w:cs="Arial" w:eastAsia="Arial" w:hAnsi="Arial"/>
                <w:sz w:val="18"/>
                <w:szCs w:val="18"/>
                <w:b w:val="1"/>
                <w:bCs w:val="1"/>
                <w:color w:val="auto"/>
                <w:w w:val="78"/>
              </w:rPr>
              <w:t>Page</w:t>
            </w:r>
          </w:p>
        </w:tc>
      </w:tr>
      <w:tr>
        <w:trPr>
          <w:trHeight w:val="418"/>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Limitations on Claims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36</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51"/>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Procedure for Indemnification of Third Party Claims</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Rights of the Indemnifying Party in the Defense of Third Party Claims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37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51"/>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Direct Claims</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Exclusive Remedy</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38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Mitigations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38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Indemnity Treatment</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38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42</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51"/>
        </w:trPr>
        <w:tc>
          <w:tcPr>
            <w:tcW w:w="8520" w:type="dxa"/>
            <w:vAlign w:val="bottom"/>
            <w:gridSpan w:val="2"/>
          </w:tcPr>
          <w:p>
            <w:pPr>
              <w:spacing w:after="0"/>
              <w:rPr>
                <w:sz w:val="20"/>
                <w:szCs w:val="20"/>
                <w:color w:val="auto"/>
              </w:rPr>
            </w:pPr>
            <w:r>
              <w:rPr>
                <w:rFonts w:ascii="Arial" w:cs="Arial" w:eastAsia="Arial" w:hAnsi="Arial"/>
                <w:sz w:val="18"/>
                <w:szCs w:val="18"/>
                <w:color w:val="auto"/>
              </w:rPr>
              <w:t>ARTICLE 7 TERMINATION</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Termination</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Effect of Termination</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39</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8520" w:type="dxa"/>
            <w:vAlign w:val="bottom"/>
            <w:gridSpan w:val="2"/>
          </w:tcPr>
          <w:p>
            <w:pPr>
              <w:spacing w:after="0"/>
              <w:rPr>
                <w:sz w:val="20"/>
                <w:szCs w:val="20"/>
                <w:color w:val="auto"/>
              </w:rPr>
            </w:pPr>
            <w:r>
              <w:rPr>
                <w:rFonts w:ascii="Arial" w:cs="Arial" w:eastAsia="Arial" w:hAnsi="Arial"/>
                <w:sz w:val="18"/>
                <w:szCs w:val="18"/>
                <w:color w:val="auto"/>
              </w:rPr>
              <w:t>ARTICLE 8 GENERAL PROVISIONS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Notices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Entire Agreement</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Specific Performance</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Time of the Essence</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Expenses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Confidentiality; Disclosures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Waiver</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Amendment</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No Third Party Beneficiary</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Assignment</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30"/>
              <w:spacing w:after="0"/>
              <w:rPr>
                <w:sz w:val="20"/>
                <w:szCs w:val="20"/>
                <w:color w:val="auto"/>
              </w:rPr>
            </w:pPr>
            <w:r>
              <w:rPr>
                <w:rFonts w:ascii="Arial" w:cs="Arial" w:eastAsia="Arial" w:hAnsi="Arial"/>
                <w:sz w:val="18"/>
                <w:szCs w:val="18"/>
                <w:color w:val="auto"/>
              </w:rPr>
              <w:t>8.11.</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Severability</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Governing Law</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Consent to Jurisdiction</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46</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Waiver of Jury Trial</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46</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Limitation on Certain Damages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46</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Disclosures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47</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r>
        <w:trPr>
          <w:trHeight w:val="210"/>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7480" w:type="dxa"/>
            <w:vAlign w:val="bottom"/>
          </w:tcPr>
          <w:p>
            <w:pPr>
              <w:ind w:left="100"/>
              <w:spacing w:after="0"/>
              <w:rPr>
                <w:sz w:val="20"/>
                <w:szCs w:val="20"/>
                <w:color w:val="auto"/>
              </w:rPr>
            </w:pPr>
            <w:r>
              <w:rPr>
                <w:rFonts w:ascii="Arial" w:cs="Arial" w:eastAsia="Arial" w:hAnsi="Arial"/>
                <w:sz w:val="18"/>
                <w:szCs w:val="18"/>
                <w:i w:val="1"/>
                <w:iCs w:val="1"/>
                <w:color w:val="auto"/>
              </w:rPr>
              <w:t>PDF Signature; Counterparts</w:t>
            </w:r>
          </w:p>
        </w:tc>
        <w:tc>
          <w:tcPr>
            <w:tcW w:w="2540" w:type="dxa"/>
            <w:vAlign w:val="bottom"/>
          </w:tcPr>
          <w:p>
            <w:pPr>
              <w:ind w:left="2360"/>
              <w:spacing w:after="0"/>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47</w:t>
            </w:r>
          </w:p>
        </w:tc>
      </w:tr>
      <w:tr>
        <w:trPr>
          <w:trHeight w:val="20"/>
        </w:trPr>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0" w:type="dxa"/>
            <w:vAlign w:val="bottom"/>
            <w:gridSpan w:val="4"/>
          </w:tcPr>
          <w:p>
            <w:pPr>
              <w:jc w:val="center"/>
              <w:ind w:right="424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340" w:type="dxa"/>
            <w:vAlign w:val="bottom"/>
            <w:gridSpan w:val="3"/>
          </w:tcPr>
          <w:p>
            <w:pPr>
              <w:jc w:val="center"/>
              <w:ind w:right="4900"/>
              <w:spacing w:after="0"/>
              <w:rPr>
                <w:sz w:val="20"/>
                <w:szCs w:val="20"/>
                <w:color w:val="auto"/>
              </w:rPr>
            </w:pPr>
            <w:r>
              <w:rPr>
                <w:rFonts w:ascii="Arial" w:cs="Arial" w:eastAsia="Arial" w:hAnsi="Arial"/>
                <w:sz w:val="18"/>
                <w:szCs w:val="18"/>
                <w:b w:val="1"/>
                <w:bCs w:val="1"/>
                <w:color w:val="auto"/>
                <w:w w:val="89"/>
              </w:rPr>
              <w:t>(continued)</w:t>
            </w:r>
          </w:p>
        </w:tc>
        <w:tc>
          <w:tcPr>
            <w:tcW w:w="0" w:type="dxa"/>
            <w:vAlign w:val="bottom"/>
          </w:tcPr>
          <w:p>
            <w:pPr>
              <w:spacing w:after="0"/>
              <w:rPr>
                <w:sz w:val="1"/>
                <w:szCs w:val="1"/>
                <w:color w:val="auto"/>
              </w:rPr>
            </w:pPr>
          </w:p>
        </w:tc>
      </w:tr>
      <w:tr>
        <w:trPr>
          <w:trHeight w:val="432"/>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70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9540" w:type="dxa"/>
            <w:vAlign w:val="bottom"/>
            <w:gridSpan w:val="6"/>
          </w:tcPr>
          <w:p>
            <w:pPr>
              <w:spacing w:after="0"/>
              <w:rPr>
                <w:sz w:val="20"/>
                <w:szCs w:val="20"/>
                <w:color w:val="auto"/>
              </w:rPr>
            </w:pPr>
            <w:r>
              <w:rPr>
                <w:rFonts w:ascii="Arial" w:cs="Arial" w:eastAsia="Arial" w:hAnsi="Arial"/>
                <w:sz w:val="18"/>
                <w:szCs w:val="18"/>
                <w:color w:val="auto"/>
              </w:rPr>
              <w:t>Base Case Model</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540" w:type="dxa"/>
            <w:vAlign w:val="bottom"/>
            <w:gridSpan w:val="6"/>
          </w:tcPr>
          <w:p>
            <w:pPr>
              <w:spacing w:after="0"/>
              <w:rPr>
                <w:sz w:val="20"/>
                <w:szCs w:val="20"/>
                <w:color w:val="auto"/>
              </w:rPr>
            </w:pPr>
            <w:r>
              <w:rPr>
                <w:rFonts w:ascii="Arial" w:cs="Arial" w:eastAsia="Arial" w:hAnsi="Arial"/>
                <w:sz w:val="18"/>
                <w:szCs w:val="18"/>
                <w:color w:val="auto"/>
              </w:rPr>
              <w:t>Officer’s Certificate of Seller</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9540" w:type="dxa"/>
            <w:vAlign w:val="bottom"/>
            <w:gridSpan w:val="6"/>
          </w:tcPr>
          <w:p>
            <w:pPr>
              <w:spacing w:after="0"/>
              <w:rPr>
                <w:sz w:val="20"/>
                <w:szCs w:val="20"/>
                <w:color w:val="auto"/>
              </w:rPr>
            </w:pPr>
            <w:r>
              <w:rPr>
                <w:rFonts w:ascii="Arial" w:cs="Arial" w:eastAsia="Arial" w:hAnsi="Arial"/>
                <w:sz w:val="18"/>
                <w:szCs w:val="18"/>
                <w:color w:val="auto"/>
              </w:rPr>
              <w:t>Secretary’s Certificate of Seller</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540" w:type="dxa"/>
            <w:vAlign w:val="bottom"/>
            <w:gridSpan w:val="6"/>
          </w:tcPr>
          <w:p>
            <w:pPr>
              <w:spacing w:after="0"/>
              <w:rPr>
                <w:sz w:val="20"/>
                <w:szCs w:val="20"/>
                <w:color w:val="auto"/>
              </w:rPr>
            </w:pPr>
            <w:r>
              <w:rPr>
                <w:rFonts w:ascii="Arial" w:cs="Arial" w:eastAsia="Arial" w:hAnsi="Arial"/>
                <w:sz w:val="18"/>
                <w:szCs w:val="18"/>
                <w:color w:val="auto"/>
              </w:rPr>
              <w:t>Officer’s Certificate of Purchaser</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9540" w:type="dxa"/>
            <w:vAlign w:val="bottom"/>
            <w:gridSpan w:val="6"/>
          </w:tcPr>
          <w:p>
            <w:pPr>
              <w:spacing w:after="0"/>
              <w:rPr>
                <w:sz w:val="20"/>
                <w:szCs w:val="20"/>
                <w:color w:val="auto"/>
              </w:rPr>
            </w:pPr>
            <w:r>
              <w:rPr>
                <w:rFonts w:ascii="Arial" w:cs="Arial" w:eastAsia="Arial" w:hAnsi="Arial"/>
                <w:sz w:val="18"/>
                <w:szCs w:val="18"/>
                <w:color w:val="auto"/>
              </w:rPr>
              <w:t>Secretary’s Certificate of Purchaser</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9540" w:type="dxa"/>
            <w:vAlign w:val="bottom"/>
            <w:gridSpan w:val="6"/>
          </w:tcPr>
          <w:p>
            <w:pPr>
              <w:spacing w:after="0"/>
              <w:rPr>
                <w:sz w:val="20"/>
                <w:szCs w:val="20"/>
                <w:color w:val="auto"/>
              </w:rPr>
            </w:pPr>
            <w:r>
              <w:rPr>
                <w:rFonts w:ascii="Arial" w:cs="Arial" w:eastAsia="Arial" w:hAnsi="Arial"/>
                <w:sz w:val="18"/>
                <w:szCs w:val="18"/>
                <w:color w:val="auto"/>
              </w:rPr>
              <w:t>Assignment of Membership Interests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9540" w:type="dxa"/>
            <w:vAlign w:val="bottom"/>
            <w:gridSpan w:val="6"/>
          </w:tcPr>
          <w:p>
            <w:pPr>
              <w:spacing w:after="0"/>
              <w:rPr>
                <w:sz w:val="20"/>
                <w:szCs w:val="20"/>
                <w:color w:val="auto"/>
              </w:rPr>
            </w:pPr>
            <w:r>
              <w:rPr>
                <w:rFonts w:ascii="Arial" w:cs="Arial" w:eastAsia="Arial" w:hAnsi="Arial"/>
                <w:sz w:val="18"/>
                <w:szCs w:val="18"/>
                <w:color w:val="auto"/>
              </w:rPr>
              <w:t>Form of Purchaser Parent Guaranty</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9540" w:type="dxa"/>
            <w:vAlign w:val="bottom"/>
            <w:gridSpan w:val="6"/>
          </w:tcPr>
          <w:p>
            <w:pPr>
              <w:spacing w:after="0"/>
              <w:rPr>
                <w:sz w:val="20"/>
                <w:szCs w:val="20"/>
                <w:color w:val="auto"/>
              </w:rPr>
            </w:pPr>
            <w:r>
              <w:rPr>
                <w:rFonts w:ascii="Arial" w:cs="Arial" w:eastAsia="Arial" w:hAnsi="Arial"/>
                <w:sz w:val="18"/>
                <w:szCs w:val="18"/>
                <w:color w:val="auto"/>
              </w:rPr>
              <w:t>Form of Build-Out Agreement</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9540" w:type="dxa"/>
            <w:vAlign w:val="bottom"/>
            <w:gridSpan w:val="6"/>
          </w:tcPr>
          <w:p>
            <w:pPr>
              <w:spacing w:after="0"/>
              <w:rPr>
                <w:sz w:val="20"/>
                <w:szCs w:val="20"/>
                <w:color w:val="auto"/>
              </w:rPr>
            </w:pPr>
            <w:r>
              <w:rPr>
                <w:rFonts w:ascii="Arial" w:cs="Arial" w:eastAsia="Arial" w:hAnsi="Arial"/>
                <w:sz w:val="18"/>
                <w:szCs w:val="18"/>
                <w:color w:val="auto"/>
              </w:rPr>
              <w:t>Form of Drop Down Assignment and Assumption Agreement</w:t>
            </w:r>
          </w:p>
        </w:tc>
        <w:tc>
          <w:tcPr>
            <w:tcW w:w="0" w:type="dxa"/>
            <w:vAlign w:val="bottom"/>
          </w:tcPr>
          <w:p>
            <w:pPr>
              <w:spacing w:after="0"/>
              <w:rPr>
                <w:sz w:val="1"/>
                <w:szCs w:val="1"/>
                <w:color w:val="auto"/>
              </w:rPr>
            </w:pPr>
          </w:p>
        </w:tc>
      </w:tr>
      <w:tr>
        <w:trPr>
          <w:trHeight w:val="190"/>
        </w:trPr>
        <w:tc>
          <w:tcPr>
            <w:tcW w:w="1700" w:type="dxa"/>
            <w:vAlign w:val="bottom"/>
            <w:gridSpan w:val="3"/>
          </w:tcPr>
          <w:p>
            <w:pPr>
              <w:spacing w:after="0" w:line="190" w:lineRule="exact"/>
              <w:rPr>
                <w:sz w:val="20"/>
                <w:szCs w:val="20"/>
                <w:color w:val="auto"/>
              </w:rPr>
            </w:pPr>
            <w:r>
              <w:rPr>
                <w:rFonts w:ascii="Arial" w:cs="Arial" w:eastAsia="Arial" w:hAnsi="Arial"/>
                <w:sz w:val="18"/>
                <w:szCs w:val="18"/>
                <w:color w:val="auto"/>
              </w:rPr>
              <w:t>Exhibit J</w:t>
            </w:r>
          </w:p>
        </w:tc>
        <w:tc>
          <w:tcPr>
            <w:tcW w:w="2520" w:type="dxa"/>
            <w:vAlign w:val="bottom"/>
          </w:tcPr>
          <w:p>
            <w:pPr>
              <w:spacing w:after="0" w:line="190" w:lineRule="exact"/>
              <w:rPr>
                <w:sz w:val="20"/>
                <w:szCs w:val="20"/>
                <w:color w:val="auto"/>
              </w:rPr>
            </w:pPr>
            <w:r>
              <w:rPr>
                <w:rFonts w:ascii="Arial" w:cs="Arial" w:eastAsia="Arial" w:hAnsi="Arial"/>
                <w:sz w:val="18"/>
                <w:szCs w:val="18"/>
                <w:color w:val="FF0000"/>
                <w:strike w:val="1"/>
                <w:w w:val="88"/>
              </w:rPr>
              <w:t>Certain Seller Proceeds Agreement</w:t>
            </w:r>
          </w:p>
        </w:tc>
        <w:tc>
          <w:tcPr>
            <w:tcW w:w="7020" w:type="dxa"/>
            <w:vAlign w:val="bottom"/>
            <w:gridSpan w:val="5"/>
          </w:tcPr>
          <w:p>
            <w:pPr>
              <w:spacing w:after="0" w:line="190" w:lineRule="exact"/>
              <w:rPr>
                <w:sz w:val="20"/>
                <w:szCs w:val="20"/>
                <w:color w:val="auto"/>
              </w:rPr>
            </w:pPr>
            <w:r>
              <w:rPr>
                <w:rFonts w:ascii="Arial" w:cs="Arial" w:eastAsia="Arial" w:hAnsi="Arial"/>
                <w:sz w:val="18"/>
                <w:szCs w:val="18"/>
                <w:color w:val="0000FF"/>
              </w:rPr>
              <w:t>[Intentionally Omitted]</w:t>
            </w:r>
          </w:p>
        </w:tc>
        <w:tc>
          <w:tcPr>
            <w:tcW w:w="0" w:type="dxa"/>
            <w:vAlign w:val="bottom"/>
          </w:tcPr>
          <w:p>
            <w:pPr>
              <w:spacing w:after="0"/>
              <w:rPr>
                <w:sz w:val="1"/>
                <w:szCs w:val="1"/>
                <w:color w:val="auto"/>
              </w:rPr>
            </w:pPr>
          </w:p>
        </w:tc>
      </w:tr>
      <w:tr>
        <w:trPr>
          <w:trHeight w:val="20"/>
        </w:trPr>
        <w:tc>
          <w:tcPr>
            <w:tcW w:w="17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Exhibit K</w:t>
            </w:r>
          </w:p>
        </w:tc>
        <w:tc>
          <w:tcPr>
            <w:tcW w:w="25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gridSpan w:val="3"/>
            <w:vMerge w:val="continue"/>
          </w:tcPr>
          <w:p>
            <w:pPr>
              <w:spacing w:after="0"/>
              <w:rPr>
                <w:sz w:val="13"/>
                <w:szCs w:val="13"/>
                <w:color w:val="auto"/>
              </w:rPr>
            </w:pPr>
          </w:p>
        </w:tc>
        <w:tc>
          <w:tcPr>
            <w:tcW w:w="4200" w:type="dxa"/>
            <w:vAlign w:val="bottom"/>
            <w:gridSpan w:val="5"/>
          </w:tcPr>
          <w:p>
            <w:pPr>
              <w:spacing w:after="0" w:line="156" w:lineRule="exact"/>
              <w:rPr>
                <w:sz w:val="20"/>
                <w:szCs w:val="20"/>
                <w:color w:val="auto"/>
              </w:rPr>
            </w:pPr>
            <w:r>
              <w:rPr>
                <w:rFonts w:ascii="Arial" w:cs="Arial" w:eastAsia="Arial" w:hAnsi="Arial"/>
                <w:sz w:val="18"/>
                <w:szCs w:val="18"/>
                <w:color w:val="0000FF"/>
              </w:rPr>
              <w:t>Second Closing Date Officer’s Certificate of Seller</w:t>
            </w:r>
          </w:p>
        </w:tc>
        <w:tc>
          <w:tcPr>
            <w:tcW w:w="5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252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gridSpan w:val="2"/>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58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line="156" w:lineRule="exact"/>
              <w:rPr>
                <w:sz w:val="20"/>
                <w:szCs w:val="20"/>
                <w:color w:val="auto"/>
              </w:rPr>
            </w:pPr>
            <w:r>
              <w:rPr>
                <w:rFonts w:ascii="Arial" w:cs="Arial" w:eastAsia="Arial" w:hAnsi="Arial"/>
                <w:sz w:val="18"/>
                <w:szCs w:val="18"/>
                <w:color w:val="0000FF"/>
                <w:w w:val="98"/>
              </w:rPr>
              <w:t>Exhibit L</w:t>
            </w:r>
          </w:p>
        </w:tc>
        <w:tc>
          <w:tcPr>
            <w:tcW w:w="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3660" w:type="dxa"/>
            <w:vAlign w:val="bottom"/>
            <w:gridSpan w:val="4"/>
          </w:tcPr>
          <w:p>
            <w:pPr>
              <w:spacing w:after="0" w:line="156" w:lineRule="exact"/>
              <w:rPr>
                <w:sz w:val="20"/>
                <w:szCs w:val="20"/>
                <w:color w:val="auto"/>
              </w:rPr>
            </w:pPr>
            <w:r>
              <w:rPr>
                <w:rFonts w:ascii="Arial" w:cs="Arial" w:eastAsia="Arial" w:hAnsi="Arial"/>
                <w:sz w:val="18"/>
                <w:szCs w:val="18"/>
                <w:color w:val="0000FF"/>
              </w:rPr>
              <w:t>Second Closing Date Officer’s Certificate of</w:t>
            </w:r>
          </w:p>
        </w:tc>
        <w:tc>
          <w:tcPr>
            <w:tcW w:w="5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00" w:type="dxa"/>
            <w:vAlign w:val="bottom"/>
            <w:gridSpan w:val="3"/>
          </w:tcPr>
          <w:p>
            <w:pPr>
              <w:spacing w:after="0"/>
              <w:rPr>
                <w:sz w:val="20"/>
                <w:szCs w:val="20"/>
                <w:color w:val="auto"/>
              </w:rPr>
            </w:pPr>
            <w:r>
              <w:rPr>
                <w:rFonts w:ascii="Arial" w:cs="Arial" w:eastAsia="Arial" w:hAnsi="Arial"/>
                <w:sz w:val="18"/>
                <w:szCs w:val="18"/>
                <w:color w:val="0000FF"/>
              </w:rPr>
              <w:t>Purchaser</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72"/>
              </w:rPr>
              <w:t>Schedules:</w:t>
            </w:r>
          </w:p>
        </w:tc>
        <w:tc>
          <w:tcPr>
            <w:tcW w:w="98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700" w:type="dxa"/>
            <w:vAlign w:val="bottom"/>
            <w:gridSpan w:val="3"/>
          </w:tcPr>
          <w:p>
            <w:pPr>
              <w:spacing w:after="0"/>
              <w:rPr>
                <w:sz w:val="20"/>
                <w:szCs w:val="20"/>
                <w:color w:val="auto"/>
              </w:rPr>
            </w:pPr>
            <w:r>
              <w:rPr>
                <w:rFonts w:ascii="Arial" w:cs="Arial" w:eastAsia="Arial" w:hAnsi="Arial"/>
                <w:sz w:val="18"/>
                <w:szCs w:val="18"/>
                <w:color w:val="auto"/>
              </w:rPr>
              <w:t>Schedule 1.02</w:t>
            </w:r>
          </w:p>
        </w:tc>
        <w:tc>
          <w:tcPr>
            <w:tcW w:w="9540" w:type="dxa"/>
            <w:vAlign w:val="bottom"/>
            <w:gridSpan w:val="6"/>
          </w:tcPr>
          <w:p>
            <w:pPr>
              <w:spacing w:after="0"/>
              <w:rPr>
                <w:sz w:val="20"/>
                <w:szCs w:val="20"/>
                <w:color w:val="auto"/>
              </w:rPr>
            </w:pPr>
            <w:r>
              <w:rPr>
                <w:rFonts w:ascii="Arial" w:cs="Arial" w:eastAsia="Arial" w:hAnsi="Arial"/>
                <w:sz w:val="18"/>
                <w:szCs w:val="18"/>
                <w:color w:val="auto"/>
              </w:rPr>
              <w:t>Land Options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1.03</w:t>
            </w:r>
          </w:p>
        </w:tc>
        <w:tc>
          <w:tcPr>
            <w:tcW w:w="9540" w:type="dxa"/>
            <w:vAlign w:val="bottom"/>
            <w:gridSpan w:val="6"/>
          </w:tcPr>
          <w:p>
            <w:pPr>
              <w:spacing w:after="0"/>
              <w:rPr>
                <w:sz w:val="20"/>
                <w:szCs w:val="20"/>
                <w:color w:val="auto"/>
              </w:rPr>
            </w:pPr>
            <w:r>
              <w:rPr>
                <w:rFonts w:ascii="Arial" w:cs="Arial" w:eastAsia="Arial" w:hAnsi="Arial"/>
                <w:sz w:val="18"/>
                <w:szCs w:val="18"/>
                <w:color w:val="auto"/>
              </w:rPr>
              <w:t>Ancillary Documents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FF0000"/>
                <w:strike w:val="1"/>
              </w:rPr>
              <w:t>Schedule 4.01(m)</w:t>
            </w:r>
          </w:p>
        </w:tc>
        <w:tc>
          <w:tcPr>
            <w:tcW w:w="2520" w:type="dxa"/>
            <w:vAlign w:val="bottom"/>
          </w:tcPr>
          <w:p>
            <w:pPr>
              <w:spacing w:after="0"/>
              <w:rPr>
                <w:sz w:val="20"/>
                <w:szCs w:val="20"/>
                <w:color w:val="auto"/>
              </w:rPr>
            </w:pPr>
            <w:r>
              <w:rPr>
                <w:rFonts w:ascii="Arial" w:cs="Arial" w:eastAsia="Arial" w:hAnsi="Arial"/>
                <w:sz w:val="18"/>
                <w:szCs w:val="18"/>
                <w:color w:val="FF0000"/>
                <w:strike w:val="1"/>
              </w:rPr>
              <w:t>Agreement to be Amended</w:t>
            </w:r>
          </w:p>
        </w:tc>
        <w:tc>
          <w:tcPr>
            <w:tcW w:w="70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008000"/>
                <w:strike w:val="1"/>
              </w:rPr>
              <w:t>Schedule 5.04(b)</w:t>
            </w:r>
          </w:p>
        </w:tc>
        <w:tc>
          <w:tcPr>
            <w:tcW w:w="2520" w:type="dxa"/>
            <w:vAlign w:val="bottom"/>
          </w:tcPr>
          <w:p>
            <w:pPr>
              <w:spacing w:after="0"/>
              <w:rPr>
                <w:sz w:val="20"/>
                <w:szCs w:val="20"/>
                <w:color w:val="auto"/>
              </w:rPr>
            </w:pPr>
            <w:r>
              <w:rPr>
                <w:rFonts w:ascii="Arial" w:cs="Arial" w:eastAsia="Arial" w:hAnsi="Arial"/>
                <w:sz w:val="18"/>
                <w:szCs w:val="18"/>
                <w:color w:val="008000"/>
                <w:strike w:val="1"/>
              </w:rPr>
              <w:t>Conduct of Business</w:t>
            </w:r>
          </w:p>
        </w:tc>
        <w:tc>
          <w:tcPr>
            <w:tcW w:w="70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Schedule 6.01(b)</w:t>
            </w:r>
          </w:p>
        </w:tc>
        <w:tc>
          <w:tcPr>
            <w:tcW w:w="9540" w:type="dxa"/>
            <w:vAlign w:val="bottom"/>
            <w:gridSpan w:val="6"/>
          </w:tcPr>
          <w:p>
            <w:pPr>
              <w:spacing w:after="0"/>
              <w:rPr>
                <w:sz w:val="20"/>
                <w:szCs w:val="20"/>
                <w:color w:val="auto"/>
              </w:rPr>
            </w:pPr>
            <w:r>
              <w:rPr>
                <w:rFonts w:ascii="Arial" w:cs="Arial" w:eastAsia="Arial" w:hAnsi="Arial"/>
                <w:sz w:val="18"/>
                <w:szCs w:val="18"/>
                <w:color w:val="auto"/>
              </w:rPr>
              <w:t>Certain Indemnification Matters</w:t>
            </w:r>
          </w:p>
        </w:tc>
        <w:tc>
          <w:tcPr>
            <w:tcW w:w="0" w:type="dxa"/>
            <w:vAlign w:val="bottom"/>
          </w:tcPr>
          <w:p>
            <w:pPr>
              <w:spacing w:after="0"/>
              <w:rPr>
                <w:sz w:val="1"/>
                <w:szCs w:val="1"/>
                <w:color w:val="auto"/>
              </w:rPr>
            </w:pPr>
          </w:p>
        </w:tc>
      </w:tr>
      <w:tr>
        <w:trPr>
          <w:trHeight w:val="432"/>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86"/>
              </w:rPr>
              <w:t>Disclosure Schedules:</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700" w:type="dxa"/>
            <w:vAlign w:val="bottom"/>
            <w:gridSpan w:val="3"/>
          </w:tcPr>
          <w:p>
            <w:pPr>
              <w:spacing w:after="0"/>
              <w:rPr>
                <w:sz w:val="20"/>
                <w:szCs w:val="20"/>
                <w:color w:val="auto"/>
              </w:rPr>
            </w:pPr>
            <w:r>
              <w:rPr>
                <w:rFonts w:ascii="Arial" w:cs="Arial" w:eastAsia="Arial" w:hAnsi="Arial"/>
                <w:sz w:val="18"/>
                <w:szCs w:val="18"/>
                <w:color w:val="auto"/>
              </w:rPr>
              <w:t>Schedule 1.01</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Liens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3.01(c)</w:t>
            </w:r>
          </w:p>
        </w:tc>
        <w:tc>
          <w:tcPr>
            <w:tcW w:w="9540" w:type="dxa"/>
            <w:vAlign w:val="bottom"/>
            <w:gridSpan w:val="6"/>
          </w:tcPr>
          <w:p>
            <w:pPr>
              <w:spacing w:after="0"/>
              <w:rPr>
                <w:sz w:val="20"/>
                <w:szCs w:val="20"/>
                <w:color w:val="auto"/>
              </w:rPr>
            </w:pPr>
            <w:r>
              <w:rPr>
                <w:rFonts w:ascii="Arial" w:cs="Arial" w:eastAsia="Arial" w:hAnsi="Arial"/>
                <w:sz w:val="18"/>
                <w:szCs w:val="18"/>
                <w:color w:val="auto"/>
              </w:rPr>
              <w:t>Seller Consents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3.01(e)</w:t>
            </w:r>
          </w:p>
        </w:tc>
        <w:tc>
          <w:tcPr>
            <w:tcW w:w="9540" w:type="dxa"/>
            <w:vAlign w:val="bottom"/>
            <w:gridSpan w:val="6"/>
          </w:tcPr>
          <w:p>
            <w:pPr>
              <w:spacing w:after="0"/>
              <w:rPr>
                <w:sz w:val="20"/>
                <w:szCs w:val="20"/>
                <w:color w:val="auto"/>
              </w:rPr>
            </w:pPr>
            <w:r>
              <w:rPr>
                <w:rFonts w:ascii="Arial" w:cs="Arial" w:eastAsia="Arial" w:hAnsi="Arial"/>
                <w:sz w:val="18"/>
                <w:szCs w:val="18"/>
                <w:color w:val="auto"/>
              </w:rPr>
              <w:t>Seller Approvals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3.01(f)</w:t>
            </w:r>
          </w:p>
        </w:tc>
        <w:tc>
          <w:tcPr>
            <w:tcW w:w="9540" w:type="dxa"/>
            <w:vAlign w:val="bottom"/>
            <w:gridSpan w:val="6"/>
          </w:tcPr>
          <w:p>
            <w:pPr>
              <w:spacing w:after="0"/>
              <w:rPr>
                <w:sz w:val="20"/>
                <w:szCs w:val="20"/>
                <w:color w:val="auto"/>
              </w:rPr>
            </w:pPr>
            <w:r>
              <w:rPr>
                <w:rFonts w:ascii="Arial" w:cs="Arial" w:eastAsia="Arial" w:hAnsi="Arial"/>
                <w:sz w:val="18"/>
                <w:szCs w:val="18"/>
                <w:color w:val="auto"/>
              </w:rPr>
              <w:t>Legal Proceedings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3.01(g)</w:t>
            </w:r>
          </w:p>
        </w:tc>
        <w:tc>
          <w:tcPr>
            <w:tcW w:w="9540" w:type="dxa"/>
            <w:vAlign w:val="bottom"/>
            <w:gridSpan w:val="6"/>
          </w:tcPr>
          <w:p>
            <w:pPr>
              <w:spacing w:after="0"/>
              <w:rPr>
                <w:sz w:val="20"/>
                <w:szCs w:val="20"/>
                <w:color w:val="auto"/>
              </w:rPr>
            </w:pPr>
            <w:r>
              <w:rPr>
                <w:rFonts w:ascii="Arial" w:cs="Arial" w:eastAsia="Arial" w:hAnsi="Arial"/>
                <w:sz w:val="18"/>
                <w:szCs w:val="18"/>
                <w:color w:val="auto"/>
              </w:rPr>
              <w:t>Brokers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Business Jurisdictions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3.01(i)(ii)</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Equity Encumbrances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3.01(i)(iii)</w:t>
            </w:r>
          </w:p>
        </w:tc>
        <w:tc>
          <w:tcPr>
            <w:tcW w:w="9540" w:type="dxa"/>
            <w:vAlign w:val="bottom"/>
            <w:gridSpan w:val="6"/>
          </w:tcPr>
          <w:p>
            <w:pPr>
              <w:spacing w:after="0"/>
              <w:rPr>
                <w:sz w:val="20"/>
                <w:szCs w:val="20"/>
                <w:color w:val="auto"/>
              </w:rPr>
            </w:pPr>
            <w:r>
              <w:rPr>
                <w:rFonts w:ascii="Arial" w:cs="Arial" w:eastAsia="Arial" w:hAnsi="Arial"/>
                <w:sz w:val="18"/>
                <w:szCs w:val="18"/>
                <w:color w:val="auto"/>
              </w:rPr>
              <w:t>Directors and Officers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3.01(i)(v)</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Options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3.01(i)(vi)</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Additional Investments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3.01(i)(vii)</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Additional Business Operations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3.01(i)(ix)</w:t>
            </w:r>
          </w:p>
        </w:tc>
        <w:tc>
          <w:tcPr>
            <w:tcW w:w="9540" w:type="dxa"/>
            <w:vAlign w:val="bottom"/>
            <w:gridSpan w:val="6"/>
          </w:tcPr>
          <w:p>
            <w:pPr>
              <w:spacing w:after="0"/>
              <w:rPr>
                <w:sz w:val="20"/>
                <w:szCs w:val="20"/>
                <w:color w:val="auto"/>
              </w:rPr>
            </w:pPr>
            <w:r>
              <w:rPr>
                <w:rFonts w:ascii="Arial" w:cs="Arial" w:eastAsia="Arial" w:hAnsi="Arial"/>
                <w:sz w:val="18"/>
                <w:szCs w:val="18"/>
                <w:color w:val="auto"/>
              </w:rPr>
              <w:t>Liens on Acquired Interests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3.01(j)</w:t>
            </w:r>
          </w:p>
        </w:tc>
        <w:tc>
          <w:tcPr>
            <w:tcW w:w="9540" w:type="dxa"/>
            <w:vAlign w:val="bottom"/>
            <w:gridSpan w:val="6"/>
          </w:tcPr>
          <w:p>
            <w:pPr>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3.01(k)</w:t>
            </w:r>
          </w:p>
        </w:tc>
        <w:tc>
          <w:tcPr>
            <w:tcW w:w="9540" w:type="dxa"/>
            <w:vAlign w:val="bottom"/>
            <w:gridSpan w:val="6"/>
          </w:tcPr>
          <w:p>
            <w:pPr>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3.01(m)(i)</w:t>
            </w:r>
          </w:p>
        </w:tc>
        <w:tc>
          <w:tcPr>
            <w:tcW w:w="9540" w:type="dxa"/>
            <w:vAlign w:val="bottom"/>
            <w:gridSpan w:val="6"/>
          </w:tcPr>
          <w:p>
            <w:pPr>
              <w:spacing w:after="0"/>
              <w:rPr>
                <w:sz w:val="20"/>
                <w:szCs w:val="20"/>
                <w:color w:val="auto"/>
              </w:rPr>
            </w:pPr>
            <w:r>
              <w:rPr>
                <w:rFonts w:ascii="Arial" w:cs="Arial" w:eastAsia="Arial" w:hAnsi="Arial"/>
                <w:sz w:val="18"/>
                <w:szCs w:val="18"/>
                <w:color w:val="auto"/>
              </w:rPr>
              <w:t>Company Contracts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3.01(m)(iii)</w:t>
            </w:r>
          </w:p>
        </w:tc>
        <w:tc>
          <w:tcPr>
            <w:tcW w:w="9540" w:type="dxa"/>
            <w:vAlign w:val="bottom"/>
            <w:gridSpan w:val="6"/>
          </w:tcPr>
          <w:p>
            <w:pPr>
              <w:spacing w:after="0"/>
              <w:rPr>
                <w:sz w:val="20"/>
                <w:szCs w:val="20"/>
                <w:color w:val="auto"/>
              </w:rPr>
            </w:pPr>
            <w:r>
              <w:rPr>
                <w:rFonts w:ascii="Arial" w:cs="Arial" w:eastAsia="Arial" w:hAnsi="Arial"/>
                <w:sz w:val="18"/>
                <w:szCs w:val="18"/>
                <w:color w:val="auto"/>
              </w:rPr>
              <w:t>Company Contracts Defaults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3.01(n)(i)</w:t>
            </w:r>
          </w:p>
        </w:tc>
        <w:tc>
          <w:tcPr>
            <w:tcW w:w="9540" w:type="dxa"/>
            <w:vAlign w:val="bottom"/>
            <w:gridSpan w:val="6"/>
          </w:tcPr>
          <w:p>
            <w:pPr>
              <w:spacing w:after="0"/>
              <w:rPr>
                <w:sz w:val="20"/>
                <w:szCs w:val="20"/>
                <w:color w:val="auto"/>
              </w:rPr>
            </w:pPr>
            <w:r>
              <w:rPr>
                <w:rFonts w:ascii="Arial" w:cs="Arial" w:eastAsia="Arial" w:hAnsi="Arial"/>
                <w:sz w:val="18"/>
                <w:szCs w:val="18"/>
                <w:color w:val="auto"/>
              </w:rPr>
              <w:t>Land</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3.01(n)(ii)</w:t>
            </w:r>
          </w:p>
        </w:tc>
        <w:tc>
          <w:tcPr>
            <w:tcW w:w="9540" w:type="dxa"/>
            <w:vAlign w:val="bottom"/>
            <w:gridSpan w:val="6"/>
          </w:tcPr>
          <w:p>
            <w:pPr>
              <w:spacing w:after="0"/>
              <w:rPr>
                <w:sz w:val="20"/>
                <w:szCs w:val="20"/>
                <w:color w:val="auto"/>
              </w:rPr>
            </w:pPr>
            <w:r>
              <w:rPr>
                <w:rFonts w:ascii="Arial" w:cs="Arial" w:eastAsia="Arial" w:hAnsi="Arial"/>
                <w:sz w:val="18"/>
                <w:szCs w:val="18"/>
                <w:color w:val="auto"/>
              </w:rPr>
              <w:t>Permitted Real Property Agreements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3.01(n)(iii)</w:t>
            </w:r>
          </w:p>
        </w:tc>
        <w:tc>
          <w:tcPr>
            <w:tcW w:w="9540" w:type="dxa"/>
            <w:vAlign w:val="bottom"/>
            <w:gridSpan w:val="6"/>
          </w:tcPr>
          <w:p>
            <w:pPr>
              <w:spacing w:after="0"/>
              <w:rPr>
                <w:sz w:val="20"/>
                <w:szCs w:val="20"/>
                <w:color w:val="auto"/>
              </w:rPr>
            </w:pPr>
            <w:r>
              <w:rPr>
                <w:rFonts w:ascii="Arial" w:cs="Arial" w:eastAsia="Arial" w:hAnsi="Arial"/>
                <w:sz w:val="18"/>
                <w:szCs w:val="18"/>
                <w:color w:val="auto"/>
              </w:rPr>
              <w:t>Real Property Rights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3.01(p)(i)</w:t>
            </w:r>
          </w:p>
        </w:tc>
        <w:tc>
          <w:tcPr>
            <w:tcW w:w="9540" w:type="dxa"/>
            <w:vAlign w:val="bottom"/>
            <w:gridSpan w:val="6"/>
          </w:tcPr>
          <w:p>
            <w:pPr>
              <w:spacing w:after="0"/>
              <w:rPr>
                <w:sz w:val="20"/>
                <w:szCs w:val="20"/>
                <w:color w:val="auto"/>
              </w:rPr>
            </w:pPr>
            <w:r>
              <w:rPr>
                <w:rFonts w:ascii="Arial" w:cs="Arial" w:eastAsia="Arial" w:hAnsi="Arial"/>
                <w:sz w:val="18"/>
                <w:szCs w:val="18"/>
                <w:color w:val="auto"/>
              </w:rPr>
              <w:t>Environmental Law Non-Compliance</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3.01(p)(iii)</w:t>
            </w:r>
          </w:p>
        </w:tc>
        <w:tc>
          <w:tcPr>
            <w:tcW w:w="9540" w:type="dxa"/>
            <w:vAlign w:val="bottom"/>
            <w:gridSpan w:val="6"/>
          </w:tcPr>
          <w:p>
            <w:pPr>
              <w:spacing w:after="0"/>
              <w:rPr>
                <w:sz w:val="20"/>
                <w:szCs w:val="20"/>
                <w:color w:val="auto"/>
              </w:rPr>
            </w:pPr>
            <w:r>
              <w:rPr>
                <w:rFonts w:ascii="Arial" w:cs="Arial" w:eastAsia="Arial" w:hAnsi="Arial"/>
                <w:sz w:val="18"/>
                <w:szCs w:val="18"/>
                <w:color w:val="auto"/>
              </w:rPr>
              <w:t>Environmental Permits</w:t>
            </w:r>
          </w:p>
        </w:tc>
        <w:tc>
          <w:tcPr>
            <w:tcW w:w="0" w:type="dxa"/>
            <w:vAlign w:val="bottom"/>
          </w:tcPr>
          <w:p>
            <w:pPr>
              <w:spacing w:after="0"/>
              <w:rPr>
                <w:sz w:val="1"/>
                <w:szCs w:val="1"/>
                <w:color w:val="auto"/>
              </w:rPr>
            </w:pP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3.01(p)(iv)</w:t>
            </w:r>
          </w:p>
        </w:tc>
        <w:tc>
          <w:tcPr>
            <w:tcW w:w="9540" w:type="dxa"/>
            <w:vAlign w:val="bottom"/>
            <w:gridSpan w:val="6"/>
          </w:tcPr>
          <w:p>
            <w:pPr>
              <w:spacing w:after="0"/>
              <w:rPr>
                <w:sz w:val="20"/>
                <w:szCs w:val="20"/>
                <w:color w:val="auto"/>
              </w:rPr>
            </w:pPr>
            <w:r>
              <w:rPr>
                <w:rFonts w:ascii="Arial" w:cs="Arial" w:eastAsia="Arial" w:hAnsi="Arial"/>
                <w:sz w:val="18"/>
                <w:szCs w:val="18"/>
                <w:color w:val="auto"/>
              </w:rPr>
              <w:t>Release of Hazardous Substances</w:t>
            </w:r>
          </w:p>
        </w:tc>
        <w:tc>
          <w:tcPr>
            <w:tcW w:w="0" w:type="dxa"/>
            <w:vAlign w:val="bottom"/>
          </w:tcPr>
          <w:p>
            <w:pPr>
              <w:spacing w:after="0"/>
              <w:rPr>
                <w:sz w:val="1"/>
                <w:szCs w:val="1"/>
                <w:color w:val="auto"/>
              </w:rPr>
            </w:pPr>
          </w:p>
        </w:tc>
      </w:tr>
      <w:tr>
        <w:trPr>
          <w:trHeight w:val="648"/>
        </w:trPr>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4" w:name="page85"/>
    <w:bookmarkEnd w:id="84"/>
    <w:p>
      <w:pPr>
        <w:jc w:val="center"/>
        <w:ind w:right="-110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3.01(q)(i)</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Permits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w w:val="99"/>
              </w:rPr>
              <w:t>Schedule 3.01(q)(ii)</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w w:val="90"/>
              </w:rPr>
              <w:t>Regulatory Noncompliance</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3.01(r)</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Affiliate Transactions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3.01(s)(i)</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Intellectual Property</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3.01(t)</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Insurance</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3.01(v)</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Absence of changes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3.01(w)</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Bank Accounts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3.01(y)</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Support Obligations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3.02(c)</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Purchaser Consents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3.02(e)</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Permits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3.02(h)</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Brokers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Schedule 3.02(i)</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Purchaser Approvals</w:t>
            </w:r>
          </w:p>
        </w:tc>
      </w:tr>
      <w:tr>
        <w:trPr>
          <w:trHeight w:val="190"/>
        </w:trPr>
        <w:tc>
          <w:tcPr>
            <w:tcW w:w="1580" w:type="dxa"/>
            <w:vAlign w:val="bottom"/>
            <w:gridSpan w:val="2"/>
          </w:tcPr>
          <w:p>
            <w:pPr>
              <w:spacing w:after="0" w:line="190" w:lineRule="exact"/>
              <w:rPr>
                <w:sz w:val="20"/>
                <w:szCs w:val="20"/>
                <w:color w:val="auto"/>
              </w:rPr>
            </w:pPr>
            <w:r>
              <w:rPr>
                <w:rFonts w:ascii="Arial" w:cs="Arial" w:eastAsia="Arial" w:hAnsi="Arial"/>
                <w:sz w:val="18"/>
                <w:szCs w:val="18"/>
                <w:color w:val="008000"/>
              </w:rPr>
              <w:t>Schedule 5.04(b)</w:t>
            </w:r>
          </w:p>
        </w:tc>
        <w:tc>
          <w:tcPr>
            <w:tcW w:w="2100" w:type="dxa"/>
            <w:vAlign w:val="bottom"/>
            <w:gridSpan w:val="3"/>
          </w:tcPr>
          <w:p>
            <w:pPr>
              <w:ind w:left="120"/>
              <w:spacing w:after="0" w:line="190" w:lineRule="exact"/>
              <w:rPr>
                <w:sz w:val="20"/>
                <w:szCs w:val="20"/>
                <w:color w:val="auto"/>
              </w:rPr>
            </w:pPr>
            <w:r>
              <w:rPr>
                <w:rFonts w:ascii="Arial" w:cs="Arial" w:eastAsia="Arial" w:hAnsi="Arial"/>
                <w:sz w:val="18"/>
                <w:szCs w:val="18"/>
                <w:color w:val="008000"/>
              </w:rPr>
              <w:t>Conduct of Business</w:t>
            </w:r>
          </w:p>
        </w:tc>
      </w:tr>
      <w:tr>
        <w:trPr>
          <w:trHeight w:val="20"/>
        </w:trPr>
        <w:tc>
          <w:tcPr>
            <w:tcW w:w="1240" w:type="dxa"/>
            <w:vAlign w:val="bottom"/>
            <w:tcBorders>
              <w:top w:val="single" w:sz="8" w:color="008000"/>
              <w:bottom w:val="single" w:sz="8" w:color="00800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8000"/>
              <w:bottom w:val="single" w:sz="8" w:color="00800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MEMBERSHIP INTEREST PURCHASE AGREEMENT (this “</w:t>
      </w:r>
      <w:r>
        <w:rPr>
          <w:rFonts w:ascii="Arial" w:cs="Arial" w:eastAsia="Arial" w:hAnsi="Arial"/>
          <w:sz w:val="17"/>
          <w:szCs w:val="17"/>
          <w:i w:val="1"/>
          <w:iCs w:val="1"/>
          <w:color w:val="auto"/>
        </w:rPr>
        <w:t>Agreement</w:t>
      </w:r>
      <w:r>
        <w:rPr>
          <w:rFonts w:ascii="Arial" w:cs="Arial" w:eastAsia="Arial" w:hAnsi="Arial"/>
          <w:sz w:val="17"/>
          <w:szCs w:val="17"/>
          <w:color w:val="auto"/>
        </w:rPr>
        <w:t>”), dated as of December 21, 2020 (the “</w:t>
      </w:r>
      <w:r>
        <w:rPr>
          <w:rFonts w:ascii="Arial" w:cs="Arial" w:eastAsia="Arial" w:hAnsi="Arial"/>
          <w:sz w:val="17"/>
          <w:szCs w:val="17"/>
          <w:i w:val="1"/>
          <w:iCs w:val="1"/>
          <w:color w:val="auto"/>
        </w:rPr>
        <w:t>Execution Date</w:t>
      </w:r>
      <w:r>
        <w:rPr>
          <w:rFonts w:ascii="Arial" w:cs="Arial" w:eastAsia="Arial" w:hAnsi="Arial"/>
          <w:sz w:val="17"/>
          <w:szCs w:val="17"/>
          <w:color w:val="auto"/>
        </w:rPr>
        <w:t>”), is entered into by and between Clearway Renew LLC, a Delaware limited liability company (“</w:t>
      </w:r>
      <w:r>
        <w:rPr>
          <w:rFonts w:ascii="Arial" w:cs="Arial" w:eastAsia="Arial" w:hAnsi="Arial"/>
          <w:sz w:val="17"/>
          <w:szCs w:val="17"/>
          <w:i w:val="1"/>
          <w:iCs w:val="1"/>
          <w:color w:val="auto"/>
        </w:rPr>
        <w:t>Seller</w:t>
      </w:r>
      <w:r>
        <w:rPr>
          <w:rFonts w:ascii="Arial" w:cs="Arial" w:eastAsia="Arial" w:hAnsi="Arial"/>
          <w:sz w:val="17"/>
          <w:szCs w:val="17"/>
          <w:color w:val="auto"/>
        </w:rPr>
        <w:t>”), and Lighthouse Renewable Class A LLC, a Delaware limited liability company (“</w:t>
      </w:r>
      <w:r>
        <w:rPr>
          <w:rFonts w:ascii="Arial" w:cs="Arial" w:eastAsia="Arial" w:hAnsi="Arial"/>
          <w:sz w:val="17"/>
          <w:szCs w:val="17"/>
          <w:i w:val="1"/>
          <w:iCs w:val="1"/>
          <w:color w:val="auto"/>
        </w:rPr>
        <w:t>Purchaser</w:t>
      </w:r>
      <w:r>
        <w:rPr>
          <w:rFonts w:ascii="Arial" w:cs="Arial" w:eastAsia="Arial" w:hAnsi="Arial"/>
          <w:sz w:val="17"/>
          <w:szCs w:val="17"/>
          <w:color w:val="auto"/>
        </w:rPr>
        <w:t>”). Purchaser and Seller are referred to, collectively, as the “</w:t>
      </w:r>
      <w:r>
        <w:rPr>
          <w:rFonts w:ascii="Arial" w:cs="Arial" w:eastAsia="Arial" w:hAnsi="Arial"/>
          <w:sz w:val="17"/>
          <w:szCs w:val="17"/>
          <w:i w:val="1"/>
          <w:iCs w:val="1"/>
          <w:color w:val="auto"/>
        </w:rPr>
        <w:t>Parties</w:t>
      </w:r>
      <w:r>
        <w:rPr>
          <w:rFonts w:ascii="Arial" w:cs="Arial" w:eastAsia="Arial" w:hAnsi="Arial"/>
          <w:sz w:val="17"/>
          <w:szCs w:val="17"/>
          <w:color w:val="auto"/>
        </w:rPr>
        <w:t>” and each, individually, as a “</w:t>
      </w:r>
      <w:r>
        <w:rPr>
          <w:rFonts w:ascii="Arial" w:cs="Arial" w:eastAsia="Arial" w:hAnsi="Arial"/>
          <w:sz w:val="17"/>
          <w:szCs w:val="17"/>
          <w:i w:val="1"/>
          <w:iCs w:val="1"/>
          <w:color w:val="auto"/>
        </w:rPr>
        <w:t>Party</w:t>
      </w:r>
      <w:r>
        <w:rPr>
          <w:rFonts w:ascii="Arial" w:cs="Arial" w:eastAsia="Arial" w:hAnsi="Arial"/>
          <w:sz w:val="17"/>
          <w:szCs w:val="17"/>
          <w:color w:val="auto"/>
        </w:rPr>
        <w:t xml:space="preserve">.” Capitalized terms not otherwise defined herein shall have the meaning given them in </w:t>
      </w:r>
      <w:r>
        <w:rPr>
          <w:rFonts w:ascii="Arial" w:cs="Arial" w:eastAsia="Arial" w:hAnsi="Arial"/>
          <w:sz w:val="17"/>
          <w:szCs w:val="17"/>
          <w:i w:val="1"/>
          <w:iCs w:val="1"/>
          <w:color w:val="auto"/>
        </w:rPr>
        <w:t>Section 1.01</w:t>
      </w:r>
      <w:r>
        <w:rPr>
          <w:rFonts w:ascii="Arial" w:cs="Arial" w:eastAsia="Arial" w:hAnsi="Arial"/>
          <w:sz w:val="17"/>
          <w:szCs w:val="17"/>
          <w:color w:val="auto"/>
        </w:rPr>
        <w:t xml:space="preserve"> of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63" w:lineRule="auto"/>
        <w:tabs>
          <w:tab w:leader="none" w:pos="11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Seller owns one hundred percent (100%) of the Class B membership interests (the “</w:t>
      </w:r>
      <w:r>
        <w:rPr>
          <w:rFonts w:ascii="Arial" w:cs="Arial" w:eastAsia="Arial" w:hAnsi="Arial"/>
          <w:sz w:val="18"/>
          <w:szCs w:val="18"/>
          <w:i w:val="1"/>
          <w:iCs w:val="1"/>
          <w:color w:val="auto"/>
        </w:rPr>
        <w:t>Class B Units</w:t>
      </w:r>
      <w:r>
        <w:rPr>
          <w:rFonts w:ascii="Arial" w:cs="Arial" w:eastAsia="Arial" w:hAnsi="Arial"/>
          <w:sz w:val="18"/>
          <w:szCs w:val="18"/>
          <w:color w:val="auto"/>
        </w:rPr>
        <w:t>”) of Black Rock Wind Holding LLC,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and Apex Clean Energy Holdings, LLC (the “</w:t>
      </w:r>
      <w:r>
        <w:rPr>
          <w:rFonts w:ascii="Arial" w:cs="Arial" w:eastAsia="Arial" w:hAnsi="Arial"/>
          <w:sz w:val="18"/>
          <w:szCs w:val="18"/>
          <w:i w:val="1"/>
          <w:iCs w:val="1"/>
          <w:color w:val="auto"/>
        </w:rPr>
        <w:t>Class A Member</w:t>
      </w:r>
      <w:r>
        <w:rPr>
          <w:rFonts w:ascii="Arial" w:cs="Arial" w:eastAsia="Arial" w:hAnsi="Arial"/>
          <w:sz w:val="18"/>
          <w:szCs w:val="18"/>
          <w:color w:val="auto"/>
        </w:rPr>
        <w:t>”) owns one hundred percent (100%) of the Class A membership interests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9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is the sole member and one hundred percent (100%) owner of Black Rock Class B Holdco LLC, a Delaware limited liability company (“</w:t>
      </w:r>
      <w:r>
        <w:rPr>
          <w:rFonts w:ascii="Arial" w:cs="Arial" w:eastAsia="Arial" w:hAnsi="Arial"/>
          <w:sz w:val="18"/>
          <w:szCs w:val="18"/>
          <w:i w:val="1"/>
          <w:iCs w:val="1"/>
          <w:color w:val="auto"/>
        </w:rPr>
        <w:t>Class B Holdco</w:t>
      </w:r>
      <w:r>
        <w:rPr>
          <w:rFonts w:ascii="Arial" w:cs="Arial" w:eastAsia="Arial" w:hAnsi="Arial"/>
          <w:sz w:val="18"/>
          <w:szCs w:val="18"/>
          <w:color w:val="auto"/>
        </w:rPr>
        <w:t>”), and Class B Holdco is the sole member and one hundred percent (100%) owner of Black Rock TE Holdco LLC, a Delaware limited liability company (“</w:t>
      </w:r>
      <w:r>
        <w:rPr>
          <w:rFonts w:ascii="Arial" w:cs="Arial" w:eastAsia="Arial" w:hAnsi="Arial"/>
          <w:sz w:val="18"/>
          <w:szCs w:val="18"/>
          <w:i w:val="1"/>
          <w:iCs w:val="1"/>
          <w:color w:val="auto"/>
        </w:rPr>
        <w:t>TE Holdco</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656"/>
        <w:spacing w:after="0" w:line="308" w:lineRule="auto"/>
        <w:tabs>
          <w:tab w:leader="none" w:pos="11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TE Holdco is the sole member and one hundred percent (100%) owner of Black Rock Wind Force, LLC, a Delaware limited liability company (“</w:t>
      </w:r>
      <w:r>
        <w:rPr>
          <w:rFonts w:ascii="Arial" w:cs="Arial" w:eastAsia="Arial" w:hAnsi="Arial"/>
          <w:sz w:val="17"/>
          <w:szCs w:val="17"/>
          <w:i w:val="1"/>
          <w:iCs w:val="1"/>
          <w:color w:val="auto"/>
        </w:rPr>
        <w:t>Project Company</w:t>
      </w:r>
      <w:r>
        <w:rPr>
          <w:rFonts w:ascii="Arial" w:cs="Arial" w:eastAsia="Arial" w:hAnsi="Arial"/>
          <w:sz w:val="17"/>
          <w:szCs w:val="17"/>
          <w:color w:val="auto"/>
        </w:rPr>
        <w:t>” and, together with Class B Holdco and TE Holdco, the “</w:t>
      </w:r>
      <w:r>
        <w:rPr>
          <w:rFonts w:ascii="Arial" w:cs="Arial" w:eastAsia="Arial" w:hAnsi="Arial"/>
          <w:sz w:val="17"/>
          <w:szCs w:val="17"/>
          <w:i w:val="1"/>
          <w:iCs w:val="1"/>
          <w:color w:val="auto"/>
        </w:rPr>
        <w:t>Black Rock Entities</w:t>
      </w:r>
      <w:r>
        <w:rPr>
          <w:rFonts w:ascii="Arial" w:cs="Arial" w:eastAsia="Arial" w:hAnsi="Arial"/>
          <w:sz w:val="17"/>
          <w:szCs w:val="17"/>
          <w:color w:val="auto"/>
        </w:rPr>
        <w:t>” and each a “</w:t>
      </w:r>
      <w:r>
        <w:rPr>
          <w:rFonts w:ascii="Arial" w:cs="Arial" w:eastAsia="Arial" w:hAnsi="Arial"/>
          <w:sz w:val="17"/>
          <w:szCs w:val="17"/>
          <w:i w:val="1"/>
          <w:iCs w:val="1"/>
          <w:color w:val="auto"/>
        </w:rPr>
        <w:t>Black Rock Entity</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firstLine="656"/>
        <w:spacing w:after="0" w:line="277" w:lineRule="auto"/>
        <w:tabs>
          <w:tab w:leader="none" w:pos="109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Project Company is developing an approximately 110 MW wind power project and associated infrastructure located in Mineral County and Grant County, West Virginia (the “</w:t>
      </w:r>
      <w:r>
        <w:rPr>
          <w:rFonts w:ascii="Arial" w:cs="Arial" w:eastAsia="Arial" w:hAnsi="Arial"/>
          <w:sz w:val="18"/>
          <w:szCs w:val="18"/>
          <w:i w:val="1"/>
          <w:iCs w:val="1"/>
          <w:color w:val="auto"/>
        </w:rPr>
        <w:t>Project</w:t>
      </w:r>
      <w:r>
        <w:rPr>
          <w:rFonts w:ascii="Arial" w:cs="Arial" w:eastAsia="Arial" w:hAnsi="Arial"/>
          <w:sz w:val="18"/>
          <w:szCs w:val="18"/>
          <w:color w:val="auto"/>
        </w:rPr>
        <w:t>”) and sells electric power therefrom.</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3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the Closing Date, subject to the satisfaction or waiver of the applicable conditions precedent set forth herein, fifty and one one-hundredth percent (50.01%) of the Class B Units (the “</w:t>
      </w:r>
      <w:r>
        <w:rPr>
          <w:rFonts w:ascii="Arial" w:cs="Arial" w:eastAsia="Arial" w:hAnsi="Arial"/>
          <w:sz w:val="18"/>
          <w:szCs w:val="18"/>
          <w:i w:val="1"/>
          <w:iCs w:val="1"/>
          <w:color w:val="auto"/>
        </w:rPr>
        <w:t>Acquired Interests</w:t>
      </w:r>
      <w:r>
        <w:rPr>
          <w:rFonts w:ascii="Arial" w:cs="Arial" w:eastAsia="Arial" w:hAnsi="Arial"/>
          <w:sz w:val="18"/>
          <w:szCs w:val="18"/>
          <w:color w:val="auto"/>
        </w:rPr>
        <w:t xml:space="preserve">”) will be sold to Purchaser for the </w:t>
      </w:r>
      <w:r>
        <w:rPr>
          <w:rFonts w:ascii="Arial" w:cs="Arial" w:eastAsia="Arial" w:hAnsi="Arial"/>
          <w:sz w:val="18"/>
          <w:szCs w:val="18"/>
          <w:u w:val="single" w:color="auto"/>
          <w:color w:val="0000FF"/>
        </w:rPr>
        <w:t>Base</w:t>
      </w:r>
      <w:r>
        <w:rPr>
          <w:rFonts w:ascii="Arial" w:cs="Arial" w:eastAsia="Arial" w:hAnsi="Arial"/>
          <w:sz w:val="18"/>
          <w:szCs w:val="18"/>
          <w:color w:val="auto"/>
        </w:rPr>
        <w:t xml:space="preserve"> Purchase Price </w:t>
      </w:r>
      <w:r>
        <w:rPr>
          <w:rFonts w:ascii="Arial" w:cs="Arial" w:eastAsia="Arial" w:hAnsi="Arial"/>
          <w:sz w:val="18"/>
          <w:szCs w:val="18"/>
          <w:u w:val="single" w:color="auto"/>
          <w:color w:val="0000FF"/>
        </w:rPr>
        <w:t>(as modified to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Adjusted Base Purchase Price)</w:t>
      </w:r>
      <w:r>
        <w:rPr>
          <w:rFonts w:ascii="Arial" w:cs="Arial" w:eastAsia="Arial" w:hAnsi="Arial"/>
          <w:sz w:val="18"/>
          <w:szCs w:val="18"/>
          <w:color w:val="0000FF"/>
        </w:rPr>
        <w:t xml:space="preserve"> </w:t>
      </w:r>
      <w:r>
        <w:rPr>
          <w:rFonts w:ascii="Arial" w:cs="Arial" w:eastAsia="Arial" w:hAnsi="Arial"/>
          <w:sz w:val="18"/>
          <w:szCs w:val="18"/>
          <w:color w:val="000000"/>
        </w:rPr>
        <w:t>as provided herein.</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Purchaser and HASI have agreed that, as </w:t>
      </w:r>
      <w:r>
        <w:rPr>
          <w:rFonts w:ascii="Arial" w:cs="Arial" w:eastAsia="Arial" w:hAnsi="Arial"/>
          <w:sz w:val="18"/>
          <w:szCs w:val="18"/>
          <w:color w:val="FF0000"/>
          <w:strike w:val="1"/>
        </w:rPr>
        <w:t>sole</w:t>
      </w:r>
      <w:r>
        <w:rPr>
          <w:rFonts w:ascii="Arial" w:cs="Arial" w:eastAsia="Arial" w:hAnsi="Arial"/>
          <w:sz w:val="18"/>
          <w:szCs w:val="18"/>
          <w:color w:val="auto"/>
        </w:rPr>
        <w:t xml:space="preserve"> shareholders of Lighthouse Renewable HoldCo LLC (the “</w:t>
      </w:r>
      <w:r>
        <w:rPr>
          <w:rFonts w:ascii="Arial" w:cs="Arial" w:eastAsia="Arial" w:hAnsi="Arial"/>
          <w:sz w:val="18"/>
          <w:szCs w:val="18"/>
          <w:i w:val="1"/>
          <w:iCs w:val="1"/>
          <w:color w:val="auto"/>
        </w:rPr>
        <w:t>Master JV HoldCo</w:t>
      </w:r>
      <w:r>
        <w:rPr>
          <w:rFonts w:ascii="Arial" w:cs="Arial" w:eastAsia="Arial" w:hAnsi="Arial"/>
          <w:sz w:val="18"/>
          <w:szCs w:val="18"/>
          <w:color w:val="auto"/>
        </w:rPr>
        <w:t>”), they shall, immediately upon the Closing, contribute their respective Class B Units to the Master JV HoldCo and cause Master JV HoldCo to be admitted as the Class B Member of the Company (the “</w:t>
      </w:r>
      <w:r>
        <w:rPr>
          <w:rFonts w:ascii="Arial" w:cs="Arial" w:eastAsia="Arial" w:hAnsi="Arial"/>
          <w:sz w:val="18"/>
          <w:szCs w:val="18"/>
          <w:i w:val="1"/>
          <w:iCs w:val="1"/>
          <w:color w:val="auto"/>
        </w:rPr>
        <w:t>Drop Down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656"/>
        <w:spacing w:after="0" w:line="342" w:lineRule="auto"/>
        <w:tabs>
          <w:tab w:leader="none" w:pos="1111" w:val="left"/>
        </w:tabs>
        <w:numPr>
          <w:ilvl w:val="0"/>
          <w:numId w:val="84"/>
        </w:numPr>
        <w:rPr>
          <w:rFonts w:ascii="Arial" w:cs="Arial" w:eastAsia="Arial" w:hAnsi="Arial"/>
          <w:sz w:val="16"/>
          <w:szCs w:val="16"/>
          <w:color w:val="0000FF"/>
        </w:rPr>
      </w:pPr>
      <w:r>
        <w:rPr>
          <w:rFonts w:ascii="Arial" w:cs="Arial" w:eastAsia="Arial" w:hAnsi="Arial"/>
          <w:sz w:val="16"/>
          <w:szCs w:val="16"/>
          <w:u w:val="single" w:color="auto"/>
          <w:color w:val="0000FF"/>
        </w:rPr>
        <w:t xml:space="preserve">At least ninety-one (91) days after </w:t>
      </w:r>
      <w:r>
        <w:rPr>
          <w:rFonts w:ascii="Arial" w:cs="Arial" w:eastAsia="Arial" w:hAnsi="Arial"/>
          <w:sz w:val="16"/>
          <w:szCs w:val="16"/>
          <w:u w:val="single" w:color="auto"/>
          <w:color w:val="008000"/>
        </w:rPr>
        <w:t>the Tax Equity Funding Date Seller will purchase from</w:t>
      </w:r>
      <w:r>
        <w:rPr>
          <w:rFonts w:ascii="Arial" w:cs="Arial" w:eastAsia="Arial" w:hAnsi="Arial"/>
          <w:sz w:val="16"/>
          <w:szCs w:val="16"/>
          <w:u w:val="single" w:color="auto"/>
          <w:color w:val="0000FF"/>
        </w:rPr>
        <w:t>, the Class A Member, one hundred percent (100%) of the Class A membership interests of the Company (the “</w:t>
      </w:r>
      <w:r>
        <w:rPr>
          <w:rFonts w:ascii="Arial" w:cs="Arial" w:eastAsia="Arial" w:hAnsi="Arial"/>
          <w:sz w:val="16"/>
          <w:szCs w:val="16"/>
          <w:i w:val="1"/>
          <w:iCs w:val="1"/>
          <w:u w:val="single" w:color="auto"/>
          <w:color w:val="0000FF"/>
        </w:rPr>
        <w:t>Class A Units</w:t>
      </w:r>
      <w:r>
        <w:rPr>
          <w:rFonts w:ascii="Arial" w:cs="Arial" w:eastAsia="Arial" w:hAnsi="Arial"/>
          <w:sz w:val="16"/>
          <w:szCs w:val="16"/>
          <w:u w:val="single" w:color="auto"/>
          <w:color w:val="0000FF"/>
        </w:rPr>
        <w:t>”) pursuant to the Apex Purchase Agreement (the “</w:t>
      </w:r>
      <w:r>
        <w:rPr>
          <w:rFonts w:ascii="Arial" w:cs="Arial" w:eastAsia="Arial" w:hAnsi="Arial"/>
          <w:sz w:val="16"/>
          <w:szCs w:val="16"/>
          <w:i w:val="1"/>
          <w:iCs w:val="1"/>
          <w:u w:val="single" w:color="auto"/>
          <w:color w:val="0000FF"/>
        </w:rPr>
        <w:t>Class A Transfer</w:t>
      </w:r>
      <w:r>
        <w:rPr>
          <w:rFonts w:ascii="Arial" w:cs="Arial" w:eastAsia="Arial" w:hAnsi="Arial"/>
          <w:sz w:val="16"/>
          <w:szCs w:val="16"/>
          <w:u w:val="single" w:color="auto"/>
          <w:color w:val="0000FF"/>
        </w:rPr>
        <w:t>”).</w:t>
      </w:r>
    </w:p>
    <w:p>
      <w:pPr>
        <w:spacing w:after="0" w:line="123" w:lineRule="exact"/>
        <w:rPr>
          <w:rFonts w:ascii="Arial" w:cs="Arial" w:eastAsia="Arial" w:hAnsi="Arial"/>
          <w:sz w:val="16"/>
          <w:szCs w:val="16"/>
          <w:color w:val="0000FF"/>
        </w:rPr>
      </w:pPr>
    </w:p>
    <w:p>
      <w:pPr>
        <w:jc w:val="both"/>
        <w:ind w:firstLine="656"/>
        <w:spacing w:after="0" w:line="263" w:lineRule="auto"/>
        <w:tabs>
          <w:tab w:leader="none" w:pos="1098" w:val="left"/>
        </w:tabs>
        <w:numPr>
          <w:ilvl w:val="0"/>
          <w:numId w:val="84"/>
        </w:numPr>
        <w:rPr>
          <w:rFonts w:ascii="Arial" w:cs="Arial" w:eastAsia="Arial" w:hAnsi="Arial"/>
          <w:sz w:val="18"/>
          <w:szCs w:val="18"/>
          <w:color w:val="0000FF"/>
        </w:rPr>
      </w:pPr>
      <w:r>
        <w:rPr>
          <w:rFonts w:ascii="Arial" w:cs="Arial" w:eastAsia="Arial" w:hAnsi="Arial"/>
          <w:sz w:val="18"/>
          <w:szCs w:val="18"/>
          <w:u w:val="single" w:color="auto"/>
          <w:color w:val="0000FF"/>
        </w:rPr>
        <w:t>Immediately following the Class A Transfer and subject to the satisfaction or waiver of the applicable conditions precedent set forth herein, fifty and one one-hundredth percent (50.01%) of the Class A Units (the “</w:t>
      </w:r>
      <w:r>
        <w:rPr>
          <w:rFonts w:ascii="Arial" w:cs="Arial" w:eastAsia="Arial" w:hAnsi="Arial"/>
          <w:sz w:val="18"/>
          <w:szCs w:val="18"/>
          <w:i w:val="1"/>
          <w:iCs w:val="1"/>
          <w:u w:val="single" w:color="auto"/>
          <w:color w:val="0000FF"/>
        </w:rPr>
        <w:t>Class A Interests</w:t>
      </w:r>
      <w:r>
        <w:rPr>
          <w:rFonts w:ascii="Arial" w:cs="Arial" w:eastAsia="Arial" w:hAnsi="Arial"/>
          <w:sz w:val="18"/>
          <w:szCs w:val="18"/>
          <w:u w:val="single" w:color="auto"/>
          <w:color w:val="0000FF"/>
        </w:rPr>
        <w:t>”) will be sold to Purchaser for the Class A Purchase Price as provided herein.</w:t>
      </w:r>
    </w:p>
    <w:p>
      <w:pPr>
        <w:spacing w:after="0" w:line="183" w:lineRule="exact"/>
        <w:rPr>
          <w:rFonts w:ascii="Arial" w:cs="Arial" w:eastAsia="Arial" w:hAnsi="Arial"/>
          <w:sz w:val="18"/>
          <w:szCs w:val="18"/>
          <w:color w:val="0000FF"/>
        </w:rPr>
      </w:pPr>
    </w:p>
    <w:p>
      <w:pPr>
        <w:ind w:firstLine="656"/>
        <w:spacing w:after="0" w:line="277" w:lineRule="auto"/>
        <w:tabs>
          <w:tab w:leader="none" w:pos="1111" w:val="left"/>
        </w:tabs>
        <w:numPr>
          <w:ilvl w:val="0"/>
          <w:numId w:val="84"/>
        </w:numPr>
        <w:rPr>
          <w:rFonts w:ascii="Arial" w:cs="Arial" w:eastAsia="Arial" w:hAnsi="Arial"/>
          <w:sz w:val="18"/>
          <w:szCs w:val="18"/>
          <w:color w:val="0000FF"/>
        </w:rPr>
      </w:pPr>
      <w:r>
        <w:rPr>
          <w:rFonts w:ascii="Arial" w:cs="Arial" w:eastAsia="Arial" w:hAnsi="Arial"/>
          <w:sz w:val="18"/>
          <w:szCs w:val="18"/>
          <w:u w:val="single" w:color="auto"/>
          <w:color w:val="0000FF"/>
        </w:rPr>
        <w:t>Purchaser and HASI have agreed that they shall, immediately upon the Second Closing, contribute their respective Class A Units to the Master JV HoldCo and cause Master JV HoldCo to be the sole member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agreements, covenants, representations and warranties set forth herein, and intending to be legally bound hereby, the Parties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PRINCIPLES OF INTERPRETATION</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As used in this Agreement, the following defined terms have the meanings indicated below:</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Interests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Proposal</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5.09</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Action or Proceeding</w:t>
      </w:r>
      <w:r>
        <w:rPr>
          <w:rFonts w:ascii="Arial" w:cs="Arial" w:eastAsia="Arial" w:hAnsi="Arial"/>
          <w:sz w:val="17"/>
          <w:szCs w:val="17"/>
          <w:color w:val="auto"/>
        </w:rPr>
        <w:t>” means any action, suit, proceeding, arbitration or investigation by or before any Governmental Authority.</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Turbine</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Additional Turbine Amount</w:t>
      </w:r>
      <w:r>
        <w:rPr>
          <w:rFonts w:ascii="Arial" w:cs="Arial" w:eastAsia="Arial" w:hAnsi="Arial"/>
          <w:sz w:val="18"/>
          <w:szCs w:val="18"/>
          <w:color w:val="FF0000"/>
          <w:strike w:val="1"/>
        </w:rPr>
        <w:t xml:space="preserve">” means, with respect to each Additional Turbine, an amount of money that is equal to </w:t>
      </w:r>
      <w:r>
        <w:rPr>
          <w:rFonts w:ascii="Arial" w:cs="Arial" w:eastAsia="Arial" w:hAnsi="Arial"/>
          <w:sz w:val="18"/>
          <w:szCs w:val="18"/>
          <w:color w:val="008000"/>
          <w:strike w:val="1"/>
        </w:rPr>
        <w:t>the Additional Turbine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Holdback Amount </w:t>
      </w:r>
      <w:r>
        <w:rPr>
          <w:rFonts w:ascii="Arial" w:cs="Arial" w:eastAsia="Arial" w:hAnsi="Arial"/>
          <w:sz w:val="18"/>
          <w:szCs w:val="18"/>
          <w:i w:val="1"/>
          <w:iCs w:val="1"/>
          <w:color w:val="FF0000"/>
          <w:strike w:val="1"/>
        </w:rPr>
        <w:t>divided by</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the number of Additional Turbines.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Turbine Deadline</w:t>
      </w:r>
      <w:r>
        <w:rPr>
          <w:rFonts w:ascii="Arial" w:cs="Arial" w:eastAsia="Arial" w:hAnsi="Arial"/>
          <w:sz w:val="17"/>
          <w:szCs w:val="17"/>
          <w:color w:val="auto"/>
        </w:rPr>
        <w:t>” means the earlier of (</w:t>
      </w:r>
      <w:r>
        <w:rPr>
          <w:rFonts w:ascii="Arial" w:cs="Arial" w:eastAsia="Arial" w:hAnsi="Arial"/>
          <w:sz w:val="17"/>
          <w:szCs w:val="17"/>
          <w:i w:val="1"/>
          <w:iCs w:val="1"/>
          <w:color w:val="auto"/>
        </w:rPr>
        <w:t>a</w:t>
      </w:r>
      <w:r>
        <w:rPr>
          <w:rFonts w:ascii="Arial" w:cs="Arial" w:eastAsia="Arial" w:hAnsi="Arial"/>
          <w:sz w:val="17"/>
          <w:szCs w:val="17"/>
          <w:color w:val="auto"/>
        </w:rPr>
        <w:t>) the date on which the final Additional Turbine is Placed in Service and (</w:t>
      </w:r>
      <w:r>
        <w:rPr>
          <w:rFonts w:ascii="Arial" w:cs="Arial" w:eastAsia="Arial" w:hAnsi="Arial"/>
          <w:sz w:val="17"/>
          <w:szCs w:val="17"/>
          <w:i w:val="1"/>
          <w:iCs w:val="1"/>
          <w:color w:val="auto"/>
        </w:rPr>
        <w:t>b</w:t>
      </w:r>
      <w:r>
        <w:rPr>
          <w:rFonts w:ascii="Arial" w:cs="Arial" w:eastAsia="Arial" w:hAnsi="Arial"/>
          <w:sz w:val="17"/>
          <w:szCs w:val="17"/>
          <w:color w:val="auto"/>
        </w:rPr>
        <w: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Outside Date.</w:t>
      </w:r>
    </w:p>
    <w:p>
      <w:pPr>
        <w:spacing w:after="0" w:line="211"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Turbine Holdback Amount</w:t>
      </w:r>
      <w:r>
        <w:rPr>
          <w:rFonts w:ascii="Arial" w:cs="Arial" w:eastAsia="Arial" w:hAnsi="Arial"/>
          <w:sz w:val="16"/>
          <w:szCs w:val="16"/>
          <w:color w:val="auto"/>
        </w:rPr>
        <w:t>” means an amount of money that is equal to (</w:t>
      </w:r>
      <w:r>
        <w:rPr>
          <w:rFonts w:ascii="Arial" w:cs="Arial" w:eastAsia="Arial" w:hAnsi="Arial"/>
          <w:sz w:val="16"/>
          <w:szCs w:val="16"/>
          <w:i w:val="1"/>
          <w:iCs w:val="1"/>
          <w:color w:val="auto"/>
        </w:rPr>
        <w:t>a</w:t>
      </w:r>
      <w:r>
        <w:rPr>
          <w:rFonts w:ascii="Arial" w:cs="Arial" w:eastAsia="Arial" w:hAnsi="Arial"/>
          <w:sz w:val="16"/>
          <w:szCs w:val="16"/>
          <w:color w:val="auto"/>
        </w:rPr>
        <w:t xml:space="preserve">) the Base Purchase Price </w:t>
      </w:r>
      <w:r>
        <w:rPr>
          <w:rFonts w:ascii="Arial" w:cs="Arial" w:eastAsia="Arial" w:hAnsi="Arial"/>
          <w:sz w:val="16"/>
          <w:szCs w:val="16"/>
          <w:color w:val="FF0000"/>
          <w:strike w:val="1"/>
        </w:rPr>
        <w:t>(as adjusted pursuant to</w:t>
      </w:r>
      <w:r>
        <w:rPr>
          <w:rFonts w:ascii="Arial" w:cs="Arial" w:eastAsia="Arial" w:hAnsi="Arial"/>
          <w:sz w:val="16"/>
          <w:szCs w:val="16"/>
          <w:color w:val="auto"/>
        </w:rPr>
        <w:t xml:space="preserve"> </w:t>
      </w:r>
      <w:r>
        <w:rPr>
          <w:rFonts w:ascii="Arial" w:cs="Arial" w:eastAsia="Arial" w:hAnsi="Arial"/>
          <w:sz w:val="16"/>
          <w:szCs w:val="16"/>
          <w:i w:val="1"/>
          <w:iCs w:val="1"/>
          <w:color w:val="FF0000"/>
          <w:strike w:val="1"/>
        </w:rPr>
        <w:t>Section 2.04</w:t>
      </w:r>
      <w:r>
        <w:rPr>
          <w:rFonts w:ascii="Arial" w:cs="Arial" w:eastAsia="Arial" w:hAnsi="Arial"/>
          <w:sz w:val="16"/>
          <w:szCs w:val="16"/>
          <w:color w:val="FF0000"/>
          <w:strike w:val="1"/>
        </w:rPr>
        <w:t>)</w:t>
      </w:r>
      <w:r>
        <w:rPr>
          <w:rFonts w:ascii="Arial" w:cs="Arial" w:eastAsia="Arial" w:hAnsi="Arial"/>
          <w:sz w:val="16"/>
          <w:szCs w:val="16"/>
          <w:i w:val="1"/>
          <w:iCs w:val="1"/>
          <w:color w:val="FF0000"/>
        </w:rPr>
        <w:t xml:space="preserve"> </w:t>
      </w:r>
      <w:r>
        <w:rPr>
          <w:rFonts w:ascii="Arial" w:cs="Arial" w:eastAsia="Arial" w:hAnsi="Arial"/>
          <w:sz w:val="16"/>
          <w:szCs w:val="16"/>
          <w:i w:val="1"/>
          <w:iCs w:val="1"/>
          <w:color w:val="000000"/>
        </w:rPr>
        <w:t>multiplied by</w:t>
      </w:r>
      <w:r>
        <w:rPr>
          <w:rFonts w:ascii="Arial" w:cs="Arial" w:eastAsia="Arial" w:hAnsi="Arial"/>
          <w:sz w:val="16"/>
          <w:szCs w:val="16"/>
          <w:i w:val="1"/>
          <w:iCs w:val="1"/>
          <w:color w:val="FF0000"/>
        </w:rPr>
        <w:t xml:space="preserve"> </w:t>
      </w:r>
      <w:r>
        <w:rPr>
          <w:rFonts w:ascii="Arial" w:cs="Arial" w:eastAsia="Arial" w:hAnsi="Arial"/>
          <w:sz w:val="16"/>
          <w:szCs w:val="16"/>
          <w:color w:val="000000"/>
        </w:rPr>
        <w:t>(</w:t>
      </w:r>
      <w:r>
        <w:rPr>
          <w:rFonts w:ascii="Arial" w:cs="Arial" w:eastAsia="Arial" w:hAnsi="Arial"/>
          <w:sz w:val="16"/>
          <w:szCs w:val="16"/>
          <w:i w:val="1"/>
          <w:iCs w:val="1"/>
          <w:color w:val="000000"/>
        </w:rPr>
        <w:t>b</w:t>
      </w:r>
      <w:r>
        <w:rPr>
          <w:rFonts w:ascii="Arial" w:cs="Arial" w:eastAsia="Arial" w:hAnsi="Arial"/>
          <w:sz w:val="16"/>
          <w:szCs w:val="16"/>
          <w:color w:val="000000"/>
        </w:rPr>
        <w:t>) the fraction that is the result of (i) the total number of Additional Turbines</w:t>
      </w:r>
      <w:r>
        <w:rPr>
          <w:rFonts w:ascii="Arial" w:cs="Arial" w:eastAsia="Arial" w:hAnsi="Arial"/>
          <w:sz w:val="16"/>
          <w:szCs w:val="16"/>
          <w:i w:val="1"/>
          <w:iCs w:val="1"/>
          <w:color w:val="FF0000"/>
        </w:rPr>
        <w:t xml:space="preserve"> </w:t>
      </w:r>
      <w:r>
        <w:rPr>
          <w:rFonts w:ascii="Arial" w:cs="Arial" w:eastAsia="Arial" w:hAnsi="Arial"/>
          <w:sz w:val="16"/>
          <w:szCs w:val="16"/>
          <w:u w:val="single" w:color="auto"/>
          <w:color w:val="0000FF"/>
        </w:rPr>
        <w:t>as of the Closing Date</w:t>
      </w:r>
      <w:r>
        <w:rPr>
          <w:rFonts w:ascii="Arial" w:cs="Arial" w:eastAsia="Arial" w:hAnsi="Arial"/>
          <w:sz w:val="16"/>
          <w:szCs w:val="16"/>
          <w:color w:val="000000"/>
        </w:rPr>
        <w:t>,</w:t>
      </w:r>
      <w:r>
        <w:rPr>
          <w:rFonts w:ascii="Arial" w:cs="Arial" w:eastAsia="Arial" w:hAnsi="Arial"/>
          <w:sz w:val="16"/>
          <w:szCs w:val="16"/>
          <w:i w:val="1"/>
          <w:iCs w:val="1"/>
          <w:color w:val="FF0000"/>
        </w:rPr>
        <w:t xml:space="preserve"> </w:t>
      </w:r>
      <w:r>
        <w:rPr>
          <w:rFonts w:ascii="Arial" w:cs="Arial" w:eastAsia="Arial" w:hAnsi="Arial"/>
          <w:sz w:val="16"/>
          <w:szCs w:val="16"/>
          <w:i w:val="1"/>
          <w:iCs w:val="1"/>
          <w:color w:val="000000"/>
        </w:rPr>
        <w:t>divided by</w:t>
      </w:r>
      <w:r>
        <w:rPr>
          <w:rFonts w:ascii="Arial" w:cs="Arial" w:eastAsia="Arial" w:hAnsi="Arial"/>
          <w:sz w:val="16"/>
          <w:szCs w:val="16"/>
          <w:i w:val="1"/>
          <w:iCs w:val="1"/>
          <w:color w:val="FF0000"/>
        </w:rPr>
        <w:t xml:space="preserve"> </w:t>
      </w:r>
      <w:r>
        <w:rPr>
          <w:rFonts w:ascii="Arial" w:cs="Arial" w:eastAsia="Arial" w:hAnsi="Arial"/>
          <w:sz w:val="16"/>
          <w:szCs w:val="16"/>
          <w:color w:val="000000"/>
        </w:rPr>
        <w:t>(</w:t>
      </w:r>
      <w:r>
        <w:rPr>
          <w:rFonts w:ascii="Arial" w:cs="Arial" w:eastAsia="Arial" w:hAnsi="Arial"/>
          <w:sz w:val="16"/>
          <w:szCs w:val="16"/>
          <w:i w:val="1"/>
          <w:iCs w:val="1"/>
          <w:color w:val="000000"/>
        </w:rPr>
        <w:t>ii</w:t>
      </w:r>
      <w:r>
        <w:rPr>
          <w:rFonts w:ascii="Arial" w:cs="Arial" w:eastAsia="Arial" w:hAnsi="Arial"/>
          <w:sz w:val="16"/>
          <w:szCs w:val="16"/>
          <w:color w:val="000000"/>
        </w:rPr>
        <w:t>) 23.</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Adjusted Purchase Price Amount</w:t>
      </w:r>
      <w:r>
        <w:rPr>
          <w:rFonts w:ascii="Arial" w:cs="Arial" w:eastAsia="Arial" w:hAnsi="Arial"/>
          <w:sz w:val="18"/>
          <w:szCs w:val="18"/>
          <w:color w:val="008000"/>
          <w:strike w:val="1"/>
        </w:rPr>
        <w:t>” has the meaning set forth in</w:t>
      </w:r>
      <w:r>
        <w:rPr>
          <w:rFonts w:ascii="Arial" w:cs="Arial" w:eastAsia="Arial" w:hAnsi="Arial"/>
          <w:sz w:val="18"/>
          <w:szCs w:val="18"/>
          <w:color w:val="FF0000"/>
          <w:strike w:val="1"/>
        </w:rPr>
        <w:t xml:space="preserve"> </w:t>
      </w:r>
      <w:r>
        <w:rPr>
          <w:rFonts w:ascii="Arial" w:cs="Arial" w:eastAsia="Arial" w:hAnsi="Arial"/>
          <w:sz w:val="18"/>
          <w:szCs w:val="18"/>
          <w:i w:val="1"/>
          <w:iCs w:val="1"/>
          <w:color w:val="008000"/>
          <w:strike w:val="1"/>
        </w:rPr>
        <w:t>Section</w:t>
      </w:r>
      <w:r>
        <w:rPr>
          <w:rFonts w:ascii="Arial" w:cs="Arial" w:eastAsia="Arial" w:hAnsi="Arial"/>
          <w:sz w:val="18"/>
          <w:szCs w:val="18"/>
          <w:color w:val="FF0000"/>
          <w:strike w:val="1"/>
        </w:rPr>
        <w:t xml:space="preserve"> </w:t>
      </w:r>
      <w:r>
        <w:rPr>
          <w:rFonts w:ascii="Arial" w:cs="Arial" w:eastAsia="Arial" w:hAnsi="Arial"/>
          <w:sz w:val="18"/>
          <w:szCs w:val="18"/>
          <w:i w:val="1"/>
          <w:iCs w:val="1"/>
          <w:color w:val="FF0000"/>
          <w:strike w:val="1"/>
        </w:rPr>
        <w:t>2.04(c)</w:t>
      </w:r>
      <w:r>
        <w:rPr>
          <w:rFonts w:ascii="Arial" w:cs="Arial" w:eastAsia="Arial" w:hAnsi="Arial"/>
          <w:sz w:val="18"/>
          <w:szCs w:val="18"/>
          <w:color w:val="FF0000"/>
          <w:strike w:val="1"/>
        </w:rPr>
        <w:t>.</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Adjusted Purchase Price Model</w:t>
      </w:r>
      <w:r>
        <w:rPr>
          <w:rFonts w:ascii="Arial" w:cs="Arial" w:eastAsia="Arial" w:hAnsi="Arial"/>
          <w:sz w:val="18"/>
          <w:szCs w:val="18"/>
          <w:color w:val="FF0000"/>
          <w:strike w:val="1"/>
        </w:rPr>
        <w:t>” means the Base Case Model, with the following updated by Seller prior to the Closing Date, in each case on the basis of the Pricing Adjustments:</w:t>
      </w:r>
    </w:p>
    <w:p>
      <w:pPr>
        <w:spacing w:after="0" w:line="170" w:lineRule="exact"/>
        <w:rPr>
          <w:sz w:val="20"/>
          <w:szCs w:val="20"/>
          <w:color w:val="auto"/>
        </w:rPr>
      </w:pPr>
    </w:p>
    <w:p>
      <w:pPr>
        <w:ind w:left="1540" w:hanging="236"/>
        <w:spacing w:after="0"/>
        <w:tabs>
          <w:tab w:leader="none" w:pos="1540" w:val="left"/>
        </w:tabs>
        <w:numPr>
          <w:ilvl w:val="0"/>
          <w:numId w:val="85"/>
        </w:numPr>
        <w:rPr>
          <w:rFonts w:ascii="Arial" w:cs="Arial" w:eastAsia="Arial" w:hAnsi="Arial"/>
          <w:sz w:val="18"/>
          <w:szCs w:val="18"/>
          <w:color w:val="FF0000"/>
          <w:strike w:val="1"/>
        </w:rPr>
      </w:pPr>
      <w:r>
        <w:rPr>
          <w:rFonts w:ascii="Arial" w:cs="Arial" w:eastAsia="Arial" w:hAnsi="Arial"/>
          <w:sz w:val="18"/>
          <w:szCs w:val="18"/>
          <w:color w:val="FF0000"/>
          <w:strike w:val="1"/>
        </w:rPr>
        <w:t>Tab D - TE, Input Reference J75;</w:t>
      </w:r>
    </w:p>
    <w:p>
      <w:pPr>
        <w:spacing w:after="0" w:line="225" w:lineRule="exact"/>
        <w:rPr>
          <w:rFonts w:ascii="Arial" w:cs="Arial" w:eastAsia="Arial" w:hAnsi="Arial"/>
          <w:sz w:val="18"/>
          <w:szCs w:val="18"/>
          <w:color w:val="FF0000"/>
          <w:strike w:val="1"/>
        </w:rPr>
      </w:pPr>
    </w:p>
    <w:p>
      <w:pPr>
        <w:ind w:left="1560" w:hanging="256"/>
        <w:spacing w:after="0"/>
        <w:tabs>
          <w:tab w:leader="none" w:pos="1560" w:val="left"/>
        </w:tabs>
        <w:numPr>
          <w:ilvl w:val="0"/>
          <w:numId w:val="85"/>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C24:C25;</w:t>
      </w:r>
    </w:p>
    <w:p>
      <w:pPr>
        <w:spacing w:after="0" w:line="225" w:lineRule="exact"/>
        <w:rPr>
          <w:rFonts w:ascii="Arial" w:cs="Arial" w:eastAsia="Arial" w:hAnsi="Arial"/>
          <w:sz w:val="18"/>
          <w:szCs w:val="18"/>
          <w:color w:val="FF0000"/>
          <w:strike w:val="1"/>
        </w:rPr>
      </w:pPr>
    </w:p>
    <w:p>
      <w:pPr>
        <w:ind w:left="1540" w:hanging="236"/>
        <w:spacing w:after="0"/>
        <w:tabs>
          <w:tab w:leader="none" w:pos="1540" w:val="left"/>
        </w:tabs>
        <w:numPr>
          <w:ilvl w:val="0"/>
          <w:numId w:val="85"/>
        </w:numPr>
        <w:rPr>
          <w:rFonts w:ascii="Arial" w:cs="Arial" w:eastAsia="Arial" w:hAnsi="Arial"/>
          <w:sz w:val="18"/>
          <w:szCs w:val="18"/>
          <w:color w:val="FF0000"/>
          <w:strike w:val="1"/>
        </w:rPr>
      </w:pPr>
      <w:r>
        <w:rPr>
          <w:rFonts w:ascii="Arial" w:cs="Arial" w:eastAsia="Arial" w:hAnsi="Arial"/>
          <w:sz w:val="18"/>
          <w:szCs w:val="18"/>
          <w:color w:val="FF0000"/>
          <w:strike w:val="1"/>
        </w:rPr>
        <w:t>Tab Scenario, Input Reference I8;</w:t>
      </w:r>
    </w:p>
    <w:p>
      <w:pPr>
        <w:spacing w:after="0" w:line="225" w:lineRule="exact"/>
        <w:rPr>
          <w:rFonts w:ascii="Arial" w:cs="Arial" w:eastAsia="Arial" w:hAnsi="Arial"/>
          <w:sz w:val="18"/>
          <w:szCs w:val="18"/>
          <w:color w:val="FF0000"/>
          <w:strike w:val="1"/>
        </w:rPr>
      </w:pPr>
    </w:p>
    <w:p>
      <w:pPr>
        <w:ind w:left="1560" w:hanging="256"/>
        <w:spacing w:after="0"/>
        <w:tabs>
          <w:tab w:leader="none" w:pos="1560" w:val="left"/>
        </w:tabs>
        <w:numPr>
          <w:ilvl w:val="0"/>
          <w:numId w:val="85"/>
        </w:numPr>
        <w:rPr>
          <w:rFonts w:ascii="Arial" w:cs="Arial" w:eastAsia="Arial" w:hAnsi="Arial"/>
          <w:sz w:val="18"/>
          <w:szCs w:val="18"/>
          <w:color w:val="FF0000"/>
          <w:strike w:val="1"/>
        </w:rPr>
      </w:pPr>
      <w:r>
        <w:rPr>
          <w:rFonts w:ascii="Arial" w:cs="Arial" w:eastAsia="Arial" w:hAnsi="Arial"/>
          <w:sz w:val="18"/>
          <w:szCs w:val="18"/>
          <w:color w:val="FF0000"/>
          <w:strike w:val="1"/>
        </w:rPr>
        <w:t>Tab TE Depr, Input Reference G106-AT106</w:t>
      </w:r>
    </w:p>
    <w:p>
      <w:pPr>
        <w:spacing w:after="0" w:line="225" w:lineRule="exact"/>
        <w:rPr>
          <w:rFonts w:ascii="Arial" w:cs="Arial" w:eastAsia="Arial" w:hAnsi="Arial"/>
          <w:sz w:val="18"/>
          <w:szCs w:val="18"/>
          <w:color w:val="FF0000"/>
          <w:strike w:val="1"/>
        </w:rPr>
      </w:pPr>
    </w:p>
    <w:p>
      <w:pPr>
        <w:ind w:left="1540" w:hanging="236"/>
        <w:spacing w:after="0"/>
        <w:tabs>
          <w:tab w:leader="none" w:pos="1540" w:val="left"/>
        </w:tabs>
        <w:numPr>
          <w:ilvl w:val="0"/>
          <w:numId w:val="85"/>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C185, C188, C199, and C202;</w:t>
      </w:r>
    </w:p>
    <w:p>
      <w:pPr>
        <w:spacing w:after="0" w:line="225" w:lineRule="exact"/>
        <w:rPr>
          <w:rFonts w:ascii="Arial" w:cs="Arial" w:eastAsia="Arial" w:hAnsi="Arial"/>
          <w:sz w:val="18"/>
          <w:szCs w:val="18"/>
          <w:color w:val="FF0000"/>
          <w:strike w:val="1"/>
        </w:rPr>
      </w:pPr>
    </w:p>
    <w:p>
      <w:pPr>
        <w:ind w:left="1520" w:hanging="216"/>
        <w:spacing w:after="0"/>
        <w:tabs>
          <w:tab w:leader="none" w:pos="1520" w:val="left"/>
        </w:tabs>
        <w:numPr>
          <w:ilvl w:val="0"/>
          <w:numId w:val="85"/>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P45:WQ45, P47:AZ47, C11 and C43:C54;</w:t>
      </w:r>
    </w:p>
    <w:p>
      <w:pPr>
        <w:spacing w:after="0" w:line="225" w:lineRule="exact"/>
        <w:rPr>
          <w:rFonts w:ascii="Arial" w:cs="Arial" w:eastAsia="Arial" w:hAnsi="Arial"/>
          <w:sz w:val="18"/>
          <w:szCs w:val="18"/>
          <w:color w:val="FF0000"/>
          <w:strike w:val="1"/>
        </w:rPr>
      </w:pPr>
    </w:p>
    <w:p>
      <w:pPr>
        <w:ind w:left="1560" w:hanging="256"/>
        <w:spacing w:after="0"/>
        <w:tabs>
          <w:tab w:leader="none" w:pos="1560" w:val="left"/>
        </w:tabs>
        <w:numPr>
          <w:ilvl w:val="0"/>
          <w:numId w:val="85"/>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G143:G181 and H143:H181;</w:t>
      </w:r>
    </w:p>
    <w:p>
      <w:pPr>
        <w:spacing w:after="0" w:line="225" w:lineRule="exact"/>
        <w:rPr>
          <w:rFonts w:ascii="Arial" w:cs="Arial" w:eastAsia="Arial" w:hAnsi="Arial"/>
          <w:sz w:val="18"/>
          <w:szCs w:val="18"/>
          <w:color w:val="FF0000"/>
          <w:strike w:val="1"/>
        </w:rPr>
      </w:pPr>
    </w:p>
    <w:p>
      <w:pPr>
        <w:ind w:left="1560" w:hanging="256"/>
        <w:spacing w:after="0"/>
        <w:tabs>
          <w:tab w:leader="none" w:pos="1560" w:val="left"/>
        </w:tabs>
        <w:numPr>
          <w:ilvl w:val="0"/>
          <w:numId w:val="85"/>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E456:E491;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1520" w:hanging="216"/>
        <w:spacing w:after="0"/>
        <w:tabs>
          <w:tab w:leader="none" w:pos="1520" w:val="left"/>
        </w:tabs>
        <w:numPr>
          <w:ilvl w:val="0"/>
          <w:numId w:val="86"/>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G456:G491 and P508:AX508; and</w:t>
      </w:r>
    </w:p>
    <w:p>
      <w:pPr>
        <w:spacing w:after="0" w:line="225" w:lineRule="exact"/>
        <w:rPr>
          <w:rFonts w:ascii="Arial" w:cs="Arial" w:eastAsia="Arial" w:hAnsi="Arial"/>
          <w:sz w:val="18"/>
          <w:szCs w:val="18"/>
          <w:color w:val="FF0000"/>
          <w:strike w:val="1"/>
        </w:rPr>
      </w:pPr>
    </w:p>
    <w:p>
      <w:pPr>
        <w:ind w:left="1520" w:hanging="216"/>
        <w:spacing w:after="0"/>
        <w:tabs>
          <w:tab w:leader="none" w:pos="1520" w:val="left"/>
        </w:tabs>
        <w:numPr>
          <w:ilvl w:val="0"/>
          <w:numId w:val="86"/>
        </w:numPr>
        <w:rPr>
          <w:rFonts w:ascii="Arial" w:cs="Arial" w:eastAsia="Arial" w:hAnsi="Arial"/>
          <w:sz w:val="18"/>
          <w:szCs w:val="18"/>
          <w:color w:val="FF0000"/>
          <w:strike w:val="1"/>
        </w:rPr>
      </w:pPr>
      <w:r>
        <w:rPr>
          <w:rFonts w:ascii="Arial" w:cs="Arial" w:eastAsia="Arial" w:hAnsi="Arial"/>
          <w:sz w:val="18"/>
          <w:szCs w:val="18"/>
          <w:color w:val="FF0000"/>
          <w:strike w:val="1"/>
        </w:rPr>
        <w:t>Tab Inputs, Input Reference C389:C390.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that such calculations shall assume that any expected Additional Turbines will be Placed in Service on the Outside Date.</w:t>
      </w:r>
    </w:p>
    <w:p>
      <w:pPr>
        <w:spacing w:after="0" w:line="23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Energy Group LLC and its direct or indirect subsidiaries, including Seller, the Company and the Black Rock Entities shall not be considered “Affiliates” of Clearway Energy, Inc. and its direct or indirect subsidiaries, including Purchaser.</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Ancillary Document</w:t>
      </w:r>
      <w:r>
        <w:rPr>
          <w:rFonts w:ascii="Arial" w:cs="Arial" w:eastAsia="Arial" w:hAnsi="Arial"/>
          <w:sz w:val="18"/>
          <w:szCs w:val="18"/>
          <w:color w:val="auto"/>
        </w:rPr>
        <w:t xml:space="preserve">” means (a) each of the documents set forth on </w:t>
      </w:r>
      <w:r>
        <w:rPr>
          <w:rFonts w:ascii="Arial" w:cs="Arial" w:eastAsia="Arial" w:hAnsi="Arial"/>
          <w:sz w:val="18"/>
          <w:szCs w:val="18"/>
          <w:i w:val="1"/>
          <w:iCs w:val="1"/>
          <w:color w:val="auto"/>
        </w:rPr>
        <w:t>Schedule 1.03</w:t>
      </w:r>
      <w:r>
        <w:rPr>
          <w:rFonts w:ascii="Arial" w:cs="Arial" w:eastAsia="Arial" w:hAnsi="Arial"/>
          <w:sz w:val="18"/>
          <w:szCs w:val="18"/>
          <w:color w:val="auto"/>
        </w:rPr>
        <w:t xml:space="preserve"> and (b) any Financing Document</w:t>
      </w:r>
      <w:r>
        <w:rPr>
          <w:rFonts w:ascii="Arial" w:cs="Arial" w:eastAsia="Arial" w:hAnsi="Arial"/>
          <w:sz w:val="18"/>
          <w:szCs w:val="18"/>
          <w:u w:val="single" w:color="auto"/>
          <w:color w:val="0000FF"/>
        </w:rPr>
        <w:t>, in each case,</w:t>
      </w:r>
      <w:r>
        <w:rPr>
          <w:rFonts w:ascii="Arial" w:cs="Arial" w:eastAsia="Arial" w:hAnsi="Arial"/>
          <w:sz w:val="18"/>
          <w:szCs w:val="18"/>
          <w:color w:val="auto"/>
        </w:rPr>
        <w:t xml:space="preserve"> other than the Financing Agreement and the Tax Equity Agreement.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i w:val="1"/>
          <w:iCs w:val="1"/>
          <w:u w:val="single" w:color="auto"/>
          <w:color w:val="0000FF"/>
        </w:rPr>
        <w:t xml:space="preserve">“Apex Purchase Agreement” </w:t>
      </w:r>
      <w:r>
        <w:rPr>
          <w:rFonts w:ascii="Arial" w:cs="Arial" w:eastAsia="Arial" w:hAnsi="Arial"/>
          <w:sz w:val="18"/>
          <w:szCs w:val="18"/>
          <w:u w:val="single" w:color="auto"/>
          <w:color w:val="0000FF"/>
        </w:rPr>
        <w:t>means the membership interest purchase agreement pursuant to which Seller will acquire 100% of the</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Class A Units in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“Apportioned Obligations</w:t>
      </w:r>
      <w:r>
        <w:rPr>
          <w:rFonts w:ascii="Arial" w:cs="Arial" w:eastAsia="Arial" w:hAnsi="Arial"/>
          <w:sz w:val="18"/>
          <w:szCs w:val="18"/>
          <w:color w:val="auto"/>
        </w:rPr>
        <w:t>” has the meaning set forth in</w:t>
      </w:r>
      <w:r>
        <w:rPr>
          <w:rFonts w:ascii="Arial" w:cs="Arial" w:eastAsia="Arial" w:hAnsi="Arial"/>
          <w:sz w:val="18"/>
          <w:szCs w:val="18"/>
          <w:i w:val="1"/>
          <w:iCs w:val="1"/>
          <w:color w:val="auto"/>
        </w:rPr>
        <w:t xml:space="preserve"> Section 5.08(b)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Assignment of Membership Interests</w:t>
      </w:r>
      <w:r>
        <w:rPr>
          <w:rFonts w:ascii="Arial" w:cs="Arial" w:eastAsia="Arial" w:hAnsi="Arial"/>
          <w:sz w:val="16"/>
          <w:szCs w:val="16"/>
          <w:color w:val="auto"/>
        </w:rPr>
        <w:t xml:space="preserve">” means the Assignment and Assumption Agreement, in substantially the form of </w:t>
      </w:r>
      <w:r>
        <w:rPr>
          <w:rFonts w:ascii="Arial" w:cs="Arial" w:eastAsia="Arial" w:hAnsi="Arial"/>
          <w:sz w:val="16"/>
          <w:szCs w:val="16"/>
          <w:i w:val="1"/>
          <w:iCs w:val="1"/>
          <w:color w:val="auto"/>
        </w:rPr>
        <w:t>Exhibit F</w:t>
      </w:r>
      <w:r>
        <w:rPr>
          <w:rFonts w:ascii="Arial" w:cs="Arial" w:eastAsia="Arial" w:hAnsi="Arial"/>
          <w:sz w:val="16"/>
          <w:szCs w:val="16"/>
          <w:color w:val="auto"/>
        </w:rPr>
        <w:t xml:space="preserve"> attached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Sheet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3.01(u)</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3.01(u)</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Case Model</w:t>
      </w:r>
      <w:r>
        <w:rPr>
          <w:rFonts w:ascii="Arial" w:cs="Arial" w:eastAsia="Arial" w:hAnsi="Arial"/>
          <w:sz w:val="18"/>
          <w:szCs w:val="18"/>
          <w:color w:val="auto"/>
        </w:rPr>
        <w:t xml:space="preserve">” means the financial projections with respect to the Project in file </w:t>
      </w:r>
      <w:r>
        <w:rPr>
          <w:rFonts w:ascii="Arial" w:cs="Arial" w:eastAsia="Arial" w:hAnsi="Arial"/>
          <w:sz w:val="18"/>
          <w:szCs w:val="18"/>
          <w:color w:val="FF0000"/>
          <w:strike w:val="1"/>
        </w:rPr>
        <w:t>“</w:t>
      </w:r>
      <w:r>
        <w:rPr>
          <w:rFonts w:ascii="Arial" w:cs="Arial" w:eastAsia="Arial" w:hAnsi="Arial"/>
          <w:sz w:val="18"/>
          <w:szCs w:val="18"/>
          <w:i w:val="1"/>
          <w:iCs w:val="1"/>
          <w:color w:val="auto"/>
        </w:rPr>
        <w:t>Black Rock Financial Model – CE Vehicle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External CWEN </w:t>
      </w:r>
      <w:r>
        <w:rPr>
          <w:rFonts w:ascii="Arial" w:cs="Arial" w:eastAsia="Arial" w:hAnsi="Arial"/>
          <w:sz w:val="18"/>
          <w:szCs w:val="18"/>
          <w:color w:val="FF0000"/>
          <w:strike w:val="1"/>
        </w:rPr>
        <w:t>12142020</w:t>
      </w:r>
      <w:r>
        <w:rPr>
          <w:rFonts w:ascii="Arial" w:cs="Arial" w:eastAsia="Arial" w:hAnsi="Arial"/>
          <w:sz w:val="18"/>
          <w:szCs w:val="18"/>
          <w:i w:val="1"/>
          <w:iCs w:val="1"/>
          <w:u w:val="single" w:color="auto"/>
          <w:color w:val="0000FF"/>
        </w:rPr>
        <w:t>Funding_v10</w:t>
      </w:r>
      <w:r>
        <w:rPr>
          <w:rFonts w:ascii="Arial" w:cs="Arial" w:eastAsia="Arial" w:hAnsi="Arial"/>
          <w:sz w:val="18"/>
          <w:szCs w:val="18"/>
          <w:i w:val="1"/>
          <w:iCs w:val="1"/>
          <w:color w:val="auto"/>
        </w:rPr>
        <w:t>.xlsb</w:t>
      </w:r>
      <w:r>
        <w:rPr>
          <w:rFonts w:ascii="Arial" w:cs="Arial" w:eastAsia="Arial" w:hAnsi="Arial"/>
          <w:sz w:val="18"/>
          <w:szCs w:val="18"/>
          <w:color w:val="FF0000"/>
          <w:strike w:val="1"/>
        </w:rPr>
        <w:t>”</w:t>
      </w:r>
      <w:r>
        <w:rPr>
          <w:rFonts w:ascii="Arial" w:cs="Arial" w:eastAsia="Arial" w:hAnsi="Arial"/>
          <w:sz w:val="18"/>
          <w:szCs w:val="18"/>
          <w:color w:val="auto"/>
        </w:rPr>
        <w:t>, and attached as</w:t>
      </w:r>
      <w:r>
        <w:rPr>
          <w:rFonts w:ascii="Arial" w:cs="Arial" w:eastAsia="Arial" w:hAnsi="Arial"/>
          <w:sz w:val="18"/>
          <w:szCs w:val="18"/>
          <w:i w:val="1"/>
          <w:iCs w:val="1"/>
          <w:color w:val="auto"/>
        </w:rPr>
        <w:t xml:space="preserve"> Exhibit A</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Purchase Price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Black Rock Entity</w:t>
      </w:r>
      <w:r>
        <w:rPr>
          <w:rFonts w:ascii="Arial" w:cs="Arial" w:eastAsia="Arial" w:hAnsi="Arial"/>
          <w:sz w:val="18"/>
          <w:szCs w:val="18"/>
          <w:color w:val="auto"/>
        </w:rPr>
        <w:t>” or “</w:t>
      </w:r>
      <w:r>
        <w:rPr>
          <w:rFonts w:ascii="Arial" w:cs="Arial" w:eastAsia="Arial" w:hAnsi="Arial"/>
          <w:sz w:val="18"/>
          <w:szCs w:val="18"/>
          <w:i w:val="1"/>
          <w:iCs w:val="1"/>
          <w:color w:val="auto"/>
        </w:rPr>
        <w:t>Black Rock Entities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Build-Out Agreement</w:t>
      </w:r>
      <w:r>
        <w:rPr>
          <w:rFonts w:ascii="Arial" w:cs="Arial" w:eastAsia="Arial" w:hAnsi="Arial"/>
          <w:sz w:val="18"/>
          <w:szCs w:val="18"/>
          <w:color w:val="auto"/>
        </w:rPr>
        <w:t xml:space="preserve">” means that certain Build-Out Agreement, to be dated as of the Closing Date, by and among the Project Company, TE HoldCo, Clearway Energy Operating LLC, and each subsequent party that may become a party thereto substantially in the form and to the effect of </w:t>
      </w:r>
      <w:r>
        <w:rPr>
          <w:rFonts w:ascii="Arial" w:cs="Arial" w:eastAsia="Arial" w:hAnsi="Arial"/>
          <w:sz w:val="18"/>
          <w:szCs w:val="18"/>
          <w:i w:val="1"/>
          <w:iCs w:val="1"/>
          <w:color w:val="auto"/>
        </w:rPr>
        <w:t>Exhibit H</w:t>
      </w:r>
      <w:r>
        <w:rPr>
          <w:rFonts w:ascii="Arial" w:cs="Arial" w:eastAsia="Arial" w:hAnsi="Arial"/>
          <w:sz w:val="18"/>
          <w:szCs w:val="18"/>
          <w:color w:val="auto"/>
        </w:rPr>
        <w:t>.</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Saturday, Sunday or any day on which banks located in the State of New York or the State of New Jersey are authorized or obligated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6.04(b)</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Certain Seller Proceeds Agreement</w:t>
      </w:r>
      <w:r>
        <w:rPr>
          <w:rFonts w:ascii="Arial" w:cs="Arial" w:eastAsia="Arial" w:hAnsi="Arial"/>
          <w:sz w:val="18"/>
          <w:szCs w:val="18"/>
          <w:color w:val="FF0000"/>
          <w:strike w:val="1"/>
        </w:rPr>
        <w:t xml:space="preserve">” means that certain Seller Proceeds Agreement, to be entered into by and between Seller and the Master JV HoldCo, substantially in the form of </w:t>
      </w:r>
      <w:r>
        <w:rPr>
          <w:rFonts w:ascii="Arial" w:cs="Arial" w:eastAsia="Arial" w:hAnsi="Arial"/>
          <w:sz w:val="18"/>
          <w:szCs w:val="18"/>
          <w:i w:val="1"/>
          <w:iCs w:val="1"/>
          <w:color w:val="FF0000"/>
          <w:strike w:val="1"/>
        </w:rPr>
        <w:t>Exhibit J</w:t>
      </w:r>
      <w:r>
        <w:rPr>
          <w:rFonts w:ascii="Arial" w:cs="Arial" w:eastAsia="Arial" w:hAnsi="Arial"/>
          <w:sz w:val="18"/>
          <w:szCs w:val="18"/>
          <w:color w:val="FF0000"/>
          <w:strike w:val="1"/>
        </w:rPr>
        <w:t xml:space="preserve"> attached 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Class A Interests</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has the meaning set forth</w:t>
      </w:r>
      <w:r>
        <w:rPr>
          <w:rFonts w:ascii="Arial" w:cs="Arial" w:eastAsia="Arial" w:hAnsi="Arial"/>
          <w:sz w:val="18"/>
          <w:szCs w:val="18"/>
          <w:u w:val="single" w:color="auto"/>
          <w:color w:val="0000FF"/>
        </w:rPr>
        <w:t xml:space="preserve"> in the recitals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Class A Member</w:t>
      </w:r>
      <w:r>
        <w:rPr>
          <w:rFonts w:ascii="Arial" w:cs="Arial" w:eastAsia="Arial" w:hAnsi="Arial"/>
          <w:sz w:val="18"/>
          <w:szCs w:val="18"/>
          <w:u w:val="single" w:color="auto"/>
          <w:color w:val="0000FF"/>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Class A Purchase Price</w:t>
      </w:r>
      <w:r>
        <w:rPr>
          <w:rFonts w:ascii="Arial" w:cs="Arial" w:eastAsia="Arial" w:hAnsi="Arial"/>
          <w:sz w:val="18"/>
          <w:szCs w:val="18"/>
          <w:u w:val="single" w:color="auto"/>
          <w:color w:val="0000FF"/>
        </w:rPr>
        <w:t>” means $1,065,332.89.</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Class A Transfer</w:t>
      </w:r>
      <w:r>
        <w:rPr>
          <w:rFonts w:ascii="Arial" w:cs="Arial" w:eastAsia="Arial" w:hAnsi="Arial"/>
          <w:sz w:val="18"/>
          <w:szCs w:val="18"/>
          <w:u w:val="single" w:color="auto"/>
          <w:color w:val="0000FF"/>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w:t>
      </w:r>
      <w:r>
        <w:rPr>
          <w:rFonts w:ascii="Arial" w:cs="Arial" w:eastAsia="Arial" w:hAnsi="Arial"/>
          <w:sz w:val="18"/>
          <w:szCs w:val="18"/>
          <w:color w:val="auto"/>
        </w:rPr>
        <w:t xml:space="preserve"> </w:t>
      </w:r>
      <w:r>
        <w:rPr>
          <w:rFonts w:ascii="Arial" w:cs="Arial" w:eastAsia="Arial" w:hAnsi="Arial"/>
          <w:sz w:val="18"/>
          <w:szCs w:val="18"/>
          <w:i w:val="1"/>
          <w:iCs w:val="1"/>
          <w:color w:val="FF0000"/>
          <w:strike w:val="1"/>
        </w:rPr>
        <w:t>Member</w:t>
      </w:r>
      <w:r>
        <w:rPr>
          <w:rFonts w:ascii="Arial" w:cs="Arial" w:eastAsia="Arial" w:hAnsi="Arial"/>
          <w:sz w:val="18"/>
          <w:szCs w:val="18"/>
          <w:i w:val="1"/>
          <w:iCs w:val="1"/>
          <w:u w:val="single" w:color="auto"/>
          <w:color w:val="0000FF"/>
        </w:rPr>
        <w:t>Units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Holdco”</w:t>
      </w:r>
      <w:r>
        <w:rPr>
          <w:rFonts w:ascii="Arial" w:cs="Arial" w:eastAsia="Arial" w:hAnsi="Arial"/>
          <w:sz w:val="18"/>
          <w:szCs w:val="18"/>
          <w:color w:val="auto"/>
        </w:rPr>
        <w:t xml:space="preserve">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Units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 Schedule Supplement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Contracts</w:t>
      </w:r>
      <w:r>
        <w:rPr>
          <w:rFonts w:ascii="Arial" w:cs="Arial" w:eastAsia="Arial" w:hAnsi="Arial"/>
          <w:sz w:val="17"/>
          <w:szCs w:val="17"/>
          <w:color w:val="auto"/>
        </w:rPr>
        <w:t>” means all material Contracts and amendments, modifications and supplements thereto, to which the Company or the Black Rock Entities is a party or by which the Company, the Black Rock Entities or any of their assets or properties are bound.</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Consequential Damages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8.15</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Constitutive Documents</w:t>
      </w:r>
      <w:r>
        <w:rPr>
          <w:rFonts w:ascii="Arial" w:cs="Arial" w:eastAsia="Arial" w:hAnsi="Arial"/>
          <w:sz w:val="16"/>
          <w:szCs w:val="16"/>
          <w:color w:val="auto"/>
        </w:rPr>
        <w:t>” means the certificate of formation and the limited liability company agreement or partnership agreement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w:t>
      </w:r>
      <w:r>
        <w:rPr>
          <w:rFonts w:ascii="Arial" w:cs="Arial" w:eastAsia="Arial" w:hAnsi="Arial"/>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Deductible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6.04(a)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Schedules</w:t>
      </w:r>
      <w:r>
        <w:rPr>
          <w:rFonts w:ascii="Arial" w:cs="Arial" w:eastAsia="Arial" w:hAnsi="Arial"/>
          <w:sz w:val="18"/>
          <w:szCs w:val="18"/>
          <w:color w:val="auto"/>
        </w:rPr>
        <w:t>” means the schedules to Seller’s and Purchaser’s representations and warranties of even date herewith delivered in connection with the execution and delivery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Drop Down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Drop Down Assignment &amp; Assumption Agreement</w:t>
      </w:r>
      <w:r>
        <w:rPr>
          <w:rFonts w:ascii="Arial" w:cs="Arial" w:eastAsia="Arial" w:hAnsi="Arial"/>
          <w:sz w:val="18"/>
          <w:szCs w:val="18"/>
          <w:color w:val="auto"/>
        </w:rPr>
        <w:t xml:space="preserve">” means the assignment of the Acquired Interests </w:t>
      </w:r>
      <w:r>
        <w:rPr>
          <w:rFonts w:ascii="Arial" w:cs="Arial" w:eastAsia="Arial" w:hAnsi="Arial"/>
          <w:sz w:val="18"/>
          <w:szCs w:val="18"/>
          <w:u w:val="single" w:color="auto"/>
          <w:color w:val="0000FF"/>
        </w:rPr>
        <w:t>or the Class A Interests, as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applicable,</w:t>
      </w:r>
      <w:r>
        <w:rPr>
          <w:rFonts w:ascii="Arial" w:cs="Arial" w:eastAsia="Arial" w:hAnsi="Arial"/>
          <w:sz w:val="18"/>
          <w:szCs w:val="18"/>
          <w:color w:val="0000FF"/>
        </w:rPr>
        <w:t xml:space="preserve"> </w:t>
      </w:r>
      <w:r>
        <w:rPr>
          <w:rFonts w:ascii="Arial" w:cs="Arial" w:eastAsia="Arial" w:hAnsi="Arial"/>
          <w:sz w:val="18"/>
          <w:szCs w:val="18"/>
          <w:color w:val="000000"/>
        </w:rPr>
        <w:t>to be executed by Purchaser and the Master JV HoldCo immediately upon the Closing</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the Second Closing, as applicable</w:t>
      </w:r>
      <w:r>
        <w:rPr>
          <w:rFonts w:ascii="Arial" w:cs="Arial" w:eastAsia="Arial" w:hAnsi="Arial"/>
          <w:sz w:val="18"/>
          <w:szCs w:val="18"/>
          <w:color w:val="000000"/>
        </w:rPr>
        <w:t>, in the form</w:t>
      </w:r>
      <w:r>
        <w:rPr>
          <w:rFonts w:ascii="Arial" w:cs="Arial" w:eastAsia="Arial" w:hAnsi="Arial"/>
          <w:sz w:val="18"/>
          <w:szCs w:val="18"/>
          <w:color w:val="0000FF"/>
        </w:rPr>
        <w:t xml:space="preserve"> </w:t>
      </w:r>
      <w:r>
        <w:rPr>
          <w:rFonts w:ascii="Arial" w:cs="Arial" w:eastAsia="Arial" w:hAnsi="Arial"/>
          <w:sz w:val="18"/>
          <w:szCs w:val="18"/>
          <w:color w:val="000000"/>
        </w:rPr>
        <w:t xml:space="preserve">attached hereto as </w:t>
      </w:r>
      <w:r>
        <w:rPr>
          <w:rFonts w:ascii="Arial" w:cs="Arial" w:eastAsia="Arial" w:hAnsi="Arial"/>
          <w:sz w:val="18"/>
          <w:szCs w:val="18"/>
          <w:i w:val="1"/>
          <w:iCs w:val="1"/>
          <w:color w:val="000000"/>
        </w:rPr>
        <w:t>Exhibit I</w:t>
      </w:r>
      <w:r>
        <w:rPr>
          <w:rFonts w:ascii="Arial" w:cs="Arial" w:eastAsia="Arial" w:hAnsi="Arial"/>
          <w:sz w:val="18"/>
          <w:szCs w:val="18"/>
          <w:color w:val="000000"/>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 Plan</w:t>
      </w:r>
      <w:r>
        <w:rPr>
          <w:rFonts w:ascii="Arial" w:cs="Arial" w:eastAsia="Arial" w:hAnsi="Arial"/>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the Company or the Black Rock Entities or any ERISA Affiliate.</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Attributes</w:t>
      </w:r>
      <w:r>
        <w:rPr>
          <w:rFonts w:ascii="Arial" w:cs="Arial" w:eastAsia="Arial" w:hAnsi="Arial"/>
          <w:sz w:val="18"/>
          <w:szCs w:val="18"/>
          <w:color w:val="auto"/>
        </w:rPr>
        <w:t>” means all environmental air quality credits, green credits, carbon credits, emissions reduction credits, certificates, tags, offsets, allowances, or similar products or rights, howsoever entitled, (a) resulting from the avoidance of the emission of any gas, chemical or other substance, including mercury, nitrogen oxide, sulfur dioxide, carbon dioxide, carbon monoxide, particulate matter or similar pollutants or contaminants of air, water, or soil, gas, chemical, or other substance, and (b) attributable to the generation, purchase, sale or use of renewable energy generated or use of renewable generation technologies by the Project, or otherwise attributable to the Project, including any renewable energy credits (“</w:t>
      </w:r>
      <w:r>
        <w:rPr>
          <w:rFonts w:ascii="Arial" w:cs="Arial" w:eastAsia="Arial" w:hAnsi="Arial"/>
          <w:sz w:val="18"/>
          <w:szCs w:val="18"/>
          <w:i w:val="1"/>
          <w:iCs w:val="1"/>
          <w:color w:val="auto"/>
        </w:rPr>
        <w:t>RECs</w:t>
      </w:r>
      <w:r>
        <w:rPr>
          <w:rFonts w:ascii="Arial" w:cs="Arial" w:eastAsia="Arial" w:hAnsi="Arial"/>
          <w:sz w:val="18"/>
          <w:szCs w:val="18"/>
          <w:color w:val="auto"/>
        </w:rPr>
        <w:t>”).</w:t>
      </w:r>
    </w:p>
    <w:p>
      <w:pPr>
        <w:spacing w:after="0" w:line="19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Laws</w:t>
      </w:r>
      <w:r>
        <w:rPr>
          <w:rFonts w:ascii="Arial" w:cs="Arial" w:eastAsia="Arial" w:hAnsi="Arial"/>
          <w:sz w:val="17"/>
          <w:szCs w:val="17"/>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xml:space="preserve">” means any entity, trade or business that is a member of a group described in Section 414(b), (c), (m) or (o) of the Code or Section 4001(b)(1) of ERISA that includes Seller, the Company or the Black Rock Entities or that is a member of the same “controlled group” as Seller pursuant to Section 4001(a)(14) of ERISA;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and the Black Rock Entities shall not be considered to be ERISA Affiliates from and after the Closing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Execution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Exempt Wholesale Generator</w:t>
      </w:r>
      <w:r>
        <w:rPr>
          <w:rFonts w:ascii="Arial" w:cs="Arial" w:eastAsia="Arial" w:hAnsi="Arial"/>
          <w:sz w:val="18"/>
          <w:szCs w:val="18"/>
          <w:color w:val="auto"/>
        </w:rPr>
        <w:t>” or “</w:t>
      </w:r>
      <w:r>
        <w:rPr>
          <w:rFonts w:ascii="Arial" w:cs="Arial" w:eastAsia="Arial" w:hAnsi="Arial"/>
          <w:sz w:val="18"/>
          <w:szCs w:val="18"/>
          <w:i w:val="1"/>
          <w:iCs w:val="1"/>
          <w:color w:val="auto"/>
        </w:rPr>
        <w:t>EWG</w:t>
      </w:r>
      <w:r>
        <w:rPr>
          <w:rFonts w:ascii="Arial" w:cs="Arial" w:eastAsia="Arial" w:hAnsi="Arial"/>
          <w:sz w:val="18"/>
          <w:szCs w:val="18"/>
          <w:color w:val="auto"/>
        </w:rPr>
        <w:t>” has the meaning given to such term in PUHCA.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FERC</w:t>
      </w:r>
      <w:r>
        <w:rPr>
          <w:rFonts w:ascii="Arial" w:cs="Arial" w:eastAsia="Arial" w:hAnsi="Arial"/>
          <w:sz w:val="18"/>
          <w:szCs w:val="18"/>
          <w:color w:val="auto"/>
        </w:rPr>
        <w:t>” means the Federal Energy Regulatory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 Date</w:t>
      </w:r>
      <w:r>
        <w:rPr>
          <w:rFonts w:ascii="Arial" w:cs="Arial" w:eastAsia="Arial" w:hAnsi="Arial"/>
          <w:sz w:val="18"/>
          <w:szCs w:val="18"/>
          <w:color w:val="auto"/>
        </w:rPr>
        <w:t>” means the date on which Final Completion occurs.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Agreement</w:t>
      </w:r>
      <w:r>
        <w:rPr>
          <w:rFonts w:ascii="Arial" w:cs="Arial" w:eastAsia="Arial" w:hAnsi="Arial"/>
          <w:sz w:val="18"/>
          <w:szCs w:val="18"/>
          <w:color w:val="auto"/>
        </w:rPr>
        <w:t xml:space="preserve">” means that certain Financing Agreement to be entered into by and among Class B Holdco, as borrower, [***], and the other lenders party thereto, in the form delivered by Seller to Purchaser prior to the Execution Date or as modified from such form pursuant to the terms and subject to the conditions of </w:t>
      </w:r>
      <w:r>
        <w:rPr>
          <w:rFonts w:ascii="Arial" w:cs="Arial" w:eastAsia="Arial" w:hAnsi="Arial"/>
          <w:sz w:val="18"/>
          <w:szCs w:val="18"/>
          <w:i w:val="1"/>
          <w:iCs w:val="1"/>
          <w:color w:val="auto"/>
        </w:rPr>
        <w:t>Section 5.12(a)</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0" w:name="page91"/>
    <w:bookmarkEnd w:id="90"/>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Documents</w:t>
      </w:r>
      <w:r>
        <w:rPr>
          <w:rFonts w:ascii="Arial" w:cs="Arial" w:eastAsia="Arial" w:hAnsi="Arial"/>
          <w:sz w:val="18"/>
          <w:szCs w:val="18"/>
          <w:color w:val="auto"/>
        </w:rPr>
        <w:t>” means, collectively, (</w:t>
      </w:r>
      <w:r>
        <w:rPr>
          <w:rFonts w:ascii="Arial" w:cs="Arial" w:eastAsia="Arial" w:hAnsi="Arial"/>
          <w:sz w:val="18"/>
          <w:szCs w:val="18"/>
          <w:i w:val="1"/>
          <w:iCs w:val="1"/>
          <w:color w:val="auto"/>
        </w:rPr>
        <w:t>a</w:t>
      </w:r>
      <w:r>
        <w:rPr>
          <w:rFonts w:ascii="Arial" w:cs="Arial" w:eastAsia="Arial" w:hAnsi="Arial"/>
          <w:sz w:val="18"/>
          <w:szCs w:val="18"/>
          <w:color w:val="auto"/>
        </w:rPr>
        <w:t>) the Financing Documents (as defined in the Financing Agreement) and (</w:t>
      </w:r>
      <w:r>
        <w:rPr>
          <w:rFonts w:ascii="Arial" w:cs="Arial" w:eastAsia="Arial" w:hAnsi="Arial"/>
          <w:sz w:val="18"/>
          <w:szCs w:val="18"/>
          <w:i w:val="1"/>
          <w:iCs w:val="1"/>
          <w:color w:val="auto"/>
        </w:rPr>
        <w:t>b</w:t>
      </w:r>
      <w:r>
        <w:rPr>
          <w:rFonts w:ascii="Arial" w:cs="Arial" w:eastAsia="Arial" w:hAnsi="Arial"/>
          <w:sz w:val="18"/>
          <w:szCs w:val="18"/>
          <w:color w:val="auto"/>
        </w:rPr>
        <w:t>) the Tax Equity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FPA</w:t>
      </w:r>
      <w:r>
        <w:rPr>
          <w:rFonts w:ascii="Arial" w:cs="Arial" w:eastAsia="Arial" w:hAnsi="Arial"/>
          <w:sz w:val="18"/>
          <w:szCs w:val="18"/>
          <w:color w:val="auto"/>
        </w:rPr>
        <w:t>” means the Federal Power Act and all rules and regulations adopted thereunder.</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Fraudulent Action</w:t>
      </w:r>
      <w:r>
        <w:rPr>
          <w:rFonts w:ascii="Arial" w:cs="Arial" w:eastAsia="Arial" w:hAnsi="Arial"/>
          <w:sz w:val="17"/>
          <w:szCs w:val="17"/>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means generally accepted accounting principles in the United States, consistently applied throughout the relevant periods.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Approval</w:t>
      </w:r>
      <w:r>
        <w:rPr>
          <w:rFonts w:ascii="Arial" w:cs="Arial" w:eastAsia="Arial" w:hAnsi="Arial"/>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Governmental Authority</w:t>
      </w:r>
      <w:r>
        <w:rPr>
          <w:rFonts w:ascii="Arial" w:cs="Arial" w:eastAsia="Arial" w:hAnsi="Arial"/>
          <w:sz w:val="16"/>
          <w:szCs w:val="16"/>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PJM, and each Regional Entity, or any court or governmental tribunal.</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HASI</w:t>
      </w:r>
      <w:r>
        <w:rPr>
          <w:rFonts w:ascii="Arial" w:cs="Arial" w:eastAsia="Arial" w:hAnsi="Arial"/>
          <w:sz w:val="18"/>
          <w:szCs w:val="18"/>
          <w:color w:val="auto"/>
        </w:rPr>
        <w:t>” means HA Lighthouse LLC, a Delaware limited liability company.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HASI Purchase Agreement</w:t>
      </w:r>
      <w:r>
        <w:rPr>
          <w:rFonts w:ascii="Arial" w:cs="Arial" w:eastAsia="Arial" w:hAnsi="Arial"/>
          <w:sz w:val="18"/>
          <w:szCs w:val="18"/>
          <w:color w:val="auto"/>
        </w:rPr>
        <w:t xml:space="preserve">” means the membership interest purchase and sale agreement pursuant to which HASI will acquire the remaining </w:t>
      </w: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a</w:t>
      </w:r>
      <w:r>
        <w:rPr>
          <w:rFonts w:ascii="Arial" w:cs="Arial" w:eastAsia="Arial" w:hAnsi="Arial"/>
          <w:sz w:val="18"/>
          <w:szCs w:val="18"/>
          <w:u w:val="single" w:color="auto"/>
          <w:color w:val="0000FF"/>
        </w:rPr>
        <w:t>)</w:t>
      </w:r>
      <w:r>
        <w:rPr>
          <w:rFonts w:ascii="Arial" w:cs="Arial" w:eastAsia="Arial" w:hAnsi="Arial"/>
          <w:sz w:val="18"/>
          <w:szCs w:val="18"/>
          <w:color w:val="auto"/>
        </w:rPr>
        <w:t xml:space="preserve"> 49.99% of the Class B Units from </w:t>
      </w:r>
      <w:r>
        <w:rPr>
          <w:rFonts w:ascii="Arial" w:cs="Arial" w:eastAsia="Arial" w:hAnsi="Arial"/>
          <w:sz w:val="18"/>
          <w:szCs w:val="18"/>
          <w:color w:val="FF0000"/>
          <w:strike w:val="1"/>
        </w:rPr>
        <w:t>the</w:t>
      </w:r>
      <w:r>
        <w:rPr>
          <w:rFonts w:ascii="Arial" w:cs="Arial" w:eastAsia="Arial" w:hAnsi="Arial"/>
          <w:sz w:val="18"/>
          <w:szCs w:val="18"/>
          <w:color w:val="auto"/>
        </w:rPr>
        <w:t xml:space="preserve"> Seller simultaneously with the Closing</w:t>
      </w:r>
      <w:r>
        <w:rPr>
          <w:rFonts w:ascii="Arial" w:cs="Arial" w:eastAsia="Arial" w:hAnsi="Arial"/>
          <w:sz w:val="18"/>
          <w:szCs w:val="18"/>
          <w:u w:val="single" w:color="auto"/>
          <w:color w:val="0000FF"/>
        </w:rPr>
        <w:t>, and (</w:t>
      </w:r>
      <w:r>
        <w:rPr>
          <w:rFonts w:ascii="Arial" w:cs="Arial" w:eastAsia="Arial" w:hAnsi="Arial"/>
          <w:sz w:val="18"/>
          <w:szCs w:val="18"/>
          <w:i w:val="1"/>
          <w:iCs w:val="1"/>
          <w:u w:val="single" w:color="auto"/>
          <w:color w:val="0000FF"/>
        </w:rPr>
        <w:t>b</w:t>
      </w:r>
      <w:r>
        <w:rPr>
          <w:rFonts w:ascii="Arial" w:cs="Arial" w:eastAsia="Arial" w:hAnsi="Arial"/>
          <w:sz w:val="18"/>
          <w:szCs w:val="18"/>
          <w:u w:val="single" w:color="auto"/>
          <w:color w:val="0000FF"/>
        </w:rPr>
        <w:t>) 49.99% of the Class A Units from Seller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simultaneously with the Second Closing</w:t>
      </w:r>
      <w:r>
        <w:rPr>
          <w:rFonts w:ascii="Arial" w:cs="Arial" w:eastAsia="Arial" w:hAnsi="Arial"/>
          <w:sz w:val="18"/>
          <w:szCs w:val="18"/>
          <w:color w:val="000000"/>
        </w:rPr>
        <w:t>.</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Substances</w:t>
      </w:r>
      <w:r>
        <w:rPr>
          <w:rFonts w:ascii="Arial" w:cs="Arial" w:eastAsia="Arial" w:hAnsi="Arial"/>
          <w:sz w:val="18"/>
          <w:szCs w:val="18"/>
          <w:color w:val="auto"/>
        </w:rPr>
        <w:t>” means any substance, element, compound or mixture, whether solid, liquid or gaseous: (</w:t>
      </w:r>
      <w:r>
        <w:rPr>
          <w:rFonts w:ascii="Arial" w:cs="Arial" w:eastAsia="Arial" w:hAnsi="Arial"/>
          <w:sz w:val="18"/>
          <w:szCs w:val="18"/>
          <w:i w:val="1"/>
          <w:iCs w:val="1"/>
          <w:color w:val="auto"/>
        </w:rPr>
        <w:t>a</w:t>
      </w:r>
      <w:r>
        <w:rPr>
          <w:rFonts w:ascii="Arial" w:cs="Arial" w:eastAsia="Arial" w:hAnsi="Arial"/>
          <w:sz w:val="18"/>
          <w:szCs w:val="18"/>
          <w:color w:val="auto"/>
        </w:rPr>
        <w:t>) which is defined as “hazardous waste” or “hazardous substance” or “pollutant” or “contaminant” under any Environmental Law; (</w:t>
      </w:r>
      <w:r>
        <w:rPr>
          <w:rFonts w:ascii="Arial" w:cs="Arial" w:eastAsia="Arial" w:hAnsi="Arial"/>
          <w:sz w:val="18"/>
          <w:szCs w:val="18"/>
          <w:i w:val="1"/>
          <w:iCs w:val="1"/>
          <w:color w:val="auto"/>
        </w:rPr>
        <w:t>b</w:t>
      </w:r>
      <w:r>
        <w:rPr>
          <w:rFonts w:ascii="Arial" w:cs="Arial" w:eastAsia="Arial" w:hAnsi="Arial"/>
          <w:sz w:val="18"/>
          <w:szCs w:val="18"/>
          <w:color w:val="auto"/>
        </w:rPr>
        <w:t>) which is otherwise hazardous and is subject to regulation by any Governmental Authority; (</w:t>
      </w:r>
      <w:r>
        <w:rPr>
          <w:rFonts w:ascii="Arial" w:cs="Arial" w:eastAsia="Arial" w:hAnsi="Arial"/>
          <w:sz w:val="18"/>
          <w:szCs w:val="18"/>
          <w:i w:val="1"/>
          <w:iCs w:val="1"/>
          <w:color w:val="auto"/>
        </w:rPr>
        <w:t>c</w:t>
      </w:r>
      <w:r>
        <w:rPr>
          <w:rFonts w:ascii="Arial" w:cs="Arial" w:eastAsia="Arial" w:hAnsi="Arial"/>
          <w:sz w:val="18"/>
          <w:szCs w:val="18"/>
          <w:color w:val="auto"/>
        </w:rPr>
        <w:t>) petroleum hydrocarbons (other than naturally occurring petroleum hydrocarbons); (</w:t>
      </w:r>
      <w:r>
        <w:rPr>
          <w:rFonts w:ascii="Arial" w:cs="Arial" w:eastAsia="Arial" w:hAnsi="Arial"/>
          <w:sz w:val="18"/>
          <w:szCs w:val="18"/>
          <w:i w:val="1"/>
          <w:iCs w:val="1"/>
          <w:color w:val="auto"/>
        </w:rPr>
        <w:t>d</w:t>
      </w:r>
      <w:r>
        <w:rPr>
          <w:rFonts w:ascii="Arial" w:cs="Arial" w:eastAsia="Arial" w:hAnsi="Arial"/>
          <w:sz w:val="18"/>
          <w:szCs w:val="18"/>
          <w:color w:val="auto"/>
        </w:rPr>
        <w:t>) polychlorinated biphenyls (PCBs); (</w:t>
      </w:r>
      <w:r>
        <w:rPr>
          <w:rFonts w:ascii="Arial" w:cs="Arial" w:eastAsia="Arial" w:hAnsi="Arial"/>
          <w:sz w:val="18"/>
          <w:szCs w:val="18"/>
          <w:i w:val="1"/>
          <w:iCs w:val="1"/>
          <w:color w:val="auto"/>
        </w:rPr>
        <w:t>e</w:t>
      </w:r>
      <w:r>
        <w:rPr>
          <w:rFonts w:ascii="Arial" w:cs="Arial" w:eastAsia="Arial" w:hAnsi="Arial"/>
          <w:sz w:val="18"/>
          <w:szCs w:val="18"/>
          <w:color w:val="auto"/>
        </w:rPr>
        <w:t>) asbestos-containing materials (other than naturally occurring asbestos); or (</w:t>
      </w:r>
      <w:r>
        <w:rPr>
          <w:rFonts w:ascii="Arial" w:cs="Arial" w:eastAsia="Arial" w:hAnsi="Arial"/>
          <w:sz w:val="18"/>
          <w:szCs w:val="18"/>
          <w:i w:val="1"/>
          <w:iCs w:val="1"/>
          <w:color w:val="auto"/>
        </w:rPr>
        <w:t>f</w:t>
      </w:r>
      <w:r>
        <w:rPr>
          <w:rFonts w:ascii="Arial" w:cs="Arial" w:eastAsia="Arial" w:hAnsi="Arial"/>
          <w:sz w:val="18"/>
          <w:szCs w:val="18"/>
          <w:color w:val="auto"/>
        </w:rPr>
        <w:t>) radioactive materials (other than naturally occurring radioactive materials).</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all obligations of a Person (</w:t>
      </w:r>
      <w:r>
        <w:rPr>
          <w:rFonts w:ascii="Arial" w:cs="Arial" w:eastAsia="Arial" w:hAnsi="Arial"/>
          <w:sz w:val="18"/>
          <w:szCs w:val="18"/>
          <w:i w:val="1"/>
          <w:iCs w:val="1"/>
          <w:color w:val="auto"/>
        </w:rPr>
        <w:t>a</w:t>
      </w:r>
      <w:r>
        <w:rPr>
          <w:rFonts w:ascii="Arial" w:cs="Arial" w:eastAsia="Arial" w:hAnsi="Arial"/>
          <w:sz w:val="18"/>
          <w:szCs w:val="18"/>
          <w:color w:val="auto"/>
        </w:rPr>
        <w:t>) for borrowed money, (</w:t>
      </w:r>
      <w:r>
        <w:rPr>
          <w:rFonts w:ascii="Arial" w:cs="Arial" w:eastAsia="Arial" w:hAnsi="Arial"/>
          <w:sz w:val="18"/>
          <w:szCs w:val="18"/>
          <w:i w:val="1"/>
          <w:iCs w:val="1"/>
          <w:color w:val="auto"/>
        </w:rPr>
        <w:t>b</w:t>
      </w:r>
      <w:r>
        <w:rPr>
          <w:rFonts w:ascii="Arial" w:cs="Arial" w:eastAsia="Arial" w:hAnsi="Arial"/>
          <w:sz w:val="18"/>
          <w:szCs w:val="18"/>
          <w:color w:val="auto"/>
        </w:rPr>
        <w:t>) evidenced by notes, bonds, debentures or similar instruments, (</w:t>
      </w:r>
      <w:r>
        <w:rPr>
          <w:rFonts w:ascii="Arial" w:cs="Arial" w:eastAsia="Arial" w:hAnsi="Arial"/>
          <w:sz w:val="18"/>
          <w:szCs w:val="18"/>
          <w:i w:val="1"/>
          <w:iCs w:val="1"/>
          <w:color w:val="auto"/>
        </w:rPr>
        <w:t>c</w:t>
      </w:r>
      <w:r>
        <w:rPr>
          <w:rFonts w:ascii="Arial" w:cs="Arial" w:eastAsia="Arial" w:hAnsi="Arial"/>
          <w:sz w:val="18"/>
          <w:szCs w:val="18"/>
          <w:color w:val="auto"/>
        </w:rPr>
        <w:t>) for the deferred purchase price of goods or services (other than trade payables or accruals incurred in the ordinary course of business and not past due), (</w:t>
      </w:r>
      <w:r>
        <w:rPr>
          <w:rFonts w:ascii="Arial" w:cs="Arial" w:eastAsia="Arial" w:hAnsi="Arial"/>
          <w:sz w:val="18"/>
          <w:szCs w:val="18"/>
          <w:i w:val="1"/>
          <w:iCs w:val="1"/>
          <w:color w:val="auto"/>
        </w:rPr>
        <w:t>d</w:t>
      </w:r>
      <w:r>
        <w:rPr>
          <w:rFonts w:ascii="Arial" w:cs="Arial" w:eastAsia="Arial" w:hAnsi="Arial"/>
          <w:sz w:val="18"/>
          <w:szCs w:val="18"/>
          <w:color w:val="auto"/>
        </w:rPr>
        <w:t>) under capital leases, (</w:t>
      </w:r>
      <w:r>
        <w:rPr>
          <w:rFonts w:ascii="Arial" w:cs="Arial" w:eastAsia="Arial" w:hAnsi="Arial"/>
          <w:sz w:val="18"/>
          <w:szCs w:val="18"/>
          <w:i w:val="1"/>
          <w:iCs w:val="1"/>
          <w:color w:val="auto"/>
        </w:rPr>
        <w:t>e</w:t>
      </w:r>
      <w:r>
        <w:rPr>
          <w:rFonts w:ascii="Arial" w:cs="Arial" w:eastAsia="Arial" w:hAnsi="Arial"/>
          <w:sz w:val="18"/>
          <w:szCs w:val="18"/>
          <w:color w:val="auto"/>
        </w:rPr>
        <w:t>) secured by a Lien on the assets of such Person, whether or not such obligation has been assumed by such Person, (</w:t>
      </w:r>
      <w:r>
        <w:rPr>
          <w:rFonts w:ascii="Arial" w:cs="Arial" w:eastAsia="Arial" w:hAnsi="Arial"/>
          <w:sz w:val="18"/>
          <w:szCs w:val="18"/>
          <w:i w:val="1"/>
          <w:iCs w:val="1"/>
          <w:color w:val="auto"/>
        </w:rPr>
        <w:t>f</w:t>
      </w:r>
      <w:r>
        <w:rPr>
          <w:rFonts w:ascii="Arial" w:cs="Arial" w:eastAsia="Arial" w:hAnsi="Arial"/>
          <w:sz w:val="18"/>
          <w:szCs w:val="18"/>
          <w:color w:val="auto"/>
        </w:rPr>
        <w:t>) with respect to reimbursement obligations for letters of credit and other similar instruments (whether or not drawn), (</w:t>
      </w:r>
      <w:r>
        <w:rPr>
          <w:rFonts w:ascii="Arial" w:cs="Arial" w:eastAsia="Arial" w:hAnsi="Arial"/>
          <w:sz w:val="18"/>
          <w:szCs w:val="18"/>
          <w:i w:val="1"/>
          <w:iCs w:val="1"/>
          <w:color w:val="auto"/>
        </w:rPr>
        <w:t>g</w:t>
      </w:r>
      <w:r>
        <w:rPr>
          <w:rFonts w:ascii="Arial" w:cs="Arial" w:eastAsia="Arial" w:hAnsi="Arial"/>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Arial" w:cs="Arial" w:eastAsia="Arial" w:hAnsi="Arial"/>
          <w:sz w:val="18"/>
          <w:szCs w:val="18"/>
          <w:i w:val="1"/>
          <w:iCs w:val="1"/>
          <w:color w:val="auto"/>
        </w:rPr>
        <w:t>h</w:t>
      </w:r>
      <w:r>
        <w:rPr>
          <w:rFonts w:ascii="Arial" w:cs="Arial" w:eastAsia="Arial" w:hAnsi="Arial"/>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Arial" w:cs="Arial" w:eastAsia="Arial" w:hAnsi="Arial"/>
          <w:sz w:val="18"/>
          <w:szCs w:val="18"/>
          <w:i w:val="1"/>
          <w:iCs w:val="1"/>
          <w:color w:val="auto"/>
        </w:rPr>
        <w:t>i</w:t>
      </w:r>
      <w:r>
        <w:rPr>
          <w:rFonts w:ascii="Arial" w:cs="Arial" w:eastAsia="Arial" w:hAnsi="Arial"/>
          <w:sz w:val="18"/>
          <w:szCs w:val="18"/>
          <w:color w:val="auto"/>
        </w:rPr>
        <w:t>) in respect of any other amount properly characterized as indebtedness in accordance with GAAP.</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xml:space="preserve">” means any Person claiming indemnification under any provision of </w:t>
      </w:r>
      <w:r>
        <w:rPr>
          <w:rFonts w:ascii="Arial" w:cs="Arial" w:eastAsia="Arial" w:hAnsi="Arial"/>
          <w:sz w:val="18"/>
          <w:szCs w:val="18"/>
          <w:i w:val="1"/>
          <w:iCs w:val="1"/>
          <w:color w:val="auto"/>
        </w:rPr>
        <w:t>Article 6</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Indemnifying Party</w:t>
      </w:r>
      <w:r>
        <w:rPr>
          <w:rFonts w:ascii="Arial" w:cs="Arial" w:eastAsia="Arial" w:hAnsi="Arial"/>
          <w:sz w:val="17"/>
          <w:szCs w:val="17"/>
          <w:color w:val="auto"/>
        </w:rPr>
        <w:t xml:space="preserve">” means any Person against whom a claim for indemnification is being asserted under any provision of </w:t>
      </w:r>
      <w:r>
        <w:rPr>
          <w:rFonts w:ascii="Arial" w:cs="Arial" w:eastAsia="Arial" w:hAnsi="Arial"/>
          <w:sz w:val="17"/>
          <w:szCs w:val="17"/>
          <w:i w:val="1"/>
          <w:iCs w:val="1"/>
          <w:color w:val="auto"/>
        </w:rPr>
        <w:t>Article 6</w:t>
      </w:r>
      <w:r>
        <w:rPr>
          <w:rFonts w:ascii="Arial" w:cs="Arial" w:eastAsia="Arial" w:hAnsi="Arial"/>
          <w:sz w:val="17"/>
          <w:szCs w:val="17"/>
          <w:color w:val="auto"/>
        </w:rPr>
        <w: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Interconnection Agreement</w:t>
      </w:r>
      <w:r>
        <w:rPr>
          <w:rFonts w:ascii="Arial" w:cs="Arial" w:eastAsia="Arial" w:hAnsi="Arial"/>
          <w:sz w:val="18"/>
          <w:szCs w:val="18"/>
          <w:color w:val="auto"/>
        </w:rPr>
        <w:t xml:space="preserve">” has the meaning set forth on </w:t>
      </w:r>
      <w:r>
        <w:rPr>
          <w:rFonts w:ascii="Arial" w:cs="Arial" w:eastAsia="Arial" w:hAnsi="Arial"/>
          <w:sz w:val="18"/>
          <w:szCs w:val="18"/>
          <w:i w:val="1"/>
          <w:iCs w:val="1"/>
          <w:color w:val="auto"/>
        </w:rPr>
        <w:t>Schedule 3.01(m)(i)</w:t>
      </w:r>
      <w:r>
        <w:rPr>
          <w:rFonts w:ascii="Arial" w:cs="Arial" w:eastAsia="Arial" w:hAnsi="Arial"/>
          <w:sz w:val="18"/>
          <w:szCs w:val="18"/>
          <w:color w:val="auto"/>
        </w:rPr>
        <w:t xml:space="preserve"> of the Disclosure Schedule</w:t>
      </w:r>
      <w:r>
        <w:rPr>
          <w:rFonts w:ascii="Arial" w:cs="Arial" w:eastAsia="Arial" w:hAnsi="Arial"/>
          <w:sz w:val="18"/>
          <w:szCs w:val="18"/>
          <w:i w:val="1"/>
          <w:iCs w:val="1"/>
          <w:color w:val="auto"/>
        </w:rPr>
        <w: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Interim Period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Knowledge</w:t>
      </w:r>
      <w:r>
        <w:rPr>
          <w:rFonts w:ascii="Arial" w:cs="Arial" w:eastAsia="Arial" w:hAnsi="Arial"/>
          <w:sz w:val="18"/>
          <w:szCs w:val="18"/>
          <w:color w:val="auto"/>
        </w:rPr>
        <w:t>” means the actual knowledge of [***], after reasonable inquiry of their direct reports.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Land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3.01(n)(i)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Land Option Schedule Supplement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Land Options</w:t>
      </w:r>
      <w:r>
        <w:rPr>
          <w:rFonts w:ascii="Arial" w:cs="Arial" w:eastAsia="Arial" w:hAnsi="Arial"/>
          <w:sz w:val="18"/>
          <w:szCs w:val="18"/>
          <w:color w:val="auto"/>
        </w:rPr>
        <w:t xml:space="preserve">” means the put options exercisable by each of the counterparties to the Contracts set forth on </w:t>
      </w:r>
      <w:r>
        <w:rPr>
          <w:rFonts w:ascii="Arial" w:cs="Arial" w:eastAsia="Arial" w:hAnsi="Arial"/>
          <w:sz w:val="18"/>
          <w:szCs w:val="18"/>
          <w:i w:val="1"/>
          <w:iCs w:val="1"/>
          <w:color w:val="auto"/>
        </w:rPr>
        <w:t>Schedule 1.02</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w:t>
      </w:r>
      <w:r>
        <w:rPr>
          <w:rFonts w:ascii="Arial" w:cs="Arial" w:eastAsia="Arial" w:hAnsi="Arial"/>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means any liability, Indebtedness, obligation, commitment, or expense, in each case, requiring either (</w:t>
      </w:r>
      <w:r>
        <w:rPr>
          <w:rFonts w:ascii="Arial" w:cs="Arial" w:eastAsia="Arial" w:hAnsi="Arial"/>
          <w:sz w:val="18"/>
          <w:szCs w:val="18"/>
          <w:i w:val="1"/>
          <w:iCs w:val="1"/>
          <w:color w:val="auto"/>
        </w:rPr>
        <w:t>a</w:t>
      </w:r>
      <w:r>
        <w:rPr>
          <w:rFonts w:ascii="Arial" w:cs="Arial" w:eastAsia="Arial" w:hAnsi="Arial"/>
          <w:sz w:val="18"/>
          <w:szCs w:val="18"/>
          <w:color w:val="auto"/>
        </w:rPr>
        <w:t>) the payment of a monetary amount, or (</w:t>
      </w:r>
      <w:r>
        <w:rPr>
          <w:rFonts w:ascii="Arial" w:cs="Arial" w:eastAsia="Arial" w:hAnsi="Arial"/>
          <w:sz w:val="18"/>
          <w:szCs w:val="18"/>
          <w:i w:val="1"/>
          <w:iCs w:val="1"/>
          <w:color w:val="auto"/>
        </w:rPr>
        <w:t>b</w:t>
      </w:r>
      <w:r>
        <w:rPr>
          <w:rFonts w:ascii="Arial" w:cs="Arial" w:eastAsia="Arial" w:hAnsi="Arial"/>
          <w:sz w:val="18"/>
          <w:szCs w:val="18"/>
          <w:color w:val="auto"/>
        </w:rPr>
        <w:t>) any type or fulfillment of an obligation, and in each case whether accrued, absolute, contingent, asserted, matured, unmatured, secured or unsecured.</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 Project Change</w:t>
      </w:r>
      <w:r>
        <w:rPr>
          <w:rFonts w:ascii="Arial" w:cs="Arial" w:eastAsia="Arial" w:hAnsi="Arial"/>
          <w:sz w:val="18"/>
          <w:szCs w:val="18"/>
          <w:color w:val="auto"/>
        </w:rPr>
        <w:t>” means a (</w:t>
      </w:r>
      <w:r>
        <w:rPr>
          <w:rFonts w:ascii="Arial" w:cs="Arial" w:eastAsia="Arial" w:hAnsi="Arial"/>
          <w:sz w:val="18"/>
          <w:szCs w:val="18"/>
          <w:i w:val="1"/>
          <w:iCs w:val="1"/>
          <w:color w:val="auto"/>
        </w:rPr>
        <w:t>a</w:t>
      </w:r>
      <w:r>
        <w:rPr>
          <w:rFonts w:ascii="Arial" w:cs="Arial" w:eastAsia="Arial" w:hAnsi="Arial"/>
          <w:sz w:val="18"/>
          <w:szCs w:val="18"/>
          <w:color w:val="auto"/>
        </w:rPr>
        <w:t>) delay in the construction of the Project that is reasonably likely to result in a material delay in achieving commercial operations, (</w:t>
      </w:r>
      <w:r>
        <w:rPr>
          <w:rFonts w:ascii="Arial" w:cs="Arial" w:eastAsia="Arial" w:hAnsi="Arial"/>
          <w:sz w:val="18"/>
          <w:szCs w:val="18"/>
          <w:i w:val="1"/>
          <w:iCs w:val="1"/>
          <w:color w:val="auto"/>
        </w:rPr>
        <w:t>b</w:t>
      </w:r>
      <w:r>
        <w:rPr>
          <w:rFonts w:ascii="Arial" w:cs="Arial" w:eastAsia="Arial" w:hAnsi="Arial"/>
          <w:sz w:val="18"/>
          <w:szCs w:val="18"/>
          <w:color w:val="auto"/>
        </w:rPr>
        <w:t>) material increase in the costs of, or liability to, the Project that will not be borne by Seller or otherwise paid, extinguished or fully satisfied as of the Closing Date or (</w:t>
      </w:r>
      <w:r>
        <w:rPr>
          <w:rFonts w:ascii="Arial" w:cs="Arial" w:eastAsia="Arial" w:hAnsi="Arial"/>
          <w:sz w:val="18"/>
          <w:szCs w:val="18"/>
          <w:i w:val="1"/>
          <w:iCs w:val="1"/>
          <w:color w:val="auto"/>
        </w:rPr>
        <w:t>c</w:t>
      </w:r>
      <w:r>
        <w:rPr>
          <w:rFonts w:ascii="Arial" w:cs="Arial" w:eastAsia="Arial" w:hAnsi="Arial"/>
          <w:sz w:val="18"/>
          <w:szCs w:val="18"/>
          <w:color w:val="auto"/>
        </w:rPr>
        <w:t>) to the extent not taken into account in the Base Case Model, fact, event, circumstance, condition or change that has a material adverse effect on the expected generation or operating cost of the Project.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Master JV HoldCo</w:t>
      </w:r>
      <w:r>
        <w:rPr>
          <w:rFonts w:ascii="Arial" w:cs="Arial" w:eastAsia="Arial" w:hAnsi="Arial"/>
          <w:sz w:val="18"/>
          <w:szCs w:val="18"/>
          <w:color w:val="auto"/>
        </w:rPr>
        <w:t>” has the meaning set forth in the recitals to this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the Company or the Black Rock Entities, individually or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Arial" w:cs="Arial" w:eastAsia="Arial" w:hAnsi="Arial"/>
          <w:sz w:val="16"/>
          <w:szCs w:val="16"/>
          <w:i w:val="1"/>
          <w:iCs w:val="1"/>
          <w:color w:val="auto"/>
        </w:rPr>
        <w:t>a</w:t>
      </w:r>
      <w:r>
        <w:rPr>
          <w:rFonts w:ascii="Arial" w:cs="Arial" w:eastAsia="Arial" w:hAnsi="Arial"/>
          <w:sz w:val="16"/>
          <w:szCs w:val="16"/>
          <w:color w:val="auto"/>
        </w:rPr>
        <w:t>) any economic change generally affecting the international, national or regional (</w:t>
      </w:r>
      <w:r>
        <w:rPr>
          <w:rFonts w:ascii="Arial" w:cs="Arial" w:eastAsia="Arial" w:hAnsi="Arial"/>
          <w:sz w:val="16"/>
          <w:szCs w:val="16"/>
          <w:i w:val="1"/>
          <w:iCs w:val="1"/>
          <w:color w:val="auto"/>
        </w:rPr>
        <w:t>i</w:t>
      </w:r>
      <w:r>
        <w:rPr>
          <w:rFonts w:ascii="Arial" w:cs="Arial" w:eastAsia="Arial" w:hAnsi="Arial"/>
          <w:sz w:val="16"/>
          <w:szCs w:val="16"/>
          <w:color w:val="auto"/>
        </w:rPr>
        <w:t>) electric generating industry or (</w:t>
      </w:r>
      <w:r>
        <w:rPr>
          <w:rFonts w:ascii="Arial" w:cs="Arial" w:eastAsia="Arial" w:hAnsi="Arial"/>
          <w:sz w:val="16"/>
          <w:szCs w:val="16"/>
          <w:i w:val="1"/>
          <w:iCs w:val="1"/>
          <w:color w:val="auto"/>
        </w:rPr>
        <w:t>ii</w:t>
      </w:r>
      <w:r>
        <w:rPr>
          <w:rFonts w:ascii="Arial" w:cs="Arial" w:eastAsia="Arial" w:hAnsi="Arial"/>
          <w:sz w:val="16"/>
          <w:szCs w:val="16"/>
          <w:color w:val="auto"/>
        </w:rPr>
        <w:t>) wholesale markets for electric power; (</w:t>
      </w:r>
      <w:r>
        <w:rPr>
          <w:rFonts w:ascii="Arial" w:cs="Arial" w:eastAsia="Arial" w:hAnsi="Arial"/>
          <w:sz w:val="16"/>
          <w:szCs w:val="16"/>
          <w:i w:val="1"/>
          <w:iCs w:val="1"/>
          <w:color w:val="auto"/>
        </w:rPr>
        <w:t>b</w:t>
      </w:r>
      <w:r>
        <w:rPr>
          <w:rFonts w:ascii="Arial" w:cs="Arial" w:eastAsia="Arial" w:hAnsi="Arial"/>
          <w:sz w:val="16"/>
          <w:szCs w:val="16"/>
          <w:color w:val="auto"/>
        </w:rPr>
        <w:t>) any economic change in markets for commodities or supplies, including electric power, as applicable, used in connection with the Company or the Black Rock Entities; (</w:t>
      </w:r>
      <w:r>
        <w:rPr>
          <w:rFonts w:ascii="Arial" w:cs="Arial" w:eastAsia="Arial" w:hAnsi="Arial"/>
          <w:sz w:val="16"/>
          <w:szCs w:val="16"/>
          <w:i w:val="1"/>
          <w:iCs w:val="1"/>
          <w:color w:val="auto"/>
        </w:rPr>
        <w:t>c</w:t>
      </w:r>
      <w:r>
        <w:rPr>
          <w:rFonts w:ascii="Arial" w:cs="Arial" w:eastAsia="Arial" w:hAnsi="Arial"/>
          <w:sz w:val="16"/>
          <w:szCs w:val="16"/>
          <w:color w:val="auto"/>
        </w:rPr>
        <w:t>) any change in general regulatory or political conditions, including any engagements of hostilities, acts of war or terrorist activities, natural disasters or weather- related events or changes imposed by a Governmental Authority associated with additional security; (</w:t>
      </w:r>
      <w:r>
        <w:rPr>
          <w:rFonts w:ascii="Arial" w:cs="Arial" w:eastAsia="Arial" w:hAnsi="Arial"/>
          <w:sz w:val="16"/>
          <w:szCs w:val="16"/>
          <w:i w:val="1"/>
          <w:iCs w:val="1"/>
          <w:color w:val="auto"/>
        </w:rPr>
        <w:t>d</w:t>
      </w:r>
      <w:r>
        <w:rPr>
          <w:rFonts w:ascii="Arial" w:cs="Arial" w:eastAsia="Arial" w:hAnsi="Arial"/>
          <w:sz w:val="16"/>
          <w:szCs w:val="16"/>
          <w:color w:val="auto"/>
        </w:rPr>
        <w:t>) any change in any Laws (including Environmental Laws), industry standards generally affecting the industry or markets in which the Company or the Black Rock Entities operate or GAAP; (</w:t>
      </w:r>
      <w:r>
        <w:rPr>
          <w:rFonts w:ascii="Arial" w:cs="Arial" w:eastAsia="Arial" w:hAnsi="Arial"/>
          <w:sz w:val="16"/>
          <w:szCs w:val="16"/>
          <w:i w:val="1"/>
          <w:iCs w:val="1"/>
          <w:color w:val="auto"/>
        </w:rPr>
        <w:t>e</w:t>
      </w:r>
      <w:r>
        <w:rPr>
          <w:rFonts w:ascii="Arial" w:cs="Arial" w:eastAsia="Arial" w:hAnsi="Arial"/>
          <w:sz w:val="16"/>
          <w:szCs w:val="16"/>
          <w:color w:val="auto"/>
        </w:rPr>
        <w:t>) any change in the financial condition of the Company or the Black Rock Entities caused by the transactions contemplated by this Agreement; (</w:t>
      </w:r>
      <w:r>
        <w:rPr>
          <w:rFonts w:ascii="Arial" w:cs="Arial" w:eastAsia="Arial" w:hAnsi="Arial"/>
          <w:sz w:val="16"/>
          <w:szCs w:val="16"/>
          <w:i w:val="1"/>
          <w:iCs w:val="1"/>
          <w:color w:val="auto"/>
        </w:rPr>
        <w:t>f</w:t>
      </w:r>
      <w:r>
        <w:rPr>
          <w:rFonts w:ascii="Arial" w:cs="Arial" w:eastAsia="Arial" w:hAnsi="Arial"/>
          <w:sz w:val="16"/>
          <w:szCs w:val="16"/>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Arial" w:cs="Arial" w:eastAsia="Arial" w:hAnsi="Arial"/>
          <w:sz w:val="16"/>
          <w:szCs w:val="16"/>
          <w:i w:val="1"/>
          <w:iCs w:val="1"/>
          <w:color w:val="auto"/>
        </w:rPr>
        <w:t>g</w:t>
      </w:r>
      <w:r>
        <w:rPr>
          <w:rFonts w:ascii="Arial" w:cs="Arial" w:eastAsia="Arial" w:hAnsi="Arial"/>
          <w:sz w:val="16"/>
          <w:szCs w:val="16"/>
          <w:color w:val="auto"/>
        </w:rPr>
        <w:t>) any actions to be taken pursuant to or in accordance with this Agreement; or (</w:t>
      </w:r>
      <w:r>
        <w:rPr>
          <w:rFonts w:ascii="Arial" w:cs="Arial" w:eastAsia="Arial" w:hAnsi="Arial"/>
          <w:sz w:val="16"/>
          <w:szCs w:val="16"/>
          <w:i w:val="1"/>
          <w:iCs w:val="1"/>
          <w:color w:val="auto"/>
        </w:rPr>
        <w:t>h</w:t>
      </w:r>
      <w:r>
        <w:rPr>
          <w:rFonts w:ascii="Arial" w:cs="Arial" w:eastAsia="Arial" w:hAnsi="Arial"/>
          <w:sz w:val="16"/>
          <w:szCs w:val="16"/>
          <w:color w:val="auto"/>
        </w:rPr>
        <w:t xml:space="preserve">) the announcement or pendency of the transactions contemplated hereby, including any labor union activities or disputes;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fact, event, circumstance, condition, change or effect resulting from clauses (a) through (f) shall nonetheless be taken into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determining whether a Material Adverse Effect has occurred to the extent such changes, events, effects or occurrences have a materially disproportionate impact on the Company or the Black Rock Entities, taken as whole, as compared to similarly situated businesses in the same industry and in the same geographical area, which shall be deemed to include the State of West Virginia.</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MBR Authorization</w:t>
      </w:r>
      <w:r>
        <w:rPr>
          <w:rFonts w:ascii="Arial" w:cs="Arial" w:eastAsia="Arial" w:hAnsi="Arial"/>
          <w:sz w:val="18"/>
          <w:szCs w:val="18"/>
          <w:color w:val="auto"/>
        </w:rPr>
        <w:t>” means an order issued by FERC (</w:t>
      </w:r>
      <w:r>
        <w:rPr>
          <w:rFonts w:ascii="Arial" w:cs="Arial" w:eastAsia="Arial" w:hAnsi="Arial"/>
          <w:sz w:val="18"/>
          <w:szCs w:val="18"/>
          <w:i w:val="1"/>
          <w:iCs w:val="1"/>
          <w:color w:val="auto"/>
        </w:rPr>
        <w:t>a</w:t>
      </w:r>
      <w:r>
        <w:rPr>
          <w:rFonts w:ascii="Arial" w:cs="Arial" w:eastAsia="Arial" w:hAnsi="Arial"/>
          <w:sz w:val="18"/>
          <w:szCs w:val="18"/>
          <w:color w:val="auto"/>
        </w:rPr>
        <w:t>) authorizing the wholesale sale of electric energy, capacity and specified ancillary services at market-based rates pursuant to Section 205 of the FPA, (</w:t>
      </w:r>
      <w:r>
        <w:rPr>
          <w:rFonts w:ascii="Arial" w:cs="Arial" w:eastAsia="Arial" w:hAnsi="Arial"/>
          <w:sz w:val="18"/>
          <w:szCs w:val="18"/>
          <w:i w:val="1"/>
          <w:iCs w:val="1"/>
          <w:color w:val="auto"/>
        </w:rPr>
        <w:t>b</w:t>
      </w:r>
      <w:r>
        <w:rPr>
          <w:rFonts w:ascii="Arial" w:cs="Arial" w:eastAsia="Arial" w:hAnsi="Arial"/>
          <w:sz w:val="18"/>
          <w:szCs w:val="18"/>
          <w:color w:val="auto"/>
        </w:rPr>
        <w:t>) accepting a tariff pertaining to such sales and (</w:t>
      </w:r>
      <w:r>
        <w:rPr>
          <w:rFonts w:ascii="Arial" w:cs="Arial" w:eastAsia="Arial" w:hAnsi="Arial"/>
          <w:sz w:val="18"/>
          <w:szCs w:val="18"/>
          <w:i w:val="1"/>
          <w:iCs w:val="1"/>
          <w:color w:val="auto"/>
        </w:rPr>
        <w:t>c</w:t>
      </w:r>
      <w:r>
        <w:rPr>
          <w:rFonts w:ascii="Arial" w:cs="Arial" w:eastAsia="Arial" w:hAnsi="Arial"/>
          <w:sz w:val="18"/>
          <w:szCs w:val="18"/>
          <w:color w:val="auto"/>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MW</w:t>
      </w:r>
      <w:r>
        <w:rPr>
          <w:rFonts w:ascii="Arial" w:cs="Arial" w:eastAsia="Arial" w:hAnsi="Arial"/>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NERC</w:t>
      </w:r>
      <w:r>
        <w:rPr>
          <w:rFonts w:ascii="Arial" w:cs="Arial" w:eastAsia="Arial" w:hAnsi="Arial"/>
          <w:sz w:val="18"/>
          <w:szCs w:val="18"/>
          <w:color w:val="auto"/>
        </w:rPr>
        <w:t>” means the North American Electric Reliability Corporation.</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w:t>
      </w:r>
      <w:r>
        <w:rPr>
          <w:rFonts w:ascii="Arial" w:cs="Arial" w:eastAsia="Arial" w:hAnsi="Arial"/>
          <w:sz w:val="16"/>
          <w:szCs w:val="16"/>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w:t>
      </w:r>
    </w:p>
    <w:p>
      <w:pPr>
        <w:spacing w:after="0" w:line="2" w:lineRule="exact"/>
        <w:rPr>
          <w:sz w:val="20"/>
          <w:szCs w:val="20"/>
          <w:color w:val="auto"/>
        </w:rPr>
      </w:pPr>
    </w:p>
    <w:p>
      <w:pPr>
        <w:jc w:val="both"/>
        <w:ind w:firstLine="8"/>
        <w:spacing w:after="0" w:line="253" w:lineRule="auto"/>
        <w:tabs>
          <w:tab w:leader="none" w:pos="266"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93"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Order</w:t>
      </w:r>
      <w:r>
        <w:rPr>
          <w:rFonts w:ascii="Arial" w:cs="Arial" w:eastAsia="Arial" w:hAnsi="Arial"/>
          <w:sz w:val="18"/>
          <w:szCs w:val="18"/>
          <w:color w:val="auto"/>
        </w:rPr>
        <w:t>” means any writ, judgment, injunction, ruling, decision, order or similar direction of any Governmental Authority, whether preliminary or final.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Date</w:t>
      </w:r>
      <w:r>
        <w:rPr>
          <w:rFonts w:ascii="Arial" w:cs="Arial" w:eastAsia="Arial" w:hAnsi="Arial"/>
          <w:sz w:val="18"/>
          <w:szCs w:val="18"/>
          <w:color w:val="auto"/>
        </w:rPr>
        <w:t xml:space="preserve">” has the meaning set forth </w:t>
      </w:r>
      <w:r>
        <w:rPr>
          <w:rFonts w:ascii="Arial" w:cs="Arial" w:eastAsia="Arial" w:hAnsi="Arial"/>
          <w:sz w:val="18"/>
          <w:szCs w:val="18"/>
          <w:color w:val="FF0000"/>
          <w:strike w:val="1"/>
        </w:rPr>
        <w:t>on</w:t>
      </w:r>
      <w:r>
        <w:rPr>
          <w:rFonts w:ascii="Arial" w:cs="Arial" w:eastAsia="Arial" w:hAnsi="Arial"/>
          <w:sz w:val="18"/>
          <w:szCs w:val="18"/>
          <w:u w:val="single" w:color="auto"/>
          <w:color w:val="0000FF"/>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7.01(</w:t>
      </w:r>
      <w:r>
        <w:rPr>
          <w:rFonts w:ascii="Arial" w:cs="Arial" w:eastAsia="Arial" w:hAnsi="Arial"/>
          <w:sz w:val="18"/>
          <w:szCs w:val="18"/>
          <w:i w:val="1"/>
          <w:iCs w:val="1"/>
          <w:color w:val="FF0000"/>
          <w:strike w:val="1"/>
        </w:rPr>
        <w:t>b</w:t>
      </w:r>
      <w:r>
        <w:rPr>
          <w:rFonts w:ascii="Arial" w:cs="Arial" w:eastAsia="Arial" w:hAnsi="Arial"/>
          <w:sz w:val="18"/>
          <w:szCs w:val="18"/>
          <w:i w:val="1"/>
          <w:iCs w:val="1"/>
          <w:u w:val="single" w:color="auto"/>
          <w:color w:val="0000FF"/>
        </w:rPr>
        <w:t>a)(ii</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Party</w:t>
      </w:r>
      <w:r>
        <w:rPr>
          <w:rFonts w:ascii="Arial" w:cs="Arial" w:eastAsia="Arial" w:hAnsi="Arial"/>
          <w:sz w:val="18"/>
          <w:szCs w:val="18"/>
          <w:color w:val="auto"/>
        </w:rPr>
        <w:t>” or “</w:t>
      </w:r>
      <w:r>
        <w:rPr>
          <w:rFonts w:ascii="Arial" w:cs="Arial" w:eastAsia="Arial" w:hAnsi="Arial"/>
          <w:sz w:val="18"/>
          <w:szCs w:val="18"/>
          <w:i w:val="1"/>
          <w:iCs w:val="1"/>
          <w:color w:val="auto"/>
        </w:rPr>
        <w:t>Parties</w:t>
      </w:r>
      <w:r>
        <w:rPr>
          <w:rFonts w:ascii="Arial" w:cs="Arial" w:eastAsia="Arial" w:hAnsi="Arial"/>
          <w:sz w:val="18"/>
          <w:szCs w:val="18"/>
          <w:color w:val="auto"/>
        </w:rPr>
        <w:t>” has the meaning set forth in the preamble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w:t>
      </w:r>
      <w:r>
        <w:rPr>
          <w:rFonts w:ascii="Arial" w:cs="Arial" w:eastAsia="Arial" w:hAnsi="Arial"/>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Permitted Equity Encumbrances</w:t>
      </w:r>
      <w:r>
        <w:rPr>
          <w:rFonts w:ascii="Arial" w:cs="Arial" w:eastAsia="Arial" w:hAnsi="Arial"/>
          <w:sz w:val="18"/>
          <w:szCs w:val="18"/>
          <w:u w:val="single" w:color="auto"/>
          <w:color w:val="0000FF"/>
        </w:rPr>
        <w:t>” means (</w:t>
      </w:r>
      <w:r>
        <w:rPr>
          <w:rFonts w:ascii="Arial" w:cs="Arial" w:eastAsia="Arial" w:hAnsi="Arial"/>
          <w:sz w:val="18"/>
          <w:szCs w:val="18"/>
          <w:i w:val="1"/>
          <w:iCs w:val="1"/>
          <w:u w:val="single" w:color="auto"/>
          <w:color w:val="0000FF"/>
        </w:rPr>
        <w:t>a</w:t>
      </w:r>
      <w:r>
        <w:rPr>
          <w:rFonts w:ascii="Arial" w:cs="Arial" w:eastAsia="Arial" w:hAnsi="Arial"/>
          <w:sz w:val="18"/>
          <w:szCs w:val="18"/>
          <w:u w:val="single" w:color="auto"/>
          <w:color w:val="0000FF"/>
        </w:rPr>
        <w:t>) those restrictions on transfer imposed by applicable securities laws, (</w:t>
      </w:r>
      <w:r>
        <w:rPr>
          <w:rFonts w:ascii="Arial" w:cs="Arial" w:eastAsia="Arial" w:hAnsi="Arial"/>
          <w:sz w:val="18"/>
          <w:szCs w:val="18"/>
          <w:i w:val="1"/>
          <w:iCs w:val="1"/>
          <w:u w:val="single" w:color="auto"/>
          <w:color w:val="0000FF"/>
        </w:rPr>
        <w:t>b</w:t>
      </w:r>
      <w:r>
        <w:rPr>
          <w:rFonts w:ascii="Arial" w:cs="Arial" w:eastAsia="Arial" w:hAnsi="Arial"/>
          <w:sz w:val="18"/>
          <w:szCs w:val="18"/>
          <w:u w:val="single" w:color="auto"/>
          <w:color w:val="0000FF"/>
        </w:rPr>
        <w:t>) Liens or restrictions imposed on transfers set forth in the Constitutive Documents of the Company, (</w:t>
      </w:r>
      <w:r>
        <w:rPr>
          <w:rFonts w:ascii="Arial" w:cs="Arial" w:eastAsia="Arial" w:hAnsi="Arial"/>
          <w:sz w:val="18"/>
          <w:szCs w:val="18"/>
          <w:i w:val="1"/>
          <w:iCs w:val="1"/>
          <w:u w:val="single" w:color="auto"/>
          <w:color w:val="0000FF"/>
        </w:rPr>
        <w:t>c</w:t>
      </w:r>
      <w:r>
        <w:rPr>
          <w:rFonts w:ascii="Arial" w:cs="Arial" w:eastAsia="Arial" w:hAnsi="Arial"/>
          <w:sz w:val="18"/>
          <w:szCs w:val="18"/>
          <w:u w:val="single" w:color="auto"/>
          <w:color w:val="0000FF"/>
        </w:rPr>
        <w:t>) any Lien in favor of Purchaser arising under or created by this Agreement, and (</w:t>
      </w:r>
      <w:r>
        <w:rPr>
          <w:rFonts w:ascii="Arial" w:cs="Arial" w:eastAsia="Arial" w:hAnsi="Arial"/>
          <w:sz w:val="18"/>
          <w:szCs w:val="18"/>
          <w:i w:val="1"/>
          <w:iCs w:val="1"/>
          <w:u w:val="single" w:color="auto"/>
          <w:color w:val="0000FF"/>
        </w:rPr>
        <w:t>d</w:t>
      </w:r>
      <w:r>
        <w:rPr>
          <w:rFonts w:ascii="Arial" w:cs="Arial" w:eastAsia="Arial" w:hAnsi="Arial"/>
          <w:sz w:val="18"/>
          <w:szCs w:val="18"/>
          <w:u w:val="single" w:color="auto"/>
          <w:color w:val="0000FF"/>
        </w:rPr>
        <w:t>) any Lien created by, through or under Purchaser or its Representatives.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Exceptions</w:t>
      </w:r>
      <w:r>
        <w:rPr>
          <w:rFonts w:ascii="Arial" w:cs="Arial" w:eastAsia="Arial" w:hAnsi="Arial"/>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3" w:lineRule="auto"/>
        <w:tabs>
          <w:tab w:leader="none" w:pos="17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Liens for Taxes, which are not due and payable as of the Closing Date or, if due, are (</w:t>
      </w:r>
      <w:r>
        <w:rPr>
          <w:rFonts w:ascii="Arial" w:cs="Arial" w:eastAsia="Arial" w:hAnsi="Arial"/>
          <w:sz w:val="18"/>
          <w:szCs w:val="18"/>
          <w:i w:val="1"/>
          <w:iCs w:val="1"/>
          <w:color w:val="auto"/>
        </w:rPr>
        <w:t>i</w:t>
      </w:r>
      <w:r>
        <w:rPr>
          <w:rFonts w:ascii="Arial" w:cs="Arial" w:eastAsia="Arial" w:hAnsi="Arial"/>
          <w:sz w:val="18"/>
          <w:szCs w:val="18"/>
          <w:color w:val="auto"/>
        </w:rPr>
        <w:t>) not delinquent or (</w:t>
      </w:r>
      <w:r>
        <w:rPr>
          <w:rFonts w:ascii="Arial" w:cs="Arial" w:eastAsia="Arial" w:hAnsi="Arial"/>
          <w:sz w:val="18"/>
          <w:szCs w:val="18"/>
          <w:i w:val="1"/>
          <w:iCs w:val="1"/>
          <w:color w:val="auto"/>
        </w:rPr>
        <w:t>ii</w:t>
      </w:r>
      <w:r>
        <w:rPr>
          <w:rFonts w:ascii="Arial" w:cs="Arial" w:eastAsia="Arial" w:hAnsi="Arial"/>
          <w:sz w:val="18"/>
          <w:szCs w:val="18"/>
          <w:color w:val="auto"/>
        </w:rPr>
        <w:t xml:space="preserve">) being contested in good faith through appropriate proceedings and set forth on </w:t>
      </w:r>
      <w:r>
        <w:rPr>
          <w:rFonts w:ascii="Arial" w:cs="Arial" w:eastAsia="Arial" w:hAnsi="Arial"/>
          <w:sz w:val="18"/>
          <w:szCs w:val="18"/>
          <w:i w:val="1"/>
          <w:iCs w:val="1"/>
          <w:color w:val="auto"/>
        </w:rPr>
        <w:t>Schedule 1.01</w:t>
      </w:r>
      <w:r>
        <w:rPr>
          <w:rFonts w:ascii="Arial" w:cs="Arial" w:eastAsia="Arial" w:hAnsi="Arial"/>
          <w:sz w:val="18"/>
          <w:szCs w:val="18"/>
          <w:color w:val="auto"/>
        </w:rPr>
        <w:t xml:space="preserve"> of the Disclosure Schedules and as to which adequate reserves in accordance with GAAP have been taken on the books of the Company or the Black Rock Entities;</w:t>
      </w:r>
    </w:p>
    <w:p>
      <w:pPr>
        <w:spacing w:after="0" w:line="183" w:lineRule="exact"/>
        <w:rPr>
          <w:rFonts w:ascii="Arial" w:cs="Arial" w:eastAsia="Arial" w:hAnsi="Arial"/>
          <w:sz w:val="18"/>
          <w:szCs w:val="18"/>
          <w:color w:val="auto"/>
        </w:rPr>
      </w:pPr>
    </w:p>
    <w:p>
      <w:pPr>
        <w:ind w:firstLine="1304"/>
        <w:spacing w:after="0" w:line="277" w:lineRule="auto"/>
        <w:tabs>
          <w:tab w:leader="none" w:pos="175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70" w:lineRule="exact"/>
        <w:rPr>
          <w:rFonts w:ascii="Arial" w:cs="Arial" w:eastAsia="Arial" w:hAnsi="Arial"/>
          <w:sz w:val="18"/>
          <w:szCs w:val="18"/>
          <w:color w:val="auto"/>
        </w:rPr>
      </w:pPr>
    </w:p>
    <w:p>
      <w:pPr>
        <w:ind w:firstLine="1304"/>
        <w:spacing w:after="0" w:line="308" w:lineRule="auto"/>
        <w:tabs>
          <w:tab w:leader="none" w:pos="1743" w:val="left"/>
        </w:tabs>
        <w:numPr>
          <w:ilvl w:val="0"/>
          <w:numId w:val="88"/>
        </w:numPr>
        <w:rPr>
          <w:rFonts w:ascii="Arial" w:cs="Arial" w:eastAsia="Arial" w:hAnsi="Arial"/>
          <w:sz w:val="17"/>
          <w:szCs w:val="17"/>
          <w:color w:val="auto"/>
        </w:rPr>
      </w:pPr>
      <w:r>
        <w:rPr>
          <w:rFonts w:ascii="Arial" w:cs="Arial" w:eastAsia="Arial" w:hAnsi="Arial"/>
          <w:sz w:val="17"/>
          <w:szCs w:val="17"/>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75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1743"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7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75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753"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inchoate mechanic’s and materialmen’s liens for construction in progress and workmen’s, repairmen’s, warehousemen’s and carrier’s liens arising in the ordinary course of business of the Company or the Black Rock Entities (</w:t>
      </w:r>
      <w:r>
        <w:rPr>
          <w:rFonts w:ascii="Arial" w:cs="Arial" w:eastAsia="Arial" w:hAnsi="Arial"/>
          <w:sz w:val="18"/>
          <w:szCs w:val="18"/>
          <w:i w:val="1"/>
          <w:iCs w:val="1"/>
          <w:color w:val="auto"/>
        </w:rPr>
        <w:t>i</w:t>
      </w:r>
      <w:r>
        <w:rPr>
          <w:rFonts w:ascii="Arial" w:cs="Arial" w:eastAsia="Arial" w:hAnsi="Arial"/>
          <w:sz w:val="18"/>
          <w:szCs w:val="18"/>
          <w:color w:val="auto"/>
        </w:rPr>
        <w:t>) as to which there is no existing default on the part of the Company or the Black Rock Entities or (</w:t>
      </w:r>
      <w:r>
        <w:rPr>
          <w:rFonts w:ascii="Arial" w:cs="Arial" w:eastAsia="Arial" w:hAnsi="Arial"/>
          <w:sz w:val="18"/>
          <w:szCs w:val="18"/>
          <w:i w:val="1"/>
          <w:iCs w:val="1"/>
          <w:color w:val="auto"/>
        </w:rPr>
        <w:t>ii</w:t>
      </w:r>
      <w:r>
        <w:rPr>
          <w:rFonts w:ascii="Arial" w:cs="Arial" w:eastAsia="Arial" w:hAnsi="Arial"/>
          <w:sz w:val="18"/>
          <w:szCs w:val="18"/>
          <w:color w:val="auto"/>
        </w:rPr>
        <w:t xml:space="preserve">) that are being contested in good faith through appropriate proceedings and as set forth on </w:t>
      </w:r>
      <w:r>
        <w:rPr>
          <w:rFonts w:ascii="Arial" w:cs="Arial" w:eastAsia="Arial" w:hAnsi="Arial"/>
          <w:sz w:val="18"/>
          <w:szCs w:val="18"/>
          <w:i w:val="1"/>
          <w:iCs w:val="1"/>
          <w:color w:val="auto"/>
        </w:rPr>
        <w:t>Schedule 1.01</w:t>
      </w:r>
      <w:r>
        <w:rPr>
          <w:rFonts w:ascii="Arial" w:cs="Arial" w:eastAsia="Arial" w:hAnsi="Arial"/>
          <w:sz w:val="18"/>
          <w:szCs w:val="18"/>
          <w:color w:val="auto"/>
        </w:rPr>
        <w:t xml:space="preserve"> of the Disclosure Schedules and as to which adequate reserves in accordance with GAAP have been taken on the books of the Company or the Black Rock Entities.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Lien</w:t>
      </w:r>
      <w:r>
        <w:rPr>
          <w:rFonts w:ascii="Arial" w:cs="Arial" w:eastAsia="Arial" w:hAnsi="Arial"/>
          <w:sz w:val="17"/>
          <w:szCs w:val="17"/>
          <w:color w:val="auto"/>
        </w:rPr>
        <w:t>” means any (</w:t>
      </w:r>
      <w:r>
        <w:rPr>
          <w:rFonts w:ascii="Arial" w:cs="Arial" w:eastAsia="Arial" w:hAnsi="Arial"/>
          <w:sz w:val="17"/>
          <w:szCs w:val="17"/>
          <w:i w:val="1"/>
          <w:iCs w:val="1"/>
          <w:color w:val="auto"/>
        </w:rPr>
        <w:t>a</w:t>
      </w:r>
      <w:r>
        <w:rPr>
          <w:rFonts w:ascii="Arial" w:cs="Arial" w:eastAsia="Arial" w:hAnsi="Arial"/>
          <w:sz w:val="17"/>
          <w:szCs w:val="17"/>
          <w:color w:val="auto"/>
        </w:rPr>
        <w:t>) mechanic’s, laborer’s, workmen’s, repairmen’s and carrier’s Liens, including all statutory Liens (</w:t>
      </w:r>
      <w:r>
        <w:rPr>
          <w:rFonts w:ascii="Arial" w:cs="Arial" w:eastAsia="Arial" w:hAnsi="Arial"/>
          <w:sz w:val="17"/>
          <w:szCs w:val="17"/>
          <w:i w:val="1"/>
          <w:iCs w:val="1"/>
          <w:color w:val="auto"/>
        </w:rPr>
        <w:t>i</w:t>
      </w:r>
      <w:r>
        <w:rPr>
          <w:rFonts w:ascii="Arial" w:cs="Arial" w:eastAsia="Arial" w:hAnsi="Arial"/>
          <w:sz w:val="17"/>
          <w:szCs w:val="17"/>
          <w:color w:val="auto"/>
        </w:rPr>
        <w:t>) relating to obligations as to which there is no existing default on the part of the Company or the Black Rock Entities or (</w:t>
      </w:r>
      <w:r>
        <w:rPr>
          <w:rFonts w:ascii="Arial" w:cs="Arial" w:eastAsia="Arial" w:hAnsi="Arial"/>
          <w:sz w:val="17"/>
          <w:szCs w:val="17"/>
          <w:i w:val="1"/>
          <w:iCs w:val="1"/>
          <w:color w:val="auto"/>
        </w:rPr>
        <w:t>ii</w:t>
      </w:r>
      <w:r>
        <w:rPr>
          <w:rFonts w:ascii="Arial" w:cs="Arial" w:eastAsia="Arial" w:hAnsi="Arial"/>
          <w:sz w:val="17"/>
          <w:szCs w:val="17"/>
          <w:color w:val="auto"/>
        </w:rPr>
        <w:t xml:space="preserve">) that Seller is contesting in good faith through appropriate proceedings and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 and as to which adequate reserves in accordance with GAAP have been taken on the books of the Company or the Black Rock Entities, as applicable; (</w:t>
      </w:r>
      <w:r>
        <w:rPr>
          <w:rFonts w:ascii="Arial" w:cs="Arial" w:eastAsia="Arial" w:hAnsi="Arial"/>
          <w:sz w:val="17"/>
          <w:szCs w:val="17"/>
          <w:i w:val="1"/>
          <w:iCs w:val="1"/>
          <w:color w:val="auto"/>
        </w:rPr>
        <w:t>b</w:t>
      </w:r>
      <w:r>
        <w:rPr>
          <w:rFonts w:ascii="Arial" w:cs="Arial" w:eastAsia="Arial" w:hAnsi="Arial"/>
          <w:sz w:val="17"/>
          <w:szCs w:val="17"/>
          <w:color w:val="auto"/>
        </w:rPr>
        <w:t>) Liens for Taxes, assessments and other governmental charges not yet due and payable or, if due, (</w:t>
      </w:r>
      <w:r>
        <w:rPr>
          <w:rFonts w:ascii="Arial" w:cs="Arial" w:eastAsia="Arial" w:hAnsi="Arial"/>
          <w:sz w:val="17"/>
          <w:szCs w:val="17"/>
          <w:i w:val="1"/>
          <w:iCs w:val="1"/>
          <w:color w:val="auto"/>
        </w:rPr>
        <w:t>i</w:t>
      </w:r>
      <w:r>
        <w:rPr>
          <w:rFonts w:ascii="Arial" w:cs="Arial" w:eastAsia="Arial" w:hAnsi="Arial"/>
          <w:sz w:val="17"/>
          <w:szCs w:val="17"/>
          <w:color w:val="auto"/>
        </w:rPr>
        <w:t>) not delinquent or (</w:t>
      </w:r>
      <w:r>
        <w:rPr>
          <w:rFonts w:ascii="Arial" w:cs="Arial" w:eastAsia="Arial" w:hAnsi="Arial"/>
          <w:sz w:val="17"/>
          <w:szCs w:val="17"/>
          <w:i w:val="1"/>
          <w:iCs w:val="1"/>
          <w:color w:val="auto"/>
        </w:rPr>
        <w:t>ii</w:t>
      </w:r>
      <w:r>
        <w:rPr>
          <w:rFonts w:ascii="Arial" w:cs="Arial" w:eastAsia="Arial" w:hAnsi="Arial"/>
          <w:sz w:val="17"/>
          <w:szCs w:val="17"/>
          <w:color w:val="auto"/>
        </w:rPr>
        <w:t xml:space="preserve">) being contested in good faith through appropriate proceedings and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 and as to which adequate reserves in accordance with GAAP have been taken on the books of the Company or the Black Rock Entities; (</w:t>
      </w:r>
      <w:r>
        <w:rPr>
          <w:rFonts w:ascii="Arial" w:cs="Arial" w:eastAsia="Arial" w:hAnsi="Arial"/>
          <w:sz w:val="17"/>
          <w:szCs w:val="17"/>
          <w:i w:val="1"/>
          <w:iCs w:val="1"/>
          <w:color w:val="auto"/>
        </w:rPr>
        <w:t>c</w:t>
      </w:r>
      <w:r>
        <w:rPr>
          <w:rFonts w:ascii="Arial" w:cs="Arial" w:eastAsia="Arial" w:hAnsi="Arial"/>
          <w:sz w:val="17"/>
          <w:szCs w:val="17"/>
          <w:color w:val="auto"/>
        </w:rPr>
        <w:t>) good faith deposits in connection with bids, tenders, leases, contracts or other agreements, including rent security deposits; (</w:t>
      </w:r>
      <w:r>
        <w:rPr>
          <w:rFonts w:ascii="Arial" w:cs="Arial" w:eastAsia="Arial" w:hAnsi="Arial"/>
          <w:sz w:val="17"/>
          <w:szCs w:val="17"/>
          <w:i w:val="1"/>
          <w:iCs w:val="1"/>
          <w:color w:val="auto"/>
        </w:rPr>
        <w:t>d</w:t>
      </w:r>
      <w:r>
        <w:rPr>
          <w:rFonts w:ascii="Arial" w:cs="Arial" w:eastAsia="Arial" w:hAnsi="Arial"/>
          <w:sz w:val="17"/>
          <w:szCs w:val="17"/>
          <w:color w:val="auto"/>
        </w:rPr>
        <w:t>) pledges or deposits to secure public or statutory obligations or appeal bonds; (e) in the case of personal property owned or held by the Company or the Black Rock Entities, covenants and other restrictions in the Company Contracts; (</w:t>
      </w:r>
      <w:r>
        <w:rPr>
          <w:rFonts w:ascii="Arial" w:cs="Arial" w:eastAsia="Arial" w:hAnsi="Arial"/>
          <w:sz w:val="17"/>
          <w:szCs w:val="17"/>
          <w:i w:val="1"/>
          <w:iCs w:val="1"/>
          <w:color w:val="auto"/>
        </w:rPr>
        <w:t>f</w:t>
      </w:r>
      <w:r>
        <w:rPr>
          <w:rFonts w:ascii="Arial" w:cs="Arial" w:eastAsia="Arial" w:hAnsi="Arial"/>
          <w:sz w:val="17"/>
          <w:szCs w:val="17"/>
          <w:color w:val="auto"/>
        </w:rPr>
        <w:t>) any Liens relating to or arising from the Financing Documents; and (</w:t>
      </w:r>
      <w:r>
        <w:rPr>
          <w:rFonts w:ascii="Arial" w:cs="Arial" w:eastAsia="Arial" w:hAnsi="Arial"/>
          <w:sz w:val="17"/>
          <w:szCs w:val="17"/>
          <w:i w:val="1"/>
          <w:iCs w:val="1"/>
          <w:color w:val="auto"/>
        </w:rPr>
        <w:t>g</w:t>
      </w:r>
      <w:r>
        <w:rPr>
          <w:rFonts w:ascii="Arial" w:cs="Arial" w:eastAsia="Arial" w:hAnsi="Arial"/>
          <w:sz w:val="17"/>
          <w:szCs w:val="17"/>
          <w:color w:val="auto"/>
        </w:rPr>
        <w:t xml:space="preserve">) any other Liens set forth on </w:t>
      </w:r>
      <w:r>
        <w:rPr>
          <w:rFonts w:ascii="Arial" w:cs="Arial" w:eastAsia="Arial" w:hAnsi="Arial"/>
          <w:sz w:val="17"/>
          <w:szCs w:val="17"/>
          <w:i w:val="1"/>
          <w:iCs w:val="1"/>
          <w:color w:val="auto"/>
        </w:rPr>
        <w:t>Schedule 1.01</w:t>
      </w:r>
      <w:r>
        <w:rPr>
          <w:rFonts w:ascii="Arial" w:cs="Arial" w:eastAsia="Arial" w:hAnsi="Arial"/>
          <w:sz w:val="17"/>
          <w:szCs w:val="17"/>
          <w:color w:val="auto"/>
        </w:rPr>
        <w:t xml:space="preserve"> of the Disclosure Schedules.</w:t>
      </w:r>
    </w:p>
    <w:p>
      <w:pPr>
        <w:spacing w:after="0" w:line="18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PJM</w:t>
      </w:r>
      <w:r>
        <w:rPr>
          <w:rFonts w:ascii="Arial" w:cs="Arial" w:eastAsia="Arial" w:hAnsi="Arial"/>
          <w:sz w:val="18"/>
          <w:szCs w:val="18"/>
          <w:color w:val="auto"/>
        </w:rPr>
        <w:t>” means PJM Interconnection, L.L.C.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Placed in Service</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Pricing Adjustments</w:t>
      </w:r>
      <w:r>
        <w:rPr>
          <w:rFonts w:ascii="Arial" w:cs="Arial" w:eastAsia="Arial" w:hAnsi="Arial"/>
          <w:sz w:val="18"/>
          <w:szCs w:val="18"/>
          <w:color w:val="FF0000"/>
          <w:strike w:val="1"/>
        </w:rPr>
        <w:t>” means: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Company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Project Parameters</w:t>
      </w:r>
      <w:r>
        <w:rPr>
          <w:rFonts w:ascii="Arial" w:cs="Arial" w:eastAsia="Arial" w:hAnsi="Arial"/>
          <w:sz w:val="18"/>
          <w:szCs w:val="18"/>
          <w:u w:val="single" w:color="auto"/>
          <w:color w:val="0000FF"/>
        </w:rPr>
        <w:t>” means the number of Wind Turbines that have been Placed In Service and the date that each Wind Turbine was Placed In Service.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3.01(aa)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Prudent Industry Practices</w:t>
      </w:r>
      <w:r>
        <w:rPr>
          <w:rFonts w:ascii="Arial" w:cs="Arial" w:eastAsia="Arial" w:hAnsi="Arial"/>
          <w:sz w:val="18"/>
          <w:szCs w:val="18"/>
          <w:color w:val="auto"/>
        </w:rPr>
        <w:t>” means those practices, methods, standards and procedures as are commonly used by a significant portion of those providing operating services on wind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PSC</w:t>
      </w:r>
      <w:r>
        <w:rPr>
          <w:rFonts w:ascii="Arial" w:cs="Arial" w:eastAsia="Arial" w:hAnsi="Arial"/>
          <w:sz w:val="18"/>
          <w:szCs w:val="18"/>
          <w:color w:val="auto"/>
        </w:rPr>
        <w:t>” means the Public Service Commission of West Virginia.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PUHCA</w:t>
      </w:r>
      <w:r>
        <w:rPr>
          <w:rFonts w:ascii="Arial" w:cs="Arial" w:eastAsia="Arial" w:hAnsi="Arial"/>
          <w:sz w:val="18"/>
          <w:szCs w:val="18"/>
          <w:color w:val="auto"/>
        </w:rPr>
        <w:t>” means the Public Utility Holding Company Act of 2005 and the implementing regulations of the FERC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w:t>
      </w:r>
      <w:r>
        <w:rPr>
          <w:rFonts w:ascii="Arial" w:cs="Arial" w:eastAsia="Arial" w:hAnsi="Arial"/>
          <w:sz w:val="18"/>
          <w:szCs w:val="18"/>
          <w:color w:val="auto"/>
        </w:rPr>
        <w:t xml:space="preserve">” </w:t>
      </w:r>
      <w:r>
        <w:rPr>
          <w:rFonts w:ascii="Arial" w:cs="Arial" w:eastAsia="Arial" w:hAnsi="Arial"/>
          <w:sz w:val="18"/>
          <w:szCs w:val="18"/>
          <w:color w:val="008000"/>
          <w:strike w:val="1"/>
        </w:rPr>
        <w:t>has the meaning set forth in</w:t>
      </w:r>
      <w:r>
        <w:rPr>
          <w:rFonts w:ascii="Arial" w:cs="Arial" w:eastAsia="Arial" w:hAnsi="Arial"/>
          <w:sz w:val="18"/>
          <w:szCs w:val="18"/>
          <w:color w:val="auto"/>
        </w:rPr>
        <w:t xml:space="preserve"> </w:t>
      </w:r>
      <w:r>
        <w:rPr>
          <w:rFonts w:ascii="Arial" w:cs="Arial" w:eastAsia="Arial" w:hAnsi="Arial"/>
          <w:sz w:val="18"/>
          <w:szCs w:val="18"/>
          <w:i w:val="1"/>
          <w:iCs w:val="1"/>
          <w:color w:val="008000"/>
          <w:strike w:val="1"/>
        </w:rPr>
        <w:t>Section</w:t>
      </w:r>
      <w:r>
        <w:rPr>
          <w:rFonts w:ascii="Arial" w:cs="Arial" w:eastAsia="Arial" w:hAnsi="Arial"/>
          <w:sz w:val="18"/>
          <w:szCs w:val="18"/>
          <w:color w:val="auto"/>
        </w:rPr>
        <w:t xml:space="preserve"> </w:t>
      </w:r>
      <w:r>
        <w:rPr>
          <w:rFonts w:ascii="Arial" w:cs="Arial" w:eastAsia="Arial" w:hAnsi="Arial"/>
          <w:sz w:val="18"/>
          <w:szCs w:val="18"/>
          <w:i w:val="1"/>
          <w:iCs w:val="1"/>
          <w:color w:val="FF0000"/>
          <w:strike w:val="1"/>
        </w:rPr>
        <w:t>2.02</w:t>
      </w:r>
      <w:r>
        <w:rPr>
          <w:rFonts w:ascii="Arial" w:cs="Arial" w:eastAsia="Arial" w:hAnsi="Arial"/>
          <w:sz w:val="18"/>
          <w:szCs w:val="18"/>
          <w:color w:val="FF0000"/>
          <w:strike w:val="1"/>
        </w:rPr>
        <w:t>.</w:t>
      </w:r>
      <w:r>
        <w:rPr>
          <w:rFonts w:ascii="Arial" w:cs="Arial" w:eastAsia="Arial" w:hAnsi="Arial"/>
          <w:sz w:val="18"/>
          <w:szCs w:val="18"/>
          <w:u w:val="single" w:color="auto"/>
          <w:color w:val="0000FF"/>
        </w:rPr>
        <w:t>means the Class A Purchase Price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plus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a</w:t>
      </w:r>
      <w:r>
        <w:rPr>
          <w:rFonts w:ascii="Arial" w:cs="Arial" w:eastAsia="Arial" w:hAnsi="Arial"/>
          <w:sz w:val="18"/>
          <w:szCs w:val="18"/>
          <w:u w:val="single" w:color="auto"/>
          <w:color w:val="0000FF"/>
        </w:rPr>
        <w:t>) prior to the update to the</w:t>
      </w:r>
      <w:r>
        <w:rPr>
          <w:rFonts w:ascii="Arial" w:cs="Arial" w:eastAsia="Arial" w:hAnsi="Arial"/>
          <w:sz w:val="18"/>
          <w:szCs w:val="18"/>
          <w:color w:val="auto"/>
        </w:rPr>
        <w:t xml:space="preserve"> </w:t>
      </w:r>
      <w:r>
        <w:rPr>
          <w:rFonts w:ascii="Arial" w:cs="Arial" w:eastAsia="Arial" w:hAnsi="Arial"/>
          <w:sz w:val="18"/>
          <w:szCs w:val="18"/>
          <w:u w:val="single" w:color="auto"/>
          <w:color w:val="008000"/>
        </w:rPr>
        <w:t>Base</w:t>
      </w:r>
      <w:r>
        <w:rPr>
          <w:rFonts w:ascii="Arial" w:cs="Arial" w:eastAsia="Arial" w:hAnsi="Arial"/>
          <w:sz w:val="18"/>
          <w:szCs w:val="18"/>
          <w:color w:val="auto"/>
        </w:rPr>
        <w:t xml:space="preserve"> </w:t>
      </w:r>
      <w:r>
        <w:rPr>
          <w:rFonts w:ascii="Arial" w:cs="Arial" w:eastAsia="Arial" w:hAnsi="Arial"/>
          <w:sz w:val="18"/>
          <w:szCs w:val="18"/>
          <w:u w:val="single" w:color="auto"/>
          <w:color w:val="008000"/>
        </w:rPr>
        <w:t xml:space="preserve">Purchase Price pursuant to </w:t>
      </w:r>
      <w:r>
        <w:rPr>
          <w:rFonts w:ascii="Arial" w:cs="Arial" w:eastAsia="Arial" w:hAnsi="Arial"/>
          <w:sz w:val="18"/>
          <w:szCs w:val="18"/>
          <w:i w:val="1"/>
          <w:iCs w:val="1"/>
          <w:u w:val="single" w:color="auto"/>
          <w:color w:val="008000"/>
        </w:rPr>
        <w:t>Section 2.05</w:t>
      </w:r>
      <w:r>
        <w:rPr>
          <w:rFonts w:ascii="Arial" w:cs="Arial" w:eastAsia="Arial" w:hAnsi="Arial"/>
          <w:sz w:val="18"/>
          <w:szCs w:val="18"/>
          <w:u w:val="single" w:color="auto"/>
          <w:color w:val="0000FF"/>
        </w:rPr>
        <w:t>, the Base Purchase Price and (</w:t>
      </w:r>
      <w:r>
        <w:rPr>
          <w:rFonts w:ascii="Arial" w:cs="Arial" w:eastAsia="Arial" w:hAnsi="Arial"/>
          <w:sz w:val="18"/>
          <w:szCs w:val="18"/>
          <w:i w:val="1"/>
          <w:iCs w:val="1"/>
          <w:u w:val="single" w:color="auto"/>
          <w:color w:val="0000FF"/>
        </w:rPr>
        <w:t>b</w:t>
      </w:r>
      <w:r>
        <w:rPr>
          <w:rFonts w:ascii="Arial" w:cs="Arial" w:eastAsia="Arial" w:hAnsi="Arial"/>
          <w:sz w:val="18"/>
          <w:szCs w:val="18"/>
          <w:u w:val="single" w:color="auto"/>
          <w:color w:val="0000FF"/>
        </w:rPr>
        <w:t>) following the update</w:t>
      </w:r>
      <w:r>
        <w:rPr>
          <w:rFonts w:ascii="Arial" w:cs="Arial" w:eastAsia="Arial" w:hAnsi="Arial"/>
          <w:sz w:val="18"/>
          <w:szCs w:val="18"/>
          <w:u w:val="single" w:color="auto"/>
          <w:color w:val="008000"/>
        </w:rPr>
        <w:t xml:space="preserve"> to the Base Purchase Price </w:t>
      </w:r>
      <w:r>
        <w:rPr>
          <w:rFonts w:ascii="Arial" w:cs="Arial" w:eastAsia="Arial" w:hAnsi="Arial"/>
          <w:sz w:val="18"/>
          <w:szCs w:val="18"/>
          <w:u w:val="single" w:color="auto"/>
          <w:color w:val="0000FF"/>
        </w:rPr>
        <w:t>pursuant to</w:t>
      </w:r>
      <w:r>
        <w:rPr>
          <w:rFonts w:ascii="Arial" w:cs="Arial" w:eastAsia="Arial" w:hAnsi="Arial"/>
          <w:sz w:val="18"/>
          <w:szCs w:val="18"/>
          <w:u w:val="single" w:color="auto"/>
          <w:color w:val="008000"/>
        </w:rPr>
        <w:t xml:space="preserve"> </w:t>
      </w:r>
      <w:r>
        <w:rPr>
          <w:rFonts w:ascii="Arial" w:cs="Arial" w:eastAsia="Arial" w:hAnsi="Arial"/>
          <w:sz w:val="18"/>
          <w:szCs w:val="18"/>
          <w:i w:val="1"/>
          <w:iCs w:val="1"/>
          <w:u w:val="single" w:color="auto"/>
          <w:color w:val="0000FF"/>
        </w:rPr>
        <w:t>Section 2.05</w:t>
      </w:r>
      <w:r>
        <w:rPr>
          <w:rFonts w:ascii="Arial" w:cs="Arial" w:eastAsia="Arial" w:hAnsi="Arial"/>
          <w:sz w:val="18"/>
          <w:szCs w:val="18"/>
          <w:u w:val="single" w:color="auto"/>
          <w:color w:val="0000FF"/>
        </w:rPr>
        <w:t>, the</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Adjusted Base Purchase Price.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w:t>
      </w:r>
      <w:r>
        <w:rPr>
          <w:rFonts w:ascii="Arial" w:cs="Arial" w:eastAsia="Arial" w:hAnsi="Arial"/>
          <w:sz w:val="18"/>
          <w:szCs w:val="18"/>
          <w:color w:val="auto"/>
        </w:rPr>
        <w:t>” has the meaning set forth in the preamble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Indemnified Parties</w:t>
      </w:r>
      <w:r>
        <w:rPr>
          <w:rFonts w:ascii="Arial" w:cs="Arial" w:eastAsia="Arial" w:hAnsi="Arial"/>
          <w:sz w:val="18"/>
          <w:szCs w:val="18"/>
          <w:color w:val="auto"/>
        </w:rPr>
        <w:t>” means Purchaser,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Parent Guaranty</w:t>
      </w:r>
      <w:r>
        <w:rPr>
          <w:rFonts w:ascii="Arial" w:cs="Arial" w:eastAsia="Arial" w:hAnsi="Arial"/>
          <w:sz w:val="18"/>
          <w:szCs w:val="18"/>
          <w:color w:val="auto"/>
        </w:rPr>
        <w:t xml:space="preserve">” means the Purchaser Parent Guaranty in the form of </w:t>
      </w:r>
      <w:r>
        <w:rPr>
          <w:rFonts w:ascii="Arial" w:cs="Arial" w:eastAsia="Arial" w:hAnsi="Arial"/>
          <w:sz w:val="18"/>
          <w:szCs w:val="18"/>
          <w:i w:val="1"/>
          <w:iCs w:val="1"/>
          <w:color w:val="auto"/>
        </w:rPr>
        <w:t>Exhibit G</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Purchaser Second Closing Representations</w:t>
      </w:r>
      <w:r>
        <w:rPr>
          <w:rFonts w:ascii="Arial" w:cs="Arial" w:eastAsia="Arial" w:hAnsi="Arial"/>
          <w:sz w:val="18"/>
          <w:szCs w:val="18"/>
          <w:u w:val="single" w:color="auto"/>
          <w:color w:val="0000FF"/>
        </w:rPr>
        <w:t xml:space="preserve">” has the meaning set forth in </w:t>
      </w:r>
      <w:r>
        <w:rPr>
          <w:rFonts w:ascii="Arial" w:cs="Arial" w:eastAsia="Arial" w:hAnsi="Arial"/>
          <w:sz w:val="18"/>
          <w:szCs w:val="18"/>
          <w:i w:val="1"/>
          <w:iCs w:val="1"/>
          <w:u w:val="single" w:color="auto"/>
          <w:color w:val="0000FF"/>
        </w:rPr>
        <w:t>Section 3.02</w:t>
      </w:r>
      <w:r>
        <w:rPr>
          <w:rFonts w:ascii="Arial" w:cs="Arial" w:eastAsia="Arial" w:hAnsi="Arial"/>
          <w:sz w:val="18"/>
          <w:szCs w:val="18"/>
          <w:u w:val="single" w:color="auto"/>
          <w:color w:val="0000FF"/>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Property Rights</w:t>
      </w:r>
      <w:r>
        <w:rPr>
          <w:rFonts w:ascii="Arial" w:cs="Arial" w:eastAsia="Arial" w:hAnsi="Arial"/>
          <w:sz w:val="18"/>
          <w:szCs w:val="18"/>
          <w:color w:val="auto"/>
        </w:rPr>
        <w:t>” means all real property rights and interests of the Company or the Black Rock Entities, including all options, leases, easements, land use rights, access easements, transmission line easements, rights to ingress and egress, any and all bids, grants, awards, applications, rights to negotiate, and all other rights relating to the Land.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Regional Entity</w:t>
      </w:r>
      <w:r>
        <w:rPr>
          <w:rFonts w:ascii="Arial" w:cs="Arial" w:eastAsia="Arial" w:hAnsi="Arial"/>
          <w:sz w:val="18"/>
          <w:szCs w:val="18"/>
          <w:color w:val="auto"/>
        </w:rPr>
        <w:t>” means ReliabilityFirst Corporation.</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Reports</w:t>
      </w:r>
      <w:r>
        <w:rPr>
          <w:rFonts w:ascii="Arial" w:cs="Arial" w:eastAsia="Arial" w:hAnsi="Arial"/>
          <w:sz w:val="18"/>
          <w:szCs w:val="18"/>
          <w:color w:val="auto"/>
        </w:rPr>
        <w:t>” means (</w:t>
      </w:r>
      <w:r>
        <w:rPr>
          <w:rFonts w:ascii="Arial" w:cs="Arial" w:eastAsia="Arial" w:hAnsi="Arial"/>
          <w:sz w:val="18"/>
          <w:szCs w:val="18"/>
          <w:i w:val="1"/>
          <w:iCs w:val="1"/>
          <w:color w:val="auto"/>
        </w:rPr>
        <w:t>a</w:t>
      </w:r>
      <w:r>
        <w:rPr>
          <w:rFonts w:ascii="Arial" w:cs="Arial" w:eastAsia="Arial" w:hAnsi="Arial"/>
          <w:sz w:val="18"/>
          <w:szCs w:val="18"/>
          <w:color w:val="auto"/>
        </w:rPr>
        <w:t>) the Independent Engineer’s Report, (</w:t>
      </w:r>
      <w:r>
        <w:rPr>
          <w:rFonts w:ascii="Arial" w:cs="Arial" w:eastAsia="Arial" w:hAnsi="Arial"/>
          <w:sz w:val="18"/>
          <w:szCs w:val="18"/>
          <w:i w:val="1"/>
          <w:iCs w:val="1"/>
          <w:color w:val="auto"/>
        </w:rPr>
        <w:t>b</w:t>
      </w:r>
      <w:r>
        <w:rPr>
          <w:rFonts w:ascii="Arial" w:cs="Arial" w:eastAsia="Arial" w:hAnsi="Arial"/>
          <w:sz w:val="18"/>
          <w:szCs w:val="18"/>
          <w:color w:val="auto"/>
        </w:rPr>
        <w:t>) the Environmental Report (as defined in the Tax Equity Agreement), (</w:t>
      </w:r>
      <w:r>
        <w:rPr>
          <w:rFonts w:ascii="Arial" w:cs="Arial" w:eastAsia="Arial" w:hAnsi="Arial"/>
          <w:sz w:val="18"/>
          <w:szCs w:val="18"/>
          <w:i w:val="1"/>
          <w:iCs w:val="1"/>
          <w:color w:val="auto"/>
        </w:rPr>
        <w:t>c</w:t>
      </w:r>
      <w:r>
        <w:rPr>
          <w:rFonts w:ascii="Arial" w:cs="Arial" w:eastAsia="Arial" w:hAnsi="Arial"/>
          <w:sz w:val="18"/>
          <w:szCs w:val="18"/>
          <w:color w:val="auto"/>
        </w:rPr>
        <w:t>) the Wind Resource Report (as defined in the Tax Equity Agreement), (</w:t>
      </w:r>
      <w:r>
        <w:rPr>
          <w:rFonts w:ascii="Arial" w:cs="Arial" w:eastAsia="Arial" w:hAnsi="Arial"/>
          <w:sz w:val="18"/>
          <w:szCs w:val="18"/>
          <w:i w:val="1"/>
          <w:iCs w:val="1"/>
          <w:color w:val="auto"/>
        </w:rPr>
        <w:t>d</w:t>
      </w:r>
      <w:r>
        <w:rPr>
          <w:rFonts w:ascii="Arial" w:cs="Arial" w:eastAsia="Arial" w:hAnsi="Arial"/>
          <w:sz w:val="18"/>
          <w:szCs w:val="18"/>
          <w:color w:val="auto"/>
        </w:rPr>
        <w:t>) the Insurance Consultant’s Report (as defined in the Tax Equity Agreement), (</w:t>
      </w:r>
      <w:r>
        <w:rPr>
          <w:rFonts w:ascii="Arial" w:cs="Arial" w:eastAsia="Arial" w:hAnsi="Arial"/>
          <w:sz w:val="18"/>
          <w:szCs w:val="18"/>
          <w:i w:val="1"/>
          <w:iCs w:val="1"/>
          <w:color w:val="auto"/>
        </w:rPr>
        <w:t>e</w:t>
      </w:r>
      <w:r>
        <w:rPr>
          <w:rFonts w:ascii="Arial" w:cs="Arial" w:eastAsia="Arial" w:hAnsi="Arial"/>
          <w:sz w:val="18"/>
          <w:szCs w:val="18"/>
          <w:color w:val="auto"/>
        </w:rPr>
        <w:t>) the Transmission Consultant’s Report and (</w:t>
      </w:r>
      <w:r>
        <w:rPr>
          <w:rFonts w:ascii="Arial" w:cs="Arial" w:eastAsia="Arial" w:hAnsi="Arial"/>
          <w:sz w:val="18"/>
          <w:szCs w:val="18"/>
          <w:i w:val="1"/>
          <w:iCs w:val="1"/>
          <w:color w:val="auto"/>
        </w:rPr>
        <w:t>f</w:t>
      </w:r>
      <w:r>
        <w:rPr>
          <w:rFonts w:ascii="Arial" w:cs="Arial" w:eastAsia="Arial" w:hAnsi="Arial"/>
          <w:sz w:val="18"/>
          <w:szCs w:val="18"/>
          <w:color w:val="auto"/>
        </w:rPr>
        <w:t>) the Cost Seg Report, including any bring downs of such reports delivered pursuant to the Tax Equity Agreement as of the Closing Date.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Representatives</w:t>
      </w:r>
      <w:r>
        <w:rPr>
          <w:rFonts w:ascii="Arial" w:cs="Arial" w:eastAsia="Arial" w:hAnsi="Arial"/>
          <w:sz w:val="18"/>
          <w:szCs w:val="18"/>
          <w:color w:val="auto"/>
        </w:rPr>
        <w:t>” means with respect to any Person, the officers, directors, employees, counsel, accountants, financing advisors, consultants and agents of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Retained Support Obligation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Second Closing</w:t>
      </w:r>
      <w:r>
        <w:rPr>
          <w:rFonts w:ascii="Arial" w:cs="Arial" w:eastAsia="Arial" w:hAnsi="Arial"/>
          <w:sz w:val="18"/>
          <w:szCs w:val="18"/>
          <w:u w:val="single" w:color="auto"/>
          <w:color w:val="008000"/>
        </w:rPr>
        <w:t>” has the meaning set forth in</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8000"/>
        </w:rPr>
        <w:t>Section</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2.03(a)</w:t>
      </w:r>
      <w:r>
        <w:rPr>
          <w:rFonts w:ascii="Arial" w:cs="Arial" w:eastAsia="Arial" w:hAnsi="Arial"/>
          <w:sz w:val="18"/>
          <w:szCs w:val="18"/>
          <w:u w:val="single" w:color="auto"/>
          <w:color w:val="0000FF"/>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Second Closing Date</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has the meaning set forth in</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8000"/>
        </w:rPr>
        <w:t>Section</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2.03(a)</w:t>
      </w:r>
      <w:r>
        <w:rPr>
          <w:rFonts w:ascii="Arial" w:cs="Arial" w:eastAsia="Arial" w:hAnsi="Arial"/>
          <w:sz w:val="18"/>
          <w:szCs w:val="18"/>
          <w:u w:val="single" w:color="auto"/>
          <w:color w:val="0000FF"/>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Approvals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Consents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Fundamental Representations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Indemnified Parties</w:t>
      </w:r>
      <w:r>
        <w:rPr>
          <w:rFonts w:ascii="Arial" w:cs="Arial" w:eastAsia="Arial" w:hAnsi="Arial"/>
          <w:sz w:val="18"/>
          <w:szCs w:val="18"/>
          <w:color w:val="auto"/>
        </w:rPr>
        <w:t>” means Seller,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Seller Second Closing Representations</w:t>
      </w:r>
      <w:r>
        <w:rPr>
          <w:rFonts w:ascii="Arial" w:cs="Arial" w:eastAsia="Arial" w:hAnsi="Arial"/>
          <w:sz w:val="18"/>
          <w:szCs w:val="18"/>
          <w:u w:val="single" w:color="auto"/>
          <w:color w:val="0000FF"/>
        </w:rPr>
        <w:t xml:space="preserve">” has the meaning set forth in </w:t>
      </w:r>
      <w:r>
        <w:rPr>
          <w:rFonts w:ascii="Arial" w:cs="Arial" w:eastAsia="Arial" w:hAnsi="Arial"/>
          <w:sz w:val="18"/>
          <w:szCs w:val="18"/>
          <w:i w:val="1"/>
          <w:iCs w:val="1"/>
          <w:u w:val="single" w:color="auto"/>
          <w:color w:val="0000FF"/>
        </w:rPr>
        <w:t>Section 3.01</w:t>
      </w:r>
      <w:r>
        <w:rPr>
          <w:rFonts w:ascii="Arial" w:cs="Arial" w:eastAsia="Arial" w:hAnsi="Arial"/>
          <w:sz w:val="18"/>
          <w:szCs w:val="18"/>
          <w:u w:val="single" w:color="auto"/>
          <w:color w:val="0000FF"/>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Support Obligations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Support Obligations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5.07(a)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or “</w:t>
      </w:r>
      <w:r>
        <w:rPr>
          <w:rFonts w:ascii="Arial" w:cs="Arial" w:eastAsia="Arial" w:hAnsi="Arial"/>
          <w:sz w:val="18"/>
          <w:szCs w:val="18"/>
          <w:i w:val="1"/>
          <w:iCs w:val="1"/>
          <w:color w:val="auto"/>
        </w:rPr>
        <w:t>Taxes</w:t>
      </w:r>
      <w:r>
        <w:rPr>
          <w:rFonts w:ascii="Arial" w:cs="Arial" w:eastAsia="Arial" w:hAnsi="Arial"/>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192"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Equity Agreement</w:t>
      </w:r>
      <w:r>
        <w:rPr>
          <w:rFonts w:ascii="Arial" w:cs="Arial" w:eastAsia="Arial" w:hAnsi="Arial"/>
          <w:sz w:val="16"/>
          <w:szCs w:val="16"/>
          <w:color w:val="auto"/>
        </w:rPr>
        <w:t>” means that certain Equity Capital Contribution Agreement to be entered into by and between TE Holdco and Tax Equity Investor, that, with respect to the form of such agreement delivered by Seller to Purchaser prior to the Execution Date, is (</w:t>
      </w:r>
      <w:r>
        <w:rPr>
          <w:rFonts w:ascii="Arial" w:cs="Arial" w:eastAsia="Arial" w:hAnsi="Arial"/>
          <w:sz w:val="16"/>
          <w:szCs w:val="16"/>
          <w:i w:val="1"/>
          <w:iCs w:val="1"/>
          <w:color w:val="auto"/>
        </w:rPr>
        <w:t>a</w:t>
      </w:r>
      <w:r>
        <w:rPr>
          <w:rFonts w:ascii="Arial" w:cs="Arial" w:eastAsia="Arial" w:hAnsi="Arial"/>
          <w:sz w:val="16"/>
          <w:szCs w:val="16"/>
          <w:color w:val="auto"/>
        </w:rPr>
        <w:t>) the same in all respects as to those certain conditions to the obligations of the Tax Equity Investor set forth in Section 5.2 of such form of Tax Equity Agreement, and (</w:t>
      </w:r>
      <w:r>
        <w:rPr>
          <w:rFonts w:ascii="Arial" w:cs="Arial" w:eastAsia="Arial" w:hAnsi="Arial"/>
          <w:sz w:val="16"/>
          <w:szCs w:val="16"/>
          <w:i w:val="1"/>
          <w:iCs w:val="1"/>
          <w:color w:val="auto"/>
        </w:rPr>
        <w:t>b</w:t>
      </w:r>
      <w:r>
        <w:rPr>
          <w:rFonts w:ascii="Arial" w:cs="Arial" w:eastAsia="Arial" w:hAnsi="Arial"/>
          <w:sz w:val="16"/>
          <w:szCs w:val="16"/>
          <w:color w:val="auto"/>
        </w:rPr>
        <w:t xml:space="preserve">) otherwise in all other respect the same or, to the extent modified, so modified pursuant to the terms and subject to the conditions of </w:t>
      </w:r>
      <w:r>
        <w:rPr>
          <w:rFonts w:ascii="Arial" w:cs="Arial" w:eastAsia="Arial" w:hAnsi="Arial"/>
          <w:sz w:val="16"/>
          <w:szCs w:val="16"/>
          <w:i w:val="1"/>
          <w:iCs w:val="1"/>
          <w:color w:val="auto"/>
        </w:rPr>
        <w:t>Section 5.12(a).</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Funding Date</w:t>
      </w:r>
      <w:r>
        <w:rPr>
          <w:rFonts w:ascii="Arial" w:cs="Arial" w:eastAsia="Arial" w:hAnsi="Arial"/>
          <w:sz w:val="18"/>
          <w:szCs w:val="18"/>
          <w:color w:val="auto"/>
        </w:rPr>
        <w:t>” means the Funding Date (as defined in the Tax Equity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Tax Equity Guaranty</w:t>
      </w:r>
      <w:r>
        <w:rPr>
          <w:rFonts w:ascii="Arial" w:cs="Arial" w:eastAsia="Arial" w:hAnsi="Arial"/>
          <w:sz w:val="18"/>
          <w:szCs w:val="18"/>
          <w:u w:val="single" w:color="auto"/>
          <w:color w:val="0000FF"/>
        </w:rPr>
        <w:t xml:space="preserve">” means the Guaranty Agreement dated on </w:t>
      </w:r>
      <w:r>
        <w:rPr>
          <w:rFonts w:ascii="Arial" w:cs="Arial" w:eastAsia="Arial" w:hAnsi="Arial"/>
          <w:sz w:val="18"/>
          <w:szCs w:val="18"/>
          <w:u w:val="single" w:color="auto"/>
          <w:color w:val="008000"/>
        </w:rPr>
        <w:t>or about the date hereof</w:t>
      </w:r>
      <w:r>
        <w:rPr>
          <w:rFonts w:ascii="Arial" w:cs="Arial" w:eastAsia="Arial" w:hAnsi="Arial"/>
          <w:sz w:val="18"/>
          <w:szCs w:val="18"/>
          <w:u w:val="single" w:color="auto"/>
          <w:color w:val="0000FF"/>
        </w:rPr>
        <w:t xml:space="preserve"> by Clearway Energy Operating LLC on behalf of TE Holdco granted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4945380</wp:posOffset>
            </wp:positionH>
            <wp:positionV relativeFrom="paragraph">
              <wp:posOffset>-182245</wp:posOffset>
            </wp:positionV>
            <wp:extent cx="285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Investor</w:t>
      </w:r>
      <w:r>
        <w:rPr>
          <w:rFonts w:ascii="Arial" w:cs="Arial" w:eastAsia="Arial" w:hAnsi="Arial"/>
          <w:sz w:val="18"/>
          <w:szCs w:val="18"/>
          <w:color w:val="auto"/>
        </w:rPr>
        <w:t>” means [***].</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187"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 Holdco</w:t>
      </w:r>
      <w:r>
        <w:rPr>
          <w:rFonts w:ascii="Arial" w:cs="Arial" w:eastAsia="Arial" w:hAnsi="Arial"/>
          <w:sz w:val="18"/>
          <w:szCs w:val="18"/>
          <w:color w:val="auto"/>
        </w:rPr>
        <w:t>” has the meaning set forth in the recitals to this Agreement. “</w:t>
      </w:r>
      <w:r>
        <w:rPr>
          <w:rFonts w:ascii="Arial" w:cs="Arial" w:eastAsia="Arial" w:hAnsi="Arial"/>
          <w:sz w:val="18"/>
          <w:szCs w:val="18"/>
          <w:i w:val="1"/>
          <w:iCs w:val="1"/>
          <w:color w:val="auto"/>
        </w:rPr>
        <w:t>Title Company</w:t>
      </w:r>
      <w:r>
        <w:rPr>
          <w:rFonts w:ascii="Arial" w:cs="Arial" w:eastAsia="Arial" w:hAnsi="Arial"/>
          <w:sz w:val="18"/>
          <w:szCs w:val="18"/>
          <w:color w:val="auto"/>
        </w:rPr>
        <w:t>” means Old Republic National Title Insurance Company.</w:t>
      </w:r>
    </w:p>
    <w:p>
      <w:pPr>
        <w:spacing w:after="0" w:line="170"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Title Policy</w:t>
      </w:r>
      <w:r>
        <w:rPr>
          <w:rFonts w:ascii="Arial" w:cs="Arial" w:eastAsia="Arial" w:hAnsi="Arial"/>
          <w:sz w:val="17"/>
          <w:szCs w:val="17"/>
          <w:color w:val="auto"/>
        </w:rPr>
        <w:t>” means the ALTA 2006 extended coverage owner’s policy of title insurance, issued by the Title Company in favor of the Project Company, subject only to the exceptions set forth in the Title Proforma or otherwise in a form reasonably acceptable to Purchaser.</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Proforma</w:t>
      </w:r>
      <w:r>
        <w:rPr>
          <w:rFonts w:ascii="Arial" w:cs="Arial" w:eastAsia="Arial" w:hAnsi="Arial"/>
          <w:sz w:val="18"/>
          <w:szCs w:val="18"/>
          <w:color w:val="auto"/>
        </w:rPr>
        <w:t xml:space="preserve">” </w:t>
      </w:r>
      <w:r>
        <w:rPr>
          <w:rFonts w:ascii="Arial" w:cs="Arial" w:eastAsia="Arial" w:hAnsi="Arial"/>
          <w:sz w:val="18"/>
          <w:szCs w:val="18"/>
          <w:color w:val="008000"/>
          <w:strike w:val="1"/>
        </w:rPr>
        <w:t>has the meaning set forth</w:t>
      </w:r>
      <w:r>
        <w:rPr>
          <w:rFonts w:ascii="Arial" w:cs="Arial" w:eastAsia="Arial" w:hAnsi="Arial"/>
          <w:sz w:val="18"/>
          <w:szCs w:val="18"/>
          <w:u w:val="single" w:color="auto"/>
          <w:color w:val="0000FF"/>
        </w:rPr>
        <w:t>means the Title Policy Pro Forma (as defined</w:t>
      </w:r>
      <w:r>
        <w:rPr>
          <w:rFonts w:ascii="Arial" w:cs="Arial" w:eastAsia="Arial" w:hAnsi="Arial"/>
          <w:sz w:val="18"/>
          <w:szCs w:val="18"/>
          <w:color w:val="auto"/>
        </w:rPr>
        <w:t xml:space="preserve"> in the Tax Equity Agreement</w:t>
      </w:r>
      <w:r>
        <w:rPr>
          <w:rFonts w:ascii="Arial" w:cs="Arial" w:eastAsia="Arial" w:hAnsi="Arial"/>
          <w:sz w:val="18"/>
          <w:szCs w:val="18"/>
          <w:color w:val="0000FF"/>
        </w:rPr>
        <w: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5.08(a)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Regulations</w:t>
      </w:r>
      <w:r>
        <w:rPr>
          <w:rFonts w:ascii="Arial" w:cs="Arial" w:eastAsia="Arial" w:hAnsi="Arial"/>
          <w:sz w:val="16"/>
          <w:szCs w:val="16"/>
          <w:color w:val="auto"/>
        </w:rPr>
        <w:t>” means the final and temporary regulations promulgated by the U.S. Department of Treasury under the Code.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Wind Turbine</w:t>
      </w:r>
      <w:r>
        <w:rPr>
          <w:rFonts w:ascii="Arial" w:cs="Arial" w:eastAsia="Arial" w:hAnsi="Arial"/>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ind w:left="660"/>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i w:val="1"/>
          <w:iCs w:val="1"/>
          <w:color w:val="auto"/>
        </w:rPr>
        <w:t>Rules of Interpretation</w:t>
      </w:r>
      <w:r>
        <w:rPr>
          <w:rFonts w:ascii="Arial" w:cs="Arial" w:eastAsia="Arial" w:hAnsi="Arial"/>
          <w:sz w:val="15"/>
          <w:szCs w:val="15"/>
          <w:color w:val="auto"/>
        </w:rPr>
        <w:t>.</w:t>
      </w:r>
    </w:p>
    <w:p>
      <w:pPr>
        <w:spacing w:after="0" w:line="225" w:lineRule="exact"/>
        <w:rPr>
          <w:sz w:val="20"/>
          <w:szCs w:val="20"/>
          <w:color w:val="auto"/>
        </w:rPr>
      </w:pPr>
    </w:p>
    <w:p>
      <w:pPr>
        <w:ind w:firstLine="1304"/>
        <w:spacing w:after="0" w:line="282" w:lineRule="auto"/>
        <w:tabs>
          <w:tab w:leader="none" w:pos="1743"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As used herein, the singular shall include the plural, the masculine gender shall include the feminine and neuter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neuter gender shall include the masculine and feminine unless the context otherwise indicates.</w:t>
      </w:r>
    </w:p>
    <w:p>
      <w:pPr>
        <w:spacing w:after="0" w:line="161" w:lineRule="exact"/>
        <w:rPr>
          <w:rFonts w:ascii="Arial" w:cs="Arial" w:eastAsia="Arial" w:hAnsi="Arial"/>
          <w:sz w:val="18"/>
          <w:szCs w:val="18"/>
          <w:color w:val="auto"/>
        </w:rPr>
      </w:pPr>
    </w:p>
    <w:p>
      <w:pPr>
        <w:jc w:val="both"/>
        <w:ind w:firstLine="1304"/>
        <w:spacing w:after="0" w:line="289" w:lineRule="auto"/>
        <w:tabs>
          <w:tab w:leader="none" w:pos="1753"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References</w:t>
      </w:r>
      <w:r>
        <w:rPr>
          <w:rFonts w:ascii="Arial" w:cs="Arial" w:eastAsia="Arial" w:hAnsi="Arial"/>
          <w:sz w:val="16"/>
          <w:szCs w:val="16"/>
          <w:color w:val="auto"/>
        </w:rPr>
        <w:t>. References to Articles and Sections are intended to refer to Articles and Sections of this Agreement, and all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66" w:lineRule="exact"/>
        <w:rPr>
          <w:rFonts w:ascii="Arial" w:cs="Arial" w:eastAsia="Arial" w:hAnsi="Arial"/>
          <w:sz w:val="16"/>
          <w:szCs w:val="16"/>
          <w:color w:val="auto"/>
        </w:rPr>
      </w:pPr>
    </w:p>
    <w:p>
      <w:pPr>
        <w:jc w:val="both"/>
        <w:ind w:firstLine="1304"/>
        <w:spacing w:after="0" w:line="277" w:lineRule="auto"/>
        <w:tabs>
          <w:tab w:leader="none" w:pos="1743"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Accounting Terms</w:t>
      </w:r>
      <w:r>
        <w:rPr>
          <w:rFonts w:ascii="Arial" w:cs="Arial" w:eastAsia="Arial" w:hAnsi="Arial"/>
          <w:sz w:val="17"/>
          <w:szCs w:val="17"/>
          <w:color w:val="auto"/>
        </w:rPr>
        <w:t>. As used in this Agreement and in any certificate or other documents made or delivered pursuant hereto,</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OF MEMBERSHIP INTERESTS AND CLOSING</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b w:val="1"/>
          <w:bCs w:val="1"/>
          <w:i w:val="1"/>
          <w:iCs w:val="1"/>
          <w:color w:val="auto"/>
        </w:rPr>
        <w:t>Purchase and Sale</w:t>
      </w:r>
      <w:r>
        <w:rPr>
          <w:rFonts w:ascii="Arial" w:cs="Arial" w:eastAsia="Arial" w:hAnsi="Arial"/>
          <w:sz w:val="18"/>
          <w:szCs w:val="18"/>
          <w:color w:val="auto"/>
        </w:rPr>
        <w:t>. Seller agrees to sell to Purchaser, and Purchaser agrees to purchase from Seller, all of the right, title and interest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Seller in and to </w:t>
      </w: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a</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Acquired Interests at the Closing</w:t>
      </w:r>
      <w:r>
        <w:rPr>
          <w:rFonts w:ascii="Arial" w:cs="Arial" w:eastAsia="Arial" w:hAnsi="Arial"/>
          <w:sz w:val="18"/>
          <w:szCs w:val="18"/>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 (</w:t>
      </w:r>
      <w:r>
        <w:rPr>
          <w:rFonts w:ascii="Arial" w:cs="Arial" w:eastAsia="Arial" w:hAnsi="Arial"/>
          <w:sz w:val="18"/>
          <w:szCs w:val="18"/>
          <w:i w:val="1"/>
          <w:iCs w:val="1"/>
          <w:u w:val="single" w:color="auto"/>
          <w:color w:val="0000FF"/>
        </w:rPr>
        <w:t>b</w:t>
      </w:r>
      <w:r>
        <w:rPr>
          <w:rFonts w:ascii="Arial" w:cs="Arial" w:eastAsia="Arial" w:hAnsi="Arial"/>
          <w:sz w:val="18"/>
          <w:szCs w:val="18"/>
          <w:u w:val="single" w:color="auto"/>
          <w:color w:val="0000FF"/>
        </w:rPr>
        <w:t>) the Class A Interests at the Second Closing, in each case,</w:t>
      </w:r>
      <w:r>
        <w:rPr>
          <w:rFonts w:ascii="Arial" w:cs="Arial" w:eastAsia="Arial" w:hAnsi="Arial"/>
          <w:sz w:val="18"/>
          <w:szCs w:val="18"/>
          <w:color w:val="auto"/>
        </w:rPr>
        <w:t xml:space="preserve"> on the terms and subject to the conditions set forth in this Agreement.</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2.02. </w:t>
      </w:r>
      <w:r>
        <w:rPr>
          <w:rFonts w:ascii="Arial" w:cs="Arial" w:eastAsia="Arial" w:hAnsi="Arial"/>
          <w:sz w:val="17"/>
          <w:szCs w:val="17"/>
          <w:b w:val="1"/>
          <w:bCs w:val="1"/>
          <w:i w:val="1"/>
          <w:iCs w:val="1"/>
          <w:color w:val="auto"/>
        </w:rPr>
        <w:t>Payment of Purchase Price</w:t>
      </w:r>
      <w:r>
        <w:rPr>
          <w:rFonts w:ascii="Arial" w:cs="Arial" w:eastAsia="Arial" w:hAnsi="Arial"/>
          <w:sz w:val="17"/>
          <w:szCs w:val="17"/>
          <w:color w:val="auto"/>
        </w:rPr>
        <w:t>. Upon the terms and subject to the conditions hereinafter set forth, in consideration of the delivery by Seller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w:t>
      </w:r>
      <w:r>
        <w:rPr>
          <w:rFonts w:ascii="Arial" w:cs="Arial" w:eastAsia="Arial" w:hAnsi="Arial"/>
          <w:sz w:val="17"/>
          <w:szCs w:val="17"/>
          <w:i w:val="1"/>
          <w:iCs w:val="1"/>
          <w:u w:val="single" w:color="auto"/>
          <w:color w:val="0000FF"/>
        </w:rPr>
        <w:t>a</w:t>
      </w:r>
      <w:r>
        <w:rPr>
          <w:rFonts w:ascii="Arial" w:cs="Arial" w:eastAsia="Arial" w:hAnsi="Arial"/>
          <w:sz w:val="17"/>
          <w:szCs w:val="17"/>
          <w:u w:val="single" w:color="auto"/>
          <w:color w:val="0000FF"/>
        </w:rPr>
        <w:t>)</w:t>
      </w:r>
      <w:r>
        <w:rPr>
          <w:rFonts w:ascii="Arial" w:cs="Arial" w:eastAsia="Arial" w:hAnsi="Arial"/>
          <w:sz w:val="17"/>
          <w:szCs w:val="17"/>
          <w:color w:val="0000FF"/>
        </w:rPr>
        <w:t xml:space="preserve"> </w:t>
      </w:r>
      <w:r>
        <w:rPr>
          <w:rFonts w:ascii="Arial" w:cs="Arial" w:eastAsia="Arial" w:hAnsi="Arial"/>
          <w:sz w:val="17"/>
          <w:szCs w:val="17"/>
          <w:color w:val="000000"/>
        </w:rPr>
        <w:t>the Acquired Interests, Purchaser, by wire transfer of immediately available United States funds, shall pay to Seller at the Closing an amount equal to</w:t>
      </w:r>
      <w:r>
        <w:rPr>
          <w:rFonts w:ascii="Arial" w:cs="Arial" w:eastAsia="Arial" w:hAnsi="Arial"/>
          <w:sz w:val="17"/>
          <w:szCs w:val="17"/>
          <w:color w:val="0000FF"/>
        </w:rPr>
        <w:t xml:space="preserve"> </w:t>
      </w:r>
      <w:r>
        <w:rPr>
          <w:rFonts w:ascii="Arial" w:cs="Arial" w:eastAsia="Arial" w:hAnsi="Arial"/>
          <w:sz w:val="17"/>
          <w:szCs w:val="17"/>
          <w:color w:val="FF0000"/>
          <w:strike w:val="1"/>
        </w:rPr>
        <w:t>Sixty-Five Million One Hundred Twenty-Five Thousand Six Hundred Ten Dollars and Ninety-Six Cents ($65,125,610.96</w:t>
      </w:r>
      <w:r>
        <w:rPr>
          <w:rFonts w:ascii="Arial" w:cs="Arial" w:eastAsia="Arial" w:hAnsi="Arial"/>
          <w:sz w:val="17"/>
          <w:szCs w:val="17"/>
          <w:u w:val="single" w:color="auto"/>
          <w:color w:val="0000FF"/>
          <w:strike w:val="1"/>
        </w:rPr>
        <w:t>sixty one million five hundred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sixty five thousand three hundred fourteen dollars and forty four cents ($61,565,314.44</w:t>
      </w:r>
      <w:r>
        <w:rPr>
          <w:rFonts w:ascii="Arial" w:cs="Arial" w:eastAsia="Arial" w:hAnsi="Arial"/>
          <w:sz w:val="17"/>
          <w:szCs w:val="17"/>
          <w:color w:val="000000"/>
          <w:strike w:val="1"/>
        </w:rPr>
        <w:t>) (the “</w:t>
      </w:r>
      <w:r>
        <w:rPr>
          <w:rFonts w:ascii="Arial" w:cs="Arial" w:eastAsia="Arial" w:hAnsi="Arial"/>
          <w:sz w:val="17"/>
          <w:szCs w:val="17"/>
          <w:i w:val="1"/>
          <w:iCs w:val="1"/>
          <w:color w:val="000000"/>
          <w:strike w:val="1"/>
        </w:rPr>
        <w:t>Base Purchase Price</w:t>
      </w:r>
      <w:r>
        <w:rPr>
          <w:rFonts w:ascii="Arial" w:cs="Arial" w:eastAsia="Arial" w:hAnsi="Arial"/>
          <w:sz w:val="17"/>
          <w:szCs w:val="17"/>
          <w:color w:val="000000"/>
          <w:strike w:val="1"/>
        </w:rPr>
        <w:t>”</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and, as adjusted pursuant to</w:t>
      </w:r>
      <w:r>
        <w:rPr>
          <w:rFonts w:ascii="Arial" w:cs="Arial" w:eastAsia="Arial" w:hAnsi="Arial"/>
          <w:sz w:val="17"/>
          <w:szCs w:val="17"/>
          <w:color w:val="0000FF"/>
          <w:strike w:val="1"/>
        </w:rPr>
        <w:t xml:space="preserve"> </w:t>
      </w:r>
      <w:r>
        <w:rPr>
          <w:rFonts w:ascii="Arial" w:cs="Arial" w:eastAsia="Arial" w:hAnsi="Arial"/>
          <w:sz w:val="17"/>
          <w:szCs w:val="17"/>
          <w:i w:val="1"/>
          <w:iCs w:val="1"/>
          <w:color w:val="FF0000"/>
          <w:strike w:val="1"/>
        </w:rPr>
        <w:t xml:space="preserve">Section 2.04 </w:t>
      </w:r>
      <w:r>
        <w:rPr>
          <w:rFonts w:ascii="Arial" w:cs="Arial" w:eastAsia="Arial" w:hAnsi="Arial"/>
          <w:sz w:val="17"/>
          <w:szCs w:val="17"/>
          <w:color w:val="FF0000"/>
          <w:strike w:val="1"/>
        </w:rPr>
        <w:t>and</w:t>
      </w:r>
      <w:r>
        <w:rPr>
          <w:rFonts w:ascii="Arial" w:cs="Arial" w:eastAsia="Arial" w:hAnsi="Arial"/>
          <w:sz w:val="17"/>
          <w:szCs w:val="17"/>
          <w:i w:val="1"/>
          <w:iCs w:val="1"/>
          <w:color w:val="FF0000"/>
          <w:strike w:val="1"/>
        </w:rPr>
        <w:t xml:space="preserve"> Section 2.05</w:t>
      </w:r>
      <w:r>
        <w:rPr>
          <w:rFonts w:ascii="Arial" w:cs="Arial" w:eastAsia="Arial" w:hAnsi="Arial"/>
          <w:sz w:val="17"/>
          <w:szCs w:val="17"/>
          <w:color w:val="FF0000"/>
          <w:strike w:val="1"/>
        </w:rPr>
        <w:t>, the “</w:t>
      </w:r>
      <w:r>
        <w:rPr>
          <w:rFonts w:ascii="Arial" w:cs="Arial" w:eastAsia="Arial" w:hAnsi="Arial"/>
          <w:sz w:val="17"/>
          <w:szCs w:val="17"/>
          <w:u w:val="single" w:color="auto"/>
          <w:color w:val="0000FF"/>
          <w:strike w:val="1"/>
        </w:rPr>
        <w:t>)</w:t>
      </w:r>
      <w:r>
        <w:rPr>
          <w:rFonts w:ascii="Arial" w:cs="Arial" w:eastAsia="Arial" w:hAnsi="Arial"/>
          <w:sz w:val="17"/>
          <w:szCs w:val="17"/>
          <w:i w:val="1"/>
          <w:iCs w:val="1"/>
          <w:color w:val="FF0000"/>
          <w:strike w:val="1"/>
        </w:rPr>
        <w:t xml:space="preserve"> </w:t>
      </w:r>
      <w:r>
        <w:rPr>
          <w:rFonts w:ascii="Arial" w:cs="Arial" w:eastAsia="Arial" w:hAnsi="Arial"/>
          <w:sz w:val="17"/>
          <w:szCs w:val="17"/>
          <w:i w:val="1"/>
          <w:iCs w:val="1"/>
          <w:u w:val="single" w:color="auto"/>
          <w:color w:val="0000FF"/>
          <w:strike w:val="1"/>
        </w:rPr>
        <w:t>less</w:t>
      </w:r>
      <w:r>
        <w:rPr>
          <w:rFonts w:ascii="Arial" w:cs="Arial" w:eastAsia="Arial" w:hAnsi="Arial"/>
          <w:sz w:val="17"/>
          <w:szCs w:val="17"/>
          <w:i w:val="1"/>
          <w:iCs w:val="1"/>
          <w:color w:val="FF0000"/>
          <w:strike w:val="1"/>
        </w:rPr>
        <w:t xml:space="preserve"> </w:t>
      </w:r>
      <w:r>
        <w:rPr>
          <w:rFonts w:ascii="Arial" w:cs="Arial" w:eastAsia="Arial" w:hAnsi="Arial"/>
          <w:sz w:val="17"/>
          <w:szCs w:val="17"/>
          <w:u w:val="single" w:color="auto"/>
          <w:color w:val="008000"/>
          <w:strike w:val="1"/>
        </w:rPr>
        <w:t>the Additional Turbine Holdback Amount</w:t>
      </w:r>
      <w:r>
        <w:rPr>
          <w:rFonts w:ascii="Arial" w:cs="Arial" w:eastAsia="Arial" w:hAnsi="Arial"/>
          <w:sz w:val="17"/>
          <w:szCs w:val="17"/>
          <w:u w:val="single" w:color="auto"/>
          <w:color w:val="0000FF"/>
          <w:strike w:val="1"/>
        </w:rPr>
        <w:t>, and (b) the Class A Interests, Purchaser, by wire transfer of</w:t>
      </w:r>
      <w:r>
        <w:rPr>
          <w:rFonts w:ascii="Arial" w:cs="Arial" w:eastAsia="Arial" w:hAnsi="Arial"/>
          <w:sz w:val="17"/>
          <w:szCs w:val="17"/>
          <w:i w:val="1"/>
          <w:iCs w:val="1"/>
          <w:color w:val="FF0000"/>
          <w:strike w:val="1"/>
        </w:rPr>
        <w:t xml:space="preserve"> </w:t>
      </w:r>
      <w:r>
        <w:rPr>
          <w:rFonts w:ascii="Arial" w:cs="Arial" w:eastAsia="Arial" w:hAnsi="Arial"/>
          <w:sz w:val="17"/>
          <w:szCs w:val="17"/>
          <w:u w:val="single" w:color="auto"/>
          <w:color w:val="0000FF"/>
          <w:strike w:val="1"/>
        </w:rPr>
        <w:t>immediately available United States funds, shall pay to Seller at the Second Closing the Class A</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Purchase Price</w:t>
      </w:r>
      <w:r>
        <w:rPr>
          <w:rFonts w:ascii="Arial" w:cs="Arial" w:eastAsia="Arial" w:hAnsi="Arial"/>
          <w:sz w:val="17"/>
          <w:szCs w:val="17"/>
          <w:color w:val="FF0000"/>
          <w:strike w:val="1"/>
        </w:rPr>
        <w:t>”)</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-177800</wp:posOffset>
            </wp:positionV>
            <wp:extent cx="539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975" cy="8255"/>
                    </a:xfrm>
                    <a:prstGeom prst="rect">
                      <a:avLst/>
                    </a:prstGeom>
                    <a:noFill/>
                  </pic:spPr>
                </pic:pic>
              </a:graphicData>
            </a:graphic>
          </wp:anchor>
        </w:drawing>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660"/>
        <w:spacing w:after="0"/>
        <w:tabs>
          <w:tab w:leader="none" w:pos="128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5"/>
          <w:szCs w:val="15"/>
          <w:b w:val="1"/>
          <w:bCs w:val="1"/>
          <w:i w:val="1"/>
          <w:iCs w:val="1"/>
          <w:color w:val="auto"/>
        </w:rPr>
        <w:t>Closing</w:t>
      </w:r>
      <w:r>
        <w:rPr>
          <w:rFonts w:ascii="Arial" w:cs="Arial" w:eastAsia="Arial" w:hAnsi="Arial"/>
          <w:sz w:val="15"/>
          <w:szCs w:val="15"/>
          <w:i w:val="1"/>
          <w:iCs w:val="1"/>
          <w:color w:val="auto"/>
        </w:rPr>
        <w:t>.</w:t>
      </w:r>
    </w:p>
    <w:p>
      <w:pPr>
        <w:spacing w:after="0" w:line="229" w:lineRule="exact"/>
        <w:rPr>
          <w:sz w:val="20"/>
          <w:szCs w:val="20"/>
          <w:color w:val="auto"/>
        </w:rPr>
      </w:pPr>
    </w:p>
    <w:p>
      <w:pPr>
        <w:jc w:val="both"/>
        <w:ind w:firstLine="1304"/>
        <w:spacing w:after="0" w:line="271" w:lineRule="auto"/>
        <w:tabs>
          <w:tab w:leader="none" w:pos="1743"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the closing of the transactions described in </w:t>
      </w:r>
      <w:r>
        <w:rPr>
          <w:rFonts w:ascii="Arial" w:cs="Arial" w:eastAsia="Arial" w:hAnsi="Arial"/>
          <w:sz w:val="17"/>
          <w:szCs w:val="17"/>
          <w:i w:val="1"/>
          <w:iCs w:val="1"/>
          <w:color w:val="auto"/>
        </w:rPr>
        <w:t>Section 2.01(</w:t>
      </w:r>
      <w:r>
        <w:rPr>
          <w:rFonts w:ascii="Arial" w:cs="Arial" w:eastAsia="Arial" w:hAnsi="Arial"/>
          <w:sz w:val="17"/>
          <w:szCs w:val="17"/>
          <w:i w:val="1"/>
          <w:iCs w:val="1"/>
          <w:u w:val="single" w:color="auto"/>
          <w:color w:val="0000FF"/>
        </w:rPr>
        <w:t>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t>
      </w:r>
      <w:r>
        <w:rPr>
          <w:rFonts w:ascii="Arial" w:cs="Arial" w:eastAsia="Arial" w:hAnsi="Arial"/>
          <w:sz w:val="17"/>
          <w:szCs w:val="17"/>
          <w:color w:val="auto"/>
        </w:rPr>
        <w:t>the “</w:t>
      </w:r>
      <w:r>
        <w:rPr>
          <w:rFonts w:ascii="Arial" w:cs="Arial" w:eastAsia="Arial" w:hAnsi="Arial"/>
          <w:sz w:val="17"/>
          <w:szCs w:val="17"/>
          <w:i w:val="1"/>
          <w:iCs w:val="1"/>
          <w:color w:val="auto"/>
        </w:rPr>
        <w:t>Closing</w:t>
      </w:r>
      <w:r>
        <w:rPr>
          <w:rFonts w:ascii="Arial" w:cs="Arial" w:eastAsia="Arial" w:hAnsi="Arial"/>
          <w:sz w:val="17"/>
          <w:szCs w:val="17"/>
          <w:color w:val="auto"/>
        </w:rPr>
        <w:t xml:space="preserve">”) </w:t>
      </w:r>
      <w:r>
        <w:rPr>
          <w:rFonts w:ascii="Arial" w:cs="Arial" w:eastAsia="Arial" w:hAnsi="Arial"/>
          <w:sz w:val="17"/>
          <w:szCs w:val="17"/>
          <w:color w:val="FF0000"/>
          <w:strike w:val="1"/>
        </w:rPr>
        <w:t>will</w:t>
      </w:r>
      <w:r>
        <w:rPr>
          <w:rFonts w:ascii="Arial" w:cs="Arial" w:eastAsia="Arial" w:hAnsi="Arial"/>
          <w:sz w:val="17"/>
          <w:szCs w:val="17"/>
          <w:u w:val="single" w:color="auto"/>
          <w:color w:val="0000FF"/>
        </w:rPr>
        <w:t>and</w:t>
      </w:r>
      <w:r>
        <w:rPr>
          <w:rFonts w:ascii="Arial" w:cs="Arial" w:eastAsia="Arial" w:hAnsi="Arial"/>
          <w:sz w:val="17"/>
          <w:szCs w:val="17"/>
          <w:color w:val="FF0000"/>
        </w:rPr>
        <w:t xml:space="preserve"> </w:t>
      </w:r>
      <w:r>
        <w:rPr>
          <w:rFonts w:ascii="Arial" w:cs="Arial" w:eastAsia="Arial" w:hAnsi="Arial"/>
          <w:sz w:val="17"/>
          <w:szCs w:val="17"/>
          <w:i w:val="1"/>
          <w:iCs w:val="1"/>
          <w:u w:val="single" w:color="auto"/>
          <w:color w:val="0000FF"/>
        </w:rPr>
        <w:t>Section 2.01(b)</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(the “</w:t>
      </w:r>
      <w:r>
        <w:rPr>
          <w:rFonts w:ascii="Arial" w:cs="Arial" w:eastAsia="Arial" w:hAnsi="Arial"/>
          <w:sz w:val="17"/>
          <w:szCs w:val="17"/>
          <w:i w:val="1"/>
          <w:iCs w:val="1"/>
          <w:u w:val="single" w:color="auto"/>
          <w:color w:val="0000FF"/>
        </w:rPr>
        <w:t>Second Closing</w:t>
      </w:r>
      <w:r>
        <w:rPr>
          <w:rFonts w:ascii="Arial" w:cs="Arial" w:eastAsia="Arial" w:hAnsi="Arial"/>
          <w:sz w:val="17"/>
          <w:szCs w:val="17"/>
          <w:u w:val="single" w:color="auto"/>
          <w:color w:val="0000FF"/>
        </w:rPr>
        <w:t>”) will each</w:t>
      </w:r>
      <w:r>
        <w:rPr>
          <w:rFonts w:ascii="Arial" w:cs="Arial" w:eastAsia="Arial" w:hAnsi="Arial"/>
          <w:sz w:val="17"/>
          <w:szCs w:val="17"/>
          <w:color w:val="FF0000"/>
        </w:rPr>
        <w:t xml:space="preserve"> </w:t>
      </w:r>
      <w:r>
        <w:rPr>
          <w:rFonts w:ascii="Arial" w:cs="Arial" w:eastAsia="Arial" w:hAnsi="Arial"/>
          <w:sz w:val="17"/>
          <w:szCs w:val="17"/>
          <w:color w:val="000000"/>
        </w:rPr>
        <w:t>take place remotely via the electronic exchange of documents and signatures no later than (</w:t>
      </w:r>
      <w:r>
        <w:rPr>
          <w:rFonts w:ascii="Arial" w:cs="Arial" w:eastAsia="Arial" w:hAnsi="Arial"/>
          <w:sz w:val="17"/>
          <w:szCs w:val="17"/>
          <w:i w:val="1"/>
          <w:iCs w:val="1"/>
          <w:color w:val="FF0000"/>
          <w:strike w:val="1"/>
        </w:rPr>
        <w:t>a</w:t>
      </w:r>
      <w:r>
        <w:rPr>
          <w:rFonts w:ascii="Arial" w:cs="Arial" w:eastAsia="Arial" w:hAnsi="Arial"/>
          <w:sz w:val="17"/>
          <w:szCs w:val="17"/>
          <w:i w:val="1"/>
          <w:iCs w:val="1"/>
          <w:color w:val="0000FF"/>
        </w:rPr>
        <w:t>i</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in</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respect of the Closing,</w:t>
      </w:r>
      <w:r>
        <w:rPr>
          <w:rFonts w:ascii="Arial" w:cs="Arial" w:eastAsia="Arial" w:hAnsi="Arial"/>
          <w:sz w:val="17"/>
          <w:szCs w:val="17"/>
          <w:color w:val="0000FF"/>
        </w:rPr>
        <w:t xml:space="preserve"> </w:t>
      </w:r>
      <w:r>
        <w:rPr>
          <w:rFonts w:ascii="Arial" w:cs="Arial" w:eastAsia="Arial" w:hAnsi="Arial"/>
          <w:sz w:val="17"/>
          <w:szCs w:val="17"/>
          <w:color w:val="000000"/>
        </w:rPr>
        <w:t>two (2) Business Days following the fulfillment or waiver of the conditions set forth in</w:t>
      </w:r>
      <w:r>
        <w:rPr>
          <w:rFonts w:ascii="Arial" w:cs="Arial" w:eastAsia="Arial" w:hAnsi="Arial"/>
          <w:sz w:val="17"/>
          <w:szCs w:val="17"/>
          <w:color w:val="0000FF"/>
        </w:rPr>
        <w:t xml:space="preserve"> </w:t>
      </w:r>
      <w:r>
        <w:rPr>
          <w:rFonts w:ascii="Arial" w:cs="Arial" w:eastAsia="Arial" w:hAnsi="Arial"/>
          <w:sz w:val="17"/>
          <w:szCs w:val="17"/>
          <w:i w:val="1"/>
          <w:iCs w:val="1"/>
          <w:color w:val="FF0000"/>
          <w:strike w:val="1"/>
        </w:rPr>
        <w:t>Article 4</w:t>
      </w:r>
      <w:r>
        <w:rPr>
          <w:rFonts w:ascii="Arial" w:cs="Arial" w:eastAsia="Arial" w:hAnsi="Arial"/>
          <w:sz w:val="17"/>
          <w:szCs w:val="17"/>
          <w:i w:val="1"/>
          <w:iCs w:val="1"/>
          <w:u w:val="single" w:color="auto"/>
          <w:color w:val="0000FF"/>
        </w:rPr>
        <w:t>Section 4.01</w:t>
      </w:r>
      <w:r>
        <w:rPr>
          <w:rFonts w:ascii="Arial" w:cs="Arial" w:eastAsia="Arial" w:hAnsi="Arial"/>
          <w:sz w:val="17"/>
          <w:szCs w:val="17"/>
          <w:color w:val="0000FF"/>
        </w:rPr>
        <w:t xml:space="preserve"> </w:t>
      </w:r>
      <w:r>
        <w:rPr>
          <w:rFonts w:ascii="Arial" w:cs="Arial" w:eastAsia="Arial" w:hAnsi="Arial"/>
          <w:sz w:val="17"/>
          <w:szCs w:val="17"/>
          <w:color w:val="000000"/>
        </w:rPr>
        <w:t>(other than those</w:t>
      </w:r>
      <w:r>
        <w:rPr>
          <w:rFonts w:ascii="Arial" w:cs="Arial" w:eastAsia="Arial" w:hAnsi="Arial"/>
          <w:sz w:val="17"/>
          <w:szCs w:val="17"/>
          <w:color w:val="0000FF"/>
        </w:rPr>
        <w:t xml:space="preserve"> </w:t>
      </w:r>
      <w:r>
        <w:rPr>
          <w:rFonts w:ascii="Arial" w:cs="Arial" w:eastAsia="Arial" w:hAnsi="Arial"/>
          <w:sz w:val="17"/>
          <w:szCs w:val="17"/>
          <w:color w:val="000000"/>
        </w:rPr>
        <w:t xml:space="preserve">conditions that by their nature are to be satisfied on the Closing Date) or </w:t>
      </w:r>
      <w:r>
        <w:rPr>
          <w:rFonts w:ascii="Arial" w:cs="Arial" w:eastAsia="Arial" w:hAnsi="Arial"/>
          <w:sz w:val="17"/>
          <w:szCs w:val="17"/>
          <w:color w:val="FF0000"/>
          <w:strike w:val="1"/>
        </w:rPr>
        <w:t>(</w:t>
      </w:r>
      <w:r>
        <w:rPr>
          <w:rFonts w:ascii="Arial" w:cs="Arial" w:eastAsia="Arial" w:hAnsi="Arial"/>
          <w:sz w:val="17"/>
          <w:szCs w:val="17"/>
          <w:i w:val="1"/>
          <w:iCs w:val="1"/>
          <w:color w:val="FF0000"/>
          <w:strike w:val="1"/>
        </w:rPr>
        <w:t>b</w:t>
      </w:r>
      <w:r>
        <w:rPr>
          <w:rFonts w:ascii="Arial" w:cs="Arial" w:eastAsia="Arial" w:hAnsi="Arial"/>
          <w:sz w:val="17"/>
          <w:szCs w:val="17"/>
          <w:color w:val="FF0000"/>
          <w:strike w:val="1"/>
        </w:rPr>
        <w:t>)</w:t>
      </w:r>
      <w:r>
        <w:rPr>
          <w:rFonts w:ascii="Arial" w:cs="Arial" w:eastAsia="Arial" w:hAnsi="Arial"/>
          <w:sz w:val="17"/>
          <w:szCs w:val="17"/>
          <w:color w:val="000000"/>
        </w:rPr>
        <w:t xml:space="preserve"> such other time as may be determined by mutual agreement of Seller and Purchaser (the day on which the Closing takes place being the “</w:t>
      </w:r>
      <w:r>
        <w:rPr>
          <w:rFonts w:ascii="Arial" w:cs="Arial" w:eastAsia="Arial" w:hAnsi="Arial"/>
          <w:sz w:val="17"/>
          <w:szCs w:val="17"/>
          <w:i w:val="1"/>
          <w:iCs w:val="1"/>
          <w:color w:val="000000"/>
        </w:rPr>
        <w:t>Closing Date</w:t>
      </w:r>
      <w:r>
        <w:rPr>
          <w:rFonts w:ascii="Arial" w:cs="Arial" w:eastAsia="Arial" w:hAnsi="Arial"/>
          <w:sz w:val="17"/>
          <w:szCs w:val="17"/>
          <w:color w:val="000000"/>
        </w:rPr>
        <w:t>”)</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 and (</w:t>
      </w:r>
      <w:r>
        <w:rPr>
          <w:rFonts w:ascii="Arial" w:cs="Arial" w:eastAsia="Arial" w:hAnsi="Arial"/>
          <w:sz w:val="17"/>
          <w:szCs w:val="17"/>
          <w:i w:val="1"/>
          <w:iCs w:val="1"/>
          <w:u w:val="single" w:color="auto"/>
          <w:color w:val="0000FF"/>
        </w:rPr>
        <w:t>ii</w:t>
      </w:r>
      <w:r>
        <w:rPr>
          <w:rFonts w:ascii="Arial" w:cs="Arial" w:eastAsia="Arial" w:hAnsi="Arial"/>
          <w:sz w:val="17"/>
          <w:szCs w:val="17"/>
          <w:u w:val="single" w:color="auto"/>
          <w:color w:val="0000FF"/>
        </w:rPr>
        <w:t>) in respect of the Second Closing, two (2) Business Days following</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 xml:space="preserve">the Class A Transfer and the fulfillment or waiver of the conditions set forth in </w:t>
      </w:r>
      <w:r>
        <w:rPr>
          <w:rFonts w:ascii="Arial" w:cs="Arial" w:eastAsia="Arial" w:hAnsi="Arial"/>
          <w:sz w:val="17"/>
          <w:szCs w:val="17"/>
          <w:i w:val="1"/>
          <w:iCs w:val="1"/>
          <w:u w:val="single" w:color="auto"/>
          <w:color w:val="0000FF"/>
        </w:rPr>
        <w:t>Section 4.02</w:t>
      </w:r>
      <w:r>
        <w:rPr>
          <w:rFonts w:ascii="Arial" w:cs="Arial" w:eastAsia="Arial" w:hAnsi="Arial"/>
          <w:sz w:val="17"/>
          <w:szCs w:val="17"/>
          <w:u w:val="single" w:color="auto"/>
          <w:color w:val="0000FF"/>
        </w:rPr>
        <w:t xml:space="preserve"> (other than those conditions that by their nature are to be satisfied on the Second Closing Date) or such other time as may be determined by mutual agreement of Seller and Purchaser (the day on which the Second Closing takes place being the “</w:t>
      </w:r>
      <w:r>
        <w:rPr>
          <w:rFonts w:ascii="Arial" w:cs="Arial" w:eastAsia="Arial" w:hAnsi="Arial"/>
          <w:sz w:val="17"/>
          <w:szCs w:val="17"/>
          <w:i w:val="1"/>
          <w:iCs w:val="1"/>
          <w:u w:val="single" w:color="auto"/>
          <w:color w:val="0000FF"/>
        </w:rPr>
        <w:t>Second Closing Date</w:t>
      </w:r>
      <w:r>
        <w:rPr>
          <w:rFonts w:ascii="Arial" w:cs="Arial" w:eastAsia="Arial" w:hAnsi="Arial"/>
          <w:sz w:val="17"/>
          <w:szCs w:val="17"/>
          <w:u w:val="single" w:color="auto"/>
          <w:color w:val="0000FF"/>
        </w:rPr>
        <w:t>”).</w:t>
      </w:r>
    </w:p>
    <w:p>
      <w:pPr>
        <w:spacing w:after="0" w:line="178" w:lineRule="exact"/>
        <w:rPr>
          <w:rFonts w:ascii="Arial" w:cs="Arial" w:eastAsia="Arial" w:hAnsi="Arial"/>
          <w:sz w:val="17"/>
          <w:szCs w:val="17"/>
          <w:color w:val="auto"/>
        </w:rPr>
      </w:pPr>
    </w:p>
    <w:p>
      <w:pPr>
        <w:ind w:left="1960" w:hanging="656"/>
        <w:spacing w:after="0"/>
        <w:tabs>
          <w:tab w:leader="none" w:pos="19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At the Closing, the following shall occur:</w:t>
      </w:r>
    </w:p>
    <w:p>
      <w:pPr>
        <w:spacing w:after="0" w:line="225" w:lineRule="exact"/>
        <w:rPr>
          <w:rFonts w:ascii="Arial" w:cs="Arial" w:eastAsia="Arial" w:hAnsi="Arial"/>
          <w:sz w:val="18"/>
          <w:szCs w:val="18"/>
          <w:color w:val="auto"/>
        </w:rPr>
      </w:pPr>
    </w:p>
    <w:p>
      <w:pPr>
        <w:jc w:val="both"/>
        <w:ind w:left="660" w:firstLine="1292"/>
        <w:spacing w:after="0" w:line="274" w:lineRule="auto"/>
        <w:tabs>
          <w:tab w:leader="none" w:pos="2396" w:val="left"/>
        </w:tabs>
        <w:numPr>
          <w:ilvl w:val="2"/>
          <w:numId w:val="90"/>
        </w:numPr>
        <w:rPr>
          <w:rFonts w:ascii="Arial" w:cs="Arial" w:eastAsia="Arial" w:hAnsi="Arial"/>
          <w:sz w:val="17"/>
          <w:szCs w:val="17"/>
          <w:color w:val="auto"/>
        </w:rPr>
      </w:pPr>
      <w:r>
        <w:rPr>
          <w:rFonts w:ascii="Arial" w:cs="Arial" w:eastAsia="Arial" w:hAnsi="Arial"/>
          <w:sz w:val="17"/>
          <w:szCs w:val="17"/>
          <w:color w:val="auto"/>
        </w:rPr>
        <w:t xml:space="preserve">Purchaser shall pay the </w:t>
      </w:r>
      <w:r>
        <w:rPr>
          <w:rFonts w:ascii="Arial" w:cs="Arial" w:eastAsia="Arial" w:hAnsi="Arial"/>
          <w:sz w:val="17"/>
          <w:szCs w:val="17"/>
          <w:u w:val="single" w:color="auto"/>
          <w:color w:val="0000FF"/>
        </w:rPr>
        <w:t>Base</w:t>
      </w:r>
      <w:r>
        <w:rPr>
          <w:rFonts w:ascii="Arial" w:cs="Arial" w:eastAsia="Arial" w:hAnsi="Arial"/>
          <w:sz w:val="17"/>
          <w:szCs w:val="17"/>
          <w:color w:val="auto"/>
        </w:rPr>
        <w:t xml:space="preserve"> Purchase Price </w:t>
      </w:r>
      <w:r>
        <w:rPr>
          <w:rFonts w:ascii="Arial" w:cs="Arial" w:eastAsia="Arial" w:hAnsi="Arial"/>
          <w:sz w:val="17"/>
          <w:szCs w:val="17"/>
          <w:i w:val="1"/>
          <w:iCs w:val="1"/>
          <w:u w:val="single" w:color="auto"/>
          <w:color w:val="0000FF"/>
        </w:rPr>
        <w:t>less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Additional Turbine Holdback Amount</w:t>
      </w:r>
      <w:r>
        <w:rPr>
          <w:rFonts w:ascii="Arial" w:cs="Arial" w:eastAsia="Arial" w:hAnsi="Arial"/>
          <w:sz w:val="17"/>
          <w:szCs w:val="17"/>
          <w:color w:val="auto"/>
        </w:rPr>
        <w:t xml:space="preserve"> by wire transfer of immediately available funds to Seller’s account, which account shall be communicated by Seller to Purchaser in writing no later than two</w:t>
      </w:r>
    </w:p>
    <w:p>
      <w:pPr>
        <w:ind w:left="920" w:hanging="264"/>
        <w:spacing w:after="0"/>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Business Days prior to the Closing;</w:t>
      </w:r>
    </w:p>
    <w:p>
      <w:pPr>
        <w:spacing w:after="0" w:line="210" w:lineRule="exact"/>
        <w:rPr>
          <w:rFonts w:ascii="Arial" w:cs="Arial" w:eastAsia="Arial" w:hAnsi="Arial"/>
          <w:sz w:val="18"/>
          <w:szCs w:val="18"/>
          <w:color w:val="auto"/>
        </w:rPr>
      </w:pPr>
    </w:p>
    <w:p>
      <w:pPr>
        <w:ind w:left="2420" w:hanging="468"/>
        <w:spacing w:after="0"/>
        <w:tabs>
          <w:tab w:leader="none" w:pos="2420" w:val="left"/>
        </w:tabs>
        <w:numPr>
          <w:ilvl w:val="2"/>
          <w:numId w:val="91"/>
        </w:numPr>
        <w:rPr>
          <w:rFonts w:ascii="Arial" w:cs="Arial" w:eastAsia="Arial" w:hAnsi="Arial"/>
          <w:sz w:val="16"/>
          <w:szCs w:val="16"/>
          <w:color w:val="auto"/>
        </w:rPr>
      </w:pPr>
      <w:r>
        <w:rPr>
          <w:rFonts w:ascii="Arial" w:cs="Arial" w:eastAsia="Arial" w:hAnsi="Arial"/>
          <w:sz w:val="16"/>
          <w:szCs w:val="16"/>
          <w:color w:val="auto"/>
        </w:rPr>
        <w:t>The Parties shall deliver, or cause to be delivered, to the other Party the certificates and other deliverables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i w:val="1"/>
          <w:iCs w:val="1"/>
          <w:color w:val="FF0000"/>
          <w:strike w:val="1"/>
        </w:rPr>
        <w:t>Article 4</w:t>
      </w:r>
      <w:r>
        <w:rPr>
          <w:rFonts w:ascii="Arial" w:cs="Arial" w:eastAsia="Arial" w:hAnsi="Arial"/>
          <w:sz w:val="18"/>
          <w:szCs w:val="18"/>
          <w:i w:val="1"/>
          <w:iCs w:val="1"/>
          <w:u w:val="single" w:color="auto"/>
          <w:color w:val="0000FF"/>
        </w:rPr>
        <w:t>Section 4.01</w:t>
      </w:r>
      <w:r>
        <w:rPr>
          <w:rFonts w:ascii="Arial" w:cs="Arial" w:eastAsia="Arial" w:hAnsi="Arial"/>
          <w:sz w:val="18"/>
          <w:szCs w:val="18"/>
          <w:color w:val="000000"/>
        </w:rPr>
        <w:t>;</w:t>
      </w:r>
    </w:p>
    <w:p>
      <w:pPr>
        <w:spacing w:after="0" w:line="210" w:lineRule="exact"/>
        <w:rPr>
          <w:rFonts w:ascii="Arial" w:cs="Arial" w:eastAsia="Arial" w:hAnsi="Arial"/>
          <w:sz w:val="16"/>
          <w:szCs w:val="16"/>
          <w:color w:val="auto"/>
        </w:rPr>
      </w:pPr>
    </w:p>
    <w:p>
      <w:pPr>
        <w:ind w:left="660" w:firstLine="1292"/>
        <w:spacing w:after="0" w:line="277" w:lineRule="auto"/>
        <w:tabs>
          <w:tab w:leader="none" w:pos="2447" w:val="left"/>
        </w:tabs>
        <w:numPr>
          <w:ilvl w:val="2"/>
          <w:numId w:val="91"/>
        </w:numPr>
        <w:rPr>
          <w:rFonts w:ascii="Arial" w:cs="Arial" w:eastAsia="Arial" w:hAnsi="Arial"/>
          <w:sz w:val="18"/>
          <w:szCs w:val="18"/>
          <w:color w:val="auto"/>
        </w:rPr>
      </w:pPr>
      <w:r>
        <w:rPr>
          <w:rFonts w:ascii="Arial" w:cs="Arial" w:eastAsia="Arial" w:hAnsi="Arial"/>
          <w:sz w:val="18"/>
          <w:szCs w:val="18"/>
          <w:color w:val="auto"/>
        </w:rPr>
        <w:t xml:space="preserve">The execution by both Parties of the Assignment of Membership Interests and all other agreements, documents, instruments or certificates required to be delivered at or prior to the Closing pursuant to </w:t>
      </w:r>
      <w:r>
        <w:rPr>
          <w:rFonts w:ascii="Arial" w:cs="Arial" w:eastAsia="Arial" w:hAnsi="Arial"/>
          <w:sz w:val="18"/>
          <w:szCs w:val="18"/>
          <w:i w:val="1"/>
          <w:iCs w:val="1"/>
          <w:color w:val="FF0000"/>
          <w:strike w:val="1"/>
        </w:rPr>
        <w:t>Article 4</w:t>
      </w:r>
      <w:r>
        <w:rPr>
          <w:rFonts w:ascii="Arial" w:cs="Arial" w:eastAsia="Arial" w:hAnsi="Arial"/>
          <w:sz w:val="18"/>
          <w:szCs w:val="18"/>
          <w:i w:val="1"/>
          <w:iCs w:val="1"/>
          <w:u w:val="single" w:color="auto"/>
          <w:color w:val="0000FF"/>
        </w:rPr>
        <w:t>Section 4.01</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firstLine="1292"/>
        <w:spacing w:after="0" w:line="277" w:lineRule="auto"/>
        <w:tabs>
          <w:tab w:leader="none" w:pos="2441" w:val="left"/>
        </w:tabs>
        <w:numPr>
          <w:ilvl w:val="2"/>
          <w:numId w:val="91"/>
        </w:numPr>
        <w:rPr>
          <w:rFonts w:ascii="Arial" w:cs="Arial" w:eastAsia="Arial" w:hAnsi="Arial"/>
          <w:sz w:val="18"/>
          <w:szCs w:val="18"/>
          <w:color w:val="auto"/>
        </w:rPr>
      </w:pPr>
      <w:r>
        <w:rPr>
          <w:rFonts w:ascii="Arial" w:cs="Arial" w:eastAsia="Arial" w:hAnsi="Arial"/>
          <w:sz w:val="18"/>
          <w:szCs w:val="18"/>
          <w:color w:val="auto"/>
        </w:rPr>
        <w:t>Seller shall deliver to Purchaser a certificate or certificates representing the Acquired Interests, duly endorsed for transfer to Purchaser or accompanied by one or more membership interests powers duly endorsed for transfer to Purchaser.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91"/>
        </w:numPr>
        <w:rPr>
          <w:rFonts w:ascii="Arial" w:cs="Arial" w:eastAsia="Arial" w:hAnsi="Arial"/>
          <w:sz w:val="18"/>
          <w:szCs w:val="18"/>
          <w:color w:val="0000FF"/>
        </w:rPr>
      </w:pPr>
      <w:r>
        <w:rPr>
          <w:rFonts w:ascii="Arial" w:cs="Arial" w:eastAsia="Arial" w:hAnsi="Arial"/>
          <w:sz w:val="18"/>
          <w:szCs w:val="18"/>
          <w:u w:val="single" w:color="auto"/>
          <w:color w:val="0000FF"/>
        </w:rPr>
        <w:t>At the Second Closing, the following shall occur:</w:t>
      </w:r>
    </w:p>
    <w:p>
      <w:pPr>
        <w:spacing w:after="0" w:line="225" w:lineRule="exact"/>
        <w:rPr>
          <w:rFonts w:ascii="Arial" w:cs="Arial" w:eastAsia="Arial" w:hAnsi="Arial"/>
          <w:sz w:val="18"/>
          <w:szCs w:val="18"/>
          <w:color w:val="0000FF"/>
        </w:rPr>
      </w:pPr>
    </w:p>
    <w:p>
      <w:pPr>
        <w:ind w:left="660" w:firstLine="1292"/>
        <w:spacing w:after="0" w:line="308" w:lineRule="auto"/>
        <w:tabs>
          <w:tab w:leader="none" w:pos="2396" w:val="left"/>
        </w:tabs>
        <w:numPr>
          <w:ilvl w:val="2"/>
          <w:numId w:val="92"/>
        </w:numPr>
        <w:rPr>
          <w:rFonts w:ascii="Arial" w:cs="Arial" w:eastAsia="Arial" w:hAnsi="Arial"/>
          <w:sz w:val="17"/>
          <w:szCs w:val="17"/>
          <w:color w:val="0000FF"/>
        </w:rPr>
      </w:pPr>
      <w:r>
        <w:rPr>
          <w:rFonts w:ascii="Arial" w:cs="Arial" w:eastAsia="Arial" w:hAnsi="Arial"/>
          <w:sz w:val="17"/>
          <w:szCs w:val="17"/>
          <w:u w:val="single" w:color="auto"/>
          <w:color w:val="0000FF"/>
        </w:rPr>
        <w:t>Purchaser shall pay the Class A Purchase Price by wire transfer of immediately available funds to Seller’s account, which account shall be communicated by Seller to Purchaser in writing no later than two (2) Business Days prior to the Second Closing;</w:t>
      </w:r>
    </w:p>
    <w:p>
      <w:pPr>
        <w:spacing w:after="0" w:line="146" w:lineRule="exact"/>
        <w:rPr>
          <w:rFonts w:ascii="Arial" w:cs="Arial" w:eastAsia="Arial" w:hAnsi="Arial"/>
          <w:sz w:val="17"/>
          <w:szCs w:val="17"/>
          <w:color w:val="0000FF"/>
        </w:rPr>
      </w:pPr>
    </w:p>
    <w:p>
      <w:pPr>
        <w:ind w:left="660" w:right="20" w:firstLine="1292"/>
        <w:spacing w:after="0" w:line="277" w:lineRule="auto"/>
        <w:tabs>
          <w:tab w:leader="none" w:pos="2423" w:val="left"/>
        </w:tabs>
        <w:numPr>
          <w:ilvl w:val="2"/>
          <w:numId w:val="92"/>
        </w:numPr>
        <w:rPr>
          <w:rFonts w:ascii="Arial" w:cs="Arial" w:eastAsia="Arial" w:hAnsi="Arial"/>
          <w:sz w:val="18"/>
          <w:szCs w:val="18"/>
          <w:color w:val="0000FF"/>
        </w:rPr>
      </w:pPr>
      <w:r>
        <w:rPr>
          <w:rFonts w:ascii="Arial" w:cs="Arial" w:eastAsia="Arial" w:hAnsi="Arial"/>
          <w:sz w:val="18"/>
          <w:szCs w:val="18"/>
          <w:u w:val="single" w:color="auto"/>
          <w:color w:val="0000FF"/>
        </w:rPr>
        <w:t xml:space="preserve">The execution by both Parties of the Assignment of Membership Interests and all other agreements, documents, instruments or certificates required to be delivered at or prior to the Second Closing pursuant to </w:t>
      </w:r>
      <w:r>
        <w:rPr>
          <w:rFonts w:ascii="Arial" w:cs="Arial" w:eastAsia="Arial" w:hAnsi="Arial"/>
          <w:sz w:val="18"/>
          <w:szCs w:val="18"/>
          <w:i w:val="1"/>
          <w:iCs w:val="1"/>
          <w:u w:val="single" w:color="auto"/>
          <w:color w:val="0000FF"/>
        </w:rPr>
        <w:t>Section 4.02</w:t>
      </w:r>
      <w:r>
        <w:rPr>
          <w:rFonts w:ascii="Arial" w:cs="Arial" w:eastAsia="Arial" w:hAnsi="Arial"/>
          <w:sz w:val="18"/>
          <w:szCs w:val="18"/>
          <w:u w:val="single" w:color="auto"/>
          <w:color w:val="0000FF"/>
        </w:rPr>
        <w:t>; and</w:t>
      </w:r>
    </w:p>
    <w:p>
      <w:pPr>
        <w:spacing w:after="0" w:line="170" w:lineRule="exact"/>
        <w:rPr>
          <w:rFonts w:ascii="Arial" w:cs="Arial" w:eastAsia="Arial" w:hAnsi="Arial"/>
          <w:sz w:val="18"/>
          <w:szCs w:val="18"/>
          <w:color w:val="0000FF"/>
        </w:rPr>
      </w:pPr>
    </w:p>
    <w:p>
      <w:pPr>
        <w:ind w:left="660" w:firstLine="1292"/>
        <w:spacing w:after="0" w:line="277" w:lineRule="auto"/>
        <w:tabs>
          <w:tab w:leader="none" w:pos="2451" w:val="left"/>
        </w:tabs>
        <w:numPr>
          <w:ilvl w:val="2"/>
          <w:numId w:val="92"/>
        </w:numPr>
        <w:rPr>
          <w:rFonts w:ascii="Arial" w:cs="Arial" w:eastAsia="Arial" w:hAnsi="Arial"/>
          <w:sz w:val="18"/>
          <w:szCs w:val="18"/>
          <w:color w:val="0000FF"/>
        </w:rPr>
      </w:pPr>
      <w:r>
        <w:rPr>
          <w:rFonts w:ascii="Arial" w:cs="Arial" w:eastAsia="Arial" w:hAnsi="Arial"/>
          <w:sz w:val="18"/>
          <w:szCs w:val="18"/>
          <w:u w:val="single" w:color="auto"/>
          <w:color w:val="0000FF"/>
        </w:rPr>
        <w:t>Seller shall deliver to Purchaser a certificate or certificates representing the Class A Interests, duly endorsed for transfer to Purchaser or accompanied by one or more membership interests powers duly endorsed for transfer to Purchaser.</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5"/>
          <w:szCs w:val="15"/>
          <w:b w:val="1"/>
          <w:bCs w:val="1"/>
          <w:i w:val="1"/>
          <w:iCs w:val="1"/>
          <w:color w:val="FF0000"/>
          <w:strike w:val="1"/>
        </w:rPr>
        <w:t>Adjusted Purchase Price Amount</w:t>
      </w:r>
      <w:r>
        <w:rPr>
          <w:rFonts w:ascii="Arial" w:cs="Arial" w:eastAsia="Arial" w:hAnsi="Arial"/>
          <w:sz w:val="15"/>
          <w:szCs w:val="15"/>
          <w:b w:val="1"/>
          <w:bCs w:val="1"/>
          <w:i w:val="1"/>
          <w:iCs w:val="1"/>
          <w:u w:val="single" w:color="auto"/>
          <w:color w:val="0000FF"/>
          <w:strike w:val="1"/>
        </w:rPr>
        <w:t>[Reserved]</w:t>
      </w:r>
      <w:r>
        <w:rPr>
          <w:rFonts w:ascii="Arial" w:cs="Arial" w:eastAsia="Arial" w:hAnsi="Arial"/>
          <w:sz w:val="15"/>
          <w:szCs w:val="15"/>
          <w:color w:val="000000"/>
          <w:strike w:val="1"/>
        </w:rPr>
        <w:t>.</w:t>
      </w:r>
    </w:p>
    <w:p>
      <w:pPr>
        <w:spacing w:after="0" w:line="229" w:lineRule="exact"/>
        <w:rPr>
          <w:sz w:val="20"/>
          <w:szCs w:val="20"/>
          <w:color w:val="auto"/>
        </w:rPr>
      </w:pPr>
    </w:p>
    <w:p>
      <w:pPr>
        <w:ind w:firstLine="1304"/>
        <w:spacing w:after="0" w:line="277" w:lineRule="auto"/>
        <w:tabs>
          <w:tab w:leader="none" w:pos="1743" w:val="left"/>
        </w:tabs>
        <w:numPr>
          <w:ilvl w:val="0"/>
          <w:numId w:val="93"/>
        </w:numPr>
        <w:rPr>
          <w:rFonts w:ascii="Arial" w:cs="Arial" w:eastAsia="Arial" w:hAnsi="Arial"/>
          <w:sz w:val="18"/>
          <w:szCs w:val="18"/>
          <w:color w:val="FF0000"/>
        </w:rPr>
      </w:pPr>
      <w:r>
        <w:rPr>
          <w:rFonts w:ascii="Arial" w:cs="Arial" w:eastAsia="Arial" w:hAnsi="Arial"/>
          <w:sz w:val="18"/>
          <w:szCs w:val="18"/>
          <w:color w:val="FF0000"/>
          <w:strike w:val="1"/>
        </w:rPr>
        <w:t>No less than five (5) Business Days prior to the Closing Date, Seller shall provide to Purchaser an Adjusted Purchase Price Model for purposes of calculating the Adjusted Purchase Price Amount.</w:t>
      </w:r>
    </w:p>
    <w:p>
      <w:pPr>
        <w:spacing w:after="0" w:line="170" w:lineRule="exact"/>
        <w:rPr>
          <w:rFonts w:ascii="Arial" w:cs="Arial" w:eastAsia="Arial" w:hAnsi="Arial"/>
          <w:sz w:val="18"/>
          <w:szCs w:val="18"/>
          <w:color w:val="FF0000"/>
        </w:rPr>
      </w:pPr>
    </w:p>
    <w:p>
      <w:pPr>
        <w:jc w:val="both"/>
        <w:ind w:firstLine="1304"/>
        <w:spacing w:after="0" w:line="311" w:lineRule="auto"/>
        <w:tabs>
          <w:tab w:leader="none" w:pos="1753" w:val="left"/>
        </w:tabs>
        <w:numPr>
          <w:ilvl w:val="0"/>
          <w:numId w:val="93"/>
        </w:numPr>
        <w:rPr>
          <w:rFonts w:ascii="Arial" w:cs="Arial" w:eastAsia="Arial" w:hAnsi="Arial"/>
          <w:sz w:val="16"/>
          <w:szCs w:val="16"/>
          <w:color w:val="FF0000"/>
        </w:rPr>
      </w:pPr>
      <w:r>
        <w:rPr>
          <w:rFonts w:ascii="Arial" w:cs="Arial" w:eastAsia="Arial" w:hAnsi="Arial"/>
          <w:sz w:val="16"/>
          <w:szCs w:val="16"/>
          <w:color w:val="FF0000"/>
          <w:strike w:val="1"/>
        </w:rPr>
        <w:t xml:space="preserve">If the Adjusted Purchase Price Amount is positive, then </w:t>
      </w:r>
      <w:r>
        <w:rPr>
          <w:rFonts w:ascii="Arial" w:cs="Arial" w:eastAsia="Arial" w:hAnsi="Arial"/>
          <w:sz w:val="16"/>
          <w:szCs w:val="16"/>
          <w:color w:val="008000"/>
          <w:strike w:val="1"/>
        </w:rPr>
        <w:t>the Base Purchase Price shall be</w:t>
      </w:r>
      <w:r>
        <w:rPr>
          <w:rFonts w:ascii="Arial" w:cs="Arial" w:eastAsia="Arial" w:hAnsi="Arial"/>
          <w:sz w:val="16"/>
          <w:szCs w:val="16"/>
          <w:color w:val="FF0000"/>
          <w:strike w:val="1"/>
        </w:rPr>
        <w:t xml:space="preserve"> increased by the Adjusted Purchase Price Amount. If the Adjusted Purchase Price Amount is negative, then the </w:t>
      </w:r>
      <w:r>
        <w:rPr>
          <w:rFonts w:ascii="Arial" w:cs="Arial" w:eastAsia="Arial" w:hAnsi="Arial"/>
          <w:sz w:val="16"/>
          <w:szCs w:val="16"/>
          <w:color w:val="008000"/>
          <w:strike w:val="1"/>
        </w:rPr>
        <w:t>Base Purchase Price shall be</w:t>
      </w:r>
      <w:r>
        <w:rPr>
          <w:rFonts w:ascii="Arial" w:cs="Arial" w:eastAsia="Arial" w:hAnsi="Arial"/>
          <w:sz w:val="16"/>
          <w:szCs w:val="16"/>
          <w:color w:val="FF0000"/>
          <w:strike w:val="1"/>
        </w:rPr>
        <w:t xml:space="preserve"> decreased by the absolute value of the Adjusted Purchase Price Amount. Any adjustment made under this </w:t>
      </w:r>
      <w:r>
        <w:rPr>
          <w:rFonts w:ascii="Arial" w:cs="Arial" w:eastAsia="Arial" w:hAnsi="Arial"/>
          <w:sz w:val="16"/>
          <w:szCs w:val="16"/>
          <w:i w:val="1"/>
          <w:iCs w:val="1"/>
          <w:color w:val="FF0000"/>
          <w:strike w:val="1"/>
        </w:rPr>
        <w:t>Section 2.04</w:t>
      </w:r>
      <w:r>
        <w:rPr>
          <w:rFonts w:ascii="Arial" w:cs="Arial" w:eastAsia="Arial" w:hAnsi="Arial"/>
          <w:sz w:val="16"/>
          <w:szCs w:val="16"/>
          <w:color w:val="FF0000"/>
          <w:strike w:val="1"/>
        </w:rPr>
        <w:t xml:space="preserve"> will be treated as an adjustment </w:t>
      </w:r>
      <w:r>
        <w:rPr>
          <w:rFonts w:ascii="Arial" w:cs="Arial" w:eastAsia="Arial" w:hAnsi="Arial"/>
          <w:sz w:val="16"/>
          <w:szCs w:val="16"/>
          <w:color w:val="008000"/>
          <w:strike w:val="1"/>
        </w:rPr>
        <w:t>to the Base Purchase Price</w:t>
      </w:r>
      <w:r>
        <w:rPr>
          <w:rFonts w:ascii="Arial" w:cs="Arial" w:eastAsia="Arial" w:hAnsi="Arial"/>
          <w:sz w:val="16"/>
          <w:szCs w:val="16"/>
          <w:color w:val="FF0000"/>
          <w:strike w:val="1"/>
        </w:rPr>
        <w:t xml:space="preserve">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4691380</wp:posOffset>
            </wp:positionH>
            <wp:positionV relativeFrom="paragraph">
              <wp:posOffset>-101600</wp:posOffset>
            </wp:positionV>
            <wp:extent cx="285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1760" w:hanging="456"/>
        <w:spacing w:after="0"/>
        <w:tabs>
          <w:tab w:leader="none" w:pos="1760" w:val="left"/>
        </w:tabs>
        <w:numPr>
          <w:ilvl w:val="0"/>
          <w:numId w:val="94"/>
        </w:numPr>
        <w:rPr>
          <w:rFonts w:ascii="Arial" w:cs="Arial" w:eastAsia="Arial" w:hAnsi="Arial"/>
          <w:sz w:val="16"/>
          <w:szCs w:val="16"/>
          <w:color w:val="FF0000"/>
        </w:rPr>
      </w:pPr>
      <w:r>
        <w:rPr>
          <w:rFonts w:ascii="Arial" w:cs="Arial" w:eastAsia="Arial" w:hAnsi="Arial"/>
          <w:sz w:val="16"/>
          <w:szCs w:val="16"/>
          <w:color w:val="FF0000"/>
          <w:strike w:val="1"/>
        </w:rPr>
        <w:t>“</w:t>
      </w:r>
      <w:r>
        <w:rPr>
          <w:rFonts w:ascii="Arial" w:cs="Arial" w:eastAsia="Arial" w:hAnsi="Arial"/>
          <w:sz w:val="16"/>
          <w:szCs w:val="16"/>
          <w:i w:val="1"/>
          <w:iCs w:val="1"/>
          <w:color w:val="FF0000"/>
          <w:strike w:val="1"/>
        </w:rPr>
        <w:t>Adjusted Purchase Price Amount</w:t>
      </w:r>
      <w:r>
        <w:rPr>
          <w:rFonts w:ascii="Arial" w:cs="Arial" w:eastAsia="Arial" w:hAnsi="Arial"/>
          <w:sz w:val="16"/>
          <w:szCs w:val="16"/>
          <w:color w:val="FF0000"/>
          <w:strike w:val="1"/>
        </w:rPr>
        <w:t>” shall equal the number set forth in cell PP Adj Table Cell T9 of the Adjusted Purchase Price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Model.</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2.05. </w:t>
      </w:r>
      <w:r>
        <w:rPr>
          <w:rFonts w:ascii="Arial" w:cs="Arial" w:eastAsia="Arial" w:hAnsi="Arial"/>
          <w:sz w:val="17"/>
          <w:szCs w:val="17"/>
          <w:b w:val="1"/>
          <w:bCs w:val="1"/>
          <w:i w:val="1"/>
          <w:iCs w:val="1"/>
          <w:color w:val="auto"/>
        </w:rPr>
        <w:t>Post-Closing Additional Turbine Adjustments</w:t>
      </w:r>
      <w:r>
        <w:rPr>
          <w:rFonts w:ascii="Arial" w:cs="Arial" w:eastAsia="Arial" w:hAnsi="Arial"/>
          <w:sz w:val="17"/>
          <w:szCs w:val="17"/>
          <w:u w:val="single" w:color="auto"/>
          <w:color w:val="0000FF"/>
        </w:rPr>
        <w:t>. Promptly following the Additional Turbine Deadline, the Parties shall, acting reasonably,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update the Base Case Model (the “</w:t>
      </w:r>
      <w:r>
        <w:rPr>
          <w:rFonts w:ascii="Arial" w:cs="Arial" w:eastAsia="Arial" w:hAnsi="Arial"/>
          <w:sz w:val="17"/>
          <w:szCs w:val="17"/>
          <w:i w:val="1"/>
          <w:iCs w:val="1"/>
          <w:u w:val="single" w:color="auto"/>
          <w:color w:val="0000FF"/>
        </w:rPr>
        <w:t>Post-Closing Model Update</w:t>
      </w:r>
      <w:r>
        <w:rPr>
          <w:rFonts w:ascii="Arial" w:cs="Arial" w:eastAsia="Arial" w:hAnsi="Arial"/>
          <w:sz w:val="17"/>
          <w:szCs w:val="17"/>
          <w:u w:val="single" w:color="auto"/>
          <w:color w:val="0000FF"/>
        </w:rPr>
        <w:t xml:space="preserve">”) to account for differences between the existing Project Parameters as of the Additional Turbine Deadline and the Project Parameters assumed </w:t>
      </w:r>
      <w:r>
        <w:rPr>
          <w:rFonts w:ascii="Arial" w:cs="Arial" w:eastAsia="Arial" w:hAnsi="Arial"/>
          <w:sz w:val="17"/>
          <w:szCs w:val="17"/>
          <w:u w:val="single" w:color="auto"/>
          <w:color w:val="008000"/>
        </w:rPr>
        <w:t>in the Base Case Model</w:t>
      </w:r>
      <w:r>
        <w:rPr>
          <w:rFonts w:ascii="Arial" w:cs="Arial" w:eastAsia="Arial" w:hAnsi="Arial"/>
          <w:sz w:val="17"/>
          <w:szCs w:val="17"/>
          <w:u w:val="single" w:color="auto"/>
          <w:color w:val="0000FF"/>
        </w:rPr>
        <w:t xml:space="preserve"> as of the Closing Date (ignoring any impacts indemnified, satisfied or otherwise mitigated by Seller or its Affiliates without recourse to, or impact on, the Project continuing after the Additional Turbine Deadline). In the event that less than [***] Wind Turbines are Placed in Service before the Outside Date has passed, the Parties shall engage in good faith to revise the operations and maintenances expenses </w:t>
      </w:r>
      <w:r>
        <w:rPr>
          <w:rFonts w:ascii="Arial" w:cs="Arial" w:eastAsia="Arial" w:hAnsi="Arial"/>
          <w:sz w:val="17"/>
          <w:szCs w:val="17"/>
          <w:u w:val="single" w:color="auto"/>
          <w:color w:val="008000"/>
        </w:rPr>
        <w:t>in the Base Case Model</w:t>
      </w:r>
      <w:r>
        <w:rPr>
          <w:rFonts w:ascii="Arial" w:cs="Arial" w:eastAsia="Arial" w:hAnsi="Arial"/>
          <w:sz w:val="17"/>
          <w:szCs w:val="17"/>
          <w:u w:val="single" w:color="auto"/>
          <w:color w:val="0000FF"/>
        </w:rPr>
        <w:t xml:space="preserve"> commensurate with the total number of Wind Turbines actually Placed in Service as of the Outside Date and </w:t>
      </w:r>
      <w:r>
        <w:rPr>
          <w:rFonts w:ascii="Arial" w:cs="Arial" w:eastAsia="Arial" w:hAnsi="Arial"/>
          <w:sz w:val="17"/>
          <w:szCs w:val="17"/>
          <w:u w:val="single" w:color="auto"/>
          <w:color w:val="008000"/>
        </w:rPr>
        <w:t>the Base Purchase Price shall be</w:t>
      </w:r>
      <w:r>
        <w:rPr>
          <w:rFonts w:ascii="Arial" w:cs="Arial" w:eastAsia="Arial" w:hAnsi="Arial"/>
          <w:sz w:val="17"/>
          <w:szCs w:val="17"/>
          <w:u w:val="single" w:color="auto"/>
          <w:color w:val="0000FF"/>
        </w:rPr>
        <w:t xml:space="preserve"> adjusted accordingly. The </w:t>
      </w:r>
      <w:r>
        <w:rPr>
          <w:rFonts w:ascii="Arial" w:cs="Arial" w:eastAsia="Arial" w:hAnsi="Arial"/>
          <w:sz w:val="17"/>
          <w:szCs w:val="17"/>
          <w:u w:val="single" w:color="auto"/>
          <w:color w:val="008000"/>
        </w:rPr>
        <w:t>Base Purchase Price shall be</w:t>
      </w:r>
      <w:r>
        <w:rPr>
          <w:rFonts w:ascii="Arial" w:cs="Arial" w:eastAsia="Arial" w:hAnsi="Arial"/>
          <w:sz w:val="17"/>
          <w:szCs w:val="17"/>
          <w:u w:val="single" w:color="auto"/>
          <w:color w:val="0000FF"/>
        </w:rPr>
        <w:t xml:space="preserve"> updated [***]. On the date that is five (5) Business Days after the Post-Closing Model Update, the Purchaser shall pay to the Seller an amount equal to the difference between the Adjusted Base Purchase Price and the amounts paid to Seller pursuant to Section 2.02(a).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-452120</wp:posOffset>
            </wp:positionV>
            <wp:extent cx="368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830"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-314960</wp:posOffset>
            </wp:positionV>
            <wp:extent cx="28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1926590</wp:posOffset>
            </wp:positionH>
            <wp:positionV relativeFrom="paragraph">
              <wp:posOffset>-314960</wp:posOffset>
            </wp:positionV>
            <wp:extent cx="285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-314960</wp:posOffset>
            </wp:positionV>
            <wp:extent cx="285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4475480</wp:posOffset>
            </wp:positionH>
            <wp:positionV relativeFrom="paragraph">
              <wp:posOffset>-314960</wp:posOffset>
            </wp:positionV>
            <wp:extent cx="285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8" w:lineRule="exact"/>
        <w:rPr>
          <w:sz w:val="20"/>
          <w:szCs w:val="20"/>
          <w:color w:val="auto"/>
        </w:rPr>
      </w:pPr>
    </w:p>
    <w:p>
      <w:pPr>
        <w:ind w:left="1540" w:hanging="236"/>
        <w:spacing w:after="0"/>
        <w:tabs>
          <w:tab w:leader="none" w:pos="1540" w:val="left"/>
        </w:tabs>
        <w:numPr>
          <w:ilvl w:val="0"/>
          <w:numId w:val="95"/>
        </w:numPr>
        <w:rPr>
          <w:rFonts w:ascii="Arial" w:cs="Arial" w:eastAsia="Arial" w:hAnsi="Arial"/>
          <w:sz w:val="17"/>
          <w:szCs w:val="17"/>
          <w:color w:val="FF0000"/>
        </w:rPr>
      </w:pPr>
      <w:r>
        <w:rPr>
          <w:rFonts w:ascii="Arial" w:cs="Arial" w:eastAsia="Arial" w:hAnsi="Arial"/>
          <w:sz w:val="17"/>
          <w:szCs w:val="17"/>
          <w:color w:val="FF0000"/>
          <w:strike w:val="1"/>
        </w:rPr>
        <w:t xml:space="preserve">If at the Closing Date there are no Additional Turbines, then the Base Purchase Price shall not be adjusted by this </w:t>
      </w:r>
      <w:r>
        <w:rPr>
          <w:rFonts w:ascii="Arial" w:cs="Arial" w:eastAsia="Arial" w:hAnsi="Arial"/>
          <w:sz w:val="17"/>
          <w:szCs w:val="17"/>
          <w:i w:val="1"/>
          <w:iCs w:val="1"/>
          <w:color w:val="FF0000"/>
          <w:strike w:val="1"/>
        </w:rPr>
        <w:t>Section 2.05</w:t>
      </w:r>
      <w:r>
        <w:rPr>
          <w:rFonts w:ascii="Arial" w:cs="Arial" w:eastAsia="Arial" w:hAnsi="Arial"/>
          <w:sz w:val="17"/>
          <w:szCs w:val="17"/>
          <w:color w:val="FF0000"/>
          <w:strike w:val="1"/>
        </w:rPr>
        <w:t>.</w:t>
      </w:r>
    </w:p>
    <w:p>
      <w:pPr>
        <w:spacing w:after="0" w:line="236" w:lineRule="exact"/>
        <w:rPr>
          <w:rFonts w:ascii="Arial" w:cs="Arial" w:eastAsia="Arial" w:hAnsi="Arial"/>
          <w:sz w:val="17"/>
          <w:szCs w:val="17"/>
          <w:color w:val="FF0000"/>
        </w:rPr>
      </w:pPr>
    </w:p>
    <w:p>
      <w:pPr>
        <w:ind w:left="1560" w:hanging="256"/>
        <w:spacing w:after="0"/>
        <w:tabs>
          <w:tab w:leader="none" w:pos="1560" w:val="left"/>
        </w:tabs>
        <w:numPr>
          <w:ilvl w:val="0"/>
          <w:numId w:val="95"/>
        </w:numPr>
        <w:rPr>
          <w:rFonts w:ascii="Arial" w:cs="Arial" w:eastAsia="Arial" w:hAnsi="Arial"/>
          <w:sz w:val="18"/>
          <w:szCs w:val="18"/>
          <w:color w:val="FF0000"/>
        </w:rPr>
      </w:pPr>
      <w:r>
        <w:rPr>
          <w:rFonts w:ascii="Arial" w:cs="Arial" w:eastAsia="Arial" w:hAnsi="Arial"/>
          <w:sz w:val="18"/>
          <w:szCs w:val="18"/>
          <w:color w:val="FF0000"/>
          <w:strike w:val="1"/>
        </w:rPr>
        <w:t>If at the Closing Date there are any Additional Turbines, then:</w:t>
      </w:r>
    </w:p>
    <w:p>
      <w:pPr>
        <w:spacing w:after="0" w:line="225" w:lineRule="exact"/>
        <w:rPr>
          <w:rFonts w:ascii="Arial" w:cs="Arial" w:eastAsia="Arial" w:hAnsi="Arial"/>
          <w:sz w:val="18"/>
          <w:szCs w:val="18"/>
          <w:color w:val="FF0000"/>
        </w:rPr>
      </w:pPr>
    </w:p>
    <w:p>
      <w:pPr>
        <w:ind w:left="2160" w:hanging="208"/>
        <w:spacing w:after="0"/>
        <w:tabs>
          <w:tab w:leader="none" w:pos="2160" w:val="left"/>
        </w:tabs>
        <w:numPr>
          <w:ilvl w:val="1"/>
          <w:numId w:val="95"/>
        </w:numPr>
        <w:rPr>
          <w:rFonts w:ascii="Arial" w:cs="Arial" w:eastAsia="Arial" w:hAnsi="Arial"/>
          <w:sz w:val="17"/>
          <w:szCs w:val="17"/>
          <w:color w:val="FF0000"/>
        </w:rPr>
      </w:pPr>
      <w:r>
        <w:rPr>
          <w:rFonts w:ascii="Arial" w:cs="Arial" w:eastAsia="Arial" w:hAnsi="Arial"/>
          <w:sz w:val="17"/>
          <w:szCs w:val="17"/>
          <w:color w:val="FF0000"/>
          <w:strike w:val="1"/>
        </w:rPr>
        <w:t>The Base Purchase Price shall be decreased by an amount equal to the Additional Turbine Holdback Amount; and</w:t>
      </w:r>
    </w:p>
    <w:p>
      <w:pPr>
        <w:spacing w:after="0" w:line="236" w:lineRule="exact"/>
        <w:rPr>
          <w:rFonts w:ascii="Arial" w:cs="Arial" w:eastAsia="Arial" w:hAnsi="Arial"/>
          <w:sz w:val="17"/>
          <w:szCs w:val="17"/>
          <w:color w:val="FF0000"/>
        </w:rPr>
      </w:pPr>
    </w:p>
    <w:p>
      <w:pPr>
        <w:jc w:val="both"/>
        <w:ind w:left="660" w:firstLine="1292"/>
        <w:spacing w:after="0" w:line="259" w:lineRule="auto"/>
        <w:tabs>
          <w:tab w:leader="none" w:pos="2234" w:val="left"/>
        </w:tabs>
        <w:numPr>
          <w:ilvl w:val="1"/>
          <w:numId w:val="95"/>
        </w:numPr>
        <w:rPr>
          <w:rFonts w:ascii="Arial" w:cs="Arial" w:eastAsia="Arial" w:hAnsi="Arial"/>
          <w:sz w:val="18"/>
          <w:szCs w:val="18"/>
          <w:color w:val="FF0000"/>
        </w:rPr>
      </w:pPr>
      <w:r>
        <w:rPr>
          <w:rFonts w:ascii="Arial" w:cs="Arial" w:eastAsia="Arial" w:hAnsi="Arial"/>
          <w:sz w:val="18"/>
          <w:szCs w:val="18"/>
          <w:color w:val="FF0000"/>
          <w:strike w:val="1"/>
        </w:rPr>
        <w:t>If (</w:t>
      </w:r>
      <w:r>
        <w:rPr>
          <w:rFonts w:ascii="Arial" w:cs="Arial" w:eastAsia="Arial" w:hAnsi="Arial"/>
          <w:sz w:val="18"/>
          <w:szCs w:val="18"/>
          <w:i w:val="1"/>
          <w:iCs w:val="1"/>
          <w:color w:val="FF0000"/>
          <w:strike w:val="1"/>
        </w:rPr>
        <w:t>A</w:t>
      </w:r>
      <w:r>
        <w:rPr>
          <w:rFonts w:ascii="Arial" w:cs="Arial" w:eastAsia="Arial" w:hAnsi="Arial"/>
          <w:sz w:val="18"/>
          <w:szCs w:val="18"/>
          <w:color w:val="FF0000"/>
          <w:strike w:val="1"/>
        </w:rPr>
        <w:t xml:space="preserve">) there has been an adjustment to the </w:t>
      </w:r>
      <w:r>
        <w:rPr>
          <w:rFonts w:ascii="Arial" w:cs="Arial" w:eastAsia="Arial" w:hAnsi="Arial"/>
          <w:sz w:val="18"/>
          <w:szCs w:val="18"/>
          <w:color w:val="008000"/>
          <w:strike w:val="1"/>
        </w:rPr>
        <w:t>Base Purchase Price pursuant to Section</w:t>
      </w:r>
      <w:r>
        <w:rPr>
          <w:rFonts w:ascii="Arial" w:cs="Arial" w:eastAsia="Arial" w:hAnsi="Arial"/>
          <w:sz w:val="18"/>
          <w:szCs w:val="18"/>
          <w:color w:val="FF0000"/>
          <w:strike w:val="1"/>
        </w:rPr>
        <w:t xml:space="preserve"> </w:t>
      </w:r>
      <w:r>
        <w:rPr>
          <w:rFonts w:ascii="Arial" w:cs="Arial" w:eastAsia="Arial" w:hAnsi="Arial"/>
          <w:sz w:val="18"/>
          <w:szCs w:val="18"/>
          <w:i w:val="1"/>
          <w:iCs w:val="1"/>
          <w:color w:val="008000"/>
          <w:strike w:val="1"/>
        </w:rPr>
        <w:t>2.05</w:t>
      </w:r>
      <w:r>
        <w:rPr>
          <w:rFonts w:ascii="Arial" w:cs="Arial" w:eastAsia="Arial" w:hAnsi="Arial"/>
          <w:sz w:val="18"/>
          <w:szCs w:val="18"/>
          <w:i w:val="1"/>
          <w:iCs w:val="1"/>
          <w:color w:val="FF0000"/>
          <w:strike w:val="1"/>
        </w:rPr>
        <w:t>(b)(i)</w:t>
      </w:r>
      <w:r>
        <w:rPr>
          <w:rFonts w:ascii="Arial" w:cs="Arial" w:eastAsia="Arial" w:hAnsi="Arial"/>
          <w:sz w:val="18"/>
          <w:szCs w:val="18"/>
          <w:color w:val="FF0000"/>
          <w:strike w:val="1"/>
        </w:rPr>
        <w:t xml:space="preserve"> above and (</w:t>
      </w:r>
      <w:r>
        <w:rPr>
          <w:rFonts w:ascii="Arial" w:cs="Arial" w:eastAsia="Arial" w:hAnsi="Arial"/>
          <w:sz w:val="18"/>
          <w:szCs w:val="18"/>
          <w:i w:val="1"/>
          <w:iCs w:val="1"/>
          <w:color w:val="FF0000"/>
          <w:strike w:val="1"/>
        </w:rPr>
        <w:t>B</w:t>
      </w:r>
      <w:r>
        <w:rPr>
          <w:rFonts w:ascii="Arial" w:cs="Arial" w:eastAsia="Arial" w:hAnsi="Arial"/>
          <w:sz w:val="18"/>
          <w:szCs w:val="18"/>
          <w:color w:val="FF0000"/>
          <w:strike w:val="1"/>
        </w:rPr>
        <w:t>) there are any Additional Turbines that have been Placed in Service during the period between the Closing Date and the Additional Turbine Deadline, Purchaser shall calculate the Additional Turbine Funding Amount and, within five (5) Business Days after the Additional Turbine Deadline, Purchaser shall pay to Seller the Additional Turbine Funding Amount.</w:t>
      </w:r>
    </w:p>
    <w:p>
      <w:pPr>
        <w:spacing w:after="0" w:line="186" w:lineRule="exact"/>
        <w:rPr>
          <w:rFonts w:ascii="Arial" w:cs="Arial" w:eastAsia="Arial" w:hAnsi="Arial"/>
          <w:sz w:val="18"/>
          <w:szCs w:val="18"/>
          <w:color w:val="FF0000"/>
        </w:rPr>
      </w:pPr>
    </w:p>
    <w:p>
      <w:pPr>
        <w:ind w:firstLine="1304"/>
        <w:spacing w:after="0" w:line="277" w:lineRule="auto"/>
        <w:tabs>
          <w:tab w:leader="none" w:pos="1567" w:val="left"/>
        </w:tabs>
        <w:numPr>
          <w:ilvl w:val="0"/>
          <w:numId w:val="95"/>
        </w:numPr>
        <w:rPr>
          <w:rFonts w:ascii="Arial" w:cs="Arial" w:eastAsia="Arial" w:hAnsi="Arial"/>
          <w:sz w:val="18"/>
          <w:szCs w:val="18"/>
          <w:color w:val="FF0000"/>
        </w:rPr>
      </w:pPr>
      <w:r>
        <w:rPr>
          <w:rFonts w:ascii="Arial" w:cs="Arial" w:eastAsia="Arial" w:hAnsi="Arial"/>
          <w:sz w:val="18"/>
          <w:szCs w:val="18"/>
          <w:color w:val="FF0000"/>
          <w:strike w:val="1"/>
        </w:rPr>
        <w:t>The “</w:t>
      </w:r>
      <w:r>
        <w:rPr>
          <w:rFonts w:ascii="Arial" w:cs="Arial" w:eastAsia="Arial" w:hAnsi="Arial"/>
          <w:sz w:val="18"/>
          <w:szCs w:val="18"/>
          <w:i w:val="1"/>
          <w:iCs w:val="1"/>
          <w:color w:val="FF0000"/>
          <w:strike w:val="1"/>
        </w:rPr>
        <w:t>Additional Turbine Funding Amount</w:t>
      </w:r>
      <w:r>
        <w:rPr>
          <w:rFonts w:ascii="Arial" w:cs="Arial" w:eastAsia="Arial" w:hAnsi="Arial"/>
          <w:sz w:val="18"/>
          <w:szCs w:val="18"/>
          <w:color w:val="FF0000"/>
          <w:strike w:val="1"/>
        </w:rPr>
        <w:t xml:space="preserve">” shall be an amount of money that is equal to the product of the Additional Turbine Amount </w:t>
      </w:r>
      <w:r>
        <w:rPr>
          <w:rFonts w:ascii="Arial" w:cs="Arial" w:eastAsia="Arial" w:hAnsi="Arial"/>
          <w:sz w:val="18"/>
          <w:szCs w:val="18"/>
          <w:i w:val="1"/>
          <w:iCs w:val="1"/>
          <w:color w:val="FF0000"/>
          <w:strike w:val="1"/>
        </w:rPr>
        <w:t>multiplied by</w:t>
      </w:r>
      <w:r>
        <w:rPr>
          <w:rFonts w:ascii="Arial" w:cs="Arial" w:eastAsia="Arial" w:hAnsi="Arial"/>
          <w:sz w:val="18"/>
          <w:szCs w:val="18"/>
          <w:color w:val="FF0000"/>
          <w:strike w:val="1"/>
        </w:rPr>
        <w:t xml:space="preserve"> the number of Additional Turbines Placed in Service by the Additional Turbine Deadline.</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2.06. </w:t>
      </w:r>
      <w:r>
        <w:rPr>
          <w:rFonts w:ascii="Arial" w:cs="Arial" w:eastAsia="Arial" w:hAnsi="Arial"/>
          <w:sz w:val="18"/>
          <w:szCs w:val="18"/>
          <w:b w:val="1"/>
          <w:bCs w:val="1"/>
          <w:i w:val="1"/>
          <w:iCs w:val="1"/>
          <w:color w:val="auto"/>
        </w:rPr>
        <w:t>Certain Proceeds</w:t>
      </w:r>
      <w:r>
        <w:rPr>
          <w:rFonts w:ascii="Arial" w:cs="Arial" w:eastAsia="Arial" w:hAnsi="Arial"/>
          <w:sz w:val="18"/>
          <w:szCs w:val="18"/>
          <w:color w:val="auto"/>
        </w:rPr>
        <w:t>. Notwithstanding anything herein to the contrary, in the event that anytime following the Final Completion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(if Purchaser receives any such payment separately and not from the Company or a Black Rock Entity) or the Company or any Black Rock Entity receives any payment with respect to any amounts released from any completion escrow account or any amounts released from adequate reserves established at or prior to the Closing Date in accordance with GAAP by the Company or any Black Rock Entity, Purchaser and Seller agree that such amount shall be retained by, or immediately refunded to, Seller.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3.01. </w:t>
      </w:r>
      <w:r>
        <w:rPr>
          <w:rFonts w:ascii="Arial" w:cs="Arial" w:eastAsia="Arial" w:hAnsi="Arial"/>
          <w:sz w:val="18"/>
          <w:szCs w:val="18"/>
          <w:b w:val="1"/>
          <w:bCs w:val="1"/>
          <w:i w:val="1"/>
          <w:iCs w:val="1"/>
          <w:color w:val="auto"/>
        </w:rPr>
        <w:t>Representations and Warranties with respect to Seller, the Company and the Black Rock Entities</w:t>
      </w:r>
      <w:r>
        <w:rPr>
          <w:rFonts w:ascii="Arial" w:cs="Arial" w:eastAsia="Arial" w:hAnsi="Arial"/>
          <w:sz w:val="18"/>
          <w:szCs w:val="18"/>
          <w:color w:val="auto"/>
        </w:rPr>
        <w:t>. Seller hereby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Purchaser, as of the Execution Date </w:t>
      </w:r>
      <w:r>
        <w:rPr>
          <w:rFonts w:ascii="Arial" w:cs="Arial" w:eastAsia="Arial" w:hAnsi="Arial"/>
          <w:sz w:val="18"/>
          <w:szCs w:val="18"/>
          <w:color w:val="FF0000"/>
          <w:strike w:val="1"/>
        </w:rPr>
        <w:t>and the</w:t>
      </w:r>
      <w:r>
        <w:rPr>
          <w:rFonts w:ascii="Arial" w:cs="Arial" w:eastAsia="Arial" w:hAnsi="Arial"/>
          <w:sz w:val="18"/>
          <w:szCs w:val="18"/>
          <w:u w:val="single" w:color="auto"/>
          <w:color w:val="0000FF"/>
        </w:rPr>
        <w:t>, the Closing Date and, solely with respect to</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Section 3.01(a)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(Existence),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Section 3.01(b)</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(Authority),</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 xml:space="preserve">Section 3.01(c) </w:t>
      </w:r>
      <w:r>
        <w:rPr>
          <w:rFonts w:ascii="Arial" w:cs="Arial" w:eastAsia="Arial" w:hAnsi="Arial"/>
          <w:sz w:val="18"/>
          <w:szCs w:val="18"/>
          <w:u w:val="single" w:color="auto"/>
          <w:color w:val="0000FF"/>
        </w:rPr>
        <w:t>(No Consent),</w:t>
      </w:r>
      <w:r>
        <w:rPr>
          <w:rFonts w:ascii="Arial" w:cs="Arial" w:eastAsia="Arial" w:hAnsi="Arial"/>
          <w:sz w:val="18"/>
          <w:szCs w:val="18"/>
          <w:i w:val="1"/>
          <w:iCs w:val="1"/>
          <w:u w:val="single" w:color="auto"/>
          <w:color w:val="0000FF"/>
        </w:rPr>
        <w:t xml:space="preserve"> Section 3.01(d)(i), 3.01(d)(iii) and 3.01(d)(iv) </w:t>
      </w:r>
      <w:r>
        <w:rPr>
          <w:rFonts w:ascii="Arial" w:cs="Arial" w:eastAsia="Arial" w:hAnsi="Arial"/>
          <w:sz w:val="18"/>
          <w:szCs w:val="18"/>
          <w:u w:val="single" w:color="auto"/>
          <w:color w:val="0000FF"/>
        </w:rPr>
        <w:t>(No Conflicts),</w:t>
      </w:r>
      <w:r>
        <w:rPr>
          <w:rFonts w:ascii="Arial" w:cs="Arial" w:eastAsia="Arial" w:hAnsi="Arial"/>
          <w:sz w:val="18"/>
          <w:szCs w:val="18"/>
          <w:i w:val="1"/>
          <w:iCs w:val="1"/>
          <w:u w:val="single" w:color="auto"/>
          <w:color w:val="0000FF"/>
        </w:rPr>
        <w:t xml:space="preserve"> Section 3.01(e) </w:t>
      </w:r>
      <w:r>
        <w:rPr>
          <w:rFonts w:ascii="Arial" w:cs="Arial" w:eastAsia="Arial" w:hAnsi="Arial"/>
          <w:sz w:val="18"/>
          <w:szCs w:val="18"/>
          <w:u w:val="single" w:color="auto"/>
          <w:color w:val="0000FF"/>
        </w:rPr>
        <w:t>(Regulatory Matters),</w:t>
      </w:r>
      <w:r>
        <w:rPr>
          <w:rFonts w:ascii="Arial" w:cs="Arial" w:eastAsia="Arial" w:hAnsi="Arial"/>
          <w:sz w:val="18"/>
          <w:szCs w:val="18"/>
          <w:i w:val="1"/>
          <w:iCs w:val="1"/>
          <w:u w:val="single" w:color="auto"/>
          <w:color w:val="0000FF"/>
        </w:rPr>
        <w:t xml:space="preserve"> Section 3.01(f) </w:t>
      </w:r>
      <w:r>
        <w:rPr>
          <w:rFonts w:ascii="Arial" w:cs="Arial" w:eastAsia="Arial" w:hAnsi="Arial"/>
          <w:sz w:val="18"/>
          <w:szCs w:val="18"/>
          <w:u w:val="single" w:color="auto"/>
          <w:color w:val="0000FF"/>
        </w:rPr>
        <w:t>(Legal</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 xml:space="preserve">Proceedings), </w:t>
      </w:r>
      <w:r>
        <w:rPr>
          <w:rFonts w:ascii="Arial" w:cs="Arial" w:eastAsia="Arial" w:hAnsi="Arial"/>
          <w:sz w:val="18"/>
          <w:szCs w:val="18"/>
          <w:i w:val="1"/>
          <w:iCs w:val="1"/>
          <w:u w:val="single" w:color="auto"/>
          <w:color w:val="0000FF"/>
        </w:rPr>
        <w:t>Section 3.01(g)</w:t>
      </w:r>
      <w:r>
        <w:rPr>
          <w:rFonts w:ascii="Arial" w:cs="Arial" w:eastAsia="Arial" w:hAnsi="Arial"/>
          <w:sz w:val="18"/>
          <w:szCs w:val="18"/>
          <w:u w:val="single" w:color="auto"/>
          <w:color w:val="0000FF"/>
        </w:rPr>
        <w:t xml:space="preserve"> (Brokers), </w:t>
      </w:r>
      <w:r>
        <w:rPr>
          <w:rFonts w:ascii="Arial" w:cs="Arial" w:eastAsia="Arial" w:hAnsi="Arial"/>
          <w:sz w:val="18"/>
          <w:szCs w:val="18"/>
          <w:i w:val="1"/>
          <w:iCs w:val="1"/>
          <w:u w:val="single" w:color="auto"/>
          <w:color w:val="0000FF"/>
        </w:rPr>
        <w:t>Sections 3.01(i)(x)</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3.01(i)(xi)</w:t>
      </w:r>
      <w:r>
        <w:rPr>
          <w:rFonts w:ascii="Arial" w:cs="Arial" w:eastAsia="Arial" w:hAnsi="Arial"/>
          <w:sz w:val="18"/>
          <w:szCs w:val="18"/>
          <w:u w:val="single" w:color="auto"/>
          <w:color w:val="0000FF"/>
        </w:rPr>
        <w:t xml:space="preserve"> and </w:t>
      </w:r>
      <w:r>
        <w:rPr>
          <w:rFonts w:ascii="Arial" w:cs="Arial" w:eastAsia="Arial" w:hAnsi="Arial"/>
          <w:sz w:val="18"/>
          <w:szCs w:val="18"/>
          <w:i w:val="1"/>
          <w:iCs w:val="1"/>
          <w:u w:val="single" w:color="auto"/>
          <w:color w:val="0000FF"/>
        </w:rPr>
        <w:t>3.01(i)(xii)</w:t>
      </w:r>
      <w:r>
        <w:rPr>
          <w:rFonts w:ascii="Arial" w:cs="Arial" w:eastAsia="Arial" w:hAnsi="Arial"/>
          <w:sz w:val="18"/>
          <w:szCs w:val="18"/>
          <w:u w:val="single" w:color="auto"/>
          <w:color w:val="0000FF"/>
        </w:rPr>
        <w:t xml:space="preserve"> (Company and the Black Rock Entities) and </w:t>
      </w:r>
      <w:r>
        <w:rPr>
          <w:rFonts w:ascii="Arial" w:cs="Arial" w:eastAsia="Arial" w:hAnsi="Arial"/>
          <w:sz w:val="18"/>
          <w:szCs w:val="18"/>
          <w:i w:val="1"/>
          <w:iCs w:val="1"/>
          <w:u w:val="single" w:color="auto"/>
          <w:color w:val="0000FF"/>
        </w:rPr>
        <w:t>Section 3.01(cc)</w:t>
      </w:r>
      <w:r>
        <w:rPr>
          <w:rFonts w:ascii="Arial" w:cs="Arial" w:eastAsia="Arial" w:hAnsi="Arial"/>
          <w:sz w:val="18"/>
          <w:szCs w:val="18"/>
          <w:u w:val="single" w:color="auto"/>
          <w:color w:val="0000FF"/>
        </w:rPr>
        <w:t xml:space="preserve"> (No Other Warranties) (collectively, the “</w:t>
      </w:r>
      <w:r>
        <w:rPr>
          <w:rFonts w:ascii="Arial" w:cs="Arial" w:eastAsia="Arial" w:hAnsi="Arial"/>
          <w:sz w:val="18"/>
          <w:szCs w:val="18"/>
          <w:i w:val="1"/>
          <w:iCs w:val="1"/>
          <w:u w:val="single" w:color="auto"/>
          <w:color w:val="0000FF"/>
        </w:rPr>
        <w:t>Seller Second Closing Representations</w:t>
      </w:r>
      <w:r>
        <w:rPr>
          <w:rFonts w:ascii="Arial" w:cs="Arial" w:eastAsia="Arial" w:hAnsi="Arial"/>
          <w:sz w:val="18"/>
          <w:szCs w:val="18"/>
          <w:u w:val="single" w:color="auto"/>
          <w:color w:val="0000FF"/>
        </w:rPr>
        <w:t>”), the Second</w:t>
      </w:r>
      <w:r>
        <w:rPr>
          <w:rFonts w:ascii="Arial" w:cs="Arial" w:eastAsia="Arial" w:hAnsi="Arial"/>
          <w:sz w:val="18"/>
          <w:szCs w:val="18"/>
          <w:color w:val="0000FF"/>
        </w:rPr>
        <w:t xml:space="preserve"> </w:t>
      </w:r>
      <w:r>
        <w:rPr>
          <w:rFonts w:ascii="Arial" w:cs="Arial" w:eastAsia="Arial" w:hAnsi="Arial"/>
          <w:sz w:val="18"/>
          <w:szCs w:val="18"/>
          <w:color w:val="000000"/>
        </w:rPr>
        <w:t>Closing Date, as follows;</w:t>
      </w:r>
      <w:r>
        <w:rPr>
          <w:rFonts w:ascii="Arial" w:cs="Arial" w:eastAsia="Arial" w:hAnsi="Arial"/>
          <w:sz w:val="18"/>
          <w:szCs w:val="18"/>
          <w:color w:val="0000FF"/>
        </w:rPr>
        <w:t xml:space="preserve"> </w:t>
      </w:r>
      <w:r>
        <w:rPr>
          <w:rFonts w:ascii="Arial" w:cs="Arial" w:eastAsia="Arial" w:hAnsi="Arial"/>
          <w:sz w:val="18"/>
          <w:szCs w:val="18"/>
          <w:i w:val="1"/>
          <w:iCs w:val="1"/>
          <w:color w:val="000000"/>
        </w:rPr>
        <w:t>provided</w:t>
      </w:r>
      <w:r>
        <w:rPr>
          <w:rFonts w:ascii="Arial" w:cs="Arial" w:eastAsia="Arial" w:hAnsi="Arial"/>
          <w:sz w:val="18"/>
          <w:szCs w:val="18"/>
          <w:color w:val="0000FF"/>
        </w:rPr>
        <w:t xml:space="preserve"> </w:t>
      </w:r>
      <w:r>
        <w:rPr>
          <w:rFonts w:ascii="Arial" w:cs="Arial" w:eastAsia="Arial" w:hAnsi="Arial"/>
          <w:sz w:val="18"/>
          <w:szCs w:val="18"/>
          <w:color w:val="000000"/>
        </w:rPr>
        <w:t>that any representation and</w:t>
      </w:r>
      <w:r>
        <w:rPr>
          <w:rFonts w:ascii="Arial" w:cs="Arial" w:eastAsia="Arial" w:hAnsi="Arial"/>
          <w:sz w:val="18"/>
          <w:szCs w:val="18"/>
          <w:color w:val="0000FF"/>
        </w:rPr>
        <w:t xml:space="preserve"> </w:t>
      </w:r>
      <w:r>
        <w:rPr>
          <w:rFonts w:ascii="Arial" w:cs="Arial" w:eastAsia="Arial" w:hAnsi="Arial"/>
          <w:sz w:val="18"/>
          <w:szCs w:val="18"/>
          <w:color w:val="000000"/>
        </w:rPr>
        <w:t xml:space="preserve">warranty set forth in this </w:t>
      </w:r>
      <w:r>
        <w:rPr>
          <w:rFonts w:ascii="Arial" w:cs="Arial" w:eastAsia="Arial" w:hAnsi="Arial"/>
          <w:sz w:val="18"/>
          <w:szCs w:val="18"/>
          <w:i w:val="1"/>
          <w:iCs w:val="1"/>
          <w:color w:val="000000"/>
        </w:rPr>
        <w:t>Section 3.01</w:t>
      </w:r>
      <w:r>
        <w:rPr>
          <w:rFonts w:ascii="Arial" w:cs="Arial" w:eastAsia="Arial" w:hAnsi="Arial"/>
          <w:sz w:val="18"/>
          <w:szCs w:val="18"/>
          <w:color w:val="000000"/>
        </w:rPr>
        <w:t xml:space="preserve"> and expressly stated to be made only as of a specified date shall be made solely as of such date</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w:t>
      </w:r>
      <w:r>
        <w:rPr>
          <w:rFonts w:ascii="Arial" w:cs="Arial" w:eastAsia="Arial" w:hAnsi="Arial"/>
          <w:sz w:val="18"/>
          <w:szCs w:val="18"/>
          <w:i w:val="1"/>
          <w:iCs w:val="1"/>
          <w:u w:val="single" w:color="auto"/>
          <w:color w:val="0000FF"/>
        </w:rPr>
        <w:t>provided further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that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in respect of each of the Seller Second Closing Representations, references to the Company and the Black Rock Entities shall be disregarded and deemed deleted.</w:t>
      </w:r>
    </w:p>
    <w:p>
      <w:pPr>
        <w:spacing w:after="0" w:line="192" w:lineRule="exact"/>
        <w:rPr>
          <w:sz w:val="20"/>
          <w:szCs w:val="20"/>
          <w:color w:val="auto"/>
        </w:rPr>
      </w:pPr>
    </w:p>
    <w:p>
      <w:pPr>
        <w:jc w:val="both"/>
        <w:ind w:firstLine="1304"/>
        <w:spacing w:after="0" w:line="289" w:lineRule="auto"/>
        <w:tabs>
          <w:tab w:leader="none" w:pos="1743" w:val="left"/>
        </w:tabs>
        <w:numPr>
          <w:ilvl w:val="1"/>
          <w:numId w:val="96"/>
        </w:numPr>
        <w:rPr>
          <w:rFonts w:ascii="Arial" w:cs="Arial" w:eastAsia="Arial" w:hAnsi="Arial"/>
          <w:sz w:val="17"/>
          <w:szCs w:val="17"/>
          <w:color w:val="auto"/>
        </w:rPr>
      </w:pPr>
      <w:r>
        <w:rPr>
          <w:rFonts w:ascii="Arial" w:cs="Arial" w:eastAsia="Arial" w:hAnsi="Arial"/>
          <w:sz w:val="17"/>
          <w:szCs w:val="17"/>
          <w:b w:val="1"/>
          <w:bCs w:val="1"/>
          <w:color w:val="auto"/>
        </w:rPr>
        <w:t>Existence</w:t>
      </w:r>
      <w:r>
        <w:rPr>
          <w:rFonts w:ascii="Arial" w:cs="Arial" w:eastAsia="Arial" w:hAnsi="Arial"/>
          <w:sz w:val="17"/>
          <w:szCs w:val="17"/>
          <w:color w:val="auto"/>
        </w:rPr>
        <w:t>. Seller is a limited liability company duly formed, validly existing and in good standing under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Seller has full power and authority to execute and deliver this Agreement and any other agreements to be executed and delivered by Seller hereunder, and to perform its obligations hereunder and thereunder and to consummate the transactions contemplated hereby and thereby.</w:t>
      </w:r>
    </w:p>
    <w:p>
      <w:pPr>
        <w:spacing w:after="0" w:line="157" w:lineRule="exact"/>
        <w:rPr>
          <w:rFonts w:ascii="Arial" w:cs="Arial" w:eastAsia="Arial" w:hAnsi="Arial"/>
          <w:sz w:val="17"/>
          <w:szCs w:val="17"/>
          <w:color w:val="auto"/>
        </w:rPr>
      </w:pPr>
    </w:p>
    <w:p>
      <w:pPr>
        <w:jc w:val="both"/>
        <w:ind w:firstLine="1304"/>
        <w:spacing w:after="0" w:line="258" w:lineRule="auto"/>
        <w:tabs>
          <w:tab w:leader="none" w:pos="1753"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Authority</w:t>
      </w:r>
      <w:r>
        <w:rPr>
          <w:rFonts w:ascii="Arial" w:cs="Arial" w:eastAsia="Arial" w:hAnsi="Arial"/>
          <w:sz w:val="18"/>
          <w:szCs w:val="18"/>
          <w:color w:val="auto"/>
        </w:rPr>
        <w:t>. All actions or proceedings necessary to authorize the execution and delivery by Seller of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3" w:lineRule="exact"/>
        <w:rPr>
          <w:rFonts w:ascii="Arial" w:cs="Arial" w:eastAsia="Arial" w:hAnsi="Arial"/>
          <w:sz w:val="18"/>
          <w:szCs w:val="18"/>
          <w:color w:val="auto"/>
        </w:rPr>
      </w:pPr>
    </w:p>
    <w:p>
      <w:pPr>
        <w:jc w:val="both"/>
        <w:ind w:firstLine="1304"/>
        <w:spacing w:after="0" w:line="277" w:lineRule="auto"/>
        <w:tabs>
          <w:tab w:leader="none" w:pos="1743" w:val="left"/>
        </w:tabs>
        <w:numPr>
          <w:ilvl w:val="1"/>
          <w:numId w:val="96"/>
        </w:numPr>
        <w:rPr>
          <w:rFonts w:ascii="Arial" w:cs="Arial" w:eastAsia="Arial" w:hAnsi="Arial"/>
          <w:sz w:val="17"/>
          <w:szCs w:val="17"/>
          <w:color w:val="auto"/>
        </w:rPr>
      </w:pPr>
      <w:r>
        <w:rPr>
          <w:rFonts w:ascii="Arial" w:cs="Arial" w:eastAsia="Arial" w:hAnsi="Arial"/>
          <w:sz w:val="17"/>
          <w:szCs w:val="17"/>
          <w:b w:val="1"/>
          <w:bCs w:val="1"/>
          <w:color w:val="auto"/>
        </w:rPr>
        <w:t>No Consent</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3.01(c)</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(the “</w:t>
      </w:r>
      <w:r>
        <w:rPr>
          <w:rFonts w:ascii="Arial" w:cs="Arial" w:eastAsia="Arial" w:hAnsi="Arial"/>
          <w:sz w:val="17"/>
          <w:szCs w:val="17"/>
          <w:i w:val="1"/>
          <w:iCs w:val="1"/>
          <w:color w:val="auto"/>
        </w:rPr>
        <w:t>Seller Consents</w:t>
      </w:r>
      <w:r>
        <w:rPr>
          <w:rFonts w:ascii="Arial" w:cs="Arial" w:eastAsia="Arial" w:hAnsi="Arial"/>
          <w:sz w:val="17"/>
          <w:szCs w:val="17"/>
          <w:color w:val="auto"/>
        </w:rPr>
        <w:t>”), and except as would not,</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67" w:lineRule="exact"/>
        <w:rPr>
          <w:rFonts w:ascii="Arial" w:cs="Arial" w:eastAsia="Arial" w:hAnsi="Arial"/>
          <w:sz w:val="17"/>
          <w:szCs w:val="17"/>
          <w:color w:val="auto"/>
        </w:rPr>
      </w:pPr>
    </w:p>
    <w:p>
      <w:pPr>
        <w:jc w:val="both"/>
        <w:ind w:firstLine="1304"/>
        <w:spacing w:after="0" w:line="253" w:lineRule="auto"/>
        <w:tabs>
          <w:tab w:leader="none" w:pos="1753"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No Conflicts</w:t>
      </w:r>
      <w:r>
        <w:rPr>
          <w:rFonts w:ascii="Arial" w:cs="Arial" w:eastAsia="Arial" w:hAnsi="Arial"/>
          <w:sz w:val="18"/>
          <w:szCs w:val="18"/>
          <w:color w:val="auto"/>
        </w:rPr>
        <w:t>. The execution, delivery and performance of this Agreement by Seller does not and will not (</w:t>
      </w:r>
      <w:r>
        <w:rPr>
          <w:rFonts w:ascii="Arial" w:cs="Arial" w:eastAsia="Arial" w:hAnsi="Arial"/>
          <w:sz w:val="18"/>
          <w:szCs w:val="18"/>
          <w:i w:val="1"/>
          <w:iCs w:val="1"/>
          <w:color w:val="auto"/>
        </w:rPr>
        <w:t>i</w:t>
      </w:r>
      <w:r>
        <w:rPr>
          <w:rFonts w:ascii="Arial" w:cs="Arial" w:eastAsia="Arial" w:hAnsi="Arial"/>
          <w:sz w:val="18"/>
          <w:szCs w:val="18"/>
          <w:color w:val="auto"/>
        </w:rPr>
        <w:t>) conflict with, result in</w:t>
      </w:r>
      <w:r>
        <w:rPr>
          <w:rFonts w:ascii="Arial" w:cs="Arial" w:eastAsia="Arial" w:hAnsi="Arial"/>
          <w:sz w:val="18"/>
          <w:szCs w:val="18"/>
          <w:b w:val="1"/>
          <w:bCs w:val="1"/>
          <w:color w:val="auto"/>
        </w:rPr>
        <w:t xml:space="preserve"> </w:t>
      </w:r>
      <w:r>
        <w:rPr>
          <w:rFonts w:ascii="Arial" w:cs="Arial" w:eastAsia="Arial" w:hAnsi="Arial"/>
          <w:sz w:val="18"/>
          <w:szCs w:val="18"/>
          <w:color w:val="auto"/>
        </w:rPr>
        <w:t>a breach of, or constitute a default under, the Constitutive Documents of Seller or the Company or any material Contract to which Seller, or Company Contract to which the Company or the Black Rock Entities, is a party; (</w:t>
      </w:r>
      <w:r>
        <w:rPr>
          <w:rFonts w:ascii="Arial" w:cs="Arial" w:eastAsia="Arial" w:hAnsi="Arial"/>
          <w:sz w:val="18"/>
          <w:szCs w:val="18"/>
          <w:i w:val="1"/>
          <w:iCs w:val="1"/>
          <w:color w:val="auto"/>
        </w:rPr>
        <w:t>ii</w:t>
      </w:r>
      <w:r>
        <w:rPr>
          <w:rFonts w:ascii="Arial" w:cs="Arial" w:eastAsia="Arial" w:hAnsi="Arial"/>
          <w:sz w:val="18"/>
          <w:szCs w:val="18"/>
          <w:color w:val="auto"/>
        </w:rPr>
        <w:t xml:space="preserve">) result in the creation of any Lien upon any of the Acquired </w:t>
      </w:r>
      <w:r>
        <w:rPr>
          <w:rFonts w:ascii="Arial" w:cs="Arial" w:eastAsia="Arial" w:hAnsi="Arial"/>
          <w:sz w:val="18"/>
          <w:szCs w:val="18"/>
          <w:u w:val="single" w:color="auto"/>
          <w:color w:val="0000FF"/>
        </w:rPr>
        <w:t>Interests or, solely 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Second Closing Date, the Class A</w:t>
      </w:r>
      <w:r>
        <w:rPr>
          <w:rFonts w:ascii="Arial" w:cs="Arial" w:eastAsia="Arial" w:hAnsi="Arial"/>
          <w:sz w:val="18"/>
          <w:szCs w:val="18"/>
          <w:color w:val="0000FF"/>
        </w:rPr>
        <w:t xml:space="preserve"> </w:t>
      </w:r>
      <w:r>
        <w:rPr>
          <w:rFonts w:ascii="Arial" w:cs="Arial" w:eastAsia="Arial" w:hAnsi="Arial"/>
          <w:sz w:val="18"/>
          <w:szCs w:val="18"/>
          <w:color w:val="000000"/>
        </w:rPr>
        <w:t>Interests or assets or properties of the Company or the Black Rock Entities; (</w:t>
      </w:r>
      <w:r>
        <w:rPr>
          <w:rFonts w:ascii="Arial" w:cs="Arial" w:eastAsia="Arial" w:hAnsi="Arial"/>
          <w:sz w:val="18"/>
          <w:szCs w:val="18"/>
          <w:i w:val="1"/>
          <w:iCs w:val="1"/>
          <w:color w:val="000000"/>
        </w:rPr>
        <w:t>iii</w:t>
      </w:r>
      <w:r>
        <w:rPr>
          <w:rFonts w:ascii="Arial" w:cs="Arial" w:eastAsia="Arial" w:hAnsi="Arial"/>
          <w:sz w:val="18"/>
          <w:szCs w:val="18"/>
          <w:color w:val="000000"/>
        </w:rPr>
        <w:t>) accelerate or modify, or give any</w:t>
      </w:r>
      <w:r>
        <w:rPr>
          <w:rFonts w:ascii="Arial" w:cs="Arial" w:eastAsia="Arial" w:hAnsi="Arial"/>
          <w:sz w:val="18"/>
          <w:szCs w:val="18"/>
          <w:color w:val="0000FF"/>
        </w:rPr>
        <w:t xml:space="preserve"> </w:t>
      </w:r>
      <w:r>
        <w:rPr>
          <w:rFonts w:ascii="Arial" w:cs="Arial" w:eastAsia="Arial" w:hAnsi="Arial"/>
          <w:sz w:val="18"/>
          <w:szCs w:val="18"/>
          <w:color w:val="000000"/>
        </w:rPr>
        <w:t>party the right to accelerate or modify, the time within which, or the terms under which, any duties or obligations are to be performed by Seller, the Company or the Black Rock Entities or any rights or benefits are to be received by any Person, under any Contract to which Seller, the Company or the Black Rock Entities is a party; or</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violate in any material respect any applicable Law.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1304"/>
        <w:spacing w:after="0" w:line="266" w:lineRule="auto"/>
        <w:tabs>
          <w:tab w:leader="none" w:pos="1743"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Regulatory Matters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w:t>
      </w:r>
      <w:r>
        <w:rPr>
          <w:rFonts w:ascii="Arial" w:cs="Arial" w:eastAsia="Arial" w:hAnsi="Arial"/>
          <w:sz w:val="18"/>
          <w:szCs w:val="18"/>
          <w:i w:val="1"/>
          <w:iCs w:val="1"/>
          <w:color w:val="auto"/>
        </w:rPr>
        <w:t>Seller Approvals</w:t>
      </w:r>
      <w:r>
        <w:rPr>
          <w:rFonts w:ascii="Arial" w:cs="Arial" w:eastAsia="Arial" w:hAnsi="Arial"/>
          <w:sz w:val="18"/>
          <w:szCs w:val="18"/>
          <w:color w:val="auto"/>
        </w:rPr>
        <w:t>”), no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is required on the part of Seller, the Company or the Black Rock Entities in connection with the execution, delivery and performance of this Agreement or the consummation of the transactions contemplated by this Agreement.</w:t>
      </w:r>
    </w:p>
    <w:p>
      <w:pPr>
        <w:spacing w:after="0" w:line="175" w:lineRule="exact"/>
        <w:rPr>
          <w:rFonts w:ascii="Arial" w:cs="Arial" w:eastAsia="Arial" w:hAnsi="Arial"/>
          <w:sz w:val="18"/>
          <w:szCs w:val="18"/>
          <w:color w:val="auto"/>
        </w:rPr>
      </w:pPr>
    </w:p>
    <w:p>
      <w:pPr>
        <w:jc w:val="both"/>
        <w:ind w:firstLine="1304"/>
        <w:spacing w:after="0" w:line="272" w:lineRule="auto"/>
        <w:tabs>
          <w:tab w:leader="none" w:pos="1746"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 Except as set forth in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3.01(f)</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and except for Actions or Proceedings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 of Environmental Laws that are governed exclusively by </w:t>
      </w:r>
      <w:r>
        <w:rPr>
          <w:rFonts w:ascii="Arial" w:cs="Arial" w:eastAsia="Arial" w:hAnsi="Arial"/>
          <w:sz w:val="17"/>
          <w:szCs w:val="17"/>
          <w:i w:val="1"/>
          <w:iCs w:val="1"/>
          <w:color w:val="auto"/>
        </w:rPr>
        <w:t>Section 3.01(p)(ii)</w:t>
      </w:r>
      <w:r>
        <w:rPr>
          <w:rFonts w:ascii="Arial" w:cs="Arial" w:eastAsia="Arial" w:hAnsi="Arial"/>
          <w:sz w:val="17"/>
          <w:szCs w:val="17"/>
          <w:color w:val="auto"/>
        </w:rPr>
        <w:t>, there are no Actions or Proceedings pending or, to the Knowledge of Seller, threatened, as of the date of this Agreement against Seller, the Company or the Black Rock Entities that (</w:t>
      </w:r>
      <w:r>
        <w:rPr>
          <w:rFonts w:ascii="Arial" w:cs="Arial" w:eastAsia="Arial" w:hAnsi="Arial"/>
          <w:sz w:val="17"/>
          <w:szCs w:val="17"/>
          <w:i w:val="1"/>
          <w:iCs w:val="1"/>
          <w:color w:val="auto"/>
        </w:rPr>
        <w:t>i</w:t>
      </w:r>
      <w:r>
        <w:rPr>
          <w:rFonts w:ascii="Arial" w:cs="Arial" w:eastAsia="Arial" w:hAnsi="Arial"/>
          <w:sz w:val="17"/>
          <w:szCs w:val="17"/>
          <w:color w:val="auto"/>
        </w:rPr>
        <w:t>) affect Seller, the Company or the Black Rock Entities or any of their assets or properties (including the Project), except, solely in respect of Seller, which would not reasonably be expected to have a material adverse effect on Seller’s ability to perform under this Agreement or (</w:t>
      </w:r>
      <w:r>
        <w:rPr>
          <w:rFonts w:ascii="Arial" w:cs="Arial" w:eastAsia="Arial" w:hAnsi="Arial"/>
          <w:sz w:val="17"/>
          <w:szCs w:val="17"/>
          <w:i w:val="1"/>
          <w:iCs w:val="1"/>
          <w:color w:val="auto"/>
        </w:rPr>
        <w:t>ii</w:t>
      </w:r>
      <w:r>
        <w:rPr>
          <w:rFonts w:ascii="Arial" w:cs="Arial" w:eastAsia="Arial" w:hAnsi="Arial"/>
          <w:sz w:val="17"/>
          <w:szCs w:val="17"/>
          <w:color w:val="auto"/>
        </w:rPr>
        <w:t>) would reasonably be expected to result in the issuance of an Order restraining, enjoining or otherwise prohibiting or making illegal the consummation of any of the transactions contemplated by this Agreement. None of Seller, the Company or the Black Rock Entities is subject to any Order which materially restricts the operation of its business or which would reasonably be expected to have a Material Adverse Effect.</w:t>
      </w:r>
    </w:p>
    <w:p>
      <w:pPr>
        <w:spacing w:after="0" w:line="171" w:lineRule="exact"/>
        <w:rPr>
          <w:rFonts w:ascii="Arial" w:cs="Arial" w:eastAsia="Arial" w:hAnsi="Arial"/>
          <w:sz w:val="17"/>
          <w:szCs w:val="17"/>
          <w:color w:val="auto"/>
        </w:rPr>
      </w:pPr>
    </w:p>
    <w:p>
      <w:pPr>
        <w:jc w:val="both"/>
        <w:ind w:firstLine="1304"/>
        <w:spacing w:after="0" w:line="266" w:lineRule="auto"/>
        <w:tabs>
          <w:tab w:leader="none" w:pos="1753"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no Person has any claim against the Seller,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Black Rock Entities for a finder’s fee, brokerage commission or similar payment directly or indirectly in connection with the transactions contemplated by this Agreement.</w:t>
      </w:r>
    </w:p>
    <w:p>
      <w:pPr>
        <w:spacing w:after="0" w:line="175" w:lineRule="exact"/>
        <w:rPr>
          <w:rFonts w:ascii="Arial" w:cs="Arial" w:eastAsia="Arial" w:hAnsi="Arial"/>
          <w:sz w:val="18"/>
          <w:szCs w:val="18"/>
          <w:color w:val="auto"/>
        </w:rPr>
      </w:pPr>
    </w:p>
    <w:p>
      <w:pPr>
        <w:jc w:val="both"/>
        <w:ind w:firstLine="1304"/>
        <w:spacing w:after="0" w:line="258" w:lineRule="auto"/>
        <w:tabs>
          <w:tab w:leader="none" w:pos="1753"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Compliance with Laws</w:t>
      </w:r>
      <w:r>
        <w:rPr>
          <w:rFonts w:ascii="Arial" w:cs="Arial" w:eastAsia="Arial" w:hAnsi="Arial"/>
          <w:sz w:val="18"/>
          <w:szCs w:val="18"/>
          <w:color w:val="auto"/>
        </w:rPr>
        <w:t>. Neither Seller, the Company nor the Black Rock Entities is or, to the Knowledge of Seller, has been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past six (6) years in material violation of any material Law or Order applicable to the Company, the Black Rock Entities or the Project or by which any of the Acquired Interests are bound or subject. Notwithstanding the foregoing, compliance with Environmental Laws is exclusively and solely governed by </w:t>
      </w:r>
      <w:r>
        <w:rPr>
          <w:rFonts w:ascii="Arial" w:cs="Arial" w:eastAsia="Arial" w:hAnsi="Arial"/>
          <w:sz w:val="18"/>
          <w:szCs w:val="18"/>
          <w:i w:val="1"/>
          <w:iCs w:val="1"/>
          <w:color w:val="auto"/>
        </w:rPr>
        <w:t xml:space="preserve">Section 3.01(p) </w:t>
      </w:r>
      <w:r>
        <w:rPr>
          <w:rFonts w:ascii="Arial" w:cs="Arial" w:eastAsia="Arial" w:hAnsi="Arial"/>
          <w:sz w:val="18"/>
          <w:szCs w:val="18"/>
          <w:color w:val="auto"/>
        </w:rPr>
        <w:t>hereof. None of Seller, the Company nor the Black Rock Entities has received notice from any Governmental Authority of any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 of any such Law.</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Company and the Black Rock Entities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254" w:lineRule="auto"/>
        <w:tabs>
          <w:tab w:leader="none" w:pos="2370"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The Company and the Black Rock Entities are limited liability companies validly existing and in good standing under the Laws of Delaware, and each has full power and authority to conduct its business as and to the extent now conducted and to own, use and lease its assets. The Company and the Black Rock Entities are duly qualified, licensed or admitted to do business and are in good standing in those jurisdictions specified in </w:t>
      </w:r>
      <w:r>
        <w:rPr>
          <w:rFonts w:ascii="Arial" w:cs="Arial" w:eastAsia="Arial" w:hAnsi="Arial"/>
          <w:sz w:val="18"/>
          <w:szCs w:val="18"/>
          <w:i w:val="1"/>
          <w:iCs w:val="1"/>
          <w:color w:val="auto"/>
        </w:rPr>
        <w:t>Schedule 3.01(i)</w:t>
      </w:r>
      <w:r>
        <w:rPr>
          <w:rFonts w:ascii="Arial" w:cs="Arial" w:eastAsia="Arial" w:hAnsi="Arial"/>
          <w:sz w:val="18"/>
          <w:szCs w:val="18"/>
          <w:color w:val="auto"/>
        </w:rPr>
        <w:t xml:space="preserve"> of the Disclosure Schedules, which are the only jurisdictions in which the ownership, use or leasing of the Company’s assets and the Black Rock Entities’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194" w:lineRule="exact"/>
        <w:rPr>
          <w:rFonts w:ascii="Arial" w:cs="Arial" w:eastAsia="Arial" w:hAnsi="Arial"/>
          <w:sz w:val="18"/>
          <w:szCs w:val="18"/>
          <w:color w:val="auto"/>
        </w:rPr>
      </w:pPr>
    </w:p>
    <w:p>
      <w:pPr>
        <w:jc w:val="both"/>
        <w:ind w:left="660" w:firstLine="1292"/>
        <w:spacing w:after="0" w:line="272" w:lineRule="auto"/>
        <w:tabs>
          <w:tab w:leader="none" w:pos="2413"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All of the issued and outstanding Acquired Interests are owned directly, beneficially and of record by Seller free and clear of all Liens, except as set forth on </w:t>
      </w:r>
      <w:r>
        <w:rPr>
          <w:rFonts w:ascii="Arial" w:cs="Arial" w:eastAsia="Arial" w:hAnsi="Arial"/>
          <w:sz w:val="17"/>
          <w:szCs w:val="17"/>
          <w:i w:val="1"/>
          <w:iCs w:val="1"/>
          <w:color w:val="auto"/>
        </w:rPr>
        <w:t>Schedule 3.01(i)(ii)</w:t>
      </w:r>
      <w:r>
        <w:rPr>
          <w:rFonts w:ascii="Arial" w:cs="Arial" w:eastAsia="Arial" w:hAnsi="Arial"/>
          <w:sz w:val="17"/>
          <w:szCs w:val="17"/>
          <w:color w:val="auto"/>
        </w:rPr>
        <w:t xml:space="preserve"> of the Disclosure Schedules. Except as set forth on </w:t>
      </w:r>
      <w:r>
        <w:rPr>
          <w:rFonts w:ascii="Arial" w:cs="Arial" w:eastAsia="Arial" w:hAnsi="Arial"/>
          <w:sz w:val="17"/>
          <w:szCs w:val="17"/>
          <w:i w:val="1"/>
          <w:iCs w:val="1"/>
          <w:color w:val="auto"/>
        </w:rPr>
        <w:t>Schedule 3.01(i)(ii)</w:t>
      </w:r>
      <w:r>
        <w:rPr>
          <w:rFonts w:ascii="Arial" w:cs="Arial" w:eastAsia="Arial" w:hAnsi="Arial"/>
          <w:sz w:val="17"/>
          <w:szCs w:val="17"/>
          <w:color w:val="auto"/>
        </w:rPr>
        <w:t xml:space="preserve"> of the Disclosure Schedules and for the ownership by the Tax Equity Investor following the consummation of the transactions contemplated by the Tax Equity Agreement, all of the issued and outstanding equity interests of the Black Rock Entities are owned directly or indirectly, beneficially and of record by the Company, free and clear of all Liens except as set forth in </w:t>
      </w:r>
      <w:r>
        <w:rPr>
          <w:rFonts w:ascii="Arial" w:cs="Arial" w:eastAsia="Arial" w:hAnsi="Arial"/>
          <w:sz w:val="17"/>
          <w:szCs w:val="17"/>
          <w:i w:val="1"/>
          <w:iCs w:val="1"/>
          <w:color w:val="auto"/>
        </w:rPr>
        <w:t>Schedule 3.01(i)(ii)</w:t>
      </w:r>
      <w:r>
        <w:rPr>
          <w:rFonts w:ascii="Arial" w:cs="Arial" w:eastAsia="Arial" w:hAnsi="Arial"/>
          <w:sz w:val="17"/>
          <w:szCs w:val="17"/>
          <w:color w:val="auto"/>
        </w:rPr>
        <w:t xml:space="preserve"> of the Disclosure Schedules. All of the equity interests of the Company and the Black Rock Entities have been duly authorized, validly issued and are fully paid and non-assessable and have been issued in compliance with federal and state securities laws.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460" w:firstLine="1292"/>
        <w:spacing w:after="0" w:line="277" w:lineRule="auto"/>
        <w:tabs>
          <w:tab w:leader="none" w:pos="1327"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name of each director and officer (or similar positions) of the Company and the Black Rock Entities, and the position with the Company or the Black Rock Entities held by each, are listed in </w:t>
      </w:r>
      <w:r>
        <w:rPr>
          <w:rFonts w:ascii="Arial" w:cs="Arial" w:eastAsia="Arial" w:hAnsi="Arial"/>
          <w:sz w:val="18"/>
          <w:szCs w:val="18"/>
          <w:i w:val="1"/>
          <w:iCs w:val="1"/>
          <w:color w:val="auto"/>
        </w:rPr>
        <w:t>Schedule 3.01(i)(iii)</w:t>
      </w:r>
      <w:r>
        <w:rPr>
          <w:rFonts w:ascii="Arial" w:cs="Arial" w:eastAsia="Arial" w:hAnsi="Arial"/>
          <w:sz w:val="18"/>
          <w:szCs w:val="18"/>
          <w:color w:val="auto"/>
        </w:rPr>
        <w:t xml:space="preserve"> of the Disclosure Schedules.</w:t>
      </w:r>
    </w:p>
    <w:p>
      <w:pPr>
        <w:spacing w:after="0" w:line="170" w:lineRule="exact"/>
        <w:rPr>
          <w:rFonts w:ascii="Arial" w:cs="Arial" w:eastAsia="Arial" w:hAnsi="Arial"/>
          <w:sz w:val="18"/>
          <w:szCs w:val="18"/>
          <w:color w:val="auto"/>
        </w:rPr>
      </w:pPr>
    </w:p>
    <w:p>
      <w:pPr>
        <w:ind w:left="-460" w:right="20" w:firstLine="1292"/>
        <w:spacing w:after="0" w:line="277" w:lineRule="auto"/>
        <w:tabs>
          <w:tab w:leader="none" w:pos="1321"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Seller has, prior to the execution of this Agreement, delivered to Purchaser true and complete copies of the Constitutive Documents of the Company and the Black Rock Entities as in effect on the date hereof.</w:t>
      </w:r>
    </w:p>
    <w:p>
      <w:pPr>
        <w:spacing w:after="0" w:line="170" w:lineRule="exact"/>
        <w:rPr>
          <w:rFonts w:ascii="Arial" w:cs="Arial" w:eastAsia="Arial" w:hAnsi="Arial"/>
          <w:sz w:val="18"/>
          <w:szCs w:val="18"/>
          <w:color w:val="auto"/>
        </w:rPr>
      </w:pPr>
    </w:p>
    <w:p>
      <w:pPr>
        <w:jc w:val="both"/>
        <w:ind w:left="-460" w:firstLine="1292"/>
        <w:spacing w:after="0" w:line="255" w:lineRule="auto"/>
        <w:tabs>
          <w:tab w:leader="none" w:pos="1293"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Except as set forth in Part I of </w:t>
      </w:r>
      <w:r>
        <w:rPr>
          <w:rFonts w:ascii="Arial" w:cs="Arial" w:eastAsia="Arial" w:hAnsi="Arial"/>
          <w:sz w:val="18"/>
          <w:szCs w:val="18"/>
          <w:i w:val="1"/>
          <w:iCs w:val="1"/>
          <w:color w:val="auto"/>
        </w:rPr>
        <w:t>Schedule 3.01(i)(v)</w:t>
      </w:r>
      <w:r>
        <w:rPr>
          <w:rFonts w:ascii="Arial" w:cs="Arial" w:eastAsia="Arial" w:hAnsi="Arial"/>
          <w:sz w:val="18"/>
          <w:szCs w:val="18"/>
          <w:color w:val="auto"/>
        </w:rPr>
        <w:t xml:space="preserve"> of the Disclosure Schedules</w:t>
      </w:r>
      <w:r>
        <w:rPr>
          <w:rFonts w:ascii="Arial" w:cs="Arial" w:eastAsia="Arial" w:hAnsi="Arial"/>
          <w:sz w:val="18"/>
          <w:szCs w:val="18"/>
          <w:i w:val="1"/>
          <w:iCs w:val="1"/>
          <w:color w:val="auto"/>
        </w:rPr>
        <w:t>,</w:t>
      </w:r>
      <w:r>
        <w:rPr>
          <w:rFonts w:ascii="Arial" w:cs="Arial" w:eastAsia="Arial" w:hAnsi="Arial"/>
          <w:sz w:val="18"/>
          <w:szCs w:val="18"/>
          <w:color w:val="auto"/>
        </w:rPr>
        <w:t xml:space="preserve"> there are no outstanding Options issued or granted by, or binding upon, the Company or the Black Rock Entities for any Person to purchase or sell or otherwise acquire or dispose of any equity interest or other security or interest in the Company or the Black Rock Entities other than as set forth under this Agreement. Except as set forth in Part II of </w:t>
      </w:r>
      <w:r>
        <w:rPr>
          <w:rFonts w:ascii="Arial" w:cs="Arial" w:eastAsia="Arial" w:hAnsi="Arial"/>
          <w:sz w:val="18"/>
          <w:szCs w:val="18"/>
          <w:i w:val="1"/>
          <w:iCs w:val="1"/>
          <w:color w:val="auto"/>
        </w:rPr>
        <w:t>Schedule 3.01(i)(v)</w:t>
      </w:r>
      <w:r>
        <w:rPr>
          <w:rFonts w:ascii="Arial" w:cs="Arial" w:eastAsia="Arial" w:hAnsi="Arial"/>
          <w:sz w:val="18"/>
          <w:szCs w:val="18"/>
          <w:color w:val="auto"/>
        </w:rPr>
        <w:t xml:space="preserve"> of the Disclosure Schedules, none of the Acquired Interests or the membership interests of the Black Rock Entities are subject to any voting trust or voting trust agreement, voting agreement, pledge agreement, buy- sell agreement, right of first refusal, preemptive right or proxy.</w:t>
      </w:r>
    </w:p>
    <w:p>
      <w:pPr>
        <w:spacing w:after="0" w:line="192" w:lineRule="exact"/>
        <w:rPr>
          <w:rFonts w:ascii="Arial" w:cs="Arial" w:eastAsia="Arial" w:hAnsi="Arial"/>
          <w:sz w:val="18"/>
          <w:szCs w:val="18"/>
          <w:color w:val="auto"/>
        </w:rPr>
      </w:pPr>
    </w:p>
    <w:p>
      <w:pPr>
        <w:jc w:val="both"/>
        <w:ind w:left="-460" w:firstLine="1292"/>
        <w:spacing w:after="0" w:line="263" w:lineRule="auto"/>
        <w:tabs>
          <w:tab w:leader="none" w:pos="1321"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i w:val="1"/>
          <w:iCs w:val="1"/>
          <w:color w:val="auto"/>
        </w:rPr>
        <w:t>Section 3.01(i)(ii)</w:t>
      </w:r>
      <w:r>
        <w:rPr>
          <w:rFonts w:ascii="Arial" w:cs="Arial" w:eastAsia="Arial" w:hAnsi="Arial"/>
          <w:sz w:val="18"/>
          <w:szCs w:val="18"/>
          <w:color w:val="auto"/>
        </w:rPr>
        <w:t xml:space="preserve"> and as set forth on </w:t>
      </w:r>
      <w:r>
        <w:rPr>
          <w:rFonts w:ascii="Arial" w:cs="Arial" w:eastAsia="Arial" w:hAnsi="Arial"/>
          <w:sz w:val="18"/>
          <w:szCs w:val="18"/>
          <w:i w:val="1"/>
          <w:iCs w:val="1"/>
          <w:color w:val="auto"/>
        </w:rPr>
        <w:t>Schedule 3.01(i)(vi)</w:t>
      </w:r>
      <w:r>
        <w:rPr>
          <w:rFonts w:ascii="Arial" w:cs="Arial" w:eastAsia="Arial" w:hAnsi="Arial"/>
          <w:sz w:val="18"/>
          <w:szCs w:val="18"/>
          <w:color w:val="auto"/>
        </w:rPr>
        <w:t xml:space="preserve"> of the Disclosure Schedules, neither the Company nor the Black Rock Entities have any subsidiaries, equity interests, interests in joint ventures or general or limited partnerships or other investment or portfolio assets of a similar nature.</w:t>
      </w:r>
    </w:p>
    <w:p>
      <w:pPr>
        <w:spacing w:after="0" w:line="183" w:lineRule="exact"/>
        <w:rPr>
          <w:rFonts w:ascii="Arial" w:cs="Arial" w:eastAsia="Arial" w:hAnsi="Arial"/>
          <w:sz w:val="18"/>
          <w:szCs w:val="18"/>
          <w:color w:val="auto"/>
        </w:rPr>
      </w:pPr>
    </w:p>
    <w:p>
      <w:pPr>
        <w:jc w:val="both"/>
        <w:ind w:left="-460" w:right="20" w:firstLine="1292"/>
        <w:spacing w:after="0" w:line="263" w:lineRule="auto"/>
        <w:tabs>
          <w:tab w:leader="none" w:pos="13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3.01(i)(vii)</w:t>
      </w:r>
      <w:r>
        <w:rPr>
          <w:rFonts w:ascii="Arial" w:cs="Arial" w:eastAsia="Arial" w:hAnsi="Arial"/>
          <w:sz w:val="18"/>
          <w:szCs w:val="18"/>
          <w:color w:val="auto"/>
        </w:rPr>
        <w:t xml:space="preserve"> of the Disclosure Schedules, neither the Company nor the Black Rock Entities conduct (</w:t>
      </w:r>
      <w:r>
        <w:rPr>
          <w:rFonts w:ascii="Arial" w:cs="Arial" w:eastAsia="Arial" w:hAnsi="Arial"/>
          <w:sz w:val="18"/>
          <w:szCs w:val="18"/>
          <w:i w:val="1"/>
          <w:iCs w:val="1"/>
          <w:color w:val="auto"/>
        </w:rPr>
        <w:t>i</w:t>
      </w:r>
      <w:r>
        <w:rPr>
          <w:rFonts w:ascii="Arial" w:cs="Arial" w:eastAsia="Arial" w:hAnsi="Arial"/>
          <w:sz w:val="18"/>
          <w:szCs w:val="18"/>
          <w:color w:val="auto"/>
        </w:rPr>
        <w:t>) any business other than the development, ownership, operation and management of the Project or (</w:t>
      </w:r>
      <w:r>
        <w:rPr>
          <w:rFonts w:ascii="Arial" w:cs="Arial" w:eastAsia="Arial" w:hAnsi="Arial"/>
          <w:sz w:val="18"/>
          <w:szCs w:val="18"/>
          <w:i w:val="1"/>
          <w:iCs w:val="1"/>
          <w:color w:val="auto"/>
        </w:rPr>
        <w:t>ii</w:t>
      </w:r>
      <w:r>
        <w:rPr>
          <w:rFonts w:ascii="Arial" w:cs="Arial" w:eastAsia="Arial" w:hAnsi="Arial"/>
          <w:sz w:val="18"/>
          <w:szCs w:val="18"/>
          <w:color w:val="auto"/>
        </w:rPr>
        <w:t>) any operations other than those incidental to the ownership, operation, and management of the Project.</w:t>
      </w:r>
    </w:p>
    <w:p>
      <w:pPr>
        <w:spacing w:after="0" w:line="183" w:lineRule="exact"/>
        <w:rPr>
          <w:rFonts w:ascii="Arial" w:cs="Arial" w:eastAsia="Arial" w:hAnsi="Arial"/>
          <w:sz w:val="18"/>
          <w:szCs w:val="18"/>
          <w:color w:val="auto"/>
        </w:rPr>
      </w:pPr>
    </w:p>
    <w:p>
      <w:pPr>
        <w:jc w:val="both"/>
        <w:ind w:left="-460" w:firstLine="1292"/>
        <w:spacing w:after="0" w:line="263" w:lineRule="auto"/>
        <w:tabs>
          <w:tab w:leader="none" w:pos="137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books and records of the Company and the Black Rock Entities are (</w:t>
      </w:r>
      <w:r>
        <w:rPr>
          <w:rFonts w:ascii="Arial" w:cs="Arial" w:eastAsia="Arial" w:hAnsi="Arial"/>
          <w:sz w:val="18"/>
          <w:szCs w:val="18"/>
          <w:i w:val="1"/>
          <w:iCs w:val="1"/>
          <w:color w:val="auto"/>
        </w:rPr>
        <w:t>i</w:t>
      </w:r>
      <w:r>
        <w:rPr>
          <w:rFonts w:ascii="Arial" w:cs="Arial" w:eastAsia="Arial" w:hAnsi="Arial"/>
          <w:sz w:val="18"/>
          <w:szCs w:val="18"/>
          <w:color w:val="auto"/>
        </w:rPr>
        <w:t>) in all material respects, accurate and complete and have been maintained in accordance with good business practices and (</w:t>
      </w:r>
      <w:r>
        <w:rPr>
          <w:rFonts w:ascii="Arial" w:cs="Arial" w:eastAsia="Arial" w:hAnsi="Arial"/>
          <w:sz w:val="18"/>
          <w:szCs w:val="18"/>
          <w:i w:val="1"/>
          <w:iCs w:val="1"/>
          <w:color w:val="auto"/>
        </w:rPr>
        <w:t>ii</w:t>
      </w:r>
      <w:r>
        <w:rPr>
          <w:rFonts w:ascii="Arial" w:cs="Arial" w:eastAsia="Arial" w:hAnsi="Arial"/>
          <w:sz w:val="18"/>
          <w:szCs w:val="18"/>
          <w:color w:val="auto"/>
        </w:rPr>
        <w:t>) state in reasonable detail and accurately and fairly reflect the activities and transactions of the Company and the Black Rock Entities.</w:t>
      </w:r>
    </w:p>
    <w:p>
      <w:pPr>
        <w:spacing w:after="0" w:line="183" w:lineRule="exact"/>
        <w:rPr>
          <w:rFonts w:ascii="Arial" w:cs="Arial" w:eastAsia="Arial" w:hAnsi="Arial"/>
          <w:sz w:val="18"/>
          <w:szCs w:val="18"/>
          <w:color w:val="auto"/>
        </w:rPr>
      </w:pPr>
    </w:p>
    <w:p>
      <w:pPr>
        <w:jc w:val="both"/>
        <w:ind w:left="-460" w:firstLine="1292"/>
        <w:spacing w:after="0" w:line="259" w:lineRule="auto"/>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w:t>
      </w:r>
      <w:r>
        <w:rPr>
          <w:rFonts w:ascii="Arial" w:cs="Arial" w:eastAsia="Arial" w:hAnsi="Arial"/>
          <w:sz w:val="18"/>
          <w:szCs w:val="18"/>
          <w:color w:val="auto"/>
        </w:rPr>
        <w:t>) execution and delivery by Seller of the Assignment of Membership Interests and (</w:t>
      </w:r>
      <w:r>
        <w:rPr>
          <w:rFonts w:ascii="Arial" w:cs="Arial" w:eastAsia="Arial" w:hAnsi="Arial"/>
          <w:sz w:val="18"/>
          <w:szCs w:val="18"/>
          <w:i w:val="1"/>
          <w:iCs w:val="1"/>
          <w:color w:val="auto"/>
        </w:rPr>
        <w:t>B</w:t>
      </w:r>
      <w:r>
        <w:rPr>
          <w:rFonts w:ascii="Arial" w:cs="Arial" w:eastAsia="Arial" w:hAnsi="Arial"/>
          <w:sz w:val="18"/>
          <w:szCs w:val="18"/>
          <w:color w:val="auto"/>
        </w:rPr>
        <w:t xml:space="preserve">)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Arial" w:cs="Arial" w:eastAsia="Arial" w:hAnsi="Arial"/>
          <w:sz w:val="18"/>
          <w:szCs w:val="18"/>
          <w:i w:val="1"/>
          <w:iCs w:val="1"/>
          <w:color w:val="auto"/>
        </w:rPr>
        <w:t>Schedule 3.01(i)(ix)</w:t>
      </w:r>
      <w:r>
        <w:rPr>
          <w:rFonts w:ascii="Arial" w:cs="Arial" w:eastAsia="Arial" w:hAnsi="Arial"/>
          <w:sz w:val="18"/>
          <w:szCs w:val="18"/>
          <w:color w:val="auto"/>
        </w:rPr>
        <w:t xml:space="preserve"> of the Disclosure Schedules.</w:t>
      </w:r>
    </w:p>
    <w:p>
      <w:pPr>
        <w:spacing w:after="0" w:line="186" w:lineRule="exact"/>
        <w:rPr>
          <w:rFonts w:ascii="Arial" w:cs="Arial" w:eastAsia="Arial" w:hAnsi="Arial"/>
          <w:sz w:val="18"/>
          <w:szCs w:val="18"/>
          <w:color w:val="auto"/>
        </w:rPr>
      </w:pPr>
    </w:p>
    <w:p>
      <w:pPr>
        <w:ind w:left="-460" w:firstLine="1292"/>
        <w:spacing w:after="0" w:line="277" w:lineRule="auto"/>
        <w:tabs>
          <w:tab w:leader="none" w:pos="1293" w:val="left"/>
        </w:tabs>
        <w:numPr>
          <w:ilvl w:val="0"/>
          <w:numId w:val="99"/>
        </w:numPr>
        <w:rPr>
          <w:rFonts w:ascii="Arial" w:cs="Arial" w:eastAsia="Arial" w:hAnsi="Arial"/>
          <w:sz w:val="18"/>
          <w:szCs w:val="18"/>
          <w:color w:val="0000FF"/>
        </w:rPr>
      </w:pPr>
      <w:r>
        <w:rPr>
          <w:rFonts w:ascii="Arial" w:cs="Arial" w:eastAsia="Arial" w:hAnsi="Arial"/>
          <w:sz w:val="18"/>
          <w:szCs w:val="18"/>
          <w:u w:val="single" w:color="auto"/>
          <w:color w:val="0000FF"/>
        </w:rPr>
        <w:t>As of the Second Closing Date, all of the issued and outstanding Class A Interests are owned directly, beneficially and of record by Seller free and clear of all Liens, except Permitted Equity Encumbrances.</w:t>
      </w:r>
    </w:p>
    <w:p>
      <w:pPr>
        <w:spacing w:after="0" w:line="170" w:lineRule="exact"/>
        <w:rPr>
          <w:rFonts w:ascii="Arial" w:cs="Arial" w:eastAsia="Arial" w:hAnsi="Arial"/>
          <w:sz w:val="18"/>
          <w:szCs w:val="18"/>
          <w:color w:val="0000FF"/>
        </w:rPr>
      </w:pPr>
    </w:p>
    <w:p>
      <w:pPr>
        <w:jc w:val="both"/>
        <w:ind w:left="-460" w:firstLine="1292"/>
        <w:spacing w:after="0" w:line="263" w:lineRule="auto"/>
        <w:tabs>
          <w:tab w:leader="none" w:pos="1321" w:val="left"/>
        </w:tabs>
        <w:numPr>
          <w:ilvl w:val="0"/>
          <w:numId w:val="99"/>
        </w:numPr>
        <w:rPr>
          <w:rFonts w:ascii="Arial" w:cs="Arial" w:eastAsia="Arial" w:hAnsi="Arial"/>
          <w:sz w:val="18"/>
          <w:szCs w:val="18"/>
          <w:color w:val="0000FF"/>
        </w:rPr>
      </w:pPr>
      <w:r>
        <w:rPr>
          <w:rFonts w:ascii="Arial" w:cs="Arial" w:eastAsia="Arial" w:hAnsi="Arial"/>
          <w:sz w:val="18"/>
          <w:szCs w:val="18"/>
          <w:u w:val="single" w:color="auto"/>
          <w:color w:val="0000FF"/>
        </w:rPr>
        <w:t>Except as set forth in Part II of Schedule 3.01(i)(v) of the Disclosure Schedules, as of the Second Closing Date, none of the Class A Interests are subject to any voting trust or voting trust agreement, voting agreement, pledge agreement, buy-sell agreement, right of first refusal, preemptive right or proxy.</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4" w:name="page105"/>
    <w:bookmarkEnd w:id="104"/>
    <w:p>
      <w:pPr>
        <w:jc w:val="both"/>
        <w:ind w:left="660" w:firstLine="1292"/>
        <w:spacing w:after="0" w:line="259" w:lineRule="auto"/>
        <w:tabs>
          <w:tab w:leader="none" w:pos="2468" w:val="left"/>
        </w:tabs>
        <w:numPr>
          <w:ilvl w:val="2"/>
          <w:numId w:val="100"/>
        </w:numPr>
        <w:rPr>
          <w:rFonts w:ascii="Arial" w:cs="Arial" w:eastAsia="Arial" w:hAnsi="Arial"/>
          <w:sz w:val="18"/>
          <w:szCs w:val="18"/>
          <w:color w:val="0000FF"/>
        </w:rPr>
      </w:pPr>
      <w:r>
        <w:rPr>
          <w:rFonts w:ascii="Arial" w:cs="Arial" w:eastAsia="Arial" w:hAnsi="Arial"/>
          <w:sz w:val="18"/>
          <w:szCs w:val="18"/>
          <w:u w:val="single" w:color="auto"/>
          <w:color w:val="0000FF"/>
        </w:rPr>
        <w:t>The (</w:t>
      </w:r>
      <w:r>
        <w:rPr>
          <w:rFonts w:ascii="Arial" w:cs="Arial" w:eastAsia="Arial" w:hAnsi="Arial"/>
          <w:sz w:val="18"/>
          <w:szCs w:val="18"/>
          <w:i w:val="1"/>
          <w:iCs w:val="1"/>
          <w:u w:val="single" w:color="auto"/>
          <w:color w:val="0000FF"/>
        </w:rPr>
        <w:t>A</w:t>
      </w:r>
      <w:r>
        <w:rPr>
          <w:rFonts w:ascii="Arial" w:cs="Arial" w:eastAsia="Arial" w:hAnsi="Arial"/>
          <w:sz w:val="18"/>
          <w:szCs w:val="18"/>
          <w:u w:val="single" w:color="auto"/>
          <w:color w:val="0000FF"/>
        </w:rPr>
        <w:t>) execution and delivery by Seller of the Assignment of Membership Interests and (</w:t>
      </w:r>
      <w:r>
        <w:rPr>
          <w:rFonts w:ascii="Arial" w:cs="Arial" w:eastAsia="Arial" w:hAnsi="Arial"/>
          <w:sz w:val="18"/>
          <w:szCs w:val="18"/>
          <w:i w:val="1"/>
          <w:iCs w:val="1"/>
          <w:u w:val="single" w:color="auto"/>
          <w:color w:val="0000FF"/>
        </w:rPr>
        <w:t>B</w:t>
      </w:r>
      <w:r>
        <w:rPr>
          <w:rFonts w:ascii="Arial" w:cs="Arial" w:eastAsia="Arial" w:hAnsi="Arial"/>
          <w:sz w:val="18"/>
          <w:szCs w:val="18"/>
          <w:u w:val="single" w:color="auto"/>
          <w:color w:val="0000FF"/>
        </w:rPr>
        <w:t>) if applicable, the delivery of certificates representing the Class A Interests, duly endorsed for transfer to Purchaser or accompanied by one or more membership interest powers duly endorsed for transfer to Purchaser, will transfer to Purchaser good, valid and marketable title to the Class A Interests, free and clear of all Liens, except Permitted Equity Encumbrances.</w:t>
      </w:r>
    </w:p>
    <w:p>
      <w:pPr>
        <w:spacing w:after="0" w:line="182" w:lineRule="exact"/>
        <w:rPr>
          <w:rFonts w:ascii="Arial" w:cs="Arial" w:eastAsia="Arial" w:hAnsi="Arial"/>
          <w:sz w:val="18"/>
          <w:szCs w:val="18"/>
          <w:color w:val="0000FF"/>
        </w:rPr>
      </w:pPr>
    </w:p>
    <w:p>
      <w:pPr>
        <w:jc w:val="both"/>
        <w:ind w:firstLine="1304"/>
        <w:spacing w:after="0" w:line="298" w:lineRule="auto"/>
        <w:tabs>
          <w:tab w:leader="none" w:pos="1713" w:val="left"/>
        </w:tabs>
        <w:numPr>
          <w:ilvl w:val="1"/>
          <w:numId w:val="101"/>
        </w:numPr>
        <w:rPr>
          <w:rFonts w:ascii="Arial" w:cs="Arial" w:eastAsia="Arial" w:hAnsi="Arial"/>
          <w:sz w:val="16"/>
          <w:szCs w:val="16"/>
          <w:color w:val="auto"/>
        </w:rPr>
      </w:pPr>
      <w:r>
        <w:rPr>
          <w:rFonts w:ascii="Arial" w:cs="Arial" w:eastAsia="Arial" w:hAnsi="Arial"/>
          <w:sz w:val="16"/>
          <w:szCs w:val="16"/>
          <w:b w:val="1"/>
          <w:bCs w:val="1"/>
          <w:color w:val="auto"/>
        </w:rPr>
        <w:t>No Undisclosed Liabilities</w:t>
      </w:r>
      <w:r>
        <w:rPr>
          <w:rFonts w:ascii="Arial" w:cs="Arial" w:eastAsia="Arial" w:hAnsi="Arial"/>
          <w:sz w:val="16"/>
          <w:szCs w:val="16"/>
          <w:color w:val="auto"/>
        </w:rPr>
        <w:t>. Neither the Company nor the Black Rock Entities has any liability or obligation that would be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disclosed on a balance sheet prepared in accordance with GAAP, except for the liabilities and obligations of the Company or the Black Rock Entities (</w:t>
      </w:r>
      <w:r>
        <w:rPr>
          <w:rFonts w:ascii="Arial" w:cs="Arial" w:eastAsia="Arial" w:hAnsi="Arial"/>
          <w:sz w:val="16"/>
          <w:szCs w:val="16"/>
          <w:i w:val="1"/>
          <w:iCs w:val="1"/>
          <w:color w:val="auto"/>
        </w:rPr>
        <w:t>i</w:t>
      </w:r>
      <w:r>
        <w:rPr>
          <w:rFonts w:ascii="Arial" w:cs="Arial" w:eastAsia="Arial" w:hAnsi="Arial"/>
          <w:sz w:val="16"/>
          <w:szCs w:val="16"/>
          <w:color w:val="auto"/>
        </w:rPr>
        <w:t>) incurred in the ordinary course of business consistent with past practice, (</w:t>
      </w:r>
      <w:r>
        <w:rPr>
          <w:rFonts w:ascii="Arial" w:cs="Arial" w:eastAsia="Arial" w:hAnsi="Arial"/>
          <w:sz w:val="16"/>
          <w:szCs w:val="16"/>
          <w:i w:val="1"/>
          <w:iCs w:val="1"/>
          <w:color w:val="auto"/>
        </w:rPr>
        <w:t>ii</w:t>
      </w:r>
      <w:r>
        <w:rPr>
          <w:rFonts w:ascii="Arial" w:cs="Arial" w:eastAsia="Arial" w:hAnsi="Arial"/>
          <w:sz w:val="16"/>
          <w:szCs w:val="16"/>
          <w:color w:val="auto"/>
        </w:rPr>
        <w:t>) that do not and are not individually or in the aggregate reasonably expected to have a Material Adverse Effect, (</w:t>
      </w:r>
      <w:r>
        <w:rPr>
          <w:rFonts w:ascii="Arial" w:cs="Arial" w:eastAsia="Arial" w:hAnsi="Arial"/>
          <w:sz w:val="16"/>
          <w:szCs w:val="16"/>
          <w:i w:val="1"/>
          <w:iCs w:val="1"/>
          <w:color w:val="auto"/>
        </w:rPr>
        <w:t>iii</w:t>
      </w:r>
      <w:r>
        <w:rPr>
          <w:rFonts w:ascii="Arial" w:cs="Arial" w:eastAsia="Arial" w:hAnsi="Arial"/>
          <w:sz w:val="16"/>
          <w:szCs w:val="16"/>
          <w:color w:val="auto"/>
        </w:rPr>
        <w:t>) that constitute amounts payable under the Company Contracts expressly provided for under existing Company Contracts that have not arisen from a breach thereof or thereunder or (</w:t>
      </w:r>
      <w:r>
        <w:rPr>
          <w:rFonts w:ascii="Arial" w:cs="Arial" w:eastAsia="Arial" w:hAnsi="Arial"/>
          <w:sz w:val="16"/>
          <w:szCs w:val="16"/>
          <w:i w:val="1"/>
          <w:iCs w:val="1"/>
          <w:color w:val="auto"/>
        </w:rPr>
        <w:t>iv</w:t>
      </w:r>
      <w:r>
        <w:rPr>
          <w:rFonts w:ascii="Arial" w:cs="Arial" w:eastAsia="Arial" w:hAnsi="Arial"/>
          <w:sz w:val="16"/>
          <w:szCs w:val="16"/>
          <w:color w:val="auto"/>
        </w:rPr>
        <w:t xml:space="preserve">) as set forth in </w:t>
      </w:r>
      <w:r>
        <w:rPr>
          <w:rFonts w:ascii="Arial" w:cs="Arial" w:eastAsia="Arial" w:hAnsi="Arial"/>
          <w:sz w:val="16"/>
          <w:szCs w:val="16"/>
          <w:i w:val="1"/>
          <w:iCs w:val="1"/>
          <w:color w:val="auto"/>
        </w:rPr>
        <w:t>Schedule 3.01(j)</w:t>
      </w:r>
      <w:r>
        <w:rPr>
          <w:rFonts w:ascii="Arial" w:cs="Arial" w:eastAsia="Arial" w:hAnsi="Arial"/>
          <w:sz w:val="16"/>
          <w:szCs w:val="16"/>
          <w:color w:val="auto"/>
        </w:rPr>
        <w:t xml:space="preserve"> of the Disclosure Schedules.</w:t>
      </w:r>
    </w:p>
    <w:p>
      <w:pPr>
        <w:spacing w:after="0" w:line="153" w:lineRule="exact"/>
        <w:rPr>
          <w:rFonts w:ascii="Arial" w:cs="Arial" w:eastAsia="Arial" w:hAnsi="Arial"/>
          <w:sz w:val="16"/>
          <w:szCs w:val="16"/>
          <w:color w:val="auto"/>
        </w:rPr>
      </w:pPr>
    </w:p>
    <w:p>
      <w:pPr>
        <w:ind w:firstLine="1304"/>
        <w:spacing w:after="0" w:line="282" w:lineRule="auto"/>
        <w:tabs>
          <w:tab w:leader="none" w:pos="1753"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Except as disclosed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3.01(k)</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since the date of formation of the Company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Black Rock Entities, as applicable:</w:t>
      </w:r>
    </w:p>
    <w:p>
      <w:pPr>
        <w:spacing w:after="0" w:line="165" w:lineRule="exact"/>
        <w:rPr>
          <w:rFonts w:ascii="Arial" w:cs="Arial" w:eastAsia="Arial" w:hAnsi="Arial"/>
          <w:sz w:val="18"/>
          <w:szCs w:val="18"/>
          <w:color w:val="auto"/>
        </w:rPr>
      </w:pPr>
    </w:p>
    <w:p>
      <w:pPr>
        <w:jc w:val="both"/>
        <w:ind w:left="660" w:firstLine="1292"/>
        <w:spacing w:after="0" w:line="254" w:lineRule="auto"/>
        <w:tabs>
          <w:tab w:leader="none" w:pos="2386"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All federal and all other material Tax Returns required to be filed by or with respect to the Company or the Black Rock Entities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the Company or the Black Rock Entities (or income attributable thereto), and Seller, Affiliates of Seller, the Company and the Black Rock Entities have paid, or made adequate provisions for the payment of, all Taxes, assessments and other charges due or claimed to be due (regardless of whether shown on any Tax Return) from the Company or the Black Rock Entities or for which the Company, Black Rock Entities or the Purchaser could be held liable.</w:t>
      </w:r>
    </w:p>
    <w:p>
      <w:pPr>
        <w:spacing w:after="0" w:line="194" w:lineRule="exact"/>
        <w:rPr>
          <w:rFonts w:ascii="Arial" w:cs="Arial" w:eastAsia="Arial" w:hAnsi="Arial"/>
          <w:sz w:val="18"/>
          <w:szCs w:val="18"/>
          <w:color w:val="auto"/>
        </w:rPr>
      </w:pPr>
    </w:p>
    <w:p>
      <w:pPr>
        <w:jc w:val="both"/>
        <w:ind w:left="660" w:firstLine="1292"/>
        <w:spacing w:after="0" w:line="284" w:lineRule="auto"/>
        <w:tabs>
          <w:tab w:leader="none" w:pos="242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There are no (i) Actions or Proceedings currently pending or threatened in writing against the Company or the Black Rock Entities or related to their business operations, by any Governmental Authority for the assessment or collection of Taxes, (ii) audits or other examinations of any Tax Return of the Company or the Black Rock Entities (or income attributable thereto) in progress nor has Seller, any Affiliate of Seller, the Company or the Black Rock Entities been notified in writing of any request for examination with respect to the Company or the Black Rock Entities, (iii) claims for assessment or collection of Taxes that have been asserted in writing against Seller or any Affiliate of Seller with respect to the Company or the Black Rock Entities, the Company or the Black Rock Entities (or the income attributable thereto) or</w:t>
      </w:r>
    </w:p>
    <w:p>
      <w:pPr>
        <w:spacing w:after="0" w:line="4" w:lineRule="exact"/>
        <w:rPr>
          <w:rFonts w:ascii="Arial" w:cs="Arial" w:eastAsia="Arial" w:hAnsi="Arial"/>
          <w:sz w:val="16"/>
          <w:szCs w:val="16"/>
          <w:color w:val="auto"/>
        </w:rPr>
      </w:pPr>
    </w:p>
    <w:p>
      <w:pPr>
        <w:jc w:val="both"/>
        <w:ind w:left="660" w:hanging="4"/>
        <w:spacing w:after="0" w:line="269" w:lineRule="auto"/>
        <w:tabs>
          <w:tab w:leader="none" w:pos="96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matters under discussion with any Governmental Authority regarding claims for assessment or collection of Taxes against the Company or the Black Rock Entities (or income attributable thereto). There are no outstanding agreements, waivers or consents extending the statutory period of limitations applicable to any Tax of the Company or the Black Rock Entities, and, except as set forth on </w:t>
      </w:r>
      <w:r>
        <w:rPr>
          <w:rFonts w:ascii="Arial" w:cs="Arial" w:eastAsia="Arial" w:hAnsi="Arial"/>
          <w:sz w:val="17"/>
          <w:szCs w:val="17"/>
          <w:i w:val="1"/>
          <w:iCs w:val="1"/>
          <w:color w:val="auto"/>
        </w:rPr>
        <w:t>Schedule 3.01(k)</w:t>
      </w:r>
      <w:r>
        <w:rPr>
          <w:rFonts w:ascii="Arial" w:cs="Arial" w:eastAsia="Arial" w:hAnsi="Arial"/>
          <w:sz w:val="17"/>
          <w:szCs w:val="17"/>
          <w:color w:val="auto"/>
        </w:rPr>
        <w:t xml:space="preserve"> of the Disclosure Schedules, neither the Company nor the Black Rock Entities has requested any extensions of time within which to file any Tax Return. There are no Liens for unpaid or delinquent Taxes, assessments or other charges or deposits with respect to the Acquired Interests </w:t>
      </w:r>
      <w:r>
        <w:rPr>
          <w:rFonts w:ascii="Arial" w:cs="Arial" w:eastAsia="Arial" w:hAnsi="Arial"/>
          <w:sz w:val="17"/>
          <w:szCs w:val="17"/>
          <w:u w:val="single" w:color="auto"/>
          <w:color w:val="0000FF"/>
        </w:rPr>
        <w:t>or, as of the Second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Closing Date, the Class A Interests</w:t>
      </w:r>
      <w:r>
        <w:rPr>
          <w:rFonts w:ascii="Arial" w:cs="Arial" w:eastAsia="Arial" w:hAnsi="Arial"/>
          <w:sz w:val="17"/>
          <w:szCs w:val="17"/>
          <w:color w:val="000000"/>
        </w:rPr>
        <w:t>, other than Liens for Taxes not yet due or delinquent or being contested in good faith by appropriate</w:t>
      </w:r>
      <w:r>
        <w:rPr>
          <w:rFonts w:ascii="Arial" w:cs="Arial" w:eastAsia="Arial" w:hAnsi="Arial"/>
          <w:sz w:val="17"/>
          <w:szCs w:val="17"/>
          <w:color w:val="0000FF"/>
        </w:rPr>
        <w:t xml:space="preserve"> </w:t>
      </w:r>
      <w:r>
        <w:rPr>
          <w:rFonts w:ascii="Arial" w:cs="Arial" w:eastAsia="Arial" w:hAnsi="Arial"/>
          <w:sz w:val="17"/>
          <w:szCs w:val="17"/>
          <w:color w:val="000000"/>
        </w:rPr>
        <w:t>proceedings and for which adequate reserves on financial statements have been established.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ind w:left="660" w:firstLine="1292"/>
        <w:spacing w:after="0" w:line="259" w:lineRule="auto"/>
        <w:tabs>
          <w:tab w:leader="none" w:pos="244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Company and the Black Rock Entities have been properly classified for federal and state income Tax purposes as disregarded entities or partnerships under Treasury Regulations Section 301.7701-2 and -3 and neither Seller nor any Affiliate of Seller has made or caused to be made any election for any Tax purposes to classify the Company or the Black Rock Entities as other than a disregarded entity or partnership.</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61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Neither the Company nor the Black Rock Entities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83" w:lineRule="exact"/>
        <w:rPr>
          <w:rFonts w:ascii="Arial" w:cs="Arial" w:eastAsia="Arial" w:hAnsi="Arial"/>
          <w:sz w:val="18"/>
          <w:szCs w:val="18"/>
          <w:color w:val="auto"/>
        </w:rPr>
      </w:pPr>
    </w:p>
    <w:p>
      <w:pPr>
        <w:ind w:left="2520" w:hanging="568"/>
        <w:spacing w:after="0"/>
        <w:tabs>
          <w:tab w:leader="none" w:pos="25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Company has never entered into or been a party to any “listed transaction,” as defined in Section 1.6011-4(b)(2)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Treasury Regulations.</w:t>
      </w:r>
    </w:p>
    <w:p>
      <w:pPr>
        <w:spacing w:after="0" w:line="210" w:lineRule="exact"/>
        <w:rPr>
          <w:rFonts w:ascii="Arial" w:cs="Arial" w:eastAsia="Arial" w:hAnsi="Arial"/>
          <w:sz w:val="16"/>
          <w:szCs w:val="16"/>
          <w:color w:val="auto"/>
        </w:rPr>
      </w:pPr>
    </w:p>
    <w:p>
      <w:pPr>
        <w:ind w:left="660" w:right="20" w:firstLine="1292"/>
        <w:spacing w:after="0" w:line="308" w:lineRule="auto"/>
        <w:tabs>
          <w:tab w:leader="none" w:pos="2533" w:val="left"/>
        </w:tabs>
        <w:numPr>
          <w:ilvl w:val="1"/>
          <w:numId w:val="103"/>
        </w:numPr>
        <w:rPr>
          <w:rFonts w:ascii="Arial" w:cs="Arial" w:eastAsia="Arial" w:hAnsi="Arial"/>
          <w:sz w:val="17"/>
          <w:szCs w:val="17"/>
          <w:color w:val="auto"/>
        </w:rPr>
      </w:pPr>
      <w:r>
        <w:rPr>
          <w:rFonts w:ascii="Arial" w:cs="Arial" w:eastAsia="Arial" w:hAnsi="Arial"/>
          <w:sz w:val="17"/>
          <w:szCs w:val="17"/>
          <w:color w:val="auto"/>
        </w:rPr>
        <w:t>None of the property owned by either the Company or the Black Rock Entities is “tax exempt use property” within the meaning of Section 168(h) of the Code or “tax exempt bond financed property” within the meaning of Code Section 168(g)(5).</w:t>
      </w:r>
    </w:p>
    <w:p>
      <w:pPr>
        <w:spacing w:after="0" w:line="142" w:lineRule="exact"/>
        <w:rPr>
          <w:rFonts w:ascii="Arial" w:cs="Arial" w:eastAsia="Arial" w:hAnsi="Arial"/>
          <w:sz w:val="17"/>
          <w:szCs w:val="17"/>
          <w:color w:val="auto"/>
        </w:rPr>
      </w:pPr>
    </w:p>
    <w:p>
      <w:pPr>
        <w:ind w:firstLine="1304"/>
        <w:spacing w:after="0" w:line="282" w:lineRule="auto"/>
        <w:tabs>
          <w:tab w:leader="none" w:pos="1713"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Employees</w:t>
      </w:r>
      <w:r>
        <w:rPr>
          <w:rFonts w:ascii="Arial" w:cs="Arial" w:eastAsia="Arial" w:hAnsi="Arial"/>
          <w:sz w:val="18"/>
          <w:szCs w:val="18"/>
          <w:color w:val="auto"/>
        </w:rPr>
        <w:t>. Neither the Company nor the Black Rock Entities has, nor has ever had, any employees or any liability, actual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with respect to any Employee Plan.</w:t>
      </w:r>
    </w:p>
    <w:p>
      <w:pPr>
        <w:spacing w:after="0" w:line="161" w:lineRule="exact"/>
        <w:rPr>
          <w:rFonts w:ascii="Arial" w:cs="Arial" w:eastAsia="Arial" w:hAnsi="Arial"/>
          <w:sz w:val="18"/>
          <w:szCs w:val="18"/>
          <w:color w:val="auto"/>
        </w:rPr>
      </w:pPr>
    </w:p>
    <w:p>
      <w:pPr>
        <w:ind w:left="1960" w:hanging="656"/>
        <w:spacing w:after="0"/>
        <w:tabs>
          <w:tab w:leader="none" w:pos="19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Company Contracts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20" w:firstLine="1292"/>
        <w:spacing w:after="0" w:line="277" w:lineRule="auto"/>
        <w:tabs>
          <w:tab w:leader="none" w:pos="2373" w:val="left"/>
        </w:tabs>
        <w:numPr>
          <w:ilvl w:val="1"/>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Schedule 3.01(m)(i) </w:t>
      </w:r>
      <w:r>
        <w:rPr>
          <w:rFonts w:ascii="Arial" w:cs="Arial" w:eastAsia="Arial" w:hAnsi="Arial"/>
          <w:sz w:val="18"/>
          <w:szCs w:val="18"/>
          <w:color w:val="auto"/>
        </w:rPr>
        <w:t>of the Disclosure Schedules contains a true, correct and complete list of all Company Contracts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Execution Date, which includes as of such Execution Date:</w:t>
      </w:r>
    </w:p>
    <w:p>
      <w:pPr>
        <w:spacing w:after="0" w:line="170" w:lineRule="exact"/>
        <w:rPr>
          <w:rFonts w:ascii="Arial" w:cs="Arial" w:eastAsia="Arial" w:hAnsi="Arial"/>
          <w:sz w:val="18"/>
          <w:szCs w:val="18"/>
          <w:color w:val="auto"/>
        </w:rPr>
      </w:pPr>
    </w:p>
    <w:p>
      <w:pPr>
        <w:ind w:left="3160" w:hanging="560"/>
        <w:spacing w:after="0"/>
        <w:tabs>
          <w:tab w:leader="none" w:pos="316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all Contracts for the purchase, exchange or sale of electric power, capacity, ancillary services or Environmental</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Attributes;</w:t>
      </w:r>
    </w:p>
    <w:p>
      <w:pPr>
        <w:spacing w:after="0" w:line="210" w:lineRule="exact"/>
        <w:rPr>
          <w:rFonts w:ascii="Arial" w:cs="Arial" w:eastAsia="Arial" w:hAnsi="Arial"/>
          <w:sz w:val="16"/>
          <w:szCs w:val="16"/>
          <w:color w:val="auto"/>
        </w:rPr>
      </w:pPr>
    </w:p>
    <w:p>
      <w:pPr>
        <w:ind w:left="3240" w:hanging="640"/>
        <w:spacing w:after="0"/>
        <w:tabs>
          <w:tab w:leader="none" w:pos="324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all Contracts for the transmission of electric power;</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all interconnection Contracts for electricity;</w:t>
      </w:r>
    </w:p>
    <w:p>
      <w:pPr>
        <w:spacing w:after="0" w:line="225" w:lineRule="exact"/>
        <w:rPr>
          <w:rFonts w:ascii="Arial" w:cs="Arial" w:eastAsia="Arial" w:hAnsi="Arial"/>
          <w:sz w:val="18"/>
          <w:szCs w:val="18"/>
          <w:color w:val="auto"/>
        </w:rPr>
      </w:pPr>
    </w:p>
    <w:p>
      <w:pPr>
        <w:ind w:left="3140" w:hanging="540"/>
        <w:spacing w:after="0"/>
        <w:tabs>
          <w:tab w:leader="none" w:pos="314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all Contracts with Seller, HASI or any of their respective Affiliates; and</w:t>
      </w:r>
    </w:p>
    <w:p>
      <w:pPr>
        <w:spacing w:after="0" w:line="225" w:lineRule="exact"/>
        <w:rPr>
          <w:rFonts w:ascii="Arial" w:cs="Arial" w:eastAsia="Arial" w:hAnsi="Arial"/>
          <w:sz w:val="18"/>
          <w:szCs w:val="18"/>
          <w:color w:val="auto"/>
        </w:rPr>
      </w:pPr>
    </w:p>
    <w:p>
      <w:pPr>
        <w:ind w:left="1300" w:firstLine="1300"/>
        <w:spacing w:after="0" w:line="277" w:lineRule="auto"/>
        <w:tabs>
          <w:tab w:leader="none" w:pos="3206"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all Contracts relating to the Acquired Interests</w:t>
      </w:r>
      <w:r>
        <w:rPr>
          <w:rFonts w:ascii="Arial" w:cs="Arial" w:eastAsia="Arial" w:hAnsi="Arial"/>
          <w:sz w:val="18"/>
          <w:szCs w:val="18"/>
          <w:u w:val="single" w:color="auto"/>
          <w:color w:val="0000FF"/>
        </w:rPr>
        <w:t>, solely as of the Second Closing Date, the Class A Interests</w:t>
      </w:r>
      <w:r>
        <w:rPr>
          <w:rFonts w:ascii="Arial" w:cs="Arial" w:eastAsia="Arial" w:hAnsi="Arial"/>
          <w:sz w:val="18"/>
          <w:szCs w:val="18"/>
          <w:color w:val="auto"/>
        </w:rPr>
        <w:t xml:space="preserve"> or membership interests of the Company or the Black Rock Entities.</w:t>
      </w:r>
    </w:p>
    <w:p>
      <w:pPr>
        <w:spacing w:after="0" w:line="170" w:lineRule="exact"/>
        <w:rPr>
          <w:rFonts w:ascii="Arial" w:cs="Arial" w:eastAsia="Arial" w:hAnsi="Arial"/>
          <w:sz w:val="18"/>
          <w:szCs w:val="18"/>
          <w:color w:val="auto"/>
        </w:rPr>
      </w:pPr>
    </w:p>
    <w:p>
      <w:pPr>
        <w:jc w:val="both"/>
        <w:ind w:left="660" w:firstLine="1292"/>
        <w:spacing w:after="0" w:line="272" w:lineRule="auto"/>
        <w:tabs>
          <w:tab w:leader="none" w:pos="251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Seller has provided Purchaser with, or access to, true, correct and complete copies of all the Company Contracts required to be disclosed on </w:t>
      </w:r>
      <w:r>
        <w:rPr>
          <w:rFonts w:ascii="Arial" w:cs="Arial" w:eastAsia="Arial" w:hAnsi="Arial"/>
          <w:sz w:val="17"/>
          <w:szCs w:val="17"/>
          <w:i w:val="1"/>
          <w:iCs w:val="1"/>
          <w:color w:val="auto"/>
        </w:rPr>
        <w:t>Schedule 3.01(m)(i)</w:t>
      </w:r>
      <w:r>
        <w:rPr>
          <w:rFonts w:ascii="Arial" w:cs="Arial" w:eastAsia="Arial" w:hAnsi="Arial"/>
          <w:sz w:val="17"/>
          <w:szCs w:val="17"/>
          <w:color w:val="auto"/>
        </w:rPr>
        <w:t xml:space="preserve"> of the Disclosure Schedules and the agreements described on </w:t>
      </w:r>
      <w:r>
        <w:rPr>
          <w:rFonts w:ascii="Arial" w:cs="Arial" w:eastAsia="Arial" w:hAnsi="Arial"/>
          <w:sz w:val="17"/>
          <w:szCs w:val="17"/>
          <w:i w:val="1"/>
          <w:iCs w:val="1"/>
          <w:color w:val="auto"/>
        </w:rPr>
        <w:t>Schedule 3.01(y)</w:t>
      </w:r>
      <w:r>
        <w:rPr>
          <w:rFonts w:ascii="Arial" w:cs="Arial" w:eastAsia="Arial" w:hAnsi="Arial"/>
          <w:sz w:val="17"/>
          <w:szCs w:val="17"/>
          <w:color w:val="auto"/>
        </w:rPr>
        <w:t xml:space="preserve"> of the Disclosure Schedules, and all amendments, modifications and supplements thereto. Each Company Contract constitutes the legal, valid, binding and enforceable obligation of the Company or the Black Rock Entities party thereto and to the Knowledge of Seller, the other parties thereto, except as may be limited by (</w:t>
      </w:r>
      <w:r>
        <w:rPr>
          <w:rFonts w:ascii="Arial" w:cs="Arial" w:eastAsia="Arial" w:hAnsi="Arial"/>
          <w:sz w:val="17"/>
          <w:szCs w:val="17"/>
          <w:i w:val="1"/>
          <w:iCs w:val="1"/>
          <w:color w:val="auto"/>
        </w:rPr>
        <w:t>i</w:t>
      </w:r>
      <w:r>
        <w:rPr>
          <w:rFonts w:ascii="Arial" w:cs="Arial" w:eastAsia="Arial" w:hAnsi="Arial"/>
          <w:sz w:val="17"/>
          <w:szCs w:val="17"/>
          <w:color w:val="auto"/>
        </w:rPr>
        <w:t>) bankruptcy, insolvency, reorganization, moratorium and other similar laws of general application affecting the rights and remedies of creditors, and (</w:t>
      </w:r>
      <w:r>
        <w:rPr>
          <w:rFonts w:ascii="Arial" w:cs="Arial" w:eastAsia="Arial" w:hAnsi="Arial"/>
          <w:sz w:val="17"/>
          <w:szCs w:val="17"/>
          <w:i w:val="1"/>
          <w:iCs w:val="1"/>
          <w:color w:val="auto"/>
        </w:rPr>
        <w:t>ii</w:t>
      </w:r>
      <w:r>
        <w:rPr>
          <w:rFonts w:ascii="Arial" w:cs="Arial" w:eastAsia="Arial" w:hAnsi="Arial"/>
          <w:sz w:val="17"/>
          <w:szCs w:val="17"/>
          <w:color w:val="auto"/>
        </w:rPr>
        <w:t>) general principles of equity (regardless of whether such enforcement is considered in a proceeding in equity or at law). Each Company Contract is in full force and effect.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left="660" w:firstLine="1292"/>
        <w:spacing w:after="0" w:line="263" w:lineRule="auto"/>
        <w:tabs>
          <w:tab w:leader="none" w:pos="258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i w:val="1"/>
          <w:iCs w:val="1"/>
          <w:color w:val="auto"/>
        </w:rPr>
        <w:t>Schedule 3.01(m)(iii)</w:t>
      </w:r>
      <w:r>
        <w:rPr>
          <w:rFonts w:ascii="Arial" w:cs="Arial" w:eastAsia="Arial" w:hAnsi="Arial"/>
          <w:sz w:val="18"/>
          <w:szCs w:val="18"/>
          <w:color w:val="auto"/>
        </w:rPr>
        <w:t xml:space="preserve"> of the Disclosure Schedules, neither the Company nor the Black Rock Entities or, to the Knowledge of Seller, the other parties thereto, is in material violation or material breach of or material default under any Company Contract to which it is a party.</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63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None of Seller, the Company or any of the Black Rock Entities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82" w:lineRule="exact"/>
        <w:rPr>
          <w:rFonts w:ascii="Arial" w:cs="Arial" w:eastAsia="Arial" w:hAnsi="Arial"/>
          <w:sz w:val="18"/>
          <w:szCs w:val="18"/>
          <w:color w:val="auto"/>
        </w:rPr>
      </w:pPr>
    </w:p>
    <w:p>
      <w:pPr>
        <w:ind w:left="1960" w:hanging="656"/>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Real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311" w:lineRule="auto"/>
        <w:tabs>
          <w:tab w:leader="none" w:pos="2373"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Schedule 3.01(n)(i) </w:t>
      </w:r>
      <w:r>
        <w:rPr>
          <w:rFonts w:ascii="Arial" w:cs="Arial" w:eastAsia="Arial" w:hAnsi="Arial"/>
          <w:sz w:val="16"/>
          <w:szCs w:val="16"/>
          <w:color w:val="auto"/>
        </w:rPr>
        <w:t>of the Disclosure Schedules lists all Real Property Rights of the Company and the Black Rock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the real property in which the Company and the Black Rock Entities have Real Property Rights, and appurtenances thereto (collectively, the “</w:t>
      </w:r>
      <w:r>
        <w:rPr>
          <w:rFonts w:ascii="Arial" w:cs="Arial" w:eastAsia="Arial" w:hAnsi="Arial"/>
          <w:sz w:val="16"/>
          <w:szCs w:val="16"/>
          <w:i w:val="1"/>
          <w:iCs w:val="1"/>
          <w:color w:val="auto"/>
        </w:rPr>
        <w:t>Land</w:t>
      </w:r>
      <w:r>
        <w:rPr>
          <w:rFonts w:ascii="Arial" w:cs="Arial" w:eastAsia="Arial" w:hAnsi="Arial"/>
          <w:sz w:val="16"/>
          <w:szCs w:val="16"/>
          <w:color w:val="auto"/>
        </w:rPr>
        <w:t>”). The Land is free and clear of all Liens except (</w:t>
      </w:r>
      <w:r>
        <w:rPr>
          <w:rFonts w:ascii="Arial" w:cs="Arial" w:eastAsia="Arial" w:hAnsi="Arial"/>
          <w:sz w:val="16"/>
          <w:szCs w:val="16"/>
          <w:i w:val="1"/>
          <w:iCs w:val="1"/>
          <w:color w:val="auto"/>
        </w:rPr>
        <w:t>A</w:t>
      </w:r>
      <w:r>
        <w:rPr>
          <w:rFonts w:ascii="Arial" w:cs="Arial" w:eastAsia="Arial" w:hAnsi="Arial"/>
          <w:sz w:val="16"/>
          <w:szCs w:val="16"/>
          <w:color w:val="auto"/>
        </w:rPr>
        <w:t>) for Permitted Exceptions and (</w:t>
      </w:r>
      <w:r>
        <w:rPr>
          <w:rFonts w:ascii="Arial" w:cs="Arial" w:eastAsia="Arial" w:hAnsi="Arial"/>
          <w:sz w:val="16"/>
          <w:szCs w:val="16"/>
          <w:i w:val="1"/>
          <w:iCs w:val="1"/>
          <w:color w:val="auto"/>
        </w:rPr>
        <w:t>B</w:t>
      </w:r>
      <w:r>
        <w:rPr>
          <w:rFonts w:ascii="Arial" w:cs="Arial" w:eastAsia="Arial" w:hAnsi="Arial"/>
          <w:sz w:val="16"/>
          <w:szCs w:val="16"/>
          <w:color w:val="auto"/>
        </w:rPr>
        <w:t>) as disclosed in the Title Proforma.</w:t>
      </w:r>
    </w:p>
    <w:p>
      <w:pPr>
        <w:spacing w:after="0" w:line="148" w:lineRule="exact"/>
        <w:rPr>
          <w:rFonts w:ascii="Arial" w:cs="Arial" w:eastAsia="Arial" w:hAnsi="Arial"/>
          <w:sz w:val="16"/>
          <w:szCs w:val="16"/>
          <w:color w:val="auto"/>
        </w:rPr>
      </w:pPr>
    </w:p>
    <w:p>
      <w:pPr>
        <w:jc w:val="both"/>
        <w:ind w:left="660" w:firstLine="1292"/>
        <w:spacing w:after="0" w:line="263" w:lineRule="auto"/>
        <w:tabs>
          <w:tab w:leader="none" w:pos="251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3.01(n)(ii)</w:t>
      </w:r>
      <w:r>
        <w:rPr>
          <w:rFonts w:ascii="Arial" w:cs="Arial" w:eastAsia="Arial" w:hAnsi="Arial"/>
          <w:sz w:val="18"/>
          <w:szCs w:val="18"/>
          <w:color w:val="auto"/>
        </w:rPr>
        <w:t xml:space="preserve"> of the Disclosure Schedules, neither the Company nor the Black Rock Entities has entered into any assignment, lease, license, sublease, easement or other agreement granting to any Person any right to the possession, use, occupancy or enjoyment of the Land.</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53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Neither the Company nor the Black Rock Entities has caused or suffered to exist any easement, right-of-way, covenant, condition, restriction, reservation, license, agreement or other similar matter that would materially interfere with the operation of the Project or the business of the Company or the Black Rock Entities in respect of the Real Property Rights, except as set forth on Part I of </w:t>
      </w:r>
      <w:r>
        <w:rPr>
          <w:rFonts w:ascii="Arial" w:cs="Arial" w:eastAsia="Arial" w:hAnsi="Arial"/>
          <w:sz w:val="18"/>
          <w:szCs w:val="18"/>
          <w:i w:val="1"/>
          <w:iCs w:val="1"/>
          <w:color w:val="auto"/>
        </w:rPr>
        <w:t>Schedule 3.01(n)(iii)</w:t>
      </w:r>
      <w:r>
        <w:rPr>
          <w:rFonts w:ascii="Arial" w:cs="Arial" w:eastAsia="Arial" w:hAnsi="Arial"/>
          <w:sz w:val="18"/>
          <w:szCs w:val="18"/>
          <w:color w:val="auto"/>
        </w:rPr>
        <w:t xml:space="preserve"> of the Disclosure Schedules or in the Title Proforma.</w:t>
      </w:r>
    </w:p>
    <w:p>
      <w:pPr>
        <w:spacing w:after="0" w:line="186" w:lineRule="exact"/>
        <w:rPr>
          <w:rFonts w:ascii="Arial" w:cs="Arial" w:eastAsia="Arial" w:hAnsi="Arial"/>
          <w:sz w:val="18"/>
          <w:szCs w:val="18"/>
          <w:color w:val="auto"/>
        </w:rPr>
      </w:pPr>
    </w:p>
    <w:p>
      <w:pPr>
        <w:ind w:left="660" w:right="20" w:firstLine="1292"/>
        <w:spacing w:after="0" w:line="308" w:lineRule="auto"/>
        <w:tabs>
          <w:tab w:leader="none" w:pos="2541"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Except as set forth on Part II of </w:t>
      </w:r>
      <w:r>
        <w:rPr>
          <w:rFonts w:ascii="Arial" w:cs="Arial" w:eastAsia="Arial" w:hAnsi="Arial"/>
          <w:sz w:val="17"/>
          <w:szCs w:val="17"/>
          <w:i w:val="1"/>
          <w:iCs w:val="1"/>
          <w:color w:val="auto"/>
        </w:rPr>
        <w:t>Schedule 3.01(n)(iii)</w:t>
      </w:r>
      <w:r>
        <w:rPr>
          <w:rFonts w:ascii="Arial" w:cs="Arial" w:eastAsia="Arial" w:hAnsi="Arial"/>
          <w:sz w:val="17"/>
          <w:szCs w:val="17"/>
          <w:color w:val="auto"/>
        </w:rPr>
        <w:t xml:space="preserve"> of the Disclosure Schedules, the Real Property Rights are all the real property rights necessary for the Company and the Black Rock Entities to develop, construct, own and operate the Project.</w:t>
      </w:r>
    </w:p>
    <w:p>
      <w:pPr>
        <w:spacing w:after="0" w:line="146" w:lineRule="exact"/>
        <w:rPr>
          <w:rFonts w:ascii="Arial" w:cs="Arial" w:eastAsia="Arial" w:hAnsi="Arial"/>
          <w:sz w:val="17"/>
          <w:szCs w:val="17"/>
          <w:color w:val="auto"/>
        </w:rPr>
      </w:pPr>
    </w:p>
    <w:p>
      <w:pPr>
        <w:jc w:val="both"/>
        <w:ind w:left="660" w:firstLine="1292"/>
        <w:spacing w:after="0" w:line="263" w:lineRule="auto"/>
        <w:tabs>
          <w:tab w:leader="none" w:pos="254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None of Seller, the Company or the Black Rock Entities has received any written notice of (</w:t>
      </w:r>
      <w:r>
        <w:rPr>
          <w:rFonts w:ascii="Arial" w:cs="Arial" w:eastAsia="Arial" w:hAnsi="Arial"/>
          <w:sz w:val="18"/>
          <w:szCs w:val="18"/>
          <w:i w:val="1"/>
          <w:iCs w:val="1"/>
          <w:color w:val="auto"/>
        </w:rPr>
        <w:t>A</w:t>
      </w:r>
      <w:r>
        <w:rPr>
          <w:rFonts w:ascii="Arial" w:cs="Arial" w:eastAsia="Arial" w:hAnsi="Arial"/>
          <w:sz w:val="18"/>
          <w:szCs w:val="18"/>
          <w:color w:val="auto"/>
        </w:rPr>
        <w:t>) condemnation, eminent domain or similar governmental proceeding materially affecting, individually or in the aggregate, the Project or (</w:t>
      </w:r>
      <w:r>
        <w:rPr>
          <w:rFonts w:ascii="Arial" w:cs="Arial" w:eastAsia="Arial" w:hAnsi="Arial"/>
          <w:sz w:val="18"/>
          <w:szCs w:val="18"/>
          <w:i w:val="1"/>
          <w:iCs w:val="1"/>
          <w:color w:val="auto"/>
        </w:rPr>
        <w:t>B</w:t>
      </w:r>
      <w:r>
        <w:rPr>
          <w:rFonts w:ascii="Arial" w:cs="Arial" w:eastAsia="Arial" w:hAnsi="Arial"/>
          <w:sz w:val="18"/>
          <w:szCs w:val="18"/>
          <w:color w:val="auto"/>
        </w:rPr>
        <w:t>) zoning, ordinance, building, fire, health, or safety code violations materially affecting the Project.</w:t>
      </w:r>
    </w:p>
    <w:p>
      <w:pPr>
        <w:spacing w:after="0" w:line="179" w:lineRule="exact"/>
        <w:rPr>
          <w:rFonts w:ascii="Arial" w:cs="Arial" w:eastAsia="Arial" w:hAnsi="Arial"/>
          <w:sz w:val="18"/>
          <w:szCs w:val="18"/>
          <w:color w:val="auto"/>
        </w:rPr>
      </w:pPr>
    </w:p>
    <w:p>
      <w:pPr>
        <w:jc w:val="both"/>
        <w:ind w:firstLine="1304"/>
        <w:spacing w:after="0" w:line="266" w:lineRule="auto"/>
        <w:tabs>
          <w:tab w:leader="none" w:pos="1843"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Title Policy</w:t>
      </w:r>
      <w:r>
        <w:rPr>
          <w:rFonts w:ascii="Arial" w:cs="Arial" w:eastAsia="Arial" w:hAnsi="Arial"/>
          <w:sz w:val="18"/>
          <w:szCs w:val="18"/>
          <w:color w:val="auto"/>
        </w:rPr>
        <w:t>. As of the Closing Date, Seller has provided to Purchaser a true and correct copy of the Title Policy covering the Real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Real Property Rights are subject only to (</w:t>
      </w:r>
      <w:r>
        <w:rPr>
          <w:rFonts w:ascii="Arial" w:cs="Arial" w:eastAsia="Arial" w:hAnsi="Arial"/>
          <w:sz w:val="18"/>
          <w:szCs w:val="18"/>
          <w:i w:val="1"/>
          <w:iCs w:val="1"/>
          <w:color w:val="auto"/>
        </w:rPr>
        <w:t>i</w:t>
      </w:r>
      <w:r>
        <w:rPr>
          <w:rFonts w:ascii="Arial" w:cs="Arial" w:eastAsia="Arial" w:hAnsi="Arial"/>
          <w:sz w:val="18"/>
          <w:szCs w:val="18"/>
          <w:color w:val="auto"/>
        </w:rPr>
        <w:t>) Permitted Exceptions, (</w:t>
      </w:r>
      <w:r>
        <w:rPr>
          <w:rFonts w:ascii="Arial" w:cs="Arial" w:eastAsia="Arial" w:hAnsi="Arial"/>
          <w:sz w:val="18"/>
          <w:szCs w:val="18"/>
          <w:i w:val="1"/>
          <w:iCs w:val="1"/>
          <w:color w:val="auto"/>
        </w:rPr>
        <w:t>ii</w:t>
      </w:r>
      <w:r>
        <w:rPr>
          <w:rFonts w:ascii="Arial" w:cs="Arial" w:eastAsia="Arial" w:hAnsi="Arial"/>
          <w:sz w:val="18"/>
          <w:szCs w:val="18"/>
          <w:color w:val="auto"/>
        </w:rPr>
        <w:t>) matters disclosed in the Title Policy and (</w:t>
      </w:r>
      <w:r>
        <w:rPr>
          <w:rFonts w:ascii="Arial" w:cs="Arial" w:eastAsia="Arial" w:hAnsi="Arial"/>
          <w:sz w:val="18"/>
          <w:szCs w:val="18"/>
          <w:i w:val="1"/>
          <w:iCs w:val="1"/>
          <w:color w:val="auto"/>
        </w:rPr>
        <w:t>iii</w:t>
      </w:r>
      <w:r>
        <w:rPr>
          <w:rFonts w:ascii="Arial" w:cs="Arial" w:eastAsia="Arial" w:hAnsi="Arial"/>
          <w:sz w:val="18"/>
          <w:szCs w:val="18"/>
          <w:color w:val="auto"/>
        </w:rPr>
        <w:t>) matters consented to in writing by Purchaser.</w:t>
      </w:r>
    </w:p>
    <w:p>
      <w:pPr>
        <w:spacing w:after="0" w:line="175" w:lineRule="exact"/>
        <w:rPr>
          <w:rFonts w:ascii="Arial" w:cs="Arial" w:eastAsia="Arial" w:hAnsi="Arial"/>
          <w:sz w:val="18"/>
          <w:szCs w:val="18"/>
          <w:color w:val="auto"/>
        </w:rPr>
      </w:pPr>
    </w:p>
    <w:p>
      <w:pPr>
        <w:ind w:left="1860" w:hanging="556"/>
        <w:spacing w:after="0"/>
        <w:tabs>
          <w:tab w:leader="none" w:pos="18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Environmental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259" w:lineRule="auto"/>
        <w:tabs>
          <w:tab w:leader="none" w:pos="239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i w:val="1"/>
          <w:iCs w:val="1"/>
          <w:color w:val="auto"/>
        </w:rPr>
        <w:t>Schedule 3.01(p)(i)</w:t>
      </w:r>
      <w:r>
        <w:rPr>
          <w:rFonts w:ascii="Arial" w:cs="Arial" w:eastAsia="Arial" w:hAnsi="Arial"/>
          <w:sz w:val="18"/>
          <w:szCs w:val="18"/>
          <w:color w:val="auto"/>
        </w:rPr>
        <w:t xml:space="preserve"> of the Disclosure Schedules, the Company and the Black Rock Entities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Project or the Land.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left="4" w:firstLine="1292"/>
        <w:spacing w:after="0" w:line="257" w:lineRule="auto"/>
        <w:tabs>
          <w:tab w:leader="none" w:pos="1858" w:val="left"/>
        </w:tabs>
        <w:numPr>
          <w:ilvl w:val="2"/>
          <w:numId w:val="107"/>
        </w:numPr>
        <w:rPr>
          <w:rFonts w:ascii="Arial" w:cs="Arial" w:eastAsia="Arial" w:hAnsi="Arial"/>
          <w:sz w:val="18"/>
          <w:szCs w:val="18"/>
          <w:color w:val="auto"/>
        </w:rPr>
      </w:pPr>
      <w:r>
        <w:rPr>
          <w:rFonts w:ascii="Arial" w:cs="Arial" w:eastAsia="Arial" w:hAnsi="Arial"/>
          <w:sz w:val="18"/>
          <w:szCs w:val="18"/>
          <w:color w:val="auto"/>
        </w:rPr>
        <w:t xml:space="preserve">There are no Actions or Proceedings pending or, to the Knowledge of Seller, threatened, as of the date of this Agreement against Seller (solely in respect of the Project, the Company or the Black Rock Entities), the Company or the Black Rock Entities relating to any material violation of Environmental Law. None of Seller, the Company or the Black Rock Entities has received written notice from any Governmental Authority of any material violation of any Environmental Law in respect of the Project, the Company or the </w:t>
      </w:r>
      <w:r>
        <w:rPr>
          <w:rFonts w:ascii="Arial" w:cs="Arial" w:eastAsia="Arial" w:hAnsi="Arial"/>
          <w:sz w:val="18"/>
          <w:szCs w:val="18"/>
          <w:color w:val="FF0000"/>
          <w:strike w:val="1"/>
        </w:rPr>
        <w:t>BlackRock</w:t>
      </w:r>
      <w:r>
        <w:rPr>
          <w:rFonts w:ascii="Arial" w:cs="Arial" w:eastAsia="Arial" w:hAnsi="Arial"/>
          <w:sz w:val="18"/>
          <w:szCs w:val="18"/>
          <w:u w:val="single" w:color="auto"/>
          <w:color w:val="0000FF"/>
        </w:rPr>
        <w:t>Black Rock</w:t>
      </w:r>
      <w:r>
        <w:rPr>
          <w:rFonts w:ascii="Arial" w:cs="Arial" w:eastAsia="Arial" w:hAnsi="Arial"/>
          <w:sz w:val="18"/>
          <w:szCs w:val="18"/>
          <w:color w:val="auto"/>
        </w:rPr>
        <w:t xml:space="preserve"> Entities (other than those violations that have been resolved or remedied).</w:t>
      </w:r>
    </w:p>
    <w:p>
      <w:pPr>
        <w:spacing w:after="0" w:line="187" w:lineRule="exact"/>
        <w:rPr>
          <w:rFonts w:ascii="Arial" w:cs="Arial" w:eastAsia="Arial" w:hAnsi="Arial"/>
          <w:sz w:val="18"/>
          <w:szCs w:val="18"/>
          <w:color w:val="auto"/>
        </w:rPr>
      </w:pPr>
    </w:p>
    <w:p>
      <w:pPr>
        <w:jc w:val="both"/>
        <w:ind w:left="4" w:firstLine="1292"/>
        <w:spacing w:after="0" w:line="257" w:lineRule="auto"/>
        <w:tabs>
          <w:tab w:leader="none" w:pos="1876" w:val="left"/>
        </w:tabs>
        <w:numPr>
          <w:ilvl w:val="2"/>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Schedule 3.01(p)(iii) </w:t>
      </w:r>
      <w:r>
        <w:rPr>
          <w:rFonts w:ascii="Arial" w:cs="Arial" w:eastAsia="Arial" w:hAnsi="Arial"/>
          <w:sz w:val="18"/>
          <w:szCs w:val="18"/>
          <w:color w:val="auto"/>
        </w:rPr>
        <w:t>of the Disclosure Schedules sets forth all material Permits required pursuant to any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 to be acquired or held by or for the benefit of Seller, the Company or the Black Rock Entities for the development, construction, ownership, use or operation of the Land or the business of the Company and the Black Rock Entities as currently conducted. Except as set forth in </w:t>
      </w:r>
      <w:r>
        <w:rPr>
          <w:rFonts w:ascii="Arial" w:cs="Arial" w:eastAsia="Arial" w:hAnsi="Arial"/>
          <w:sz w:val="18"/>
          <w:szCs w:val="18"/>
          <w:i w:val="1"/>
          <w:iCs w:val="1"/>
          <w:color w:val="auto"/>
        </w:rPr>
        <w:t>Schedule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3.01(p)(iii) </w:t>
      </w:r>
      <w:r>
        <w:rPr>
          <w:rFonts w:ascii="Arial" w:cs="Arial" w:eastAsia="Arial" w:hAnsi="Arial"/>
          <w:sz w:val="18"/>
          <w:szCs w:val="18"/>
          <w:color w:val="auto"/>
        </w:rPr>
        <w:t>of the Disclosure Schedules, such Permits have been obtained in a timely manner and are presently maintained in full force and effect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name of the Company or the Black Rock Entities.</w:t>
      </w:r>
    </w:p>
    <w:p>
      <w:pPr>
        <w:spacing w:after="0" w:line="187" w:lineRule="exact"/>
        <w:rPr>
          <w:rFonts w:ascii="Arial" w:cs="Arial" w:eastAsia="Arial" w:hAnsi="Arial"/>
          <w:sz w:val="18"/>
          <w:szCs w:val="18"/>
          <w:color w:val="auto"/>
        </w:rPr>
      </w:pPr>
    </w:p>
    <w:p>
      <w:pPr>
        <w:jc w:val="both"/>
        <w:ind w:left="4" w:firstLine="1292"/>
        <w:spacing w:after="0" w:line="275" w:lineRule="auto"/>
        <w:tabs>
          <w:tab w:leader="none" w:pos="1883" w:val="left"/>
        </w:tabs>
        <w:numPr>
          <w:ilvl w:val="2"/>
          <w:numId w:val="10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i w:val="1"/>
          <w:iCs w:val="1"/>
          <w:color w:val="auto"/>
        </w:rPr>
        <w:t>Schedule 3.01(p)(iv)</w:t>
      </w:r>
      <w:r>
        <w:rPr>
          <w:rFonts w:ascii="Arial" w:cs="Arial" w:eastAsia="Arial" w:hAnsi="Arial"/>
          <w:sz w:val="17"/>
          <w:szCs w:val="17"/>
          <w:color w:val="auto"/>
        </w:rPr>
        <w:t xml:space="preserve"> of the Disclosure Schedules, 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Company and the Black Rock Entities as currently conducted that would be reasonably expected to trigger any obligation of Seller, the Company or the Black Rock Entities under Environmental Laws to report, investigate, remove or remediate such Release.</w:t>
      </w:r>
    </w:p>
    <w:p>
      <w:pPr>
        <w:spacing w:after="0" w:line="176" w:lineRule="exact"/>
        <w:rPr>
          <w:rFonts w:ascii="Arial" w:cs="Arial" w:eastAsia="Arial" w:hAnsi="Arial"/>
          <w:sz w:val="17"/>
          <w:szCs w:val="17"/>
          <w:color w:val="auto"/>
        </w:rPr>
      </w:pPr>
    </w:p>
    <w:p>
      <w:pPr>
        <w:jc w:val="both"/>
        <w:ind w:left="4" w:right="20" w:firstLine="1292"/>
        <w:spacing w:after="0" w:line="263" w:lineRule="auto"/>
        <w:tabs>
          <w:tab w:leader="none" w:pos="1917" w:val="left"/>
        </w:tabs>
        <w:numPr>
          <w:ilvl w:val="2"/>
          <w:numId w:val="107"/>
        </w:numPr>
        <w:rPr>
          <w:rFonts w:ascii="Arial" w:cs="Arial" w:eastAsia="Arial" w:hAnsi="Arial"/>
          <w:sz w:val="18"/>
          <w:szCs w:val="18"/>
          <w:color w:val="auto"/>
        </w:rPr>
      </w:pPr>
      <w:r>
        <w:rPr>
          <w:rFonts w:ascii="Arial" w:cs="Arial" w:eastAsia="Arial" w:hAnsi="Arial"/>
          <w:sz w:val="18"/>
          <w:szCs w:val="18"/>
          <w:color w:val="auto"/>
        </w:rPr>
        <w:t>Seller has made available to Purchaser all material environmental reports, assessments and documents that are in the possession of Seller, the Company or the Black Rock Entities and that relate to actual or potential material liabilities or obligations under Environmental Laws with respect to the Project or the Land.</w:t>
      </w:r>
    </w:p>
    <w:p>
      <w:pPr>
        <w:spacing w:after="0" w:line="179" w:lineRule="exact"/>
        <w:rPr>
          <w:rFonts w:ascii="Arial" w:cs="Arial" w:eastAsia="Arial" w:hAnsi="Arial"/>
          <w:sz w:val="18"/>
          <w:szCs w:val="18"/>
          <w:color w:val="auto"/>
        </w:rPr>
      </w:pPr>
    </w:p>
    <w:p>
      <w:pPr>
        <w:ind w:left="1304" w:hanging="656"/>
        <w:spacing w:after="0"/>
        <w:tabs>
          <w:tab w:leader="none" w:pos="1304"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Permits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 w:firstLine="1292"/>
        <w:spacing w:after="0" w:line="254" w:lineRule="auto"/>
        <w:tabs>
          <w:tab w:leader="none" w:pos="1717" w:val="left"/>
        </w:tabs>
        <w:numPr>
          <w:ilvl w:val="2"/>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Schedule 3.01(q)(i) </w:t>
      </w:r>
      <w:r>
        <w:rPr>
          <w:rFonts w:ascii="Arial" w:cs="Arial" w:eastAsia="Arial" w:hAnsi="Arial"/>
          <w:sz w:val="18"/>
          <w:szCs w:val="18"/>
          <w:color w:val="auto"/>
        </w:rPr>
        <w:t>of the Disclosure Schedules sets forth all material Permits required pursuant to any Law to be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held by or for the benefit of Seller, the Company or the Black Rock Entities in connection with the development, construction, ownership, maintenance, or operation of the Project, except for those required by the Environmental Laws, which are exclusively and solely governed by </w:t>
      </w:r>
      <w:r>
        <w:rPr>
          <w:rFonts w:ascii="Arial" w:cs="Arial" w:eastAsia="Arial" w:hAnsi="Arial"/>
          <w:sz w:val="18"/>
          <w:szCs w:val="18"/>
          <w:i w:val="1"/>
          <w:iCs w:val="1"/>
          <w:color w:val="auto"/>
        </w:rPr>
        <w:t xml:space="preserve">Section 3.01(p) </w:t>
      </w:r>
      <w:r>
        <w:rPr>
          <w:rFonts w:ascii="Arial" w:cs="Arial" w:eastAsia="Arial" w:hAnsi="Arial"/>
          <w:sz w:val="18"/>
          <w:szCs w:val="18"/>
          <w:color w:val="auto"/>
        </w:rPr>
        <w:t>hereof, or those of a type that are routinely granted on application and for which none of Seller, the Company or the Black Rock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Entities has reason to believe will not be obtained in due course. Except as set forth in </w:t>
      </w:r>
      <w:r>
        <w:rPr>
          <w:rFonts w:ascii="Arial" w:cs="Arial" w:eastAsia="Arial" w:hAnsi="Arial"/>
          <w:sz w:val="18"/>
          <w:szCs w:val="18"/>
          <w:i w:val="1"/>
          <w:iCs w:val="1"/>
          <w:color w:val="auto"/>
        </w:rPr>
        <w:t>Schedule 3.01(q)(i)</w:t>
      </w:r>
      <w:r>
        <w:rPr>
          <w:rFonts w:ascii="Arial" w:cs="Arial" w:eastAsia="Arial" w:hAnsi="Arial"/>
          <w:sz w:val="18"/>
          <w:szCs w:val="18"/>
          <w:color w:val="auto"/>
        </w:rPr>
        <w:t xml:space="preserve"> of the Disclosure Schedules, such Permits have been obtained in a timely manner and are presently maintained in full force and effect in the name of the Company or the Black Rock Entities.</w:t>
      </w:r>
    </w:p>
    <w:p>
      <w:pPr>
        <w:spacing w:after="0" w:line="194" w:lineRule="exact"/>
        <w:rPr>
          <w:rFonts w:ascii="Arial" w:cs="Arial" w:eastAsia="Arial" w:hAnsi="Arial"/>
          <w:sz w:val="18"/>
          <w:szCs w:val="18"/>
          <w:color w:val="auto"/>
        </w:rPr>
      </w:pPr>
    </w:p>
    <w:p>
      <w:pPr>
        <w:jc w:val="both"/>
        <w:ind w:left="4" w:firstLine="1292"/>
        <w:spacing w:after="0" w:line="284" w:lineRule="auto"/>
        <w:tabs>
          <w:tab w:leader="none" w:pos="1977" w:val="left"/>
        </w:tabs>
        <w:numPr>
          <w:ilvl w:val="2"/>
          <w:numId w:val="108"/>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i w:val="1"/>
          <w:iCs w:val="1"/>
          <w:color w:val="auto"/>
        </w:rPr>
        <w:t>Schedule 3.01(q)(ii)</w:t>
      </w:r>
      <w:r>
        <w:rPr>
          <w:rFonts w:ascii="Arial" w:cs="Arial" w:eastAsia="Arial" w:hAnsi="Arial"/>
          <w:sz w:val="16"/>
          <w:szCs w:val="16"/>
          <w:color w:val="auto"/>
        </w:rPr>
        <w:t xml:space="preserve"> of the Disclosure Schedules, and except as relates to compliance with Environmental Laws which is exclusively and solely governed by </w:t>
      </w:r>
      <w:r>
        <w:rPr>
          <w:rFonts w:ascii="Arial" w:cs="Arial" w:eastAsia="Arial" w:hAnsi="Arial"/>
          <w:sz w:val="16"/>
          <w:szCs w:val="16"/>
          <w:i w:val="1"/>
          <w:iCs w:val="1"/>
          <w:color w:val="auto"/>
        </w:rPr>
        <w:t>Section 3.01(p)</w:t>
      </w:r>
      <w:r>
        <w:rPr>
          <w:rFonts w:ascii="Arial" w:cs="Arial" w:eastAsia="Arial" w:hAnsi="Arial"/>
          <w:sz w:val="16"/>
          <w:szCs w:val="16"/>
          <w:color w:val="auto"/>
        </w:rPr>
        <w:t xml:space="preserve"> hereof, Seller, the Company and the Black Rock Entities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Arial" w:cs="Arial" w:eastAsia="Arial" w:hAnsi="Arial"/>
          <w:sz w:val="16"/>
          <w:szCs w:val="16"/>
          <w:i w:val="1"/>
          <w:iCs w:val="1"/>
          <w:color w:val="auto"/>
        </w:rPr>
        <w:t>i</w:t>
      </w:r>
      <w:r>
        <w:rPr>
          <w:rFonts w:ascii="Arial" w:cs="Arial" w:eastAsia="Arial" w:hAnsi="Arial"/>
          <w:sz w:val="16"/>
          <w:szCs w:val="16"/>
          <w:color w:val="auto"/>
        </w:rPr>
        <w:t>) is not in full force and effect, or (</w:t>
      </w:r>
      <w:r>
        <w:rPr>
          <w:rFonts w:ascii="Arial" w:cs="Arial" w:eastAsia="Arial" w:hAnsi="Arial"/>
          <w:sz w:val="16"/>
          <w:szCs w:val="16"/>
          <w:i w:val="1"/>
          <w:iCs w:val="1"/>
          <w:color w:val="auto"/>
        </w:rPr>
        <w:t>ii</w:t>
      </w:r>
      <w:r>
        <w:rPr>
          <w:rFonts w:ascii="Arial" w:cs="Arial" w:eastAsia="Arial" w:hAnsi="Arial"/>
          <w:sz w:val="16"/>
          <w:szCs w:val="16"/>
          <w:color w:val="auto"/>
        </w:rPr>
        <w:t>) is subject to any Action or Proceeding or unsatisfied condition, in each case of clause (i) and</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which has not been remedied or resolved.</w:t>
      </w:r>
    </w:p>
    <w:p>
      <w:pPr>
        <w:spacing w:after="0" w:line="200" w:lineRule="exact"/>
        <w:rPr>
          <w:sz w:val="20"/>
          <w:szCs w:val="20"/>
          <w:color w:val="auto"/>
        </w:rPr>
      </w:pPr>
    </w:p>
    <w:p>
      <w:pPr>
        <w:spacing w:after="0" w:line="22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8" w:name="page109"/>
    <w:bookmarkEnd w:id="108"/>
    <w:p>
      <w:pPr>
        <w:ind w:left="660" w:firstLine="1292"/>
        <w:spacing w:after="0" w:line="308" w:lineRule="auto"/>
        <w:tabs>
          <w:tab w:leader="none" w:pos="2566"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There are no proceedings pending or, to the Knowledge of Seller, threatened which would reasonably be expected to result in the modification, revocation or termination of any material Permit set forth in </w:t>
      </w:r>
      <w:r>
        <w:rPr>
          <w:rFonts w:ascii="Arial" w:cs="Arial" w:eastAsia="Arial" w:hAnsi="Arial"/>
          <w:sz w:val="17"/>
          <w:szCs w:val="17"/>
          <w:i w:val="1"/>
          <w:iCs w:val="1"/>
          <w:color w:val="auto"/>
        </w:rPr>
        <w:t>Schedule 3.01(q)(i)</w:t>
      </w:r>
      <w:r>
        <w:rPr>
          <w:rFonts w:ascii="Arial" w:cs="Arial" w:eastAsia="Arial" w:hAnsi="Arial"/>
          <w:sz w:val="17"/>
          <w:szCs w:val="17"/>
          <w:color w:val="auto"/>
        </w:rPr>
        <w:t xml:space="preserve"> of the Disclosure Schedules.</w:t>
      </w:r>
    </w:p>
    <w:p>
      <w:pPr>
        <w:spacing w:after="0" w:line="142" w:lineRule="exact"/>
        <w:rPr>
          <w:rFonts w:ascii="Arial" w:cs="Arial" w:eastAsia="Arial" w:hAnsi="Arial"/>
          <w:sz w:val="17"/>
          <w:szCs w:val="17"/>
          <w:color w:val="auto"/>
        </w:rPr>
      </w:pPr>
    </w:p>
    <w:p>
      <w:pPr>
        <w:jc w:val="both"/>
        <w:ind w:firstLine="1304"/>
        <w:spacing w:after="0" w:line="281" w:lineRule="auto"/>
        <w:tabs>
          <w:tab w:leader="none" w:pos="1723"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Affiliate Transactions</w:t>
      </w:r>
      <w:r>
        <w:rPr>
          <w:rFonts w:ascii="Arial" w:cs="Arial" w:eastAsia="Arial" w:hAnsi="Arial"/>
          <w:sz w:val="17"/>
          <w:szCs w:val="17"/>
          <w:color w:val="auto"/>
        </w:rPr>
        <w:t>. Except (</w:t>
      </w:r>
      <w:r>
        <w:rPr>
          <w:rFonts w:ascii="Arial" w:cs="Arial" w:eastAsia="Arial" w:hAnsi="Arial"/>
          <w:sz w:val="17"/>
          <w:szCs w:val="17"/>
          <w:i w:val="1"/>
          <w:iCs w:val="1"/>
          <w:color w:val="auto"/>
        </w:rPr>
        <w:t>i</w:t>
      </w:r>
      <w:r>
        <w:rPr>
          <w:rFonts w:ascii="Arial" w:cs="Arial" w:eastAsia="Arial" w:hAnsi="Arial"/>
          <w:sz w:val="17"/>
          <w:szCs w:val="17"/>
          <w:color w:val="auto"/>
        </w:rPr>
        <w:t>) for transactions (</w:t>
      </w:r>
      <w:r>
        <w:rPr>
          <w:rFonts w:ascii="Arial" w:cs="Arial" w:eastAsia="Arial" w:hAnsi="Arial"/>
          <w:sz w:val="17"/>
          <w:szCs w:val="17"/>
          <w:i w:val="1"/>
          <w:iCs w:val="1"/>
          <w:color w:val="auto"/>
        </w:rPr>
        <w:t>A</w:t>
      </w:r>
      <w:r>
        <w:rPr>
          <w:rFonts w:ascii="Arial" w:cs="Arial" w:eastAsia="Arial" w:hAnsi="Arial"/>
          <w:sz w:val="17"/>
          <w:szCs w:val="17"/>
          <w:color w:val="auto"/>
        </w:rPr>
        <w:t>) disclosed 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w:t>
      </w:r>
      <w:r>
        <w:rPr>
          <w:rFonts w:ascii="Arial" w:cs="Arial" w:eastAsia="Arial" w:hAnsi="Arial"/>
          <w:sz w:val="17"/>
          <w:szCs w:val="17"/>
          <w:i w:val="1"/>
          <w:iCs w:val="1"/>
          <w:color w:val="auto"/>
        </w:rPr>
        <w:t>B</w:t>
      </w:r>
      <w:r>
        <w:rPr>
          <w:rFonts w:ascii="Arial" w:cs="Arial" w:eastAsia="Arial" w:hAnsi="Arial"/>
          <w:sz w:val="17"/>
          <w:szCs w:val="17"/>
          <w:color w:val="auto"/>
        </w:rPr>
        <w:t>)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Contracts disclosed on </w:t>
      </w:r>
      <w:r>
        <w:rPr>
          <w:rFonts w:ascii="Arial" w:cs="Arial" w:eastAsia="Arial" w:hAnsi="Arial"/>
          <w:sz w:val="17"/>
          <w:szCs w:val="17"/>
          <w:i w:val="1"/>
          <w:iCs w:val="1"/>
          <w:color w:val="auto"/>
        </w:rPr>
        <w:t>Schedule 3.01(m)(i)</w:t>
      </w:r>
      <w:r>
        <w:rPr>
          <w:rFonts w:ascii="Arial" w:cs="Arial" w:eastAsia="Arial" w:hAnsi="Arial"/>
          <w:sz w:val="17"/>
          <w:szCs w:val="17"/>
          <w:color w:val="auto"/>
        </w:rPr>
        <w:t xml:space="preserve"> of the Disclosure Schedules, or (</w:t>
      </w:r>
      <w:r>
        <w:rPr>
          <w:rFonts w:ascii="Arial" w:cs="Arial" w:eastAsia="Arial" w:hAnsi="Arial"/>
          <w:sz w:val="17"/>
          <w:szCs w:val="17"/>
          <w:i w:val="1"/>
          <w:iCs w:val="1"/>
          <w:color w:val="auto"/>
        </w:rPr>
        <w:t>C</w:t>
      </w:r>
      <w:r>
        <w:rPr>
          <w:rFonts w:ascii="Arial" w:cs="Arial" w:eastAsia="Arial" w:hAnsi="Arial"/>
          <w:sz w:val="17"/>
          <w:szCs w:val="17"/>
          <w:color w:val="auto"/>
        </w:rPr>
        <w:t xml:space="preserve">) under Company Contracts entered into pursuant to the terms and subject to the conditions of </w:t>
      </w:r>
      <w:r>
        <w:rPr>
          <w:rFonts w:ascii="Arial" w:cs="Arial" w:eastAsia="Arial" w:hAnsi="Arial"/>
          <w:sz w:val="17"/>
          <w:szCs w:val="17"/>
          <w:i w:val="1"/>
          <w:iCs w:val="1"/>
          <w:color w:val="auto"/>
        </w:rPr>
        <w:t>Section 5.12(a)</w:t>
      </w:r>
      <w:r>
        <w:rPr>
          <w:rFonts w:ascii="Arial" w:cs="Arial" w:eastAsia="Arial" w:hAnsi="Arial"/>
          <w:sz w:val="17"/>
          <w:szCs w:val="17"/>
          <w:color w:val="auto"/>
        </w:rPr>
        <w:t>, and (</w:t>
      </w:r>
      <w:r>
        <w:rPr>
          <w:rFonts w:ascii="Arial" w:cs="Arial" w:eastAsia="Arial" w:hAnsi="Arial"/>
          <w:sz w:val="17"/>
          <w:szCs w:val="17"/>
          <w:i w:val="1"/>
          <w:iCs w:val="1"/>
          <w:color w:val="auto"/>
        </w:rPr>
        <w:t>ii</w:t>
      </w:r>
      <w:r>
        <w:rPr>
          <w:rFonts w:ascii="Arial" w:cs="Arial" w:eastAsia="Arial" w:hAnsi="Arial"/>
          <w:sz w:val="17"/>
          <w:szCs w:val="17"/>
          <w:color w:val="auto"/>
        </w:rPr>
        <w:t>) for this Agreement, there are no existing or pending transactions, Contracts or Liabilities between or among the Company or the Black Rock Entity on the one hand, and Seller or any of Seller’s Affiliates on the other hand.</w:t>
      </w:r>
    </w:p>
    <w:p>
      <w:pPr>
        <w:spacing w:after="0" w:line="164" w:lineRule="exact"/>
        <w:rPr>
          <w:rFonts w:ascii="Arial" w:cs="Arial" w:eastAsia="Arial" w:hAnsi="Arial"/>
          <w:sz w:val="17"/>
          <w:szCs w:val="17"/>
          <w:color w:val="auto"/>
        </w:rPr>
      </w:pPr>
    </w:p>
    <w:p>
      <w:pPr>
        <w:ind w:left="1840" w:hanging="536"/>
        <w:spacing w:after="0"/>
        <w:tabs>
          <w:tab w:leader="none" w:pos="184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1292"/>
        <w:spacing w:after="0" w:line="272" w:lineRule="auto"/>
        <w:tabs>
          <w:tab w:leader="none" w:pos="237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 xml:space="preserve">To the Knowledge of Seller, except as set forth in </w:t>
      </w:r>
      <w:r>
        <w:rPr>
          <w:rFonts w:ascii="Arial" w:cs="Arial" w:eastAsia="Arial" w:hAnsi="Arial"/>
          <w:sz w:val="17"/>
          <w:szCs w:val="17"/>
          <w:i w:val="1"/>
          <w:iCs w:val="1"/>
          <w:color w:val="auto"/>
        </w:rPr>
        <w:t>Schedule 3.01(s)(i)</w:t>
      </w:r>
      <w:r>
        <w:rPr>
          <w:rFonts w:ascii="Arial" w:cs="Arial" w:eastAsia="Arial" w:hAnsi="Arial"/>
          <w:sz w:val="17"/>
          <w:szCs w:val="17"/>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Company or the Black Rock Entities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Company or the Black Rock Entities and which is owned by any third party and which, in each case, would reasonably be expected to have a Material Adverse Effect.</w:t>
      </w:r>
    </w:p>
    <w:p>
      <w:pPr>
        <w:spacing w:after="0" w:line="177" w:lineRule="exact"/>
        <w:rPr>
          <w:sz w:val="20"/>
          <w:szCs w:val="20"/>
          <w:color w:val="auto"/>
        </w:rPr>
      </w:pPr>
    </w:p>
    <w:p>
      <w:pPr>
        <w:jc w:val="both"/>
        <w:ind w:left="660" w:firstLine="1292"/>
        <w:spacing w:after="0" w:line="259" w:lineRule="auto"/>
        <w:tabs>
          <w:tab w:leader="none" w:pos="257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Company and each of the Black Rock Entities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86" w:lineRule="exact"/>
        <w:rPr>
          <w:rFonts w:ascii="Arial" w:cs="Arial" w:eastAsia="Arial" w:hAnsi="Arial"/>
          <w:sz w:val="18"/>
          <w:szCs w:val="18"/>
          <w:color w:val="auto"/>
        </w:rPr>
      </w:pPr>
    </w:p>
    <w:p>
      <w:pPr>
        <w:jc w:val="both"/>
        <w:ind w:left="660" w:firstLine="1292"/>
        <w:spacing w:after="0" w:line="259" w:lineRule="auto"/>
        <w:tabs>
          <w:tab w:leader="none" w:pos="260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Company or the Black Rock Entities that would reasonably be expected to have a Material Adverse Effect.</w:t>
      </w:r>
    </w:p>
    <w:p>
      <w:pPr>
        <w:spacing w:after="0" w:line="182" w:lineRule="exact"/>
        <w:rPr>
          <w:rFonts w:ascii="Arial" w:cs="Arial" w:eastAsia="Arial" w:hAnsi="Arial"/>
          <w:sz w:val="18"/>
          <w:szCs w:val="18"/>
          <w:color w:val="auto"/>
        </w:rPr>
      </w:pPr>
    </w:p>
    <w:p>
      <w:pPr>
        <w:jc w:val="both"/>
        <w:ind w:firstLine="1304"/>
        <w:spacing w:after="0" w:line="287" w:lineRule="auto"/>
        <w:tabs>
          <w:tab w:leader="none" w:pos="1713"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Schedule 3.01(t)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contains a true, correct and complete list of all insurance policies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of this Agreement that insure the assets and properties and business of the Company or the Black Rock Entities or affect or relate to the ownership of any of the assets and properties the Company or the Black Rock Entities. Seller has delivered to Purchaser detailed summaries of all the insurance policies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all of which are in full force and effect. None of Seller, the Company or the Black Rock Entities has received any notice with respect to the assets and properties and business of the Company or the Black Rock Entities from any insurer under any insurance policy applicable to the assets and properties and business of the Company or the Black Rock Entities disclaiming coverage, reserving rights with respect to a particular claim or such policy in general or canceling any such policy. All premiums due and payable under all such policies have been paid and the terms of such policies have been complied with by Seller, the Company and the Black Rock Entities, as applicable, in all material respects. The insurance maintained by or on behalf of the Company or the Black Rock Entities is adequate to comply with all Laws and Company Contracts. Except as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Arial" w:cs="Arial" w:eastAsia="Arial" w:hAnsi="Arial"/>
          <w:sz w:val="16"/>
          <w:szCs w:val="16"/>
          <w:i w:val="1"/>
          <w:iCs w:val="1"/>
          <w:color w:val="auto"/>
        </w:rPr>
        <w:t>Schedule 3.01(t)</w:t>
      </w:r>
      <w:r>
        <w:rPr>
          <w:rFonts w:ascii="Arial" w:cs="Arial" w:eastAsia="Arial" w:hAnsi="Arial"/>
          <w:sz w:val="16"/>
          <w:szCs w:val="16"/>
          <w:color w:val="auto"/>
        </w:rPr>
        <w:t xml:space="preserve">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jc w:val="both"/>
        <w:ind w:firstLine="1304"/>
        <w:spacing w:after="0" w:line="294" w:lineRule="auto"/>
        <w:tabs>
          <w:tab w:leader="none" w:pos="1879" w:val="left"/>
        </w:tabs>
        <w:numPr>
          <w:ilvl w:val="0"/>
          <w:numId w:val="114"/>
        </w:numPr>
        <w:rPr>
          <w:rFonts w:ascii="Arial" w:cs="Arial" w:eastAsia="Arial" w:hAnsi="Arial"/>
          <w:sz w:val="16"/>
          <w:szCs w:val="16"/>
          <w:color w:val="auto"/>
        </w:rPr>
      </w:pPr>
      <w:r>
        <w:rPr>
          <w:rFonts w:ascii="Arial" w:cs="Arial" w:eastAsia="Arial" w:hAnsi="Arial"/>
          <w:sz w:val="16"/>
          <w:szCs w:val="16"/>
          <w:b w:val="1"/>
          <w:bCs w:val="1"/>
          <w:color w:val="auto"/>
        </w:rPr>
        <w:t>Balance Sheet</w:t>
      </w:r>
      <w:r>
        <w:rPr>
          <w:rFonts w:ascii="Arial" w:cs="Arial" w:eastAsia="Arial" w:hAnsi="Arial"/>
          <w:sz w:val="16"/>
          <w:szCs w:val="16"/>
          <w:color w:val="auto"/>
        </w:rPr>
        <w:t>. Seller has previously delivered to Purchaser true, correct and complete copies of the most recent unaudited</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sheet (the “</w:t>
      </w:r>
      <w:r>
        <w:rPr>
          <w:rFonts w:ascii="Arial" w:cs="Arial" w:eastAsia="Arial" w:hAnsi="Arial"/>
          <w:sz w:val="16"/>
          <w:szCs w:val="16"/>
          <w:i w:val="1"/>
          <w:iCs w:val="1"/>
          <w:color w:val="auto"/>
        </w:rPr>
        <w:t>Balance Sheet</w:t>
      </w:r>
      <w:r>
        <w:rPr>
          <w:rFonts w:ascii="Arial" w:cs="Arial" w:eastAsia="Arial" w:hAnsi="Arial"/>
          <w:sz w:val="16"/>
          <w:szCs w:val="16"/>
          <w:color w:val="auto"/>
        </w:rPr>
        <w:t>”) of the Company and the Black Rock Entities on a consolidated basis for the quarter ended November 30, 2020 (the “</w:t>
      </w:r>
      <w:r>
        <w:rPr>
          <w:rFonts w:ascii="Arial" w:cs="Arial" w:eastAsia="Arial" w:hAnsi="Arial"/>
          <w:sz w:val="16"/>
          <w:szCs w:val="16"/>
          <w:i w:val="1"/>
          <w:iCs w:val="1"/>
          <w:color w:val="auto"/>
        </w:rPr>
        <w:t>Balance Sheet Date</w:t>
      </w:r>
      <w:r>
        <w:rPr>
          <w:rFonts w:ascii="Arial" w:cs="Arial" w:eastAsia="Arial" w:hAnsi="Arial"/>
          <w:sz w:val="16"/>
          <w:szCs w:val="16"/>
          <w:color w:val="auto"/>
        </w:rPr>
        <w:t>”). The Balance Sheet (</w:t>
      </w:r>
      <w:r>
        <w:rPr>
          <w:rFonts w:ascii="Arial" w:cs="Arial" w:eastAsia="Arial" w:hAnsi="Arial"/>
          <w:sz w:val="16"/>
          <w:szCs w:val="16"/>
          <w:i w:val="1"/>
          <w:iCs w:val="1"/>
          <w:color w:val="auto"/>
        </w:rPr>
        <w:t>i</w:t>
      </w:r>
      <w:r>
        <w:rPr>
          <w:rFonts w:ascii="Arial" w:cs="Arial" w:eastAsia="Arial" w:hAnsi="Arial"/>
          <w:sz w:val="16"/>
          <w:szCs w:val="16"/>
          <w:color w:val="auto"/>
        </w:rPr>
        <w:t>) fairly presents, in all material respects, the consolidated financial position and consolidated results of operations of the Company and the Black Rock Entities, as of the Balance Sheet Date, (</w:t>
      </w:r>
      <w:r>
        <w:rPr>
          <w:rFonts w:ascii="Arial" w:cs="Arial" w:eastAsia="Arial" w:hAnsi="Arial"/>
          <w:sz w:val="16"/>
          <w:szCs w:val="16"/>
          <w:i w:val="1"/>
          <w:iCs w:val="1"/>
          <w:color w:val="auto"/>
        </w:rPr>
        <w:t>ii</w:t>
      </w:r>
      <w:r>
        <w:rPr>
          <w:rFonts w:ascii="Arial" w:cs="Arial" w:eastAsia="Arial" w:hAnsi="Arial"/>
          <w:sz w:val="16"/>
          <w:szCs w:val="16"/>
          <w:color w:val="auto"/>
        </w:rPr>
        <w:t>) has been prepared in accordance with GAAP consistently applied during the period(s) involved except as otherwise noted therein, subject to normal and recurring year-end adjustments that have not been and are not expected to be material in amount, and (</w:t>
      </w:r>
      <w:r>
        <w:rPr>
          <w:rFonts w:ascii="Arial" w:cs="Arial" w:eastAsia="Arial" w:hAnsi="Arial"/>
          <w:sz w:val="16"/>
          <w:szCs w:val="16"/>
          <w:i w:val="1"/>
          <w:iCs w:val="1"/>
          <w:color w:val="auto"/>
        </w:rPr>
        <w:t>iii</w:t>
      </w:r>
      <w:r>
        <w:rPr>
          <w:rFonts w:ascii="Arial" w:cs="Arial" w:eastAsia="Arial" w:hAnsi="Arial"/>
          <w:sz w:val="16"/>
          <w:szCs w:val="16"/>
          <w:color w:val="auto"/>
        </w:rPr>
        <w:t>) has been prepared from the books and records of the Company and the Black Rock Entities.</w:t>
      </w:r>
    </w:p>
    <w:p>
      <w:pPr>
        <w:spacing w:after="0" w:line="159" w:lineRule="exact"/>
        <w:rPr>
          <w:rFonts w:ascii="Arial" w:cs="Arial" w:eastAsia="Arial" w:hAnsi="Arial"/>
          <w:sz w:val="16"/>
          <w:szCs w:val="16"/>
          <w:color w:val="auto"/>
        </w:rPr>
      </w:pPr>
    </w:p>
    <w:p>
      <w:pPr>
        <w:ind w:firstLine="1304"/>
        <w:spacing w:after="0" w:line="282" w:lineRule="auto"/>
        <w:tabs>
          <w:tab w:leader="none" w:pos="1812"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Absence of Changes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3.01(v)</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since the Balance Sheet Date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otherwise indicated in subparagraph (vii) below) until the date of this Agreement, there has not been:</w:t>
      </w:r>
    </w:p>
    <w:p>
      <w:pPr>
        <w:spacing w:after="0" w:line="165" w:lineRule="exact"/>
        <w:rPr>
          <w:rFonts w:ascii="Arial" w:cs="Arial" w:eastAsia="Arial" w:hAnsi="Arial"/>
          <w:sz w:val="18"/>
          <w:szCs w:val="18"/>
          <w:color w:val="auto"/>
        </w:rPr>
      </w:pPr>
    </w:p>
    <w:p>
      <w:pPr>
        <w:jc w:val="both"/>
        <w:ind w:left="660" w:firstLine="1292"/>
        <w:spacing w:after="0" w:line="311" w:lineRule="auto"/>
        <w:tabs>
          <w:tab w:leader="none" w:pos="2373"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any repurchase, redemption or other acquisition of any equity interests of the Company or the Black Rock Entities or any interests convertible into equity interests of the Company or the Black Rock Entities or any other change in the capitalization or ownership of the Company or the Black Rock Entities, other than as permitted pursuant to the terms and subject to the conditions of </w:t>
      </w:r>
      <w:r>
        <w:rPr>
          <w:rFonts w:ascii="Arial" w:cs="Arial" w:eastAsia="Arial" w:hAnsi="Arial"/>
          <w:sz w:val="16"/>
          <w:szCs w:val="16"/>
          <w:i w:val="1"/>
          <w:iCs w:val="1"/>
          <w:color w:val="auto"/>
        </w:rPr>
        <w:t>Section 5.12(a)</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left="660" w:firstLine="1292"/>
        <w:spacing w:after="0" w:line="263" w:lineRule="auto"/>
        <w:tabs>
          <w:tab w:leader="none" w:pos="25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merger of the Company or the Black Rock Entities into or with any other Person, consolidation of the Company or the Black Rock Entities with any other Person or acquisition by the Company or the Black Rock Entities of all or substantially all of the business or assets of any Person;</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52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action by the Company or the Black Rock Entities or any commitment entered into by any member of the Company or the Black Rock Entities with respect to or in contemplation of any liquidation, dissolution, recapitalization, reorganization or other winding up of its business or operations;</w:t>
      </w:r>
    </w:p>
    <w:p>
      <w:pPr>
        <w:spacing w:after="0" w:line="183" w:lineRule="exact"/>
        <w:rPr>
          <w:rFonts w:ascii="Arial" w:cs="Arial" w:eastAsia="Arial" w:hAnsi="Arial"/>
          <w:sz w:val="18"/>
          <w:szCs w:val="18"/>
          <w:color w:val="auto"/>
        </w:rPr>
      </w:pPr>
    </w:p>
    <w:p>
      <w:pPr>
        <w:ind w:left="660" w:right="20" w:firstLine="1292"/>
        <w:spacing w:after="0" w:line="277" w:lineRule="auto"/>
        <w:tabs>
          <w:tab w:leader="none" w:pos="250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material change in accounting policies or practices (including any change in depreciation or amortization policies) of the Company or the Black Rock Entities, except as required under GAAP;</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54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0" w:name="page111"/>
    <w:bookmarkEnd w:id="110"/>
    <w:p>
      <w:pPr>
        <w:jc w:val="both"/>
        <w:ind w:left="660" w:firstLine="1292"/>
        <w:spacing w:after="0" w:line="301" w:lineRule="auto"/>
        <w:tabs>
          <w:tab w:leader="none" w:pos="253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 xml:space="preserve">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as permitted pursuant to the terms and subject to the conditions of </w:t>
      </w:r>
      <w:r>
        <w:rPr>
          <w:rFonts w:ascii="Arial" w:cs="Arial" w:eastAsia="Arial" w:hAnsi="Arial"/>
          <w:sz w:val="16"/>
          <w:szCs w:val="16"/>
          <w:i w:val="1"/>
          <w:iCs w:val="1"/>
          <w:color w:val="auto"/>
        </w:rPr>
        <w:t>Section 5.12(a)</w:t>
      </w:r>
      <w:r>
        <w:rPr>
          <w:rFonts w:ascii="Arial" w:cs="Arial" w:eastAsia="Arial" w:hAnsi="Arial"/>
          <w:sz w:val="16"/>
          <w:szCs w:val="16"/>
          <w:color w:val="auto"/>
        </w:rPr>
        <w:t>; or</w:t>
      </w:r>
    </w:p>
    <w:p>
      <w:pPr>
        <w:spacing w:after="0" w:line="157" w:lineRule="exact"/>
        <w:rPr>
          <w:rFonts w:ascii="Arial" w:cs="Arial" w:eastAsia="Arial" w:hAnsi="Arial"/>
          <w:sz w:val="16"/>
          <w:szCs w:val="16"/>
          <w:color w:val="auto"/>
        </w:rPr>
      </w:pPr>
    </w:p>
    <w:p>
      <w:pPr>
        <w:ind w:left="660" w:firstLine="1292"/>
        <w:spacing w:after="0" w:line="277" w:lineRule="auto"/>
        <w:tabs>
          <w:tab w:leader="none" w:pos="254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event, circumstance, condition or change relating or with respect to the Company or the Black Rock Entities that would reasonably be expected to have, individually or in the aggregate, a Material Adverse Effect.</w:t>
      </w:r>
    </w:p>
    <w:p>
      <w:pPr>
        <w:spacing w:after="0" w:line="166" w:lineRule="exact"/>
        <w:rPr>
          <w:rFonts w:ascii="Arial" w:cs="Arial" w:eastAsia="Arial" w:hAnsi="Arial"/>
          <w:sz w:val="18"/>
          <w:szCs w:val="18"/>
          <w:color w:val="auto"/>
        </w:rPr>
      </w:pPr>
    </w:p>
    <w:p>
      <w:pPr>
        <w:jc w:val="both"/>
        <w:ind w:firstLine="1304"/>
        <w:spacing w:after="0" w:line="289" w:lineRule="auto"/>
        <w:tabs>
          <w:tab w:leader="none" w:pos="1806"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Bank Accounts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3.01(w)</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sets forth the names and locations of banks, trust companies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financial institutions at which the Company or the Black Rock Entities maintain bank accounts or safe deposit boxes, in each case listing the type of account, the account number, and the names of all Persons authorized to draw thereupon or who have access thereto.</w:t>
      </w:r>
    </w:p>
    <w:p>
      <w:pPr>
        <w:spacing w:after="0" w:line="157" w:lineRule="exact"/>
        <w:rPr>
          <w:rFonts w:ascii="Arial" w:cs="Arial" w:eastAsia="Arial" w:hAnsi="Arial"/>
          <w:sz w:val="17"/>
          <w:szCs w:val="17"/>
          <w:color w:val="auto"/>
        </w:rPr>
      </w:pPr>
    </w:p>
    <w:p>
      <w:pPr>
        <w:ind w:left="1800" w:hanging="496"/>
        <w:spacing w:after="0"/>
        <w:tabs>
          <w:tab w:leader="none" w:pos="18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Regulatory Status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1292"/>
        <w:spacing w:after="0" w:line="277" w:lineRule="auto"/>
        <w:tabs>
          <w:tab w:leader="none" w:pos="237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Project Company is an “exempt wholesale generator,” as such term is defined in PUHCA. As an “exempt wholesale generator,” the Project Company is exempt from PUHCA to the extent provided for in 18 C.F.R. § 366.7(e).</w:t>
      </w:r>
    </w:p>
    <w:p>
      <w:pPr>
        <w:spacing w:after="0" w:line="170" w:lineRule="exact"/>
        <w:rPr>
          <w:rFonts w:ascii="Arial" w:cs="Arial" w:eastAsia="Arial" w:hAnsi="Arial"/>
          <w:sz w:val="18"/>
          <w:szCs w:val="18"/>
          <w:color w:val="auto"/>
        </w:rPr>
      </w:pPr>
    </w:p>
    <w:p>
      <w:pPr>
        <w:jc w:val="both"/>
        <w:ind w:left="660" w:firstLine="1292"/>
        <w:spacing w:after="0" w:line="259" w:lineRule="auto"/>
        <w:tabs>
          <w:tab w:leader="none" w:pos="257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Company and each of the Black Rock Entities other than the Project Company will become a “holding company,” as defined in PUHCA, solely with respect to its direct or indirect, as applicable, ownership of the Project Company and, therefore, Company and each of the Black Rock Entities other than the Project Company is entitled to the exemptions and waivers set forth in at 18 C.F.R. § 366.3(a). The Project Company is not a “holding company.”</w:t>
      </w:r>
    </w:p>
    <w:p>
      <w:pPr>
        <w:spacing w:after="0" w:line="186" w:lineRule="exact"/>
        <w:rPr>
          <w:rFonts w:ascii="Arial" w:cs="Arial" w:eastAsia="Arial" w:hAnsi="Arial"/>
          <w:sz w:val="18"/>
          <w:szCs w:val="18"/>
          <w:color w:val="auto"/>
        </w:rPr>
      </w:pPr>
    </w:p>
    <w:p>
      <w:pPr>
        <w:jc w:val="both"/>
        <w:ind w:left="660" w:firstLine="1292"/>
        <w:spacing w:after="0" w:line="259" w:lineRule="auto"/>
        <w:tabs>
          <w:tab w:leader="none" w:pos="252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As of the Closing Date, Purchaser, solely by virtue of its indirect ownership of the Project Company, will not be subject to, or will not lose the exemption from, (A) FERC regulation as an “electric utility company,” a “public-utility company,” or a “holding company,” or an “affiliate” or “subsidiary company” as defined under PUHCA, (B) as “public utility” under the FPA, and (C) PSC regulation as a “public utility”.</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56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Neither the Company nor any of the Black Rock Entities is subject to regulation as a “public utility” as that term is defined under FPA Section 201(e),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Project Company shall become a “public utility” under the FPA upon the effectiveness of its MBR Authorization.</w:t>
      </w:r>
    </w:p>
    <w:p>
      <w:pPr>
        <w:spacing w:after="0" w:line="179" w:lineRule="exact"/>
        <w:rPr>
          <w:rFonts w:ascii="Arial" w:cs="Arial" w:eastAsia="Arial" w:hAnsi="Arial"/>
          <w:sz w:val="18"/>
          <w:szCs w:val="18"/>
          <w:color w:val="auto"/>
        </w:rPr>
      </w:pPr>
    </w:p>
    <w:p>
      <w:pPr>
        <w:ind w:left="1920" w:hanging="616"/>
        <w:spacing w:after="0"/>
        <w:tabs>
          <w:tab w:leader="none" w:pos="192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Support Obligations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3.01(y)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sets forth a true and complete list of all the Support</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206" w:lineRule="exact"/>
        <w:rPr>
          <w:rFonts w:ascii="Arial" w:cs="Arial" w:eastAsia="Arial" w:hAnsi="Arial"/>
          <w:sz w:val="17"/>
          <w:szCs w:val="17"/>
          <w:color w:val="auto"/>
        </w:rPr>
      </w:pPr>
    </w:p>
    <w:p>
      <w:pPr>
        <w:jc w:val="both"/>
        <w:ind w:firstLine="1304"/>
        <w:spacing w:after="0" w:line="258" w:lineRule="auto"/>
        <w:tabs>
          <w:tab w:leader="none" w:pos="18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Disclosures</w:t>
      </w:r>
      <w:r>
        <w:rPr>
          <w:rFonts w:ascii="Arial" w:cs="Arial" w:eastAsia="Arial" w:hAnsi="Arial"/>
          <w:sz w:val="18"/>
          <w:szCs w:val="18"/>
          <w:color w:val="auto"/>
        </w:rPr>
        <w:t>. To the Knowledge of Seller, no representation or warranty by Seller contained in this Agreement, and no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the Disclosure Schedules or any other document, certificate or other instrument delivered to or to be delivered by or on behalf of Seller, the Company or the Black Rock Entities contains, or will contain any untrue statement of a material fact or omits or will omit to state any material fact necessary, in light of the circumstances under which it was or will be made, in order to make the statements herein or therein not misleading when taken as a whole.</w:t>
      </w:r>
    </w:p>
    <w:p>
      <w:pPr>
        <w:spacing w:after="0" w:line="183" w:lineRule="exact"/>
        <w:rPr>
          <w:sz w:val="20"/>
          <w:szCs w:val="20"/>
          <w:color w:val="auto"/>
        </w:rPr>
      </w:pPr>
    </w:p>
    <w:p>
      <w:pPr>
        <w:jc w:val="both"/>
        <w:ind w:right="20" w:firstLine="1304"/>
        <w:spacing w:after="0" w:line="266" w:lineRule="auto"/>
        <w:tabs>
          <w:tab w:leader="none" w:pos="1791"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Reports</w:t>
      </w:r>
      <w:r>
        <w:rPr>
          <w:rFonts w:ascii="Arial" w:cs="Arial" w:eastAsia="Arial" w:hAnsi="Arial"/>
          <w:sz w:val="18"/>
          <w:szCs w:val="18"/>
          <w:color w:val="auto"/>
        </w:rPr>
        <w:t>. Seller has made available to Purchaser true, complete and correct copies of all Reports delivered pursuant to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Agreement as of the Execution Date. As of the Closing Date, Seller has made available to Purchaser true, correct and complete copies of all Reports that were not made available to Purchaser on the Execution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1304"/>
        <w:spacing w:after="0" w:line="261" w:lineRule="auto"/>
        <w:tabs>
          <w:tab w:leader="none" w:pos="1798"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Projections</w:t>
      </w:r>
      <w:r>
        <w:rPr>
          <w:rFonts w:ascii="Arial" w:cs="Arial" w:eastAsia="Arial" w:hAnsi="Arial"/>
          <w:sz w:val="18"/>
          <w:szCs w:val="18"/>
          <w:color w:val="auto"/>
        </w:rPr>
        <w:t>. Seller has prepared the financial projections for the Company and the Black Rock Entities, which are reflected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 Case Model (the “</w:t>
      </w:r>
      <w:r>
        <w:rPr>
          <w:rFonts w:ascii="Arial" w:cs="Arial" w:eastAsia="Arial" w:hAnsi="Arial"/>
          <w:sz w:val="18"/>
          <w:szCs w:val="18"/>
          <w:i w:val="1"/>
          <w:iCs w:val="1"/>
          <w:color w:val="auto"/>
        </w:rPr>
        <w:t>Projections</w:t>
      </w:r>
      <w:r>
        <w:rPr>
          <w:rFonts w:ascii="Arial" w:cs="Arial" w:eastAsia="Arial" w:hAnsi="Arial"/>
          <w:sz w:val="18"/>
          <w:szCs w:val="18"/>
          <w:color w:val="auto"/>
        </w:rPr>
        <w:t>”), in good faith. To the Knowledge of Seller, the Projections (</w:t>
      </w:r>
      <w:r>
        <w:rPr>
          <w:rFonts w:ascii="Arial" w:cs="Arial" w:eastAsia="Arial" w:hAnsi="Arial"/>
          <w:sz w:val="18"/>
          <w:szCs w:val="18"/>
          <w:i w:val="1"/>
          <w:iCs w:val="1"/>
          <w:color w:val="auto"/>
        </w:rPr>
        <w:t>i</w:t>
      </w:r>
      <w:r>
        <w:rPr>
          <w:rFonts w:ascii="Arial" w:cs="Arial" w:eastAsia="Arial" w:hAnsi="Arial"/>
          <w:sz w:val="18"/>
          <w:szCs w:val="18"/>
          <w:color w:val="auto"/>
        </w:rPr>
        <w:t>) are based on reasonable assumptions, (</w:t>
      </w:r>
      <w:r>
        <w:rPr>
          <w:rFonts w:ascii="Arial" w:cs="Arial" w:eastAsia="Arial" w:hAnsi="Arial"/>
          <w:sz w:val="18"/>
          <w:szCs w:val="18"/>
          <w:i w:val="1"/>
          <w:iCs w:val="1"/>
          <w:color w:val="auto"/>
        </w:rPr>
        <w:t>ii</w:t>
      </w:r>
      <w:r>
        <w:rPr>
          <w:rFonts w:ascii="Arial" w:cs="Arial" w:eastAsia="Arial" w:hAnsi="Arial"/>
          <w:sz w:val="18"/>
          <w:szCs w:val="18"/>
          <w:color w:val="auto"/>
        </w:rPr>
        <w:t>) are consistent in all material respects with Prudent Industry Practices, and (</w:t>
      </w:r>
      <w:r>
        <w:rPr>
          <w:rFonts w:ascii="Arial" w:cs="Arial" w:eastAsia="Arial" w:hAnsi="Arial"/>
          <w:sz w:val="18"/>
          <w:szCs w:val="18"/>
          <w:i w:val="1"/>
          <w:iCs w:val="1"/>
          <w:color w:val="auto"/>
        </w:rPr>
        <w:t>iii</w:t>
      </w:r>
      <w:r>
        <w:rPr>
          <w:rFonts w:ascii="Arial" w:cs="Arial" w:eastAsia="Arial" w:hAnsi="Arial"/>
          <w:sz w:val="18"/>
          <w:szCs w:val="18"/>
          <w:color w:val="auto"/>
        </w:rPr>
        <w:t>) reflect all material payments to be made by the Company or the Black Rock Entities to Sellers or its Affiliates.</w:t>
      </w:r>
    </w:p>
    <w:p>
      <w:pPr>
        <w:spacing w:after="0" w:line="179" w:lineRule="exact"/>
        <w:rPr>
          <w:rFonts w:ascii="Arial" w:cs="Arial" w:eastAsia="Arial" w:hAnsi="Arial"/>
          <w:sz w:val="18"/>
          <w:szCs w:val="18"/>
          <w:color w:val="auto"/>
        </w:rPr>
      </w:pPr>
    </w:p>
    <w:p>
      <w:pPr>
        <w:jc w:val="both"/>
        <w:ind w:firstLine="1304"/>
        <w:spacing w:after="0" w:line="253" w:lineRule="auto"/>
        <w:tabs>
          <w:tab w:leader="none" w:pos="1778"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No Other Warranties</w:t>
      </w:r>
      <w:r>
        <w:rPr>
          <w:rFonts w:ascii="Arial" w:cs="Arial" w:eastAsia="Arial" w:hAnsi="Arial"/>
          <w:sz w:val="18"/>
          <w:szCs w:val="18"/>
          <w:color w:val="auto"/>
        </w:rPr>
        <w:t>. EXCEPT FOR THE WARRANTIES SET FORTH HEREIN, THE ACQUIRED INTERESTS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AND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CLASS A INTERESTS</w:t>
      </w:r>
      <w:r>
        <w:rPr>
          <w:rFonts w:ascii="Arial" w:cs="Arial" w:eastAsia="Arial" w:hAnsi="Arial"/>
          <w:sz w:val="18"/>
          <w:szCs w:val="18"/>
          <w:color w:val="0000FF"/>
        </w:rPr>
        <w:t xml:space="preserve"> </w:t>
      </w:r>
      <w:r>
        <w:rPr>
          <w:rFonts w:ascii="Arial" w:cs="Arial" w:eastAsia="Arial" w:hAnsi="Arial"/>
          <w:sz w:val="18"/>
          <w:szCs w:val="18"/>
          <w:color w:val="000000"/>
        </w:rPr>
        <w:t>ARE BEING SOLD HEREUNDER ON AN “AS IS,” “WHERE IS” BASIS. THE WARRANTIES SET FORTH HEREIN ARE</w:t>
      </w:r>
      <w:r>
        <w:rPr>
          <w:rFonts w:ascii="Arial" w:cs="Arial" w:eastAsia="Arial" w:hAnsi="Arial"/>
          <w:sz w:val="18"/>
          <w:szCs w:val="18"/>
          <w:color w:val="0000FF"/>
        </w:rPr>
        <w:t xml:space="preserve"> </w:t>
      </w:r>
      <w:r>
        <w:rPr>
          <w:rFonts w:ascii="Arial" w:cs="Arial" w:eastAsia="Arial" w:hAnsi="Arial"/>
          <w:sz w:val="18"/>
          <w:szCs w:val="18"/>
          <w:color w:val="000000"/>
        </w:rPr>
        <w:t xml:space="preserve">EXCLUSIVE AND ARE IN LIEU OF ALL OTHER WARRANTIES, WHETHER STATUTORY, WRITTEN OR ORAL, EXPRESS OR IMPLIED; SELLER PROVIDES NO OTHER WARRANTIES WITH RESPECT TO THE ACQUIRED INTERESTS, </w:t>
      </w:r>
      <w:r>
        <w:rPr>
          <w:rFonts w:ascii="Arial" w:cs="Arial" w:eastAsia="Arial" w:hAnsi="Arial"/>
          <w:sz w:val="18"/>
          <w:szCs w:val="18"/>
          <w:u w:val="single" w:color="auto"/>
          <w:color w:val="0000FF"/>
        </w:rPr>
        <w:t>THE CLASS A INTERESTS,</w:t>
      </w:r>
      <w:r>
        <w:rPr>
          <w:rFonts w:ascii="Arial" w:cs="Arial" w:eastAsia="Arial" w:hAnsi="Arial"/>
          <w:sz w:val="18"/>
          <w:szCs w:val="18"/>
          <w:color w:val="000000"/>
        </w:rPr>
        <w:t xml:space="preserve"> THE COMPANY, THE PROJECT, THE BLACK ROCK ENTITIES, THE ASSETS OF THE COMPANY, OR THE ASSETS OF THE BLACK ROCK ENTITIES, INCLUDING IMPLIED WARRANTIES OF MERCHANTABILITY AND FITNESS FOR A PARTICULAR PURPOSE, AND WARRANTIES ARISING FROM COURSE OF DEALING OR USAGE OF TRADE, ALL OF WHICH ARE EXPRESSLY DISCLAIMED. EXCEPT AS EXPRESSLY SET FORTH IN </w:t>
      </w:r>
      <w:r>
        <w:rPr>
          <w:rFonts w:ascii="Arial" w:cs="Arial" w:eastAsia="Arial" w:hAnsi="Arial"/>
          <w:sz w:val="18"/>
          <w:szCs w:val="18"/>
          <w:i w:val="1"/>
          <w:iCs w:val="1"/>
          <w:color w:val="000000"/>
        </w:rPr>
        <w:t>SECTION 3.01</w:t>
      </w:r>
      <w:r>
        <w:rPr>
          <w:rFonts w:ascii="Arial" w:cs="Arial" w:eastAsia="Arial" w:hAnsi="Arial"/>
          <w:sz w:val="18"/>
          <w:szCs w:val="18"/>
          <w:color w:val="000000"/>
        </w:rPr>
        <w:t>, SELLER MAKES NO REPRESENTATION OR WARRANTY TO PURCHASER WITH RESPECT TO ANY FINANCIAL PROJECTIONS, FORECASTS OR FORWARD LOOKING STATEMENTS OF ANY KIND OR NATURE WHATSOEVER RELATING TO THE COMPANY, THE PROJECT, THE BLACK ROCK ENTITIES, THE ASSETS OF THE COMPANY, THE ASSETS OF THE BLACK ROCK ENTITIES</w:t>
      </w:r>
      <w:r>
        <w:rPr>
          <w:rFonts w:ascii="Arial" w:cs="Arial" w:eastAsia="Arial" w:hAnsi="Arial"/>
          <w:sz w:val="18"/>
          <w:szCs w:val="18"/>
          <w:u w:val="single" w:color="auto"/>
          <w:color w:val="0000FF"/>
        </w:rPr>
        <w:t>, THE CLASS A INTERESTS</w:t>
      </w:r>
      <w:r>
        <w:rPr>
          <w:rFonts w:ascii="Arial" w:cs="Arial" w:eastAsia="Arial" w:hAnsi="Arial"/>
          <w:sz w:val="18"/>
          <w:szCs w:val="18"/>
          <w:color w:val="000000"/>
        </w:rPr>
        <w:t xml:space="preserve"> OR THE ACQUIRED INTERESTS.</w:t>
      </w:r>
    </w:p>
    <w:p>
      <w:pPr>
        <w:spacing w:after="0" w:line="19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3.02. </w:t>
      </w:r>
      <w:r>
        <w:rPr>
          <w:rFonts w:ascii="Arial" w:cs="Arial" w:eastAsia="Arial" w:hAnsi="Arial"/>
          <w:sz w:val="16"/>
          <w:szCs w:val="16"/>
          <w:b w:val="1"/>
          <w:bCs w:val="1"/>
          <w:i w:val="1"/>
          <w:iCs w:val="1"/>
          <w:color w:val="auto"/>
        </w:rPr>
        <w:t>Representations and Warranties with Respect to Purchaser</w:t>
      </w:r>
      <w:r>
        <w:rPr>
          <w:rFonts w:ascii="Arial" w:cs="Arial" w:eastAsia="Arial" w:hAnsi="Arial"/>
          <w:sz w:val="16"/>
          <w:szCs w:val="16"/>
          <w:color w:val="auto"/>
        </w:rPr>
        <w:t>. Purchaser hereby represents to Seller as of the Execution Date</w:t>
      </w:r>
      <w:r>
        <w:rPr>
          <w:rFonts w:ascii="Arial" w:cs="Arial" w:eastAsia="Arial" w:hAnsi="Arial"/>
          <w:sz w:val="16"/>
          <w:szCs w:val="16"/>
          <w:b w:val="1"/>
          <w:bCs w:val="1"/>
          <w:color w:val="auto"/>
        </w:rPr>
        <w:t xml:space="preserve"> </w:t>
      </w:r>
      <w:r>
        <w:rPr>
          <w:rFonts w:ascii="Arial" w:cs="Arial" w:eastAsia="Arial" w:hAnsi="Arial"/>
          <w:sz w:val="16"/>
          <w:szCs w:val="16"/>
          <w:color w:val="FF0000"/>
          <w:strike w:val="1"/>
        </w:rPr>
        <w:t>and</w:t>
      </w:r>
      <w:r>
        <w:rPr>
          <w:rFonts w:ascii="Arial" w:cs="Arial" w:eastAsia="Arial" w:hAnsi="Arial"/>
          <w:sz w:val="16"/>
          <w:szCs w:val="16"/>
          <w:color w:val="0000FF"/>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 xml:space="preserve">Closing Date and, solely with respect to </w:t>
      </w:r>
      <w:r>
        <w:rPr>
          <w:rFonts w:ascii="Arial" w:cs="Arial" w:eastAsia="Arial" w:hAnsi="Arial"/>
          <w:sz w:val="16"/>
          <w:szCs w:val="16"/>
          <w:i w:val="1"/>
          <w:iCs w:val="1"/>
          <w:u w:val="single" w:color="auto"/>
          <w:color w:val="0000FF"/>
        </w:rPr>
        <w:t>Section 3.02(a)</w:t>
      </w:r>
      <w:r>
        <w:rPr>
          <w:rFonts w:ascii="Arial" w:cs="Arial" w:eastAsia="Arial" w:hAnsi="Arial"/>
          <w:sz w:val="16"/>
          <w:szCs w:val="16"/>
          <w:u w:val="single" w:color="auto"/>
          <w:color w:val="0000FF"/>
        </w:rPr>
        <w:t xml:space="preserve"> (Existence), </w:t>
      </w:r>
      <w:r>
        <w:rPr>
          <w:rFonts w:ascii="Arial" w:cs="Arial" w:eastAsia="Arial" w:hAnsi="Arial"/>
          <w:sz w:val="16"/>
          <w:szCs w:val="16"/>
          <w:i w:val="1"/>
          <w:iCs w:val="1"/>
          <w:u w:val="single" w:color="auto"/>
          <w:color w:val="0000FF"/>
        </w:rPr>
        <w:t>Section 3.02(b)</w:t>
      </w:r>
      <w:r>
        <w:rPr>
          <w:rFonts w:ascii="Arial" w:cs="Arial" w:eastAsia="Arial" w:hAnsi="Arial"/>
          <w:sz w:val="16"/>
          <w:szCs w:val="16"/>
          <w:u w:val="single" w:color="auto"/>
          <w:color w:val="0000FF"/>
        </w:rPr>
        <w:t xml:space="preserve"> (Authority), </w:t>
      </w:r>
      <w:r>
        <w:rPr>
          <w:rFonts w:ascii="Arial" w:cs="Arial" w:eastAsia="Arial" w:hAnsi="Arial"/>
          <w:sz w:val="16"/>
          <w:szCs w:val="16"/>
          <w:i w:val="1"/>
          <w:iCs w:val="1"/>
          <w:u w:val="single" w:color="auto"/>
          <w:color w:val="0000FF"/>
        </w:rPr>
        <w:t>Section 3.02(g)</w:t>
      </w:r>
      <w:r>
        <w:rPr>
          <w:rFonts w:ascii="Arial" w:cs="Arial" w:eastAsia="Arial" w:hAnsi="Arial"/>
          <w:sz w:val="16"/>
          <w:szCs w:val="16"/>
          <w:u w:val="single" w:color="auto"/>
          <w:color w:val="0000FF"/>
        </w:rPr>
        <w:t xml:space="preserve"> (Purchase for Investment) and </w:t>
      </w:r>
      <w:r>
        <w:rPr>
          <w:rFonts w:ascii="Arial" w:cs="Arial" w:eastAsia="Arial" w:hAnsi="Arial"/>
          <w:sz w:val="16"/>
          <w:szCs w:val="16"/>
          <w:i w:val="1"/>
          <w:iCs w:val="1"/>
          <w:u w:val="single" w:color="auto"/>
          <w:color w:val="0000FF"/>
        </w:rPr>
        <w:t>Section 3.02(k)</w:t>
      </w:r>
      <w:r>
        <w:rPr>
          <w:rFonts w:ascii="Arial" w:cs="Arial" w:eastAsia="Arial" w:hAnsi="Arial"/>
          <w:sz w:val="16"/>
          <w:szCs w:val="16"/>
          <w:i w:val="1"/>
          <w:iCs w:val="1"/>
          <w:color w:val="0000FF"/>
        </w:rPr>
        <w:t xml:space="preserve"> </w:t>
      </w:r>
      <w:r>
        <w:rPr>
          <w:rFonts w:ascii="Arial" w:cs="Arial" w:eastAsia="Arial" w:hAnsi="Arial"/>
          <w:sz w:val="16"/>
          <w:szCs w:val="16"/>
          <w:u w:val="single" w:color="auto"/>
          <w:color w:val="0000FF"/>
        </w:rPr>
        <w:t>(Due Diligence) (collectively, the “</w:t>
      </w:r>
      <w:r>
        <w:rPr>
          <w:rFonts w:ascii="Arial" w:cs="Arial" w:eastAsia="Arial" w:hAnsi="Arial"/>
          <w:sz w:val="16"/>
          <w:szCs w:val="16"/>
          <w:i w:val="1"/>
          <w:iCs w:val="1"/>
          <w:u w:val="single" w:color="auto"/>
          <w:color w:val="0000FF"/>
        </w:rPr>
        <w:t>Purchaser Second Closing Representations</w:t>
      </w:r>
      <w:r>
        <w:rPr>
          <w:rFonts w:ascii="Arial" w:cs="Arial" w:eastAsia="Arial" w:hAnsi="Arial"/>
          <w:sz w:val="16"/>
          <w:szCs w:val="16"/>
          <w:u w:val="single" w:color="auto"/>
          <w:color w:val="0000FF"/>
        </w:rPr>
        <w:t>”), the Second</w:t>
      </w:r>
      <w:r>
        <w:rPr>
          <w:rFonts w:ascii="Arial" w:cs="Arial" w:eastAsia="Arial" w:hAnsi="Arial"/>
          <w:sz w:val="16"/>
          <w:szCs w:val="16"/>
          <w:i w:val="1"/>
          <w:iCs w:val="1"/>
          <w:color w:val="0000FF"/>
        </w:rPr>
        <w:t xml:space="preserve"> </w:t>
      </w:r>
      <w:r>
        <w:rPr>
          <w:rFonts w:ascii="Arial" w:cs="Arial" w:eastAsia="Arial" w:hAnsi="Arial"/>
          <w:sz w:val="16"/>
          <w:szCs w:val="16"/>
          <w:color w:val="000000"/>
        </w:rPr>
        <w:t>Closing Date, as follows;</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provided</w:t>
      </w:r>
      <w:r>
        <w:rPr>
          <w:rFonts w:ascii="Arial" w:cs="Arial" w:eastAsia="Arial" w:hAnsi="Arial"/>
          <w:sz w:val="16"/>
          <w:szCs w:val="16"/>
          <w:i w:val="1"/>
          <w:iCs w:val="1"/>
          <w:color w:val="0000FF"/>
        </w:rPr>
        <w:t xml:space="preserve"> </w:t>
      </w:r>
      <w:r>
        <w:rPr>
          <w:rFonts w:ascii="Arial" w:cs="Arial" w:eastAsia="Arial" w:hAnsi="Arial"/>
          <w:sz w:val="16"/>
          <w:szCs w:val="16"/>
          <w:color w:val="000000"/>
        </w:rPr>
        <w:t>that any</w:t>
      </w:r>
      <w:r>
        <w:rPr>
          <w:rFonts w:ascii="Arial" w:cs="Arial" w:eastAsia="Arial" w:hAnsi="Arial"/>
          <w:sz w:val="16"/>
          <w:szCs w:val="16"/>
          <w:i w:val="1"/>
          <w:iCs w:val="1"/>
          <w:color w:val="0000FF"/>
        </w:rPr>
        <w:t xml:space="preserve"> </w:t>
      </w:r>
      <w:r>
        <w:rPr>
          <w:rFonts w:ascii="Arial" w:cs="Arial" w:eastAsia="Arial" w:hAnsi="Arial"/>
          <w:sz w:val="16"/>
          <w:szCs w:val="16"/>
          <w:color w:val="000000"/>
        </w:rPr>
        <w:t xml:space="preserve">representation and warranty set forth in this </w:t>
      </w:r>
      <w:r>
        <w:rPr>
          <w:rFonts w:ascii="Arial" w:cs="Arial" w:eastAsia="Arial" w:hAnsi="Arial"/>
          <w:sz w:val="16"/>
          <w:szCs w:val="16"/>
          <w:i w:val="1"/>
          <w:iCs w:val="1"/>
          <w:color w:val="000000"/>
        </w:rPr>
        <w:t>Section 3.02</w:t>
      </w:r>
      <w:r>
        <w:rPr>
          <w:rFonts w:ascii="Arial" w:cs="Arial" w:eastAsia="Arial" w:hAnsi="Arial"/>
          <w:sz w:val="16"/>
          <w:szCs w:val="16"/>
          <w:color w:val="000000"/>
        </w:rPr>
        <w:t xml:space="preserve"> and expressly stated to be made only as of a specified date shall be made solely as of such date:</w:t>
      </w:r>
    </w:p>
    <w:p>
      <w:pPr>
        <w:spacing w:after="0" w:line="151" w:lineRule="exact"/>
        <w:rPr>
          <w:sz w:val="20"/>
          <w:szCs w:val="20"/>
          <w:color w:val="auto"/>
        </w:rPr>
      </w:pPr>
    </w:p>
    <w:p>
      <w:pPr>
        <w:jc w:val="both"/>
        <w:ind w:firstLine="1304"/>
        <w:spacing w:after="0" w:line="261" w:lineRule="auto"/>
        <w:tabs>
          <w:tab w:leader="none" w:pos="1788"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Existence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is a limited liability company duly formed, validly existing and in good standing under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79" w:lineRule="exact"/>
        <w:rPr>
          <w:rFonts w:ascii="Arial" w:cs="Arial" w:eastAsia="Arial" w:hAnsi="Arial"/>
          <w:sz w:val="18"/>
          <w:szCs w:val="18"/>
          <w:color w:val="auto"/>
        </w:rPr>
      </w:pPr>
    </w:p>
    <w:p>
      <w:pPr>
        <w:jc w:val="both"/>
        <w:ind w:firstLine="1304"/>
        <w:spacing w:after="0" w:line="277" w:lineRule="auto"/>
        <w:tabs>
          <w:tab w:leader="none" w:pos="1812"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Authority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All actions or proceedings necessary to authorize the execution and delivery by Purchaser of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67" w:lineRule="exact"/>
        <w:rPr>
          <w:rFonts w:ascii="Arial" w:cs="Arial" w:eastAsia="Arial" w:hAnsi="Arial"/>
          <w:sz w:val="17"/>
          <w:szCs w:val="17"/>
          <w:color w:val="auto"/>
        </w:rPr>
      </w:pPr>
    </w:p>
    <w:p>
      <w:pPr>
        <w:jc w:val="both"/>
        <w:ind w:firstLine="1304"/>
        <w:spacing w:after="0" w:line="303" w:lineRule="auto"/>
        <w:tabs>
          <w:tab w:leader="none" w:pos="1788"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t>No Consent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disclosed 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Schedule 3.02(c)</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and except as would not, individually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1304"/>
        <w:spacing w:after="0" w:line="258" w:lineRule="auto"/>
        <w:tabs>
          <w:tab w:leader="none" w:pos="1753"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No Conflicts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delivery and performance of this Agreement by Purchaser does not and will not (</w:t>
      </w:r>
      <w:r>
        <w:rPr>
          <w:rFonts w:ascii="Arial" w:cs="Arial" w:eastAsia="Arial" w:hAnsi="Arial"/>
          <w:sz w:val="18"/>
          <w:szCs w:val="18"/>
          <w:i w:val="1"/>
          <w:iCs w:val="1"/>
          <w:color w:val="auto"/>
        </w:rPr>
        <w:t>i</w:t>
      </w:r>
      <w:r>
        <w:rPr>
          <w:rFonts w:ascii="Arial" w:cs="Arial" w:eastAsia="Arial" w:hAnsi="Arial"/>
          <w:sz w:val="18"/>
          <w:szCs w:val="18"/>
          <w:color w:val="auto"/>
        </w:rPr>
        <w:t>) conflict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a breach of, or constitute a default under, Purchaser’s Constitutive Documents, or any material Contract to which Purchaser is a party, (</w:t>
      </w:r>
      <w:r>
        <w:rPr>
          <w:rFonts w:ascii="Arial" w:cs="Arial" w:eastAsia="Arial" w:hAnsi="Arial"/>
          <w:sz w:val="18"/>
          <w:szCs w:val="18"/>
          <w:i w:val="1"/>
          <w:iCs w:val="1"/>
          <w:color w:val="auto"/>
        </w:rPr>
        <w:t>ii</w:t>
      </w:r>
      <w:r>
        <w:rPr>
          <w:rFonts w:ascii="Arial" w:cs="Arial" w:eastAsia="Arial" w:hAnsi="Arial"/>
          <w:sz w:val="18"/>
          <w:szCs w:val="18"/>
          <w:color w:val="auto"/>
        </w:rPr>
        <w:t>) result in the creation of any Lien upon any of the assets or properties of Purchaser or (</w:t>
      </w:r>
      <w:r>
        <w:rPr>
          <w:rFonts w:ascii="Arial" w:cs="Arial" w:eastAsia="Arial" w:hAnsi="Arial"/>
          <w:sz w:val="18"/>
          <w:szCs w:val="18"/>
          <w:i w:val="1"/>
          <w:iCs w:val="1"/>
          <w:color w:val="auto"/>
        </w:rPr>
        <w:t>iii</w:t>
      </w:r>
      <w:r>
        <w:rPr>
          <w:rFonts w:ascii="Arial" w:cs="Arial" w:eastAsia="Arial" w:hAnsi="Arial"/>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83" w:lineRule="exact"/>
        <w:rPr>
          <w:rFonts w:ascii="Arial" w:cs="Arial" w:eastAsia="Arial" w:hAnsi="Arial"/>
          <w:sz w:val="18"/>
          <w:szCs w:val="18"/>
          <w:color w:val="auto"/>
        </w:rPr>
      </w:pPr>
    </w:p>
    <w:p>
      <w:pPr>
        <w:jc w:val="both"/>
        <w:ind w:firstLine="1304"/>
        <w:spacing w:after="0" w:line="261" w:lineRule="auto"/>
        <w:tabs>
          <w:tab w:leader="none" w:pos="1743"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Permits and Filings</w:t>
      </w:r>
      <w:r>
        <w:rPr>
          <w:rFonts w:ascii="Arial" w:cs="Arial" w:eastAsia="Arial" w:hAnsi="Arial"/>
          <w:sz w:val="18"/>
          <w:szCs w:val="18"/>
          <w:color w:val="auto"/>
        </w:rPr>
        <w:t>. Except as disclosed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3.02(e)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no Permit is required on the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79" w:lineRule="exact"/>
        <w:rPr>
          <w:rFonts w:ascii="Arial" w:cs="Arial" w:eastAsia="Arial" w:hAnsi="Arial"/>
          <w:sz w:val="18"/>
          <w:szCs w:val="18"/>
          <w:color w:val="auto"/>
        </w:rPr>
      </w:pPr>
    </w:p>
    <w:p>
      <w:pPr>
        <w:jc w:val="both"/>
        <w:ind w:firstLine="1304"/>
        <w:spacing w:after="0" w:line="314" w:lineRule="auto"/>
        <w:tabs>
          <w:tab w:leader="none" w:pos="1746" w:val="left"/>
        </w:tabs>
        <w:numPr>
          <w:ilvl w:val="0"/>
          <w:numId w:val="120"/>
        </w:numPr>
        <w:rPr>
          <w:rFonts w:ascii="Arial" w:cs="Arial" w:eastAsia="Arial" w:hAnsi="Arial"/>
          <w:sz w:val="16"/>
          <w:szCs w:val="16"/>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 There are no Actions or Proceedings pending or, to the knowledge of Purchaser, threatened as of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41" w:lineRule="exact"/>
        <w:rPr>
          <w:rFonts w:ascii="Arial" w:cs="Arial" w:eastAsia="Arial" w:hAnsi="Arial"/>
          <w:sz w:val="16"/>
          <w:szCs w:val="16"/>
          <w:color w:val="auto"/>
        </w:rPr>
      </w:pPr>
    </w:p>
    <w:p>
      <w:pPr>
        <w:jc w:val="both"/>
        <w:ind w:firstLine="1304"/>
        <w:spacing w:after="0" w:line="254" w:lineRule="auto"/>
        <w:tabs>
          <w:tab w:leader="none" w:pos="1753"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Purchase for Investment</w:t>
      </w:r>
      <w:r>
        <w:rPr>
          <w:rFonts w:ascii="Arial" w:cs="Arial" w:eastAsia="Arial" w:hAnsi="Arial"/>
          <w:sz w:val="18"/>
          <w:szCs w:val="18"/>
          <w:color w:val="auto"/>
        </w:rPr>
        <w:t>. Purchaser (</w:t>
      </w:r>
      <w:r>
        <w:rPr>
          <w:rFonts w:ascii="Arial" w:cs="Arial" w:eastAsia="Arial" w:hAnsi="Arial"/>
          <w:sz w:val="18"/>
          <w:szCs w:val="18"/>
          <w:i w:val="1"/>
          <w:iCs w:val="1"/>
          <w:color w:val="auto"/>
        </w:rPr>
        <w:t>i</w:t>
      </w:r>
      <w:r>
        <w:rPr>
          <w:rFonts w:ascii="Arial" w:cs="Arial" w:eastAsia="Arial" w:hAnsi="Arial"/>
          <w:sz w:val="18"/>
          <w:szCs w:val="18"/>
          <w:color w:val="auto"/>
        </w:rPr>
        <w:t>) is acquiring the Acquired Interests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and as of the Second Closing Date, the Class 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Interests,</w:t>
      </w:r>
      <w:r>
        <w:rPr>
          <w:rFonts w:ascii="Arial" w:cs="Arial" w:eastAsia="Arial" w:hAnsi="Arial"/>
          <w:sz w:val="18"/>
          <w:szCs w:val="18"/>
          <w:color w:val="0000FF"/>
        </w:rPr>
        <w:t xml:space="preserve"> </w:t>
      </w:r>
      <w:r>
        <w:rPr>
          <w:rFonts w:ascii="Arial" w:cs="Arial" w:eastAsia="Arial" w:hAnsi="Arial"/>
          <w:sz w:val="18"/>
          <w:szCs w:val="18"/>
          <w:color w:val="000000"/>
        </w:rPr>
        <w:t>for its own account and not with a view to distribution, (ii) is an “accredited investor” as such term is defined in Rule 501(a) under the Securities</w:t>
      </w:r>
      <w:r>
        <w:rPr>
          <w:rFonts w:ascii="Arial" w:cs="Arial" w:eastAsia="Arial" w:hAnsi="Arial"/>
          <w:sz w:val="18"/>
          <w:szCs w:val="18"/>
          <w:color w:val="0000FF"/>
        </w:rPr>
        <w:t xml:space="preserve"> </w:t>
      </w:r>
      <w:r>
        <w:rPr>
          <w:rFonts w:ascii="Arial" w:cs="Arial" w:eastAsia="Arial" w:hAnsi="Arial"/>
          <w:sz w:val="18"/>
          <w:szCs w:val="18"/>
          <w:color w:val="000000"/>
        </w:rPr>
        <w:t xml:space="preserve">Act of 1933, (iii) has sufficient knowledge and experience in financial and business matters so as to be able to evaluate the merits and risk of an investment in the Acquired Interests and </w:t>
      </w:r>
      <w:r>
        <w:rPr>
          <w:rFonts w:ascii="Arial" w:cs="Arial" w:eastAsia="Arial" w:hAnsi="Arial"/>
          <w:sz w:val="18"/>
          <w:szCs w:val="18"/>
          <w:u w:val="single" w:color="auto"/>
          <w:color w:val="0000FF"/>
        </w:rPr>
        <w:t>the Class A Interests and</w:t>
      </w:r>
      <w:r>
        <w:rPr>
          <w:rFonts w:ascii="Arial" w:cs="Arial" w:eastAsia="Arial" w:hAnsi="Arial"/>
          <w:sz w:val="18"/>
          <w:szCs w:val="18"/>
          <w:color w:val="000000"/>
        </w:rPr>
        <w:t xml:space="preserve"> is able financially to bear the risks thereof, and (</w:t>
      </w:r>
      <w:r>
        <w:rPr>
          <w:rFonts w:ascii="Arial" w:cs="Arial" w:eastAsia="Arial" w:hAnsi="Arial"/>
          <w:sz w:val="18"/>
          <w:szCs w:val="18"/>
          <w:i w:val="1"/>
          <w:iCs w:val="1"/>
          <w:color w:val="000000"/>
        </w:rPr>
        <w:t>iv</w:t>
      </w:r>
      <w:r>
        <w:rPr>
          <w:rFonts w:ascii="Arial" w:cs="Arial" w:eastAsia="Arial" w:hAnsi="Arial"/>
          <w:sz w:val="18"/>
          <w:szCs w:val="18"/>
          <w:color w:val="000000"/>
        </w:rPr>
        <w:t xml:space="preserve">) understands that the Acquired Interests </w:t>
      </w:r>
      <w:r>
        <w:rPr>
          <w:rFonts w:ascii="Arial" w:cs="Arial" w:eastAsia="Arial" w:hAnsi="Arial"/>
          <w:sz w:val="18"/>
          <w:szCs w:val="18"/>
          <w:u w:val="single" w:color="auto"/>
          <w:color w:val="0000FF"/>
        </w:rPr>
        <w:t>and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Class A Interests</w:t>
      </w:r>
      <w:r>
        <w:rPr>
          <w:rFonts w:ascii="Arial" w:cs="Arial" w:eastAsia="Arial" w:hAnsi="Arial"/>
          <w:sz w:val="18"/>
          <w:szCs w:val="18"/>
          <w:color w:val="0000FF"/>
        </w:rPr>
        <w:t xml:space="preserve"> </w:t>
      </w:r>
      <w:r>
        <w:rPr>
          <w:rFonts w:ascii="Arial" w:cs="Arial" w:eastAsia="Arial" w:hAnsi="Arial"/>
          <w:sz w:val="18"/>
          <w:szCs w:val="18"/>
          <w:color w:val="000000"/>
        </w:rPr>
        <w:t>will, upon purchase, be characterized as “restricted securities” under state and federal securities laws and that under such laws and</w:t>
      </w:r>
      <w:r>
        <w:rPr>
          <w:rFonts w:ascii="Arial" w:cs="Arial" w:eastAsia="Arial" w:hAnsi="Arial"/>
          <w:sz w:val="18"/>
          <w:szCs w:val="18"/>
          <w:color w:val="0000FF"/>
        </w:rPr>
        <w:t xml:space="preserve"> </w:t>
      </w:r>
      <w:r>
        <w:rPr>
          <w:rFonts w:ascii="Arial" w:cs="Arial" w:eastAsia="Arial" w:hAnsi="Arial"/>
          <w:sz w:val="18"/>
          <w:szCs w:val="18"/>
          <w:color w:val="000000"/>
        </w:rPr>
        <w:t xml:space="preserve">applicable regulations the Acquired Interests </w:t>
      </w:r>
      <w:r>
        <w:rPr>
          <w:rFonts w:ascii="Arial" w:cs="Arial" w:eastAsia="Arial" w:hAnsi="Arial"/>
          <w:sz w:val="18"/>
          <w:szCs w:val="18"/>
          <w:u w:val="single" w:color="auto"/>
          <w:color w:val="0000FF"/>
        </w:rPr>
        <w:t>and the Class A Interests</w:t>
      </w:r>
      <w:r>
        <w:rPr>
          <w:rFonts w:ascii="Arial" w:cs="Arial" w:eastAsia="Arial" w:hAnsi="Arial"/>
          <w:sz w:val="18"/>
          <w:szCs w:val="18"/>
          <w:color w:val="000000"/>
        </w:rPr>
        <w:t xml:space="preserve"> may be resold without registration under such laws only in certain limited circumstances. Purchaser agrees that it will not sell, convey, transfer or dispose of the Acquired Interests </w:t>
      </w:r>
      <w:r>
        <w:rPr>
          <w:rFonts w:ascii="Arial" w:cs="Arial" w:eastAsia="Arial" w:hAnsi="Arial"/>
          <w:sz w:val="18"/>
          <w:szCs w:val="18"/>
          <w:u w:val="single" w:color="auto"/>
          <w:color w:val="0000FF"/>
        </w:rPr>
        <w:t>or the Class A Interests</w:t>
      </w:r>
      <w:r>
        <w:rPr>
          <w:rFonts w:ascii="Arial" w:cs="Arial" w:eastAsia="Arial" w:hAnsi="Arial"/>
          <w:sz w:val="18"/>
          <w:szCs w:val="18"/>
          <w:color w:val="000000"/>
        </w:rPr>
        <w:t>, unless such transaction is made pursuant to an effective registration statement under applicable federal and state securities laws or an exemption from registration requirements of such securities laws.</w:t>
      </w:r>
    </w:p>
    <w:p>
      <w:pPr>
        <w:spacing w:after="0" w:line="188" w:lineRule="exact"/>
        <w:rPr>
          <w:rFonts w:ascii="Arial" w:cs="Arial" w:eastAsia="Arial" w:hAnsi="Arial"/>
          <w:sz w:val="18"/>
          <w:szCs w:val="18"/>
          <w:color w:val="auto"/>
        </w:rPr>
      </w:pPr>
    </w:p>
    <w:p>
      <w:pPr>
        <w:ind w:firstLine="1304"/>
        <w:spacing w:after="0" w:line="312" w:lineRule="auto"/>
        <w:tabs>
          <w:tab w:leader="none" w:pos="1753"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Schedule 3.02(h)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no Person has any claim against Purchaser for a</w:t>
      </w:r>
      <w:r>
        <w:rPr>
          <w:rFonts w:ascii="Arial" w:cs="Arial" w:eastAsia="Arial" w:hAnsi="Arial"/>
          <w:sz w:val="17"/>
          <w:szCs w:val="17"/>
          <w:b w:val="1"/>
          <w:bCs w:val="1"/>
          <w:color w:val="auto"/>
        </w:rPr>
        <w:t xml:space="preserve"> </w:t>
      </w:r>
      <w:r>
        <w:rPr>
          <w:rFonts w:ascii="Arial" w:cs="Arial" w:eastAsia="Arial" w:hAnsi="Arial"/>
          <w:sz w:val="17"/>
          <w:szCs w:val="17"/>
          <w:color w:val="auto"/>
        </w:rPr>
        <w:t>finder’s fee, brokerage commission or similar payment directly or indirectly in connection with the transactions contemplated by this Agreement.</w:t>
      </w:r>
    </w:p>
    <w:p>
      <w:pPr>
        <w:spacing w:after="0" w:line="139" w:lineRule="exact"/>
        <w:rPr>
          <w:rFonts w:ascii="Arial" w:cs="Arial" w:eastAsia="Arial" w:hAnsi="Arial"/>
          <w:sz w:val="17"/>
          <w:szCs w:val="17"/>
          <w:color w:val="auto"/>
        </w:rPr>
      </w:pPr>
    </w:p>
    <w:p>
      <w:pPr>
        <w:jc w:val="both"/>
        <w:ind w:firstLine="1304"/>
        <w:spacing w:after="0" w:line="266" w:lineRule="auto"/>
        <w:tabs>
          <w:tab w:leader="none" w:pos="1785"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Governmental Approvals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3.02(i)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or which have already been</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no Governmental Approval is required on the part of Purchaser in connection with the execution, delivery and performance of this Agreement or the consummation of the transactions contemplated hereby.</w:t>
      </w:r>
    </w:p>
    <w:p>
      <w:pPr>
        <w:spacing w:after="0" w:line="175" w:lineRule="exact"/>
        <w:rPr>
          <w:rFonts w:ascii="Arial" w:cs="Arial" w:eastAsia="Arial" w:hAnsi="Arial"/>
          <w:sz w:val="18"/>
          <w:szCs w:val="18"/>
          <w:color w:val="auto"/>
        </w:rPr>
      </w:pPr>
    </w:p>
    <w:p>
      <w:pPr>
        <w:ind w:firstLine="1304"/>
        <w:spacing w:after="0" w:line="312" w:lineRule="auto"/>
        <w:tabs>
          <w:tab w:leader="none" w:pos="1758"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Compliance with Laws</w:t>
      </w:r>
      <w:r>
        <w:rPr>
          <w:rFonts w:ascii="Arial" w:cs="Arial" w:eastAsia="Arial" w:hAnsi="Arial"/>
          <w:sz w:val="17"/>
          <w:szCs w:val="17"/>
          <w:color w:val="auto"/>
        </w:rPr>
        <w:t>. Purchaser is not in material violation of any Law except where any such material violation would not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reasonably be expected to have a material adverse effect on Purchaser’s ability to satisfy its obligations under this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1304"/>
        <w:spacing w:after="0" w:line="274" w:lineRule="auto"/>
        <w:tabs>
          <w:tab w:leader="none" w:pos="1753"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Due Diligence</w:t>
      </w:r>
      <w:r>
        <w:rPr>
          <w:rFonts w:ascii="Arial" w:cs="Arial" w:eastAsia="Arial" w:hAnsi="Arial"/>
          <w:sz w:val="17"/>
          <w:szCs w:val="17"/>
          <w:color w:val="auto"/>
        </w:rPr>
        <w:t>. Purchaser, or its Representatives, have had the opportunity to conduct all such due diligence investigations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Acquired </w:t>
      </w:r>
      <w:r>
        <w:rPr>
          <w:rFonts w:ascii="Arial" w:cs="Arial" w:eastAsia="Arial" w:hAnsi="Arial"/>
          <w:sz w:val="17"/>
          <w:szCs w:val="17"/>
          <w:u w:val="single" w:color="auto"/>
          <w:color w:val="0000FF"/>
        </w:rPr>
        <w:t>Interests, the Class A</w:t>
      </w:r>
      <w:r>
        <w:rPr>
          <w:rFonts w:ascii="Arial" w:cs="Arial" w:eastAsia="Arial" w:hAnsi="Arial"/>
          <w:sz w:val="17"/>
          <w:szCs w:val="17"/>
          <w:color w:val="auto"/>
        </w:rPr>
        <w:t xml:space="preserve"> Interests, the Company, the Black Rock Entities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Arial" w:cs="Arial" w:eastAsia="Arial" w:hAnsi="Arial"/>
          <w:sz w:val="17"/>
          <w:szCs w:val="17"/>
          <w:i w:val="1"/>
          <w:iCs w:val="1"/>
          <w:color w:val="auto"/>
        </w:rPr>
        <w:t>SECTION 3.01</w:t>
      </w:r>
      <w:r>
        <w:rPr>
          <w:rFonts w:ascii="Arial" w:cs="Arial" w:eastAsia="Arial" w:hAnsi="Arial"/>
          <w:sz w:val="17"/>
          <w:szCs w:val="17"/>
          <w:color w:val="auto"/>
        </w:rPr>
        <w:t xml:space="preserve"> IN MAKING ITS DECISION TO ACQUIRE THE ACQUIRED INTERESTS </w:t>
      </w:r>
      <w:r>
        <w:rPr>
          <w:rFonts w:ascii="Arial" w:cs="Arial" w:eastAsia="Arial" w:hAnsi="Arial"/>
          <w:sz w:val="17"/>
          <w:szCs w:val="17"/>
          <w:u w:val="single" w:color="auto"/>
          <w:color w:val="0000FF"/>
        </w:rPr>
        <w:t>AND THE CLASS A INTERESTS</w:t>
      </w:r>
      <w:r>
        <w:rPr>
          <w:rFonts w:ascii="Arial" w:cs="Arial" w:eastAsia="Arial" w:hAnsi="Arial"/>
          <w:sz w:val="17"/>
          <w:szCs w:val="17"/>
          <w:color w:val="auto"/>
        </w:rPr>
        <w:t xml:space="preserve"> AND HAS NOT RELIED ON ANY OTHER STATEMENTS OR ADVICE FROM SELLER OR ITS REPRESENTATIVES.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 xml:space="preserve">4.01. </w:t>
      </w:r>
      <w:r>
        <w:rPr>
          <w:rFonts w:ascii="Arial" w:cs="Arial" w:eastAsia="Arial" w:hAnsi="Arial"/>
          <w:sz w:val="17"/>
          <w:szCs w:val="17"/>
          <w:b w:val="1"/>
          <w:bCs w:val="1"/>
          <w:i w:val="1"/>
          <w:iCs w:val="1"/>
          <w:color w:val="auto"/>
        </w:rPr>
        <w:t>Closing Date Conditions Precedent</w:t>
      </w:r>
      <w:r>
        <w:rPr>
          <w:rFonts w:ascii="Arial" w:cs="Arial" w:eastAsia="Arial" w:hAnsi="Arial"/>
          <w:sz w:val="17"/>
          <w:szCs w:val="17"/>
          <w:color w:val="auto"/>
        </w:rPr>
        <w:t>. The obligations of the Parties to sell and purchase, respectively, the Acquired Interests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fulfillment (or waiver by the applicable Party), at or before the Closing, by the applicable Party of each of the following conditions:</w:t>
      </w:r>
    </w:p>
    <w:p>
      <w:pPr>
        <w:spacing w:after="0" w:line="140" w:lineRule="exact"/>
        <w:rPr>
          <w:sz w:val="20"/>
          <w:szCs w:val="20"/>
          <w:color w:val="auto"/>
        </w:rPr>
      </w:pPr>
    </w:p>
    <w:p>
      <w:pPr>
        <w:ind w:left="1760" w:hanging="456"/>
        <w:spacing w:after="0"/>
        <w:tabs>
          <w:tab w:leader="none" w:pos="176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Tax Equity Funding</w:t>
      </w:r>
      <w:r>
        <w:rPr>
          <w:rFonts w:ascii="Arial" w:cs="Arial" w:eastAsia="Arial" w:hAnsi="Arial"/>
          <w:sz w:val="18"/>
          <w:szCs w:val="18"/>
          <w:color w:val="auto"/>
        </w:rPr>
        <w:t>. The Tax Equity Funding Date shall have occurred.</w:t>
      </w:r>
    </w:p>
    <w:p>
      <w:pPr>
        <w:spacing w:after="0" w:line="225" w:lineRule="exact"/>
        <w:rPr>
          <w:rFonts w:ascii="Arial" w:cs="Arial" w:eastAsia="Arial" w:hAnsi="Arial"/>
          <w:sz w:val="18"/>
          <w:szCs w:val="18"/>
          <w:color w:val="auto"/>
        </w:rPr>
      </w:pPr>
    </w:p>
    <w:p>
      <w:pPr>
        <w:jc w:val="both"/>
        <w:ind w:firstLine="1304"/>
        <w:spacing w:after="0" w:line="266" w:lineRule="auto"/>
        <w:tabs>
          <w:tab w:leader="none" w:pos="1753"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Approvals/Consents</w:t>
      </w:r>
      <w:r>
        <w:rPr>
          <w:rFonts w:ascii="Arial" w:cs="Arial" w:eastAsia="Arial" w:hAnsi="Arial"/>
          <w:sz w:val="18"/>
          <w:szCs w:val="18"/>
          <w:color w:val="auto"/>
        </w:rPr>
        <w:t>. All consents of Purchaser specified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3.02(c)</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and all approvals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Purchaser specified in </w:t>
      </w:r>
      <w:r>
        <w:rPr>
          <w:rFonts w:ascii="Arial" w:cs="Arial" w:eastAsia="Arial" w:hAnsi="Arial"/>
          <w:sz w:val="18"/>
          <w:szCs w:val="18"/>
          <w:i w:val="1"/>
          <w:iCs w:val="1"/>
          <w:color w:val="auto"/>
        </w:rPr>
        <w:t>Schedule 3.02(i)</w:t>
      </w:r>
      <w:r>
        <w:rPr>
          <w:rFonts w:ascii="Arial" w:cs="Arial" w:eastAsia="Arial" w:hAnsi="Arial"/>
          <w:sz w:val="18"/>
          <w:szCs w:val="18"/>
          <w:color w:val="auto"/>
        </w:rPr>
        <w:t xml:space="preserve"> of the Disclosure Schedules shall have been obtained by the Purchaser; and all Seller Approvals and Seller Consents shall have been obtained by the Seller and shall in each case be in full force and effect.</w:t>
      </w:r>
    </w:p>
    <w:p>
      <w:pPr>
        <w:spacing w:after="0" w:line="175" w:lineRule="exact"/>
        <w:rPr>
          <w:rFonts w:ascii="Arial" w:cs="Arial" w:eastAsia="Arial" w:hAnsi="Arial"/>
          <w:sz w:val="18"/>
          <w:szCs w:val="18"/>
          <w:color w:val="auto"/>
        </w:rPr>
      </w:pPr>
    </w:p>
    <w:p>
      <w:pPr>
        <w:jc w:val="both"/>
        <w:ind w:firstLine="1304"/>
        <w:spacing w:after="0" w:line="261" w:lineRule="auto"/>
        <w:tabs>
          <w:tab w:leader="none" w:pos="1743"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No Order shall have been entered which restrains, enjoins or otherwise prohibits or makes illegal the consummation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9" w:lineRule="exact"/>
        <w:rPr>
          <w:rFonts w:ascii="Arial" w:cs="Arial" w:eastAsia="Arial" w:hAnsi="Arial"/>
          <w:sz w:val="18"/>
          <w:szCs w:val="18"/>
          <w:color w:val="auto"/>
        </w:rPr>
      </w:pPr>
    </w:p>
    <w:p>
      <w:pPr>
        <w:jc w:val="both"/>
        <w:ind w:firstLine="1304"/>
        <w:spacing w:after="0" w:line="303" w:lineRule="auto"/>
        <w:tabs>
          <w:tab w:leader="none" w:pos="1753"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Seller Representations and Warranties</w:t>
      </w:r>
      <w:r>
        <w:rPr>
          <w:rFonts w:ascii="Arial" w:cs="Arial" w:eastAsia="Arial" w:hAnsi="Arial"/>
          <w:sz w:val="16"/>
          <w:szCs w:val="16"/>
          <w:color w:val="auto"/>
        </w:rPr>
        <w:t>. The representations and warranties made by Seller in this Agreement shall be true and</w:t>
      </w:r>
      <w:r>
        <w:rPr>
          <w:rFonts w:ascii="Arial" w:cs="Arial" w:eastAsia="Arial" w:hAnsi="Arial"/>
          <w:sz w:val="16"/>
          <w:szCs w:val="16"/>
          <w:b w:val="1"/>
          <w:bCs w:val="1"/>
          <w:color w:val="auto"/>
        </w:rPr>
        <w:t xml:space="preserve"> </w:t>
      </w:r>
      <w:r>
        <w:rPr>
          <w:rFonts w:ascii="Arial" w:cs="Arial" w:eastAsia="Arial" w:hAnsi="Arial"/>
          <w:sz w:val="16"/>
          <w:szCs w:val="16"/>
          <w:color w:val="auto"/>
        </w:rPr>
        <w:t>correct in all material respects (except for any of such representations and warranties that are qualified by materiality, including by reference to Material Adverse Effect,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50" w:lineRule="exact"/>
        <w:rPr>
          <w:rFonts w:ascii="Arial" w:cs="Arial" w:eastAsia="Arial" w:hAnsi="Arial"/>
          <w:sz w:val="16"/>
          <w:szCs w:val="16"/>
          <w:color w:val="auto"/>
        </w:rPr>
      </w:pPr>
    </w:p>
    <w:p>
      <w:pPr>
        <w:ind w:firstLine="1304"/>
        <w:spacing w:after="0" w:line="282" w:lineRule="auto"/>
        <w:tabs>
          <w:tab w:leader="none" w:pos="1743"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Seller Covenants</w:t>
      </w:r>
      <w:r>
        <w:rPr>
          <w:rFonts w:ascii="Arial" w:cs="Arial" w:eastAsia="Arial" w:hAnsi="Arial"/>
          <w:sz w:val="18"/>
          <w:szCs w:val="18"/>
          <w:color w:val="auto"/>
        </w:rPr>
        <w:t>. The covenants and obligations required by this Agreement to be performed or complied with by Seller at or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Closing Date have been duly performed or complied with in all material respects.</w:t>
      </w:r>
    </w:p>
    <w:p>
      <w:pPr>
        <w:spacing w:after="0" w:line="161" w:lineRule="exact"/>
        <w:rPr>
          <w:rFonts w:ascii="Arial" w:cs="Arial" w:eastAsia="Arial" w:hAnsi="Arial"/>
          <w:sz w:val="18"/>
          <w:szCs w:val="18"/>
          <w:color w:val="auto"/>
        </w:rPr>
      </w:pPr>
    </w:p>
    <w:p>
      <w:pPr>
        <w:ind w:firstLine="1304"/>
        <w:spacing w:after="0" w:line="282" w:lineRule="auto"/>
        <w:tabs>
          <w:tab w:leader="none" w:pos="1746"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Material Adverse Effect</w:t>
      </w:r>
      <w:r>
        <w:rPr>
          <w:rFonts w:ascii="Arial" w:cs="Arial" w:eastAsia="Arial" w:hAnsi="Arial"/>
          <w:sz w:val="18"/>
          <w:szCs w:val="18"/>
          <w:color w:val="auto"/>
        </w:rPr>
        <w:t>. There will not exist on the Closing Date any condition or fact that, individually or in the aggregate, has</w:t>
      </w:r>
      <w:r>
        <w:rPr>
          <w:rFonts w:ascii="Arial" w:cs="Arial" w:eastAsia="Arial" w:hAnsi="Arial"/>
          <w:sz w:val="18"/>
          <w:szCs w:val="18"/>
          <w:b w:val="1"/>
          <w:bCs w:val="1"/>
          <w:color w:val="auto"/>
        </w:rPr>
        <w:t xml:space="preserve"> </w:t>
      </w:r>
      <w:r>
        <w:rPr>
          <w:rFonts w:ascii="Arial" w:cs="Arial" w:eastAsia="Arial" w:hAnsi="Arial"/>
          <w:sz w:val="18"/>
          <w:szCs w:val="18"/>
          <w:color w:val="auto"/>
        </w:rPr>
        <w:t>or would reasonably be expected to result in a Material Adverse Effect.</w:t>
      </w:r>
    </w:p>
    <w:p>
      <w:pPr>
        <w:spacing w:after="0" w:line="161" w:lineRule="exact"/>
        <w:rPr>
          <w:rFonts w:ascii="Arial" w:cs="Arial" w:eastAsia="Arial" w:hAnsi="Arial"/>
          <w:sz w:val="18"/>
          <w:szCs w:val="18"/>
          <w:color w:val="auto"/>
        </w:rPr>
      </w:pPr>
    </w:p>
    <w:p>
      <w:pPr>
        <w:jc w:val="both"/>
        <w:ind w:firstLine="1304"/>
        <w:spacing w:after="0" w:line="281" w:lineRule="auto"/>
        <w:tabs>
          <w:tab w:leader="none" w:pos="1753"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Purchaser Representations and Warranties</w:t>
      </w:r>
      <w:r>
        <w:rPr>
          <w:rFonts w:ascii="Arial" w:cs="Arial" w:eastAsia="Arial" w:hAnsi="Arial"/>
          <w:sz w:val="17"/>
          <w:szCs w:val="17"/>
          <w:color w:val="auto"/>
        </w:rPr>
        <w:t>. The representations and warranties made by Purchaser in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true and correct in all material respects (except for any of such representations and warranties that are qualified by materiality,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firstLine="1304"/>
        <w:spacing w:after="0" w:line="282" w:lineRule="auto"/>
        <w:tabs>
          <w:tab w:leader="none" w:pos="1753"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Purchaser Covenants</w:t>
      </w:r>
      <w:r>
        <w:rPr>
          <w:rFonts w:ascii="Arial" w:cs="Arial" w:eastAsia="Arial" w:hAnsi="Arial"/>
          <w:sz w:val="18"/>
          <w:szCs w:val="18"/>
          <w:color w:val="auto"/>
        </w:rPr>
        <w:t>. The covenants and obligations required by this Agreement to be performed or complied with by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at or before the Closing Date have been duly performed or complied with in all material respects.</w:t>
      </w:r>
    </w:p>
    <w:p>
      <w:pPr>
        <w:spacing w:after="0" w:line="161" w:lineRule="exact"/>
        <w:rPr>
          <w:rFonts w:ascii="Arial" w:cs="Arial" w:eastAsia="Arial" w:hAnsi="Arial"/>
          <w:sz w:val="18"/>
          <w:szCs w:val="18"/>
          <w:color w:val="auto"/>
        </w:rPr>
      </w:pPr>
    </w:p>
    <w:p>
      <w:pPr>
        <w:ind w:firstLine="1304"/>
        <w:spacing w:after="0" w:line="347" w:lineRule="auto"/>
        <w:tabs>
          <w:tab w:leader="none" w:pos="1758"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Withholding Certificate</w:t>
      </w:r>
      <w:r>
        <w:rPr>
          <w:rFonts w:ascii="Arial" w:cs="Arial" w:eastAsia="Arial" w:hAnsi="Arial"/>
          <w:sz w:val="16"/>
          <w:szCs w:val="16"/>
          <w:color w:val="auto"/>
        </w:rPr>
        <w:t>. Seller shall have delivered to the Purchaser a certificate in form and substance reasonably satisfactory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Purchaser, certifying that the transactions contemplated by this Agreement are exempt from withholding under Code Sections 1445 and 1446(f).</w:t>
      </w:r>
    </w:p>
    <w:p>
      <w:pPr>
        <w:spacing w:after="0" w:line="115" w:lineRule="exact"/>
        <w:rPr>
          <w:rFonts w:ascii="Arial" w:cs="Arial" w:eastAsia="Arial" w:hAnsi="Arial"/>
          <w:sz w:val="16"/>
          <w:szCs w:val="16"/>
          <w:color w:val="auto"/>
        </w:rPr>
      </w:pPr>
    </w:p>
    <w:p>
      <w:pPr>
        <w:ind w:right="20" w:firstLine="1304"/>
        <w:spacing w:after="0" w:line="282" w:lineRule="auto"/>
        <w:tabs>
          <w:tab w:leader="none" w:pos="1758"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HASI Purchase Agreement</w:t>
      </w:r>
      <w:r>
        <w:rPr>
          <w:rFonts w:ascii="Arial" w:cs="Arial" w:eastAsia="Arial" w:hAnsi="Arial"/>
          <w:sz w:val="18"/>
          <w:szCs w:val="18"/>
          <w:color w:val="auto"/>
        </w:rPr>
        <w:t>. HASI shall, simultaneously with or prior to the Closing, have closed the acquisition of the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Units (other than the Acquired Interests) pursuant to the HASI Purchase Agreement.</w:t>
      </w:r>
    </w:p>
    <w:p>
      <w:pPr>
        <w:spacing w:after="0" w:line="161" w:lineRule="exact"/>
        <w:rPr>
          <w:rFonts w:ascii="Arial" w:cs="Arial" w:eastAsia="Arial" w:hAnsi="Arial"/>
          <w:sz w:val="18"/>
          <w:szCs w:val="18"/>
          <w:color w:val="auto"/>
        </w:rPr>
      </w:pPr>
    </w:p>
    <w:p>
      <w:pPr>
        <w:ind w:firstLine="1304"/>
        <w:spacing w:after="0" w:line="282" w:lineRule="auto"/>
        <w:tabs>
          <w:tab w:leader="none" w:pos="1753"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Drop-Down Assignment</w:t>
      </w:r>
      <w:r>
        <w:rPr>
          <w:rFonts w:ascii="Arial" w:cs="Arial" w:eastAsia="Arial" w:hAnsi="Arial"/>
          <w:sz w:val="18"/>
          <w:szCs w:val="18"/>
          <w:color w:val="auto"/>
        </w:rPr>
        <w:t>. Each of Purchaser and the Master JV HoldCo shall have delivered executed counterparts to the Drop</w:t>
      </w:r>
      <w:r>
        <w:rPr>
          <w:rFonts w:ascii="Arial" w:cs="Arial" w:eastAsia="Arial" w:hAnsi="Arial"/>
          <w:sz w:val="18"/>
          <w:szCs w:val="18"/>
          <w:b w:val="1"/>
          <w:bCs w:val="1"/>
          <w:color w:val="auto"/>
        </w:rPr>
        <w:t xml:space="preserve"> </w:t>
      </w:r>
      <w:r>
        <w:rPr>
          <w:rFonts w:ascii="Arial" w:cs="Arial" w:eastAsia="Arial" w:hAnsi="Arial"/>
          <w:sz w:val="18"/>
          <w:szCs w:val="18"/>
          <w:color w:val="auto"/>
        </w:rPr>
        <w:t>Down Assignment &amp; Assumption Agreement, to be held in escrow and released immediately following the Closing.</w:t>
      </w:r>
    </w:p>
    <w:p>
      <w:pPr>
        <w:spacing w:after="0" w:line="165" w:lineRule="exact"/>
        <w:rPr>
          <w:rFonts w:ascii="Arial" w:cs="Arial" w:eastAsia="Arial" w:hAnsi="Arial"/>
          <w:sz w:val="18"/>
          <w:szCs w:val="18"/>
          <w:color w:val="auto"/>
        </w:rPr>
      </w:pPr>
    </w:p>
    <w:p>
      <w:pPr>
        <w:ind w:left="1760" w:hanging="456"/>
        <w:spacing w:after="0"/>
        <w:tabs>
          <w:tab w:leader="none" w:pos="17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[Reserved]</w:t>
      </w:r>
      <w:r>
        <w:rPr>
          <w:rFonts w:ascii="Arial" w:cs="Arial" w:eastAsia="Arial" w:hAnsi="Arial"/>
          <w:sz w:val="18"/>
          <w:szCs w:val="18"/>
          <w:u w:val="single" w:color="auto"/>
          <w:color w:val="0000FF"/>
        </w:rPr>
        <w:t>.</w:t>
      </w:r>
    </w:p>
    <w:p>
      <w:pPr>
        <w:spacing w:after="0" w:line="221" w:lineRule="exact"/>
        <w:rPr>
          <w:rFonts w:ascii="Arial" w:cs="Arial" w:eastAsia="Arial" w:hAnsi="Arial"/>
          <w:sz w:val="18"/>
          <w:szCs w:val="18"/>
          <w:color w:val="auto"/>
        </w:rPr>
      </w:pPr>
    </w:p>
    <w:p>
      <w:pPr>
        <w:jc w:val="both"/>
        <w:ind w:firstLine="1304"/>
        <w:spacing w:after="0" w:line="289" w:lineRule="auto"/>
        <w:tabs>
          <w:tab w:leader="none" w:pos="1753"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Certificates; Other Ancillary Documents</w:t>
      </w:r>
      <w:r>
        <w:rPr>
          <w:rFonts w:ascii="Arial" w:cs="Arial" w:eastAsia="Arial" w:hAnsi="Arial"/>
          <w:sz w:val="16"/>
          <w:szCs w:val="16"/>
          <w:color w:val="auto"/>
        </w:rPr>
        <w:t>. Seller shall have delivered to Purchaser (</w:t>
      </w:r>
      <w:r>
        <w:rPr>
          <w:rFonts w:ascii="Arial" w:cs="Arial" w:eastAsia="Arial" w:hAnsi="Arial"/>
          <w:sz w:val="16"/>
          <w:szCs w:val="16"/>
          <w:i w:val="1"/>
          <w:iCs w:val="1"/>
          <w:color w:val="auto"/>
        </w:rPr>
        <w:t>i</w:t>
      </w:r>
      <w:r>
        <w:rPr>
          <w:rFonts w:ascii="Arial" w:cs="Arial" w:eastAsia="Arial" w:hAnsi="Arial"/>
          <w:sz w:val="16"/>
          <w:szCs w:val="16"/>
          <w:color w:val="auto"/>
        </w:rPr>
        <w:t>) a certificate, dated as of the Closing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executed by an authorized officer of Seller substantially in the form and to the effect of </w:t>
      </w:r>
      <w:r>
        <w:rPr>
          <w:rFonts w:ascii="Arial" w:cs="Arial" w:eastAsia="Arial" w:hAnsi="Arial"/>
          <w:sz w:val="16"/>
          <w:szCs w:val="16"/>
          <w:i w:val="1"/>
          <w:iCs w:val="1"/>
          <w:color w:val="auto"/>
        </w:rPr>
        <w:t>Exhibit B</w:t>
      </w:r>
      <w:r>
        <w:rPr>
          <w:rFonts w:ascii="Arial" w:cs="Arial" w:eastAsia="Arial" w:hAnsi="Arial"/>
          <w:sz w:val="16"/>
          <w:szCs w:val="16"/>
          <w:color w:val="auto"/>
        </w:rPr>
        <w:t>; (</w:t>
      </w:r>
      <w:r>
        <w:rPr>
          <w:rFonts w:ascii="Arial" w:cs="Arial" w:eastAsia="Arial" w:hAnsi="Arial"/>
          <w:sz w:val="16"/>
          <w:szCs w:val="16"/>
          <w:i w:val="1"/>
          <w:iCs w:val="1"/>
          <w:color w:val="auto"/>
        </w:rPr>
        <w:t>ii</w:t>
      </w:r>
      <w:r>
        <w:rPr>
          <w:rFonts w:ascii="Arial" w:cs="Arial" w:eastAsia="Arial" w:hAnsi="Arial"/>
          <w:sz w:val="16"/>
          <w:szCs w:val="16"/>
          <w:color w:val="auto"/>
        </w:rPr>
        <w:t xml:space="preserve">) a certificate, dated as of the Closing Date and executed by the Secretary of Seller substantially in the form and to the effect of </w:t>
      </w:r>
      <w:r>
        <w:rPr>
          <w:rFonts w:ascii="Arial" w:cs="Arial" w:eastAsia="Arial" w:hAnsi="Arial"/>
          <w:sz w:val="16"/>
          <w:szCs w:val="16"/>
          <w:i w:val="1"/>
          <w:iCs w:val="1"/>
          <w:color w:val="auto"/>
        </w:rPr>
        <w:t>Exhibit C</w:t>
      </w:r>
      <w:r>
        <w:rPr>
          <w:rFonts w:ascii="Arial" w:cs="Arial" w:eastAsia="Arial" w:hAnsi="Arial"/>
          <w:sz w:val="16"/>
          <w:szCs w:val="16"/>
          <w:color w:val="auto"/>
        </w:rPr>
        <w:t>; (</w:t>
      </w:r>
      <w:r>
        <w:rPr>
          <w:rFonts w:ascii="Arial" w:cs="Arial" w:eastAsia="Arial" w:hAnsi="Arial"/>
          <w:sz w:val="16"/>
          <w:szCs w:val="16"/>
          <w:i w:val="1"/>
          <w:iCs w:val="1"/>
          <w:color w:val="auto"/>
        </w:rPr>
        <w:t>iii</w:t>
      </w:r>
      <w:r>
        <w:rPr>
          <w:rFonts w:ascii="Arial" w:cs="Arial" w:eastAsia="Arial" w:hAnsi="Arial"/>
          <w:sz w:val="16"/>
          <w:szCs w:val="16"/>
          <w:color w:val="auto"/>
        </w:rPr>
        <w:t xml:space="preserve">) </w:t>
      </w:r>
      <w:r>
        <w:rPr>
          <w:rFonts w:ascii="Arial" w:cs="Arial" w:eastAsia="Arial" w:hAnsi="Arial"/>
          <w:sz w:val="16"/>
          <w:szCs w:val="16"/>
          <w:color w:val="FF0000"/>
        </w:rPr>
        <w:t>a duly executed counterpart to the Certain Seller Proceeds</w:t>
      </w:r>
      <w:r>
        <w:rPr>
          <w:rFonts w:ascii="Arial" w:cs="Arial" w:eastAsia="Arial" w:hAnsi="Arial"/>
          <w:sz w:val="16"/>
          <w:szCs w:val="16"/>
          <w:color w:val="auto"/>
        </w:rPr>
        <w:t xml:space="preserve"> </w:t>
      </w:r>
      <w:r>
        <w:rPr>
          <w:rFonts w:ascii="Arial" w:cs="Arial" w:eastAsia="Arial" w:hAnsi="Arial"/>
          <w:sz w:val="16"/>
          <w:szCs w:val="16"/>
          <w:color w:val="FF0000"/>
          <w:strike w:val="1"/>
        </w:rPr>
        <w:t>Agreement</w:t>
      </w:r>
      <w:r>
        <w:rPr>
          <w:rFonts w:ascii="Arial" w:cs="Arial" w:eastAsia="Arial" w:hAnsi="Arial"/>
          <w:sz w:val="16"/>
          <w:szCs w:val="16"/>
          <w:color w:val="008000"/>
          <w:strike w:val="1"/>
        </w:rPr>
        <w:t>, to be held in escrow and released immediately following the</w:t>
      </w:r>
      <w:r>
        <w:rPr>
          <w:rFonts w:ascii="Arial" w:cs="Arial" w:eastAsia="Arial" w:hAnsi="Arial"/>
          <w:sz w:val="16"/>
          <w:szCs w:val="16"/>
          <w:color w:val="FF0000"/>
        </w:rPr>
        <w:t xml:space="preserve"> </w:t>
      </w:r>
      <w:r>
        <w:rPr>
          <w:rFonts w:ascii="Arial" w:cs="Arial" w:eastAsia="Arial" w:hAnsi="Arial"/>
          <w:sz w:val="16"/>
          <w:szCs w:val="16"/>
          <w:color w:val="FF0000"/>
          <w:strike w:val="1"/>
        </w:rPr>
        <w:t>Drop Down;</w:t>
      </w:r>
      <w:r>
        <w:rPr>
          <w:rFonts w:ascii="Arial" w:cs="Arial" w:eastAsia="Arial" w:hAnsi="Arial"/>
          <w:sz w:val="16"/>
          <w:szCs w:val="16"/>
          <w:u w:val="single" w:color="auto"/>
          <w:color w:val="0000FF"/>
        </w:rPr>
        <w:t>[intentionally omitted]</w:t>
      </w:r>
      <w:r>
        <w:rPr>
          <w:rFonts w:ascii="Arial" w:cs="Arial" w:eastAsia="Arial" w:hAnsi="Arial"/>
          <w:sz w:val="16"/>
          <w:szCs w:val="16"/>
          <w:color w:val="FF0000"/>
        </w:rPr>
        <w:t xml:space="preserve"> </w:t>
      </w:r>
      <w:r>
        <w:rPr>
          <w:rFonts w:ascii="Arial" w:cs="Arial" w:eastAsia="Arial" w:hAnsi="Arial"/>
          <w:sz w:val="16"/>
          <w:szCs w:val="16"/>
          <w:color w:val="000000"/>
        </w:rPr>
        <w:t>(</w:t>
      </w:r>
      <w:r>
        <w:rPr>
          <w:rFonts w:ascii="Arial" w:cs="Arial" w:eastAsia="Arial" w:hAnsi="Arial"/>
          <w:sz w:val="16"/>
          <w:szCs w:val="16"/>
          <w:i w:val="1"/>
          <w:iCs w:val="1"/>
          <w:color w:val="000000"/>
        </w:rPr>
        <w:t>iv</w:t>
      </w:r>
      <w:r>
        <w:rPr>
          <w:rFonts w:ascii="Arial" w:cs="Arial" w:eastAsia="Arial" w:hAnsi="Arial"/>
          <w:sz w:val="16"/>
          <w:szCs w:val="16"/>
          <w:color w:val="000000"/>
        </w:rPr>
        <w:t>) the Title Policy consistent with the Title</w:t>
      </w:r>
      <w:r>
        <w:rPr>
          <w:rFonts w:ascii="Arial" w:cs="Arial" w:eastAsia="Arial" w:hAnsi="Arial"/>
          <w:sz w:val="16"/>
          <w:szCs w:val="16"/>
          <w:color w:val="FF0000"/>
        </w:rPr>
        <w:t xml:space="preserve"> </w:t>
      </w:r>
      <w:r>
        <w:rPr>
          <w:rFonts w:ascii="Arial" w:cs="Arial" w:eastAsia="Arial" w:hAnsi="Arial"/>
          <w:sz w:val="16"/>
          <w:szCs w:val="16"/>
          <w:color w:val="000000"/>
        </w:rPr>
        <w:t>Proforma in all material respects; and (</w:t>
      </w:r>
      <w:r>
        <w:rPr>
          <w:rFonts w:ascii="Arial" w:cs="Arial" w:eastAsia="Arial" w:hAnsi="Arial"/>
          <w:sz w:val="16"/>
          <w:szCs w:val="16"/>
          <w:i w:val="1"/>
          <w:iCs w:val="1"/>
          <w:color w:val="000000"/>
        </w:rPr>
        <w:t>v</w:t>
      </w:r>
      <w:r>
        <w:rPr>
          <w:rFonts w:ascii="Arial" w:cs="Arial" w:eastAsia="Arial" w:hAnsi="Arial"/>
          <w:sz w:val="16"/>
          <w:szCs w:val="16"/>
          <w:color w:val="000000"/>
        </w:rPr>
        <w:t>) copies of all recorded documents referred to, or listed as exceptions to title in, the Title Policy and a copy of all other material documents affecting the Real Property Rights. Purchaser shall have delivered to Seller (</w:t>
      </w:r>
      <w:r>
        <w:rPr>
          <w:rFonts w:ascii="Arial" w:cs="Arial" w:eastAsia="Arial" w:hAnsi="Arial"/>
          <w:sz w:val="16"/>
          <w:szCs w:val="16"/>
          <w:i w:val="1"/>
          <w:iCs w:val="1"/>
          <w:color w:val="000000"/>
        </w:rPr>
        <w:t>A</w:t>
      </w:r>
      <w:r>
        <w:rPr>
          <w:rFonts w:ascii="Arial" w:cs="Arial" w:eastAsia="Arial" w:hAnsi="Arial"/>
          <w:sz w:val="16"/>
          <w:szCs w:val="16"/>
          <w:color w:val="000000"/>
        </w:rPr>
        <w:t xml:space="preserve">) a certificate, dated as of the Closing Date and executed by an authorized officer of Purchaser substantially in the form and to the effect of </w:t>
      </w:r>
      <w:r>
        <w:rPr>
          <w:rFonts w:ascii="Arial" w:cs="Arial" w:eastAsia="Arial" w:hAnsi="Arial"/>
          <w:sz w:val="16"/>
          <w:szCs w:val="16"/>
          <w:i w:val="1"/>
          <w:iCs w:val="1"/>
          <w:color w:val="000000"/>
        </w:rPr>
        <w:t>Exhibit D</w:t>
      </w:r>
      <w:r>
        <w:rPr>
          <w:rFonts w:ascii="Arial" w:cs="Arial" w:eastAsia="Arial" w:hAnsi="Arial"/>
          <w:sz w:val="16"/>
          <w:szCs w:val="16"/>
          <w:color w:val="000000"/>
        </w:rPr>
        <w:t>; (</w:t>
      </w:r>
      <w:r>
        <w:rPr>
          <w:rFonts w:ascii="Arial" w:cs="Arial" w:eastAsia="Arial" w:hAnsi="Arial"/>
          <w:sz w:val="16"/>
          <w:szCs w:val="16"/>
          <w:i w:val="1"/>
          <w:iCs w:val="1"/>
          <w:color w:val="000000"/>
        </w:rPr>
        <w:t>B</w:t>
      </w:r>
      <w:r>
        <w:rPr>
          <w:rFonts w:ascii="Arial" w:cs="Arial" w:eastAsia="Arial" w:hAnsi="Arial"/>
          <w:sz w:val="16"/>
          <w:szCs w:val="16"/>
          <w:color w:val="000000"/>
        </w:rPr>
        <w:t xml:space="preserve">) a certificate, dated as of the Closing Date and executed by the Secretary of Purchaser substantially in the form and to the effect of </w:t>
      </w:r>
      <w:r>
        <w:rPr>
          <w:rFonts w:ascii="Arial" w:cs="Arial" w:eastAsia="Arial" w:hAnsi="Arial"/>
          <w:sz w:val="16"/>
          <w:szCs w:val="16"/>
          <w:i w:val="1"/>
          <w:iCs w:val="1"/>
          <w:color w:val="000000"/>
        </w:rPr>
        <w:t>Exhibit E</w:t>
      </w:r>
      <w:r>
        <w:rPr>
          <w:rFonts w:ascii="Arial" w:cs="Arial" w:eastAsia="Arial" w:hAnsi="Arial"/>
          <w:sz w:val="16"/>
          <w:szCs w:val="16"/>
          <w:color w:val="000000"/>
        </w:rPr>
        <w:t>; (</w:t>
      </w:r>
      <w:r>
        <w:rPr>
          <w:rFonts w:ascii="Arial" w:cs="Arial" w:eastAsia="Arial" w:hAnsi="Arial"/>
          <w:sz w:val="16"/>
          <w:szCs w:val="16"/>
          <w:i w:val="1"/>
          <w:iCs w:val="1"/>
          <w:color w:val="000000"/>
        </w:rPr>
        <w:t>C</w:t>
      </w:r>
      <w:r>
        <w:rPr>
          <w:rFonts w:ascii="Arial" w:cs="Arial" w:eastAsia="Arial" w:hAnsi="Arial"/>
          <w:sz w:val="16"/>
          <w:szCs w:val="16"/>
          <w:color w:val="000000"/>
        </w:rPr>
        <w:t>) an executed counterpart to the Build-Out Agreement executed by the Project Company, TE HoldCo, and Clearway Energy Operating LLC, to be held in escrow and released immediately following the Closing; and (</w:t>
      </w:r>
      <w:r>
        <w:rPr>
          <w:rFonts w:ascii="Arial" w:cs="Arial" w:eastAsia="Arial" w:hAnsi="Arial"/>
          <w:sz w:val="16"/>
          <w:szCs w:val="16"/>
          <w:i w:val="1"/>
          <w:iCs w:val="1"/>
          <w:color w:val="000000"/>
        </w:rPr>
        <w:t>D</w:t>
      </w:r>
      <w:r>
        <w:rPr>
          <w:rFonts w:ascii="Arial" w:cs="Arial" w:eastAsia="Arial" w:hAnsi="Arial"/>
          <w:sz w:val="16"/>
          <w:szCs w:val="16"/>
          <w:color w:val="000000"/>
        </w:rPr>
        <w:t xml:space="preserve">) </w:t>
      </w:r>
      <w:r>
        <w:rPr>
          <w:rFonts w:ascii="Arial" w:cs="Arial" w:eastAsia="Arial" w:hAnsi="Arial"/>
          <w:sz w:val="16"/>
          <w:szCs w:val="16"/>
          <w:color w:val="FF0000"/>
        </w:rPr>
        <w:t>an executed counterpart to the Certain Seller Proceeds Agreement, executed by</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-1051560</wp:posOffset>
            </wp:positionV>
            <wp:extent cx="27406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4066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-914400</wp:posOffset>
            </wp:positionV>
            <wp:extent cx="285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-91440</wp:posOffset>
            </wp:positionV>
            <wp:extent cx="36766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76650" cy="8890"/>
                    </a:xfrm>
                    <a:prstGeom prst="rect">
                      <a:avLst/>
                    </a:prstGeom>
                    <a:noFill/>
                  </pic:spPr>
                </pic:pic>
              </a:graphicData>
            </a:graphic>
          </wp:anchor>
        </w:drawing>
      </w:r>
    </w:p>
    <w:p>
      <w:pPr>
        <w:spacing w:after="0" w:line="141"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4.02. </w:t>
      </w:r>
      <w:r>
        <w:rPr>
          <w:rFonts w:ascii="Arial" w:cs="Arial" w:eastAsia="Arial" w:hAnsi="Arial"/>
          <w:sz w:val="16"/>
          <w:szCs w:val="16"/>
          <w:b w:val="1"/>
          <w:bCs w:val="1"/>
          <w:i w:val="1"/>
          <w:iCs w:val="1"/>
          <w:u w:val="single" w:color="auto"/>
          <w:color w:val="0000FF"/>
        </w:rPr>
        <w:t>Second Closing Date Conditions Precedent</w:t>
      </w:r>
      <w:r>
        <w:rPr>
          <w:rFonts w:ascii="Arial" w:cs="Arial" w:eastAsia="Arial" w:hAnsi="Arial"/>
          <w:sz w:val="16"/>
          <w:szCs w:val="16"/>
          <w:u w:val="single" w:color="auto"/>
          <w:color w:val="0000FF"/>
        </w:rPr>
        <w:t>. The obligations of the Parties to sell and purchase, respectively, the Class A Interests are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subject to the fulfillment (or waiver by the applicable Party), at or before the Second Closing, by the applicable Party of each of the following conditions:</w:t>
      </w:r>
    </w:p>
    <w:p>
      <w:pPr>
        <w:spacing w:after="0" w:line="116" w:lineRule="exact"/>
        <w:rPr>
          <w:sz w:val="20"/>
          <w:szCs w:val="20"/>
          <w:color w:val="auto"/>
        </w:rPr>
      </w:pPr>
    </w:p>
    <w:p>
      <w:pPr>
        <w:jc w:val="both"/>
        <w:ind w:firstLine="1304"/>
        <w:spacing w:after="0" w:line="266" w:lineRule="auto"/>
        <w:tabs>
          <w:tab w:leader="none" w:pos="1743" w:val="left"/>
        </w:tabs>
        <w:numPr>
          <w:ilvl w:val="0"/>
          <w:numId w:val="124"/>
        </w:numPr>
        <w:rPr>
          <w:rFonts w:ascii="Arial" w:cs="Arial" w:eastAsia="Arial" w:hAnsi="Arial"/>
          <w:sz w:val="18"/>
          <w:szCs w:val="18"/>
          <w:u w:val="single" w:color="auto"/>
          <w:color w:val="0000FF"/>
        </w:rPr>
      </w:pPr>
      <w:r>
        <w:rPr>
          <w:rFonts w:ascii="Arial" w:cs="Arial" w:eastAsia="Arial" w:hAnsi="Arial"/>
          <w:sz w:val="18"/>
          <w:szCs w:val="18"/>
          <w:b w:val="1"/>
          <w:bCs w:val="1"/>
          <w:u w:val="single" w:color="auto"/>
          <w:color w:val="0000FF"/>
        </w:rPr>
        <w:t>Litigation</w:t>
      </w:r>
      <w:r>
        <w:rPr>
          <w:rFonts w:ascii="Arial" w:cs="Arial" w:eastAsia="Arial" w:hAnsi="Arial"/>
          <w:sz w:val="18"/>
          <w:szCs w:val="18"/>
          <w:u w:val="single" w:color="auto"/>
          <w:color w:val="0000FF"/>
        </w:rPr>
        <w:t>. No Order shall have been entered which restrains, enjoins or otherwise prohibits or makes illegal the consummation of</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the Second Closing and no Action or Proceeding shall have been instituted before any Governmental Authority of competent jurisdiction seeking to restrain, enjoin or otherwise prohibit or make illegal the consummation of the Second Closing.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1304"/>
        <w:spacing w:after="0" w:line="303" w:lineRule="auto"/>
        <w:tabs>
          <w:tab w:leader="none" w:pos="1753" w:val="left"/>
        </w:tabs>
        <w:numPr>
          <w:ilvl w:val="0"/>
          <w:numId w:val="125"/>
        </w:numPr>
        <w:rPr>
          <w:rFonts w:ascii="Arial" w:cs="Arial" w:eastAsia="Arial" w:hAnsi="Arial"/>
          <w:sz w:val="16"/>
          <w:szCs w:val="16"/>
          <w:u w:val="single" w:color="auto"/>
          <w:color w:val="0000FF"/>
        </w:rPr>
      </w:pPr>
      <w:r>
        <w:rPr>
          <w:rFonts w:ascii="Arial" w:cs="Arial" w:eastAsia="Arial" w:hAnsi="Arial"/>
          <w:sz w:val="16"/>
          <w:szCs w:val="16"/>
          <w:b w:val="1"/>
          <w:bCs w:val="1"/>
          <w:u w:val="single" w:color="auto"/>
          <w:color w:val="0000FF"/>
        </w:rPr>
        <w:t>Seller Representations and Warranties</w:t>
      </w:r>
      <w:r>
        <w:rPr>
          <w:rFonts w:ascii="Arial" w:cs="Arial" w:eastAsia="Arial" w:hAnsi="Arial"/>
          <w:sz w:val="16"/>
          <w:szCs w:val="16"/>
          <w:u w:val="single" w:color="auto"/>
          <w:color w:val="0000FF"/>
        </w:rPr>
        <w:t>. The Seller Second Closing Representations shall be true and correct in all material</w:t>
      </w:r>
      <w:r>
        <w:rPr>
          <w:rFonts w:ascii="Arial" w:cs="Arial" w:eastAsia="Arial" w:hAnsi="Arial"/>
          <w:sz w:val="16"/>
          <w:szCs w:val="16"/>
          <w:b w:val="1"/>
          <w:bCs w:val="1"/>
          <w:u w:val="single" w:color="auto"/>
          <w:color w:val="0000FF"/>
        </w:rPr>
        <w:t xml:space="preserve"> </w:t>
      </w:r>
      <w:r>
        <w:rPr>
          <w:rFonts w:ascii="Arial" w:cs="Arial" w:eastAsia="Arial" w:hAnsi="Arial"/>
          <w:sz w:val="16"/>
          <w:szCs w:val="16"/>
          <w:u w:val="single" w:color="auto"/>
          <w:color w:val="0000FF"/>
        </w:rPr>
        <w:t>respects (except for any of such representations and warranties that are qualified by materiality, including by reference to Material Adverse Effect, which shall be true and correct in all respects) on and as of the Second Closing Date as though such representations and warranties were made on and as of the Second Closing Date, except to the extent such representations and warranties expressly relate to an earlier date, in which case as of such earlier date.</w:t>
      </w:r>
    </w:p>
    <w:p>
      <w:pPr>
        <w:spacing w:after="0" w:line="150" w:lineRule="exact"/>
        <w:rPr>
          <w:rFonts w:ascii="Arial" w:cs="Arial" w:eastAsia="Arial" w:hAnsi="Arial"/>
          <w:sz w:val="16"/>
          <w:szCs w:val="16"/>
          <w:u w:val="single" w:color="auto"/>
          <w:color w:val="0000FF"/>
        </w:rPr>
      </w:pPr>
    </w:p>
    <w:p>
      <w:pPr>
        <w:jc w:val="both"/>
        <w:ind w:firstLine="1304"/>
        <w:spacing w:after="0" w:line="281" w:lineRule="auto"/>
        <w:tabs>
          <w:tab w:leader="none" w:pos="1743" w:val="left"/>
        </w:tabs>
        <w:numPr>
          <w:ilvl w:val="0"/>
          <w:numId w:val="125"/>
        </w:numPr>
        <w:rPr>
          <w:rFonts w:ascii="Arial" w:cs="Arial" w:eastAsia="Arial" w:hAnsi="Arial"/>
          <w:sz w:val="17"/>
          <w:szCs w:val="17"/>
          <w:u w:val="single" w:color="auto"/>
          <w:color w:val="0000FF"/>
        </w:rPr>
      </w:pPr>
      <w:r>
        <w:rPr>
          <w:rFonts w:ascii="Arial" w:cs="Arial" w:eastAsia="Arial" w:hAnsi="Arial"/>
          <w:sz w:val="17"/>
          <w:szCs w:val="17"/>
          <w:b w:val="1"/>
          <w:bCs w:val="1"/>
          <w:u w:val="single" w:color="auto"/>
          <w:color w:val="0000FF"/>
        </w:rPr>
        <w:t>Purchaser Representations and Warranties</w:t>
      </w:r>
      <w:r>
        <w:rPr>
          <w:rFonts w:ascii="Arial" w:cs="Arial" w:eastAsia="Arial" w:hAnsi="Arial"/>
          <w:sz w:val="17"/>
          <w:szCs w:val="17"/>
          <w:u w:val="single" w:color="auto"/>
          <w:color w:val="0000FF"/>
        </w:rPr>
        <w:t>. The Purchaser Second Closing Representations shall be true and correct in all</w:t>
      </w:r>
      <w:r>
        <w:rPr>
          <w:rFonts w:ascii="Arial" w:cs="Arial" w:eastAsia="Arial" w:hAnsi="Arial"/>
          <w:sz w:val="17"/>
          <w:szCs w:val="17"/>
          <w:b w:val="1"/>
          <w:bCs w:val="1"/>
          <w:u w:val="single" w:color="auto"/>
          <w:color w:val="0000FF"/>
        </w:rPr>
        <w:t xml:space="preserve"> </w:t>
      </w:r>
      <w:r>
        <w:rPr>
          <w:rFonts w:ascii="Arial" w:cs="Arial" w:eastAsia="Arial" w:hAnsi="Arial"/>
          <w:sz w:val="17"/>
          <w:szCs w:val="17"/>
          <w:u w:val="single" w:color="auto"/>
          <w:color w:val="0000FF"/>
        </w:rPr>
        <w:t>material respects (except for any of such representations and warranties that are qualified by materiality, which shall be true and correct in all respects) on and as of the Second Closing Date as though such representations and warranties were made on and as of the Second Closing Date, except to the extent such representations and warranties expressly relate to an earlier date, in which case as of such earlier date.</w:t>
      </w:r>
    </w:p>
    <w:p>
      <w:pPr>
        <w:spacing w:after="0" w:line="164" w:lineRule="exact"/>
        <w:rPr>
          <w:rFonts w:ascii="Arial" w:cs="Arial" w:eastAsia="Arial" w:hAnsi="Arial"/>
          <w:sz w:val="17"/>
          <w:szCs w:val="17"/>
          <w:u w:val="single" w:color="auto"/>
          <w:color w:val="0000FF"/>
        </w:rPr>
      </w:pPr>
    </w:p>
    <w:p>
      <w:pPr>
        <w:ind w:firstLine="1304"/>
        <w:spacing w:after="0" w:line="282" w:lineRule="auto"/>
        <w:tabs>
          <w:tab w:leader="none" w:pos="1753" w:val="left"/>
        </w:tabs>
        <w:numPr>
          <w:ilvl w:val="0"/>
          <w:numId w:val="125"/>
        </w:numPr>
        <w:rPr>
          <w:rFonts w:ascii="Arial" w:cs="Arial" w:eastAsia="Arial" w:hAnsi="Arial"/>
          <w:sz w:val="18"/>
          <w:szCs w:val="18"/>
          <w:u w:val="single" w:color="auto"/>
          <w:color w:val="0000FF"/>
        </w:rPr>
      </w:pPr>
      <w:r>
        <w:rPr>
          <w:rFonts w:ascii="Arial" w:cs="Arial" w:eastAsia="Arial" w:hAnsi="Arial"/>
          <w:sz w:val="18"/>
          <w:szCs w:val="18"/>
          <w:b w:val="1"/>
          <w:bCs w:val="1"/>
          <w:u w:val="single" w:color="auto"/>
          <w:color w:val="0000FF"/>
        </w:rPr>
        <w:t>Apex Purchase Agreement</w:t>
      </w:r>
      <w:r>
        <w:rPr>
          <w:rFonts w:ascii="Arial" w:cs="Arial" w:eastAsia="Arial" w:hAnsi="Arial"/>
          <w:sz w:val="18"/>
          <w:szCs w:val="18"/>
          <w:u w:val="single" w:color="auto"/>
          <w:color w:val="0000FF"/>
        </w:rPr>
        <w:t>. Seller shall, on or prior to the Second Closing Date, have closed the acquisition of the Class A Units</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pursuant to the Apex Purchase Agreement.</w:t>
      </w:r>
    </w:p>
    <w:p>
      <w:pPr>
        <w:spacing w:after="0" w:line="161" w:lineRule="exact"/>
        <w:rPr>
          <w:rFonts w:ascii="Arial" w:cs="Arial" w:eastAsia="Arial" w:hAnsi="Arial"/>
          <w:sz w:val="18"/>
          <w:szCs w:val="18"/>
          <w:u w:val="single" w:color="auto"/>
          <w:color w:val="0000FF"/>
        </w:rPr>
      </w:pPr>
    </w:p>
    <w:p>
      <w:pPr>
        <w:ind w:right="20" w:firstLine="1304"/>
        <w:spacing w:after="0" w:line="282" w:lineRule="auto"/>
        <w:tabs>
          <w:tab w:leader="none" w:pos="1743" w:val="left"/>
        </w:tabs>
        <w:numPr>
          <w:ilvl w:val="0"/>
          <w:numId w:val="125"/>
        </w:numPr>
        <w:rPr>
          <w:rFonts w:ascii="Arial" w:cs="Arial" w:eastAsia="Arial" w:hAnsi="Arial"/>
          <w:sz w:val="18"/>
          <w:szCs w:val="18"/>
          <w:u w:val="single" w:color="auto"/>
          <w:color w:val="0000FF"/>
        </w:rPr>
      </w:pPr>
      <w:r>
        <w:rPr>
          <w:rFonts w:ascii="Arial" w:cs="Arial" w:eastAsia="Arial" w:hAnsi="Arial"/>
          <w:sz w:val="18"/>
          <w:szCs w:val="18"/>
          <w:b w:val="1"/>
          <w:bCs w:val="1"/>
          <w:u w:val="single" w:color="auto"/>
          <w:color w:val="0000FF"/>
        </w:rPr>
        <w:t>HASI Purchase Agreement</w:t>
      </w:r>
      <w:r>
        <w:rPr>
          <w:rFonts w:ascii="Arial" w:cs="Arial" w:eastAsia="Arial" w:hAnsi="Arial"/>
          <w:sz w:val="18"/>
          <w:szCs w:val="18"/>
          <w:u w:val="single" w:color="auto"/>
          <w:color w:val="0000FF"/>
        </w:rPr>
        <w:t>. HASI shall, simultaneously with or prior to the Second Closing, have closed the acquisition of the</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00FF"/>
        </w:rPr>
        <w:t>Class A Units (other than the Class A Interests) pursuant to the HASI Purchase Agreement.</w:t>
      </w:r>
    </w:p>
    <w:p>
      <w:pPr>
        <w:spacing w:after="0" w:line="161" w:lineRule="exact"/>
        <w:rPr>
          <w:rFonts w:ascii="Arial" w:cs="Arial" w:eastAsia="Arial" w:hAnsi="Arial"/>
          <w:sz w:val="18"/>
          <w:szCs w:val="18"/>
          <w:u w:val="single" w:color="auto"/>
          <w:color w:val="0000FF"/>
        </w:rPr>
      </w:pPr>
    </w:p>
    <w:p>
      <w:pPr>
        <w:ind w:firstLine="1304"/>
        <w:spacing w:after="0" w:line="312" w:lineRule="auto"/>
        <w:tabs>
          <w:tab w:leader="none" w:pos="1723" w:val="left"/>
        </w:tabs>
        <w:numPr>
          <w:ilvl w:val="0"/>
          <w:numId w:val="125"/>
        </w:numPr>
        <w:rPr>
          <w:rFonts w:ascii="Arial" w:cs="Arial" w:eastAsia="Arial" w:hAnsi="Arial"/>
          <w:sz w:val="17"/>
          <w:szCs w:val="17"/>
          <w:u w:val="single" w:color="auto"/>
          <w:color w:val="0000FF"/>
        </w:rPr>
      </w:pPr>
      <w:r>
        <w:rPr>
          <w:rFonts w:ascii="Arial" w:cs="Arial" w:eastAsia="Arial" w:hAnsi="Arial"/>
          <w:sz w:val="17"/>
          <w:szCs w:val="17"/>
          <w:b w:val="1"/>
          <w:bCs w:val="1"/>
          <w:u w:val="single" w:color="auto"/>
          <w:color w:val="0000FF"/>
        </w:rPr>
        <w:t>Drop-Down Assignment</w:t>
      </w:r>
      <w:r>
        <w:rPr>
          <w:rFonts w:ascii="Arial" w:cs="Arial" w:eastAsia="Arial" w:hAnsi="Arial"/>
          <w:sz w:val="17"/>
          <w:szCs w:val="17"/>
          <w:u w:val="single" w:color="auto"/>
          <w:color w:val="0000FF"/>
        </w:rPr>
        <w:t>. Each of Purchaser and</w:t>
      </w:r>
      <w:r>
        <w:rPr>
          <w:rFonts w:ascii="Arial" w:cs="Arial" w:eastAsia="Arial" w:hAnsi="Arial"/>
          <w:sz w:val="17"/>
          <w:szCs w:val="17"/>
          <w:b w:val="1"/>
          <w:bCs w:val="1"/>
          <w:color w:val="0000FF"/>
        </w:rPr>
        <w:t xml:space="preserve"> </w:t>
      </w:r>
      <w:r>
        <w:rPr>
          <w:rFonts w:ascii="Arial" w:cs="Arial" w:eastAsia="Arial" w:hAnsi="Arial"/>
          <w:sz w:val="17"/>
          <w:szCs w:val="17"/>
          <w:color w:val="000000"/>
        </w:rPr>
        <w:t>the Master JV HoldCo</w:t>
      </w:r>
      <w:r>
        <w:rPr>
          <w:rFonts w:ascii="Arial" w:cs="Arial" w:eastAsia="Arial" w:hAnsi="Arial"/>
          <w:sz w:val="17"/>
          <w:szCs w:val="17"/>
          <w:b w:val="1"/>
          <w:bCs w:val="1"/>
          <w:color w:val="0000FF"/>
        </w:rPr>
        <w:t xml:space="preserve"> </w:t>
      </w:r>
      <w:r>
        <w:rPr>
          <w:rFonts w:ascii="Arial" w:cs="Arial" w:eastAsia="Arial" w:hAnsi="Arial"/>
          <w:sz w:val="17"/>
          <w:szCs w:val="17"/>
          <w:u w:val="single" w:color="auto"/>
          <w:color w:val="0000FF"/>
        </w:rPr>
        <w:t>shall have delivered executed counterparts to the Drop</w:t>
      </w:r>
      <w:r>
        <w:rPr>
          <w:rFonts w:ascii="Arial" w:cs="Arial" w:eastAsia="Arial" w:hAnsi="Arial"/>
          <w:sz w:val="17"/>
          <w:szCs w:val="17"/>
          <w:b w:val="1"/>
          <w:bCs w:val="1"/>
          <w:color w:val="0000FF"/>
        </w:rPr>
        <w:t xml:space="preserve"> </w:t>
      </w:r>
      <w:r>
        <w:rPr>
          <w:rFonts w:ascii="Arial" w:cs="Arial" w:eastAsia="Arial" w:hAnsi="Arial"/>
          <w:sz w:val="17"/>
          <w:szCs w:val="17"/>
          <w:u w:val="single" w:color="auto"/>
          <w:color w:val="0000FF"/>
        </w:rPr>
        <w:t>Down Assignment &amp; Assumption Agreement</w:t>
      </w:r>
      <w:r>
        <w:rPr>
          <w:rFonts w:ascii="Arial" w:cs="Arial" w:eastAsia="Arial" w:hAnsi="Arial"/>
          <w:sz w:val="17"/>
          <w:szCs w:val="17"/>
          <w:color w:val="000000"/>
        </w:rPr>
        <w:t>, to be held in escrow and released immediately following the</w:t>
      </w:r>
      <w:r>
        <w:rPr>
          <w:rFonts w:ascii="Arial" w:cs="Arial" w:eastAsia="Arial" w:hAnsi="Arial"/>
          <w:sz w:val="17"/>
          <w:szCs w:val="17"/>
          <w:color w:val="0000FF"/>
        </w:rPr>
        <w:t xml:space="preserve"> </w:t>
      </w:r>
      <w:r>
        <w:rPr>
          <w:rFonts w:ascii="Arial" w:cs="Arial" w:eastAsia="Arial" w:hAnsi="Arial"/>
          <w:sz w:val="17"/>
          <w:szCs w:val="17"/>
          <w:color w:val="FF0000"/>
          <w:strike w:val="1"/>
        </w:rPr>
        <w:t>Drop Down</w:t>
      </w:r>
      <w:r>
        <w:rPr>
          <w:rFonts w:ascii="Arial" w:cs="Arial" w:eastAsia="Arial" w:hAnsi="Arial"/>
          <w:sz w:val="17"/>
          <w:szCs w:val="17"/>
          <w:u w:val="single" w:color="auto"/>
          <w:color w:val="0000FF"/>
        </w:rPr>
        <w:t>Second Closing</w:t>
      </w:r>
      <w:r>
        <w:rPr>
          <w:rFonts w:ascii="Arial" w:cs="Arial" w:eastAsia="Arial" w:hAnsi="Arial"/>
          <w:sz w:val="17"/>
          <w:szCs w:val="17"/>
          <w:color w:val="000000"/>
        </w:rPr>
        <w:t>.</w:t>
      </w:r>
    </w:p>
    <w:p>
      <w:pPr>
        <w:spacing w:after="0" w:line="143" w:lineRule="exact"/>
        <w:rPr>
          <w:rFonts w:ascii="Arial" w:cs="Arial" w:eastAsia="Arial" w:hAnsi="Arial"/>
          <w:sz w:val="17"/>
          <w:szCs w:val="17"/>
          <w:u w:val="single" w:color="auto"/>
          <w:color w:val="0000FF"/>
        </w:rPr>
      </w:pPr>
    </w:p>
    <w:p>
      <w:pPr>
        <w:ind w:left="1760" w:hanging="456"/>
        <w:spacing w:after="0"/>
        <w:tabs>
          <w:tab w:leader="none" w:pos="1760" w:val="left"/>
        </w:tabs>
        <w:numPr>
          <w:ilvl w:val="0"/>
          <w:numId w:val="125"/>
        </w:numPr>
        <w:rPr>
          <w:rFonts w:ascii="Arial" w:cs="Arial" w:eastAsia="Arial" w:hAnsi="Arial"/>
          <w:sz w:val="18"/>
          <w:szCs w:val="18"/>
          <w:u w:val="single" w:color="auto"/>
          <w:color w:val="0000FF"/>
        </w:rPr>
      </w:pPr>
      <w:r>
        <w:rPr>
          <w:rFonts w:ascii="Arial" w:cs="Arial" w:eastAsia="Arial" w:hAnsi="Arial"/>
          <w:sz w:val="18"/>
          <w:szCs w:val="18"/>
          <w:color w:val="auto"/>
        </w:rPr>
        <w:t>[***]</w:t>
      </w:r>
    </w:p>
    <w:p>
      <w:pPr>
        <w:spacing w:after="0" w:line="221" w:lineRule="exact"/>
        <w:rPr>
          <w:rFonts w:ascii="Arial" w:cs="Arial" w:eastAsia="Arial" w:hAnsi="Arial"/>
          <w:sz w:val="18"/>
          <w:szCs w:val="18"/>
          <w:u w:val="single" w:color="auto"/>
          <w:color w:val="0000FF"/>
        </w:rPr>
      </w:pPr>
    </w:p>
    <w:p>
      <w:pPr>
        <w:jc w:val="both"/>
        <w:ind w:firstLine="1304"/>
        <w:spacing w:after="0" w:line="314" w:lineRule="auto"/>
        <w:tabs>
          <w:tab w:leader="none" w:pos="1753" w:val="left"/>
        </w:tabs>
        <w:numPr>
          <w:ilvl w:val="0"/>
          <w:numId w:val="125"/>
        </w:numPr>
        <w:rPr>
          <w:rFonts w:ascii="Arial" w:cs="Arial" w:eastAsia="Arial" w:hAnsi="Arial"/>
          <w:sz w:val="16"/>
          <w:szCs w:val="16"/>
          <w:u w:val="single" w:color="auto"/>
          <w:color w:val="0000FF"/>
        </w:rPr>
      </w:pPr>
      <w:r>
        <w:rPr>
          <w:rFonts w:ascii="Arial" w:cs="Arial" w:eastAsia="Arial" w:hAnsi="Arial"/>
          <w:sz w:val="16"/>
          <w:szCs w:val="16"/>
          <w:b w:val="1"/>
          <w:bCs w:val="1"/>
          <w:u w:val="single" w:color="auto"/>
          <w:color w:val="0000FF"/>
        </w:rPr>
        <w:t>Certificates; Other Ancillary Documents</w:t>
      </w:r>
      <w:r>
        <w:rPr>
          <w:rFonts w:ascii="Arial" w:cs="Arial" w:eastAsia="Arial" w:hAnsi="Arial"/>
          <w:sz w:val="16"/>
          <w:szCs w:val="16"/>
          <w:u w:val="single" w:color="auto"/>
          <w:color w:val="0000FF"/>
        </w:rPr>
        <w:t>. Seller shall have delivered to Purchaser a certificate, dated as of the Second Closing</w:t>
      </w:r>
      <w:r>
        <w:rPr>
          <w:rFonts w:ascii="Arial" w:cs="Arial" w:eastAsia="Arial" w:hAnsi="Arial"/>
          <w:sz w:val="16"/>
          <w:szCs w:val="16"/>
          <w:b w:val="1"/>
          <w:bCs w:val="1"/>
          <w:u w:val="single" w:color="auto"/>
          <w:color w:val="0000FF"/>
        </w:rPr>
        <w:t xml:space="preserve"> </w:t>
      </w:r>
      <w:r>
        <w:rPr>
          <w:rFonts w:ascii="Arial" w:cs="Arial" w:eastAsia="Arial" w:hAnsi="Arial"/>
          <w:sz w:val="16"/>
          <w:szCs w:val="16"/>
          <w:u w:val="single" w:color="auto"/>
          <w:color w:val="0000FF"/>
        </w:rPr>
        <w:t xml:space="preserve">Date and executed by an authorized officer of Seller substantially in the form and to the effect of </w:t>
      </w:r>
      <w:r>
        <w:rPr>
          <w:rFonts w:ascii="Arial" w:cs="Arial" w:eastAsia="Arial" w:hAnsi="Arial"/>
          <w:sz w:val="16"/>
          <w:szCs w:val="16"/>
          <w:i w:val="1"/>
          <w:iCs w:val="1"/>
          <w:u w:val="single" w:color="auto"/>
          <w:color w:val="0000FF"/>
        </w:rPr>
        <w:t>Exhibit K</w:t>
      </w:r>
      <w:r>
        <w:rPr>
          <w:rFonts w:ascii="Arial" w:cs="Arial" w:eastAsia="Arial" w:hAnsi="Arial"/>
          <w:sz w:val="16"/>
          <w:szCs w:val="16"/>
          <w:u w:val="single" w:color="auto"/>
          <w:color w:val="0000FF"/>
        </w:rPr>
        <w:t xml:space="preserve">. Purchaser shall have delivered to Seller a certificate, dated as of the Second Closing Date and executed by an authorized officer of Purchaser substantially in the form and to the effect of </w:t>
      </w:r>
      <w:r>
        <w:rPr>
          <w:rFonts w:ascii="Arial" w:cs="Arial" w:eastAsia="Arial" w:hAnsi="Arial"/>
          <w:sz w:val="16"/>
          <w:szCs w:val="16"/>
          <w:i w:val="1"/>
          <w:iCs w:val="1"/>
          <w:u w:val="single" w:color="auto"/>
          <w:color w:val="0000FF"/>
        </w:rPr>
        <w:t>Exhibit L</w:t>
      </w:r>
      <w:r>
        <w:rPr>
          <w:rFonts w:ascii="Arial" w:cs="Arial" w:eastAsia="Arial" w:hAnsi="Arial"/>
          <w:sz w:val="16"/>
          <w:szCs w:val="16"/>
          <w:u w:val="single" w:color="auto"/>
          <w:color w:val="0000FF"/>
        </w:rPr>
        <w: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COVENANTS</w:t>
      </w:r>
    </w:p>
    <w:p>
      <w:pPr>
        <w:spacing w:after="0" w:line="20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5.01. </w:t>
      </w:r>
      <w:r>
        <w:rPr>
          <w:rFonts w:ascii="Arial" w:cs="Arial" w:eastAsia="Arial" w:hAnsi="Arial"/>
          <w:sz w:val="16"/>
          <w:szCs w:val="16"/>
          <w:b w:val="1"/>
          <w:bCs w:val="1"/>
          <w:i w:val="1"/>
          <w:iCs w:val="1"/>
          <w:color w:val="auto"/>
        </w:rPr>
        <w:t>Regulatory and Other Permits</w:t>
      </w:r>
      <w:r>
        <w:rPr>
          <w:rFonts w:ascii="Arial" w:cs="Arial" w:eastAsia="Arial" w:hAnsi="Arial"/>
          <w:sz w:val="16"/>
          <w:szCs w:val="16"/>
          <w:color w:val="auto"/>
        </w:rPr>
        <w:t>. Seller shall, or shall cause the Company and the Black Rock Entities to, as promptly as practicable, use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the Project, Project Company shall have obtained MBR Authorization and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Seller shall use commercially reasonable efforts not to cause its Representatives, or the Company, the Black Rock Entities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Arial" w:cs="Arial" w:eastAsia="Arial" w:hAnsi="Arial"/>
          <w:sz w:val="16"/>
          <w:szCs w:val="16"/>
          <w:i w:val="1"/>
          <w:iCs w:val="1"/>
          <w:color w:val="auto"/>
        </w:rPr>
        <w:t>Section 5.01</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5.02. </w:t>
      </w:r>
      <w:r>
        <w:rPr>
          <w:rFonts w:ascii="Arial" w:cs="Arial" w:eastAsia="Arial" w:hAnsi="Arial"/>
          <w:sz w:val="17"/>
          <w:szCs w:val="17"/>
          <w:b w:val="1"/>
          <w:bCs w:val="1"/>
          <w:i w:val="1"/>
          <w:iCs w:val="1"/>
          <w:color w:val="auto"/>
        </w:rPr>
        <w:t>Access to Information</w:t>
      </w:r>
      <w:r>
        <w:rPr>
          <w:rFonts w:ascii="Arial" w:cs="Arial" w:eastAsia="Arial" w:hAnsi="Arial"/>
          <w:sz w:val="17"/>
          <w:szCs w:val="17"/>
          <w:color w:val="auto"/>
        </w:rPr>
        <w:t>. From the Execution Date and continuing until the earlier of the termination of this Agreement or the Closing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i w:val="1"/>
          <w:iCs w:val="1"/>
          <w:color w:val="auto"/>
        </w:rPr>
        <w:t>Interim Period</w:t>
      </w:r>
      <w:r>
        <w:rPr>
          <w:rFonts w:ascii="Arial" w:cs="Arial" w:eastAsia="Arial" w:hAnsi="Arial"/>
          <w:sz w:val="17"/>
          <w:szCs w:val="17"/>
          <w:color w:val="auto"/>
        </w:rPr>
        <w:t xml:space="preserve">”), Seller shall at all reasonable times and upon reasonable prior notice during regular business hours make the properties, assets, books and records pertaining to the Company and the Black Rock Entities, the Acquired Interests or the Project reasonably available for examination, inspection and review by Purchaser and its Representatives;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t>
      </w:r>
      <w:r>
        <w:rPr>
          <w:rFonts w:ascii="Arial" w:cs="Arial" w:eastAsia="Arial" w:hAnsi="Arial"/>
          <w:sz w:val="17"/>
          <w:szCs w:val="17"/>
          <w:i w:val="1"/>
          <w:iCs w:val="1"/>
          <w:color w:val="auto"/>
        </w:rPr>
        <w:t>a</w:t>
      </w:r>
      <w:r>
        <w:rPr>
          <w:rFonts w:ascii="Arial" w:cs="Arial" w:eastAsia="Arial" w:hAnsi="Arial"/>
          <w:sz w:val="17"/>
          <w:szCs w:val="17"/>
          <w:color w:val="auto"/>
        </w:rPr>
        <w:t>) Purchaser and its Representatives shall be subject to customary confidentiality undertakings with respect to any such information or access made available, (</w:t>
      </w:r>
      <w:r>
        <w:rPr>
          <w:rFonts w:ascii="Arial" w:cs="Arial" w:eastAsia="Arial" w:hAnsi="Arial"/>
          <w:sz w:val="17"/>
          <w:szCs w:val="17"/>
          <w:i w:val="1"/>
          <w:iCs w:val="1"/>
          <w:color w:val="auto"/>
        </w:rPr>
        <w:t>b</w:t>
      </w:r>
      <w:r>
        <w:rPr>
          <w:rFonts w:ascii="Arial" w:cs="Arial" w:eastAsia="Arial" w:hAnsi="Arial"/>
          <w:sz w:val="17"/>
          <w:szCs w:val="17"/>
          <w:color w:val="auto"/>
        </w:rPr>
        <w:t>) for any site visit or access, Purchaser and its Representatives will agree to comply with all safety and other policies and procedures disclosed to it while conducting such visit or access, and (</w:t>
      </w:r>
      <w:r>
        <w:rPr>
          <w:rFonts w:ascii="Arial" w:cs="Arial" w:eastAsia="Arial" w:hAnsi="Arial"/>
          <w:sz w:val="17"/>
          <w:szCs w:val="17"/>
          <w:i w:val="1"/>
          <w:iCs w:val="1"/>
          <w:color w:val="auto"/>
        </w:rPr>
        <w:t>c</w:t>
      </w:r>
      <w:r>
        <w:rPr>
          <w:rFonts w:ascii="Arial" w:cs="Arial" w:eastAsia="Arial" w:hAnsi="Arial"/>
          <w:sz w:val="17"/>
          <w:szCs w:val="17"/>
          <w:color w:val="auto"/>
        </w:rPr>
        <w:t xml:space="preserve">) Purchaser’s and its Representatives’ inspections and examinations shall not unreasonably disrupt the normal operations of Seller, the Company, the Black Rock Entities or the Project and shall be at Purchaser’s sole cost and expense;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neither Purchaser, nor any of its Affiliates or Representatives, shall conduct any intrusive environmental site assessment or activities with respect to the Company or the Black Rock Entities or their properties without the prior written consent of Seller.</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5.03. </w:t>
      </w:r>
      <w:r>
        <w:rPr>
          <w:rFonts w:ascii="Arial" w:cs="Arial" w:eastAsia="Arial" w:hAnsi="Arial"/>
          <w:sz w:val="16"/>
          <w:szCs w:val="16"/>
          <w:b w:val="1"/>
          <w:bCs w:val="1"/>
          <w:i w:val="1"/>
          <w:iCs w:val="1"/>
          <w:color w:val="auto"/>
        </w:rPr>
        <w:t>Notification of Certain Matters</w:t>
      </w:r>
      <w:r>
        <w:rPr>
          <w:rFonts w:ascii="Arial" w:cs="Arial" w:eastAsia="Arial" w:hAnsi="Arial"/>
          <w:sz w:val="16"/>
          <w:szCs w:val="16"/>
          <w:color w:val="auto"/>
        </w:rPr>
        <w:t>. Seller shall have the right (but not the obligation) to deliver to Purchaser, not later than ten (10)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Days prior to the Closing Date, a supplement to the Disclosure Schedules (the “</w:t>
      </w:r>
      <w:r>
        <w:rPr>
          <w:rFonts w:ascii="Arial" w:cs="Arial" w:eastAsia="Arial" w:hAnsi="Arial"/>
          <w:sz w:val="16"/>
          <w:szCs w:val="16"/>
          <w:i w:val="1"/>
          <w:iCs w:val="1"/>
          <w:color w:val="auto"/>
        </w:rPr>
        <w:t>Closing Date Schedule Supplement</w:t>
      </w:r>
      <w:r>
        <w:rPr>
          <w:rFonts w:ascii="Arial" w:cs="Arial" w:eastAsia="Arial" w:hAnsi="Arial"/>
          <w:sz w:val="16"/>
          <w:szCs w:val="16"/>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exercise of any Land Option by the applicable counterparty, Seller shall be entitled to supplement </w:t>
      </w:r>
      <w:r>
        <w:rPr>
          <w:rFonts w:ascii="Arial" w:cs="Arial" w:eastAsia="Arial" w:hAnsi="Arial"/>
          <w:sz w:val="16"/>
          <w:szCs w:val="16"/>
          <w:i w:val="1"/>
          <w:iCs w:val="1"/>
          <w:color w:val="auto"/>
        </w:rPr>
        <w:t>Schedule 3.01(n)(i)</w:t>
      </w:r>
      <w:r>
        <w:rPr>
          <w:rFonts w:ascii="Arial" w:cs="Arial" w:eastAsia="Arial" w:hAnsi="Arial"/>
          <w:sz w:val="16"/>
          <w:szCs w:val="16"/>
          <w:color w:val="auto"/>
        </w:rPr>
        <w:t xml:space="preserve"> of the Disclosure Schedules with respect to the Real Property Right Seller acquired in accordance with such Land Option (each such update, a “</w:t>
      </w:r>
      <w:r>
        <w:rPr>
          <w:rFonts w:ascii="Arial" w:cs="Arial" w:eastAsia="Arial" w:hAnsi="Arial"/>
          <w:sz w:val="16"/>
          <w:szCs w:val="16"/>
          <w:i w:val="1"/>
          <w:iCs w:val="1"/>
          <w:color w:val="auto"/>
        </w:rPr>
        <w:t>Land Option Schedule Supplement</w:t>
      </w:r>
      <w:r>
        <w:rPr>
          <w:rFonts w:ascii="Arial" w:cs="Arial" w:eastAsia="Arial" w:hAnsi="Arial"/>
          <w:sz w:val="16"/>
          <w:szCs w:val="16"/>
          <w:color w:val="auto"/>
        </w:rPr>
        <w:t xml:space="preserve">”), and the Disclosure Schedules shall be deemed to be modified, supplemented and amended to include the items listed in such Land Option Schedule Supplement for all purposes hereunder.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Arial" w:cs="Arial" w:eastAsia="Arial" w:hAnsi="Arial"/>
          <w:sz w:val="16"/>
          <w:szCs w:val="16"/>
          <w:i w:val="1"/>
          <w:iCs w:val="1"/>
          <w:color w:val="auto"/>
        </w:rPr>
        <w:t>Section 4.01</w:t>
      </w:r>
      <w:r>
        <w:rPr>
          <w:rFonts w:ascii="Arial" w:cs="Arial" w:eastAsia="Arial" w:hAnsi="Arial"/>
          <w:sz w:val="16"/>
          <w:szCs w:val="16"/>
          <w:color w:val="auto"/>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Purchaser does not deliver such notice within such ten (10) Business Day period, then Purchaser shall be deemed to have irrevocably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Arial" w:cs="Arial" w:eastAsia="Arial" w:hAnsi="Arial"/>
          <w:sz w:val="16"/>
          <w:szCs w:val="16"/>
          <w:i w:val="1"/>
          <w:iCs w:val="1"/>
          <w:color w:val="auto"/>
        </w:rPr>
        <w:t>Section 4.01</w:t>
      </w:r>
      <w:r>
        <w:rPr>
          <w:rFonts w:ascii="Arial" w:cs="Arial" w:eastAsia="Arial" w:hAnsi="Arial"/>
          <w:sz w:val="16"/>
          <w:szCs w:val="16"/>
          <w:color w:val="auto"/>
        </w:rPr>
        <w:t xml:space="preserve">, but shall not be deemed to have irrevocably waived its right to indemnification under </w:t>
      </w:r>
      <w:r>
        <w:rPr>
          <w:rFonts w:ascii="Arial" w:cs="Arial" w:eastAsia="Arial" w:hAnsi="Arial"/>
          <w:sz w:val="16"/>
          <w:szCs w:val="16"/>
          <w:i w:val="1"/>
          <w:iCs w:val="1"/>
          <w:color w:val="auto"/>
        </w:rPr>
        <w:t>Section 6.01</w:t>
      </w:r>
      <w:r>
        <w:rPr>
          <w:rFonts w:ascii="Arial" w:cs="Arial" w:eastAsia="Arial" w:hAnsi="Arial"/>
          <w:sz w:val="16"/>
          <w:szCs w:val="16"/>
          <w:color w:val="auto"/>
        </w:rPr>
        <w:t xml:space="preserve"> with respect to such item.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660"/>
        <w:spacing w:after="0"/>
        <w:tabs>
          <w:tab w:leader="none" w:pos="1260" w:val="left"/>
        </w:tabs>
        <w:rPr>
          <w:sz w:val="20"/>
          <w:szCs w:val="20"/>
          <w:color w:val="auto"/>
        </w:rPr>
      </w:pPr>
      <w:r>
        <w:rPr>
          <w:rFonts w:ascii="Arial" w:cs="Arial" w:eastAsia="Arial" w:hAnsi="Arial"/>
          <w:sz w:val="18"/>
          <w:szCs w:val="18"/>
          <w:b w:val="1"/>
          <w:bCs w:val="1"/>
          <w:color w:val="auto"/>
        </w:rPr>
        <w:t>5.04.</w:t>
      </w:r>
      <w:r>
        <w:rPr>
          <w:sz w:val="20"/>
          <w:szCs w:val="20"/>
          <w:color w:val="auto"/>
        </w:rPr>
        <w:tab/>
      </w:r>
      <w:r>
        <w:rPr>
          <w:rFonts w:ascii="Arial" w:cs="Arial" w:eastAsia="Arial" w:hAnsi="Arial"/>
          <w:sz w:val="15"/>
          <w:szCs w:val="15"/>
          <w:b w:val="1"/>
          <w:bCs w:val="1"/>
          <w:i w:val="1"/>
          <w:iCs w:val="1"/>
          <w:color w:val="auto"/>
        </w:rPr>
        <w:t>Conduct of Business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5" w:lineRule="auto"/>
        <w:tabs>
          <w:tab w:leader="none" w:pos="1806"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During the Interim Period, Seller shall cause the Company and each Black Rock Entity to operate and carry on its business in the ordinary course and substantially as operated prior to the date of this Agreement. Without limiting the foregoing, Seller shall cause the Company and each Black Rock Entity to perform in all material respects the Company Contracts to which the Company or such Black Rock Entity is a party and use commercially reasonable efforts consistent with good business practice to preserve the goodwill of the suppliers, contractors, lenders, Governmental Authorities, licensors, customers, distributors and others having business relations with the Company and the Black Rock Entities.</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85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i w:val="1"/>
          <w:iCs w:val="1"/>
          <w:color w:val="auto"/>
        </w:rPr>
        <w:t>Section 5.04(a)</w:t>
      </w:r>
      <w:r>
        <w:rPr>
          <w:rFonts w:ascii="Arial" w:cs="Arial" w:eastAsia="Arial" w:hAnsi="Arial"/>
          <w:sz w:val="18"/>
          <w:szCs w:val="18"/>
          <w:color w:val="auto"/>
        </w:rPr>
        <w:t>, except (</w:t>
      </w:r>
      <w:r>
        <w:rPr>
          <w:rFonts w:ascii="Arial" w:cs="Arial" w:eastAsia="Arial" w:hAnsi="Arial"/>
          <w:sz w:val="18"/>
          <w:szCs w:val="18"/>
          <w:i w:val="1"/>
          <w:iCs w:val="1"/>
          <w:color w:val="auto"/>
        </w:rPr>
        <w:t>x</w:t>
      </w:r>
      <w:r>
        <w:rPr>
          <w:rFonts w:ascii="Arial" w:cs="Arial" w:eastAsia="Arial" w:hAnsi="Arial"/>
          <w:sz w:val="18"/>
          <w:szCs w:val="18"/>
          <w:color w:val="auto"/>
        </w:rPr>
        <w:t xml:space="preserve">) as set forth on </w:t>
      </w:r>
      <w:r>
        <w:rPr>
          <w:rFonts w:ascii="Arial" w:cs="Arial" w:eastAsia="Arial" w:hAnsi="Arial"/>
          <w:sz w:val="18"/>
          <w:szCs w:val="18"/>
          <w:i w:val="1"/>
          <w:iCs w:val="1"/>
          <w:color w:val="auto"/>
        </w:rPr>
        <w:t>Schedule 5.04(b)</w:t>
      </w:r>
      <w:r>
        <w:rPr>
          <w:rFonts w:ascii="Arial" w:cs="Arial" w:eastAsia="Arial" w:hAnsi="Arial"/>
          <w:sz w:val="18"/>
          <w:szCs w:val="18"/>
          <w:color w:val="auto"/>
        </w:rPr>
        <w:t xml:space="preserve"> of the Disclosure Schedules, (</w:t>
      </w:r>
      <w:r>
        <w:rPr>
          <w:rFonts w:ascii="Arial" w:cs="Arial" w:eastAsia="Arial" w:hAnsi="Arial"/>
          <w:sz w:val="18"/>
          <w:szCs w:val="18"/>
          <w:i w:val="1"/>
          <w:iCs w:val="1"/>
          <w:color w:val="auto"/>
        </w:rPr>
        <w:t>y</w:t>
      </w:r>
      <w:r>
        <w:rPr>
          <w:rFonts w:ascii="Arial" w:cs="Arial" w:eastAsia="Arial" w:hAnsi="Arial"/>
          <w:sz w:val="18"/>
          <w:szCs w:val="18"/>
          <w:color w:val="auto"/>
        </w:rPr>
        <w:t xml:space="preserve">) as would not be reasonably likely to cause a Major Project Change (with respect to clauses (vi), (vii), (ix) and (xiv) of this </w:t>
      </w:r>
      <w:r>
        <w:rPr>
          <w:rFonts w:ascii="Arial" w:cs="Arial" w:eastAsia="Arial" w:hAnsi="Arial"/>
          <w:sz w:val="18"/>
          <w:szCs w:val="18"/>
          <w:i w:val="1"/>
          <w:iCs w:val="1"/>
          <w:color w:val="auto"/>
        </w:rPr>
        <w:t>Section 5.04(b)</w:t>
      </w:r>
      <w:r>
        <w:rPr>
          <w:rFonts w:ascii="Arial" w:cs="Arial" w:eastAsia="Arial" w:hAnsi="Arial"/>
          <w:sz w:val="18"/>
          <w:szCs w:val="18"/>
          <w:color w:val="auto"/>
        </w:rPr>
        <w:t xml:space="preserve"> only) or (</w:t>
      </w:r>
      <w:r>
        <w:rPr>
          <w:rFonts w:ascii="Arial" w:cs="Arial" w:eastAsia="Arial" w:hAnsi="Arial"/>
          <w:sz w:val="18"/>
          <w:szCs w:val="18"/>
          <w:i w:val="1"/>
          <w:iCs w:val="1"/>
          <w:color w:val="auto"/>
        </w:rPr>
        <w:t>z</w:t>
      </w:r>
      <w:r>
        <w:rPr>
          <w:rFonts w:ascii="Arial" w:cs="Arial" w:eastAsia="Arial" w:hAnsi="Arial"/>
          <w:sz w:val="18"/>
          <w:szCs w:val="18"/>
          <w:color w:val="auto"/>
        </w:rPr>
        <w:t>) with the express written approval of Purchaser, such approval not to be unreasonably withheld or delayed, during the Interim Period, Seller shall cause the Company and each Black Rock Entity not to:</w:t>
      </w:r>
    </w:p>
    <w:p>
      <w:pPr>
        <w:spacing w:after="0" w:line="186" w:lineRule="exact"/>
        <w:rPr>
          <w:rFonts w:ascii="Arial" w:cs="Arial" w:eastAsia="Arial" w:hAnsi="Arial"/>
          <w:sz w:val="18"/>
          <w:szCs w:val="18"/>
          <w:color w:val="auto"/>
        </w:rPr>
      </w:pPr>
    </w:p>
    <w:p>
      <w:pPr>
        <w:ind w:left="660" w:firstLine="1292"/>
        <w:spacing w:after="0" w:line="277" w:lineRule="auto"/>
        <w:tabs>
          <w:tab w:leader="none" w:pos="2373"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transfer any of the Acquired Interests to any Person or create or suffer to exist any Lien upon the Acquired Interests other than Permitted Liens set forth in clauses (f)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of the definition thereof;</w:t>
      </w:r>
    </w:p>
    <w:p>
      <w:pPr>
        <w:spacing w:after="0" w:line="225" w:lineRule="exact"/>
        <w:rPr>
          <w:rFonts w:ascii="Arial" w:cs="Arial" w:eastAsia="Arial" w:hAnsi="Arial"/>
          <w:sz w:val="18"/>
          <w:szCs w:val="18"/>
          <w:color w:val="auto"/>
        </w:rPr>
      </w:pPr>
    </w:p>
    <w:p>
      <w:pPr>
        <w:jc w:val="both"/>
        <w:ind w:left="660" w:firstLine="1292"/>
        <w:spacing w:after="0" w:line="296" w:lineRule="auto"/>
        <w:tabs>
          <w:tab w:leader="none" w:pos="2518" w:val="left"/>
        </w:tabs>
        <w:numPr>
          <w:ilvl w:val="2"/>
          <w:numId w:val="127"/>
        </w:numPr>
        <w:rPr>
          <w:rFonts w:ascii="Arial" w:cs="Arial" w:eastAsia="Arial" w:hAnsi="Arial"/>
          <w:sz w:val="16"/>
          <w:szCs w:val="16"/>
          <w:color w:val="auto"/>
        </w:rPr>
      </w:pPr>
      <w:r>
        <w:rPr>
          <w:rFonts w:ascii="Arial" w:cs="Arial" w:eastAsia="Arial" w:hAnsi="Arial"/>
          <w:sz w:val="16"/>
          <w:szCs w:val="16"/>
          <w:color w:val="auto"/>
        </w:rPr>
        <w:t>issue, grant, deliver or sell or authorize or propose to issue, grant, deliver or sell, or purchase or propose to purchase, any of its equity securities (other than the sale and delivery of the Acquired Interests pursuant to this Agreement and the issuance of membership interests in TE Holdco pursuant to the Tax Equity Agreement),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and the Tax Equity Agreement);</w:t>
      </w:r>
    </w:p>
    <w:p>
      <w:pPr>
        <w:spacing w:after="0" w:line="161" w:lineRule="exact"/>
        <w:rPr>
          <w:sz w:val="20"/>
          <w:szCs w:val="20"/>
          <w:color w:val="auto"/>
        </w:rPr>
      </w:pPr>
    </w:p>
    <w:p>
      <w:pPr>
        <w:jc w:val="both"/>
        <w:ind w:left="660" w:firstLine="1292"/>
        <w:spacing w:after="0" w:line="279" w:lineRule="auto"/>
        <w:tabs>
          <w:tab w:leader="none" w:pos="260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a distribution by the Company to Seller of up to Thirty- Six Million Dollars ($36,000,000) from the proceeds received by Class B HoldCo from the closing of the debt financing under the Financing Agreement;</w:t>
      </w:r>
    </w:p>
    <w:p>
      <w:pPr>
        <w:spacing w:after="0" w:line="171" w:lineRule="exact"/>
        <w:rPr>
          <w:rFonts w:ascii="Arial" w:cs="Arial" w:eastAsia="Arial" w:hAnsi="Arial"/>
          <w:sz w:val="17"/>
          <w:szCs w:val="17"/>
          <w:color w:val="auto"/>
        </w:rPr>
      </w:pPr>
    </w:p>
    <w:p>
      <w:pPr>
        <w:ind w:left="660" w:firstLine="1292"/>
        <w:spacing w:after="0" w:line="277" w:lineRule="auto"/>
        <w:tabs>
          <w:tab w:leader="none" w:pos="260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take any action or enter into any commitment with respect to or in contemplation of any liquidation, dissolution, recapitalization, reorganization, or other winding up of business or operations;</w:t>
      </w:r>
    </w:p>
    <w:p>
      <w:pPr>
        <w:spacing w:after="0" w:line="170" w:lineRule="exact"/>
        <w:rPr>
          <w:rFonts w:ascii="Arial" w:cs="Arial" w:eastAsia="Arial" w:hAnsi="Arial"/>
          <w:sz w:val="18"/>
          <w:szCs w:val="18"/>
          <w:color w:val="auto"/>
        </w:rPr>
      </w:pPr>
    </w:p>
    <w:p>
      <w:pPr>
        <w:ind w:left="2500" w:hanging="548"/>
        <w:spacing w:after="0"/>
        <w:tabs>
          <w:tab w:leader="none" w:pos="2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open or establish any new accounts with financial institutions;</w:t>
      </w:r>
    </w:p>
    <w:p>
      <w:pPr>
        <w:spacing w:after="0" w:line="225" w:lineRule="exact"/>
        <w:rPr>
          <w:rFonts w:ascii="Arial" w:cs="Arial" w:eastAsia="Arial" w:hAnsi="Arial"/>
          <w:sz w:val="18"/>
          <w:szCs w:val="18"/>
          <w:color w:val="auto"/>
        </w:rPr>
      </w:pPr>
    </w:p>
    <w:p>
      <w:pPr>
        <w:ind w:left="2560" w:hanging="608"/>
        <w:spacing w:after="0"/>
        <w:tabs>
          <w:tab w:leader="none" w:pos="25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make any material change in its business or operations, except such changes as may be required to comply with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6"/>
          <w:szCs w:val="16"/>
          <w:color w:val="auto"/>
        </w:rPr>
      </w:pPr>
    </w:p>
    <w:p>
      <w:pPr>
        <w:ind w:left="660" w:firstLine="1292"/>
        <w:spacing w:after="0" w:line="277" w:lineRule="auto"/>
        <w:tabs>
          <w:tab w:leader="none" w:pos="251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make any material capital expenditures (or enter into any Contracts in respect of material capital expenditures) other than as contemplated by the Company Contracts;</w:t>
      </w:r>
    </w:p>
    <w:p>
      <w:pPr>
        <w:spacing w:after="0" w:line="170" w:lineRule="exact"/>
        <w:rPr>
          <w:rFonts w:ascii="Arial" w:cs="Arial" w:eastAsia="Arial" w:hAnsi="Arial"/>
          <w:sz w:val="18"/>
          <w:szCs w:val="18"/>
          <w:color w:val="auto"/>
        </w:rPr>
      </w:pPr>
    </w:p>
    <w:p>
      <w:pPr>
        <w:ind w:left="660" w:firstLine="1292"/>
        <w:spacing w:after="0" w:line="277" w:lineRule="auto"/>
        <w:tabs>
          <w:tab w:leader="none" w:pos="253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merge Company or any Black Rock Entity into or with any other Person or consolidate Company or any Black Rock Entity with any other Person;</w:t>
      </w:r>
    </w:p>
    <w:p>
      <w:pPr>
        <w:spacing w:after="0" w:line="170" w:lineRule="exact"/>
        <w:rPr>
          <w:rFonts w:ascii="Arial" w:cs="Arial" w:eastAsia="Arial" w:hAnsi="Arial"/>
          <w:sz w:val="18"/>
          <w:szCs w:val="18"/>
          <w:color w:val="auto"/>
        </w:rPr>
      </w:pPr>
    </w:p>
    <w:p>
      <w:pPr>
        <w:ind w:left="660" w:firstLine="1292"/>
        <w:spacing w:after="0" w:line="277" w:lineRule="auto"/>
        <w:tabs>
          <w:tab w:leader="none" w:pos="252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enter into any Contract for the purchase of real property or any interests therein (other than upon the exercise of a Land Option by the applicable counterparty);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460" w:right="20" w:firstLine="1292"/>
        <w:spacing w:after="0" w:line="277" w:lineRule="auto"/>
        <w:tabs>
          <w:tab w:leader="none" w:pos="139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acquire, or enter into any Contract for any acquisitions (by merger, consolidation, or acquisition of stock or assets or any other business combination), of any Person or business or any division thereof;</w:t>
      </w:r>
    </w:p>
    <w:p>
      <w:pPr>
        <w:spacing w:after="0" w:line="170" w:lineRule="exact"/>
        <w:rPr>
          <w:rFonts w:ascii="Arial" w:cs="Arial" w:eastAsia="Arial" w:hAnsi="Arial"/>
          <w:sz w:val="18"/>
          <w:szCs w:val="18"/>
          <w:color w:val="auto"/>
        </w:rPr>
      </w:pPr>
    </w:p>
    <w:p>
      <w:pPr>
        <w:jc w:val="both"/>
        <w:ind w:left="-460" w:firstLine="1292"/>
        <w:spacing w:after="0" w:line="263" w:lineRule="auto"/>
        <w:tabs>
          <w:tab w:leader="none" w:pos="142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sell, lease (as lessor), transfer or otherwise dispose of (including any transfers to any of its Affiliates), or mortgage or pledge, or impose or suffer to be imposed any Lien on, any of its assets or properties, other than (x) inventory and personal property sold or otherwise disposed of in the ordinary course of business, and (y) Permitted Liens;</w:t>
      </w:r>
    </w:p>
    <w:p>
      <w:pPr>
        <w:spacing w:after="0" w:line="183" w:lineRule="exact"/>
        <w:rPr>
          <w:rFonts w:ascii="Arial" w:cs="Arial" w:eastAsia="Arial" w:hAnsi="Arial"/>
          <w:sz w:val="18"/>
          <w:szCs w:val="18"/>
          <w:color w:val="auto"/>
        </w:rPr>
      </w:pPr>
    </w:p>
    <w:p>
      <w:pPr>
        <w:jc w:val="both"/>
        <w:ind w:left="-460" w:firstLine="1292"/>
        <w:spacing w:after="0" w:line="301" w:lineRule="auto"/>
        <w:tabs>
          <w:tab w:leader="none" w:pos="140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create, incur, assume or guarantee, or agree to create, incur, assume or guarantee any Indebtedness for borrowed money or enter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any Indebtedness arising from the Financing Agreement or any of the Financing Documents;</w:t>
      </w:r>
    </w:p>
    <w:p>
      <w:pPr>
        <w:spacing w:after="0" w:line="157" w:lineRule="exact"/>
        <w:rPr>
          <w:rFonts w:ascii="Arial" w:cs="Arial" w:eastAsia="Arial" w:hAnsi="Arial"/>
          <w:sz w:val="16"/>
          <w:szCs w:val="16"/>
          <w:color w:val="auto"/>
        </w:rPr>
      </w:pPr>
    </w:p>
    <w:p>
      <w:pPr>
        <w:ind w:left="1400" w:hanging="568"/>
        <w:spacing w:after="0"/>
        <w:tabs>
          <w:tab w:leader="none" w:pos="14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make any loans or advances to any Person, except in the ordinary course of business consistent with past practice;</w:t>
      </w:r>
    </w:p>
    <w:p>
      <w:pPr>
        <w:spacing w:after="0" w:line="236" w:lineRule="exact"/>
        <w:rPr>
          <w:rFonts w:ascii="Arial" w:cs="Arial" w:eastAsia="Arial" w:hAnsi="Arial"/>
          <w:sz w:val="17"/>
          <w:szCs w:val="17"/>
          <w:color w:val="auto"/>
        </w:rPr>
      </w:pPr>
    </w:p>
    <w:p>
      <w:pPr>
        <w:jc w:val="both"/>
        <w:ind w:left="-460" w:firstLine="1292"/>
        <w:spacing w:after="0" w:line="263" w:lineRule="auto"/>
        <w:tabs>
          <w:tab w:leader="none" w:pos="139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83" w:lineRule="exact"/>
        <w:rPr>
          <w:rFonts w:ascii="Arial" w:cs="Arial" w:eastAsia="Arial" w:hAnsi="Arial"/>
          <w:sz w:val="18"/>
          <w:szCs w:val="18"/>
          <w:color w:val="auto"/>
        </w:rPr>
      </w:pPr>
    </w:p>
    <w:p>
      <w:pPr>
        <w:jc w:val="both"/>
        <w:ind w:left="-460" w:firstLine="1292"/>
        <w:spacing w:after="0" w:line="259" w:lineRule="auto"/>
        <w:tabs>
          <w:tab w:leader="none" w:pos="142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Company or any Black Rock Entity;</w:t>
      </w:r>
    </w:p>
    <w:p>
      <w:pPr>
        <w:spacing w:after="0" w:line="186" w:lineRule="exact"/>
        <w:rPr>
          <w:rFonts w:ascii="Arial" w:cs="Arial" w:eastAsia="Arial" w:hAnsi="Arial"/>
          <w:sz w:val="18"/>
          <w:szCs w:val="18"/>
          <w:color w:val="auto"/>
        </w:rPr>
      </w:pPr>
    </w:p>
    <w:p>
      <w:pPr>
        <w:jc w:val="both"/>
        <w:ind w:left="-460" w:firstLine="1292"/>
        <w:spacing w:after="0" w:line="263" w:lineRule="auto"/>
        <w:tabs>
          <w:tab w:leader="none" w:pos="14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make any material change in accounting policies or practices (including any change in depreciation or amortization policies) of Company or any Black Rock Entity, except as required under Seller’s GAAP or revalue any of the Company’s or any Black Rock Entity’s assets;</w:t>
      </w:r>
    </w:p>
    <w:p>
      <w:pPr>
        <w:spacing w:after="0" w:line="183" w:lineRule="exact"/>
        <w:rPr>
          <w:rFonts w:ascii="Arial" w:cs="Arial" w:eastAsia="Arial" w:hAnsi="Arial"/>
          <w:sz w:val="18"/>
          <w:szCs w:val="18"/>
          <w:color w:val="auto"/>
        </w:rPr>
      </w:pPr>
    </w:p>
    <w:p>
      <w:pPr>
        <w:jc w:val="both"/>
        <w:ind w:left="-460" w:firstLine="1292"/>
        <w:spacing w:after="0" w:line="257" w:lineRule="auto"/>
        <w:tabs>
          <w:tab w:leader="none" w:pos="139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make or change any material Tax election, change an annual accounting period, adopt or change any accounting method with respect to Taxes, file any amended Tax Return, enter into any closing agreement, settle or compromise any proceeding with respect to any Tax claim or assessment, surrender any right to claim a refund of Taxes, consent to any extension or waiver of the limitation period applicable to any material Tax claim or assessment relating to Company or the Black Rock Entities, or take any other similar action relating to the filing of any Tax Return or the payment of any Tax;</w:t>
      </w:r>
    </w:p>
    <w:p>
      <w:pPr>
        <w:spacing w:after="0" w:line="187" w:lineRule="exact"/>
        <w:rPr>
          <w:rFonts w:ascii="Arial" w:cs="Arial" w:eastAsia="Arial" w:hAnsi="Arial"/>
          <w:sz w:val="18"/>
          <w:szCs w:val="18"/>
          <w:color w:val="auto"/>
        </w:rPr>
      </w:pPr>
    </w:p>
    <w:p>
      <w:pPr>
        <w:jc w:val="both"/>
        <w:ind w:left="-460" w:firstLine="1292"/>
        <w:spacing w:after="0" w:line="263" w:lineRule="auto"/>
        <w:tabs>
          <w:tab w:leader="none" w:pos="168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submit a self-report or mitigation plan to FERC, NERC or the applicable Regional Entity in connection with the violation or possible violation of an applicable NERC reliability standard without first notifying Purchaser and providing information regarding the violation or possible violation;</w:t>
      </w:r>
    </w:p>
    <w:p>
      <w:pPr>
        <w:spacing w:after="0" w:line="183" w:lineRule="exact"/>
        <w:rPr>
          <w:rFonts w:ascii="Arial" w:cs="Arial" w:eastAsia="Arial" w:hAnsi="Arial"/>
          <w:sz w:val="18"/>
          <w:szCs w:val="18"/>
          <w:color w:val="auto"/>
        </w:rPr>
      </w:pPr>
    </w:p>
    <w:p>
      <w:pPr>
        <w:ind w:left="-460" w:firstLine="1292"/>
        <w:spacing w:after="0" w:line="277" w:lineRule="auto"/>
        <w:tabs>
          <w:tab w:leader="none" w:pos="139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pay, discharge, settle or satisfy any claims, liabilities or obligations prior to the same being due in excess of $50,000 in the aggregate other than as due and payable in the ordinary course under material Contracts;</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9" w:name="page120"/>
    <w:bookmarkEnd w:id="119"/>
    <w:p>
      <w:pPr>
        <w:ind w:left="2500" w:hanging="548"/>
        <w:spacing w:after="0"/>
        <w:tabs>
          <w:tab w:leader="none" w:pos="2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hire any employees or adopt any Employee Plans;</w:t>
      </w:r>
    </w:p>
    <w:p>
      <w:pPr>
        <w:spacing w:after="0" w:line="225" w:lineRule="exact"/>
        <w:rPr>
          <w:rFonts w:ascii="Arial" w:cs="Arial" w:eastAsia="Arial" w:hAnsi="Arial"/>
          <w:sz w:val="18"/>
          <w:szCs w:val="18"/>
          <w:color w:val="auto"/>
        </w:rPr>
      </w:pPr>
    </w:p>
    <w:p>
      <w:pPr>
        <w:ind w:left="2500" w:hanging="548"/>
        <w:spacing w:after="0"/>
        <w:tabs>
          <w:tab w:leader="none" w:pos="2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 into any joint venture;</w:t>
      </w:r>
    </w:p>
    <w:p>
      <w:pPr>
        <w:spacing w:after="0" w:line="225" w:lineRule="exact"/>
        <w:rPr>
          <w:rFonts w:ascii="Arial" w:cs="Arial" w:eastAsia="Arial" w:hAnsi="Arial"/>
          <w:sz w:val="18"/>
          <w:szCs w:val="18"/>
          <w:color w:val="auto"/>
        </w:rPr>
      </w:pPr>
    </w:p>
    <w:p>
      <w:pPr>
        <w:ind w:left="2500" w:hanging="548"/>
        <w:spacing w:after="0"/>
        <w:tabs>
          <w:tab w:leader="none" w:pos="25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fail to maintain insurance coverage substantially equivalent to its insurance coverage as in effect on the date hereof; or</w:t>
      </w:r>
    </w:p>
    <w:p>
      <w:pPr>
        <w:spacing w:after="0" w:line="248" w:lineRule="exact"/>
        <w:rPr>
          <w:rFonts w:ascii="Arial" w:cs="Arial" w:eastAsia="Arial" w:hAnsi="Arial"/>
          <w:sz w:val="16"/>
          <w:szCs w:val="16"/>
          <w:color w:val="auto"/>
        </w:rPr>
      </w:pPr>
    </w:p>
    <w:p>
      <w:pPr>
        <w:ind w:left="2680" w:hanging="728"/>
        <w:spacing w:after="0"/>
        <w:tabs>
          <w:tab w:leader="none" w:pos="2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otherwise make any commitment to do any of the foregoing in this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5.04</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Notwithstanding the foregoing, (a) Seller may permit the Black Rock Entities to take commercially reasonable actions with respect to emergency situations so long as Seller shall, upon receipt of notice of any such actions, promptly inform Purchaser of any such actions taken outside the ordinary course of business and (b) upon the exercise of a Land Option by the applicable counterparty, Seller may permit or cause one or more of the Black Rock Entities to enter into a Contract with such counterparty to acquire the applicable Real Property Right in accordance with the terms of the Land Option.</w:t>
      </w:r>
    </w:p>
    <w:p>
      <w:pPr>
        <w:spacing w:after="0" w:line="188" w:lineRule="exact"/>
        <w:rPr>
          <w:sz w:val="20"/>
          <w:szCs w:val="20"/>
          <w:color w:val="auto"/>
        </w:rPr>
      </w:pPr>
    </w:p>
    <w:p>
      <w:pPr>
        <w:ind w:firstLine="1304"/>
        <w:spacing w:after="0" w:line="277" w:lineRule="auto"/>
        <w:tabs>
          <w:tab w:leader="none" w:pos="187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i w:val="1"/>
          <w:iCs w:val="1"/>
          <w:color w:val="auto"/>
        </w:rPr>
        <w:t>Section 5.04</w:t>
      </w:r>
      <w:r>
        <w:rPr>
          <w:rFonts w:ascii="Arial" w:cs="Arial" w:eastAsia="Arial" w:hAnsi="Arial"/>
          <w:sz w:val="18"/>
          <w:szCs w:val="18"/>
          <w:color w:val="auto"/>
        </w:rPr>
        <w:t xml:space="preserve">, an action taken by Seller or any of the Black Rock Entities in accordance with </w:t>
      </w:r>
      <w:r>
        <w:rPr>
          <w:rFonts w:ascii="Arial" w:cs="Arial" w:eastAsia="Arial" w:hAnsi="Arial"/>
          <w:sz w:val="18"/>
          <w:szCs w:val="18"/>
          <w:i w:val="1"/>
          <w:iCs w:val="1"/>
          <w:color w:val="auto"/>
        </w:rPr>
        <w:t>Section 5.12</w:t>
      </w:r>
      <w:r>
        <w:rPr>
          <w:rFonts w:ascii="Arial" w:cs="Arial" w:eastAsia="Arial" w:hAnsi="Arial"/>
          <w:sz w:val="18"/>
          <w:szCs w:val="18"/>
          <w:color w:val="auto"/>
        </w:rPr>
        <w:t xml:space="preserve"> shall in no event be deemed a breach of this </w:t>
      </w:r>
      <w:r>
        <w:rPr>
          <w:rFonts w:ascii="Arial" w:cs="Arial" w:eastAsia="Arial" w:hAnsi="Arial"/>
          <w:sz w:val="18"/>
          <w:szCs w:val="18"/>
          <w:i w:val="1"/>
          <w:iCs w:val="1"/>
          <w:color w:val="auto"/>
        </w:rPr>
        <w:t>Section 5.04</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5.05. </w:t>
      </w:r>
      <w:r>
        <w:rPr>
          <w:rFonts w:ascii="Arial" w:cs="Arial" w:eastAsia="Arial" w:hAnsi="Arial"/>
          <w:sz w:val="18"/>
          <w:szCs w:val="18"/>
          <w:b w:val="1"/>
          <w:bCs w:val="1"/>
          <w:i w:val="1"/>
          <w:iCs w:val="1"/>
          <w:color w:val="auto"/>
        </w:rPr>
        <w:t>Fulfillment of Conditions</w:t>
      </w:r>
      <w:r>
        <w:rPr>
          <w:rFonts w:ascii="Arial" w:cs="Arial" w:eastAsia="Arial" w:hAnsi="Arial"/>
          <w:sz w:val="18"/>
          <w:szCs w:val="18"/>
          <w:color w:val="auto"/>
        </w:rPr>
        <w:t>. Each Party shall take all commercially reasonable steps necessary or desirable, and proceed diligently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to satisfy each other condition to the obligations of the other Party contained in this Agreement.</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5.06. </w:t>
      </w:r>
      <w:r>
        <w:rPr>
          <w:rFonts w:ascii="Arial" w:cs="Arial" w:eastAsia="Arial" w:hAnsi="Arial"/>
          <w:sz w:val="18"/>
          <w:szCs w:val="18"/>
          <w:b w:val="1"/>
          <w:bCs w:val="1"/>
          <w:i w:val="1"/>
          <w:iCs w:val="1"/>
          <w:color w:val="auto"/>
        </w:rPr>
        <w:t>Further Assurances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During the Interim Period</w:t>
      </w:r>
      <w:r>
        <w:rPr>
          <w:rFonts w:ascii="Arial" w:cs="Arial" w:eastAsia="Arial" w:hAnsi="Arial"/>
          <w:sz w:val="18"/>
          <w:szCs w:val="18"/>
          <w:u w:val="single" w:color="auto"/>
          <w:color w:val="0000FF"/>
        </w:rPr>
        <w:t>From the Execution Date until the earlier of the termination of this Agreement or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Second Closing Date</w:t>
      </w:r>
      <w:r>
        <w:rPr>
          <w:rFonts w:ascii="Arial" w:cs="Arial" w:eastAsia="Arial" w:hAnsi="Arial"/>
          <w:sz w:val="18"/>
          <w:szCs w:val="18"/>
          <w:color w:val="000000"/>
        </w:rPr>
        <w:t>, each Party shall use its commercially reasonable efforts to execute and deliver, or cause to be executed and delivered, all such</w:t>
      </w:r>
      <w:r>
        <w:rPr>
          <w:rFonts w:ascii="Arial" w:cs="Arial" w:eastAsia="Arial" w:hAnsi="Arial"/>
          <w:sz w:val="18"/>
          <w:szCs w:val="18"/>
          <w:color w:val="0000FF"/>
        </w:rPr>
        <w:t xml:space="preserve"> </w:t>
      </w:r>
      <w:r>
        <w:rPr>
          <w:rFonts w:ascii="Arial" w:cs="Arial" w:eastAsia="Arial" w:hAnsi="Arial"/>
          <w:sz w:val="18"/>
          <w:szCs w:val="18"/>
          <w:color w:val="000000"/>
        </w:rPr>
        <w:t xml:space="preserve">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w:t>
      </w:r>
      <w:r>
        <w:rPr>
          <w:rFonts w:ascii="Arial" w:cs="Arial" w:eastAsia="Arial" w:hAnsi="Arial"/>
          <w:sz w:val="18"/>
          <w:szCs w:val="18"/>
          <w:color w:val="FF0000"/>
          <w:strike w:val="1"/>
        </w:rPr>
        <w:t>During the Interim Period</w:t>
      </w:r>
      <w:r>
        <w:rPr>
          <w:rFonts w:ascii="Arial" w:cs="Arial" w:eastAsia="Arial" w:hAnsi="Arial"/>
          <w:sz w:val="18"/>
          <w:szCs w:val="18"/>
          <w:u w:val="single" w:color="auto"/>
          <w:color w:val="0000FF"/>
        </w:rPr>
        <w:t>From the Execution Date until the earlier of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termination of this Agreement or the Second Closing Date</w:t>
      </w:r>
      <w:r>
        <w:rPr>
          <w:rFonts w:ascii="Arial" w:cs="Arial" w:eastAsia="Arial" w:hAnsi="Arial"/>
          <w:sz w:val="18"/>
          <w:szCs w:val="18"/>
          <w:color w:val="000000"/>
        </w:rPr>
        <w:t>, each Party shall cooperate with the other Party and provide any information regarding such</w:t>
      </w:r>
      <w:r>
        <w:rPr>
          <w:rFonts w:ascii="Arial" w:cs="Arial" w:eastAsia="Arial" w:hAnsi="Arial"/>
          <w:sz w:val="18"/>
          <w:szCs w:val="18"/>
          <w:color w:val="0000FF"/>
        </w:rPr>
        <w:t xml:space="preserve"> </w:t>
      </w:r>
      <w:r>
        <w:rPr>
          <w:rFonts w:ascii="Arial" w:cs="Arial" w:eastAsia="Arial" w:hAnsi="Arial"/>
          <w:sz w:val="18"/>
          <w:szCs w:val="18"/>
          <w:color w:val="000000"/>
        </w:rPr>
        <w:t xml:space="preserve">Party necessary to assist the other Party in making any filings or applications or providing notices required to be made with any Governmental Authority. Notwithstanding anything to the contrary contained in this </w:t>
      </w:r>
      <w:r>
        <w:rPr>
          <w:rFonts w:ascii="Arial" w:cs="Arial" w:eastAsia="Arial" w:hAnsi="Arial"/>
          <w:sz w:val="18"/>
          <w:szCs w:val="18"/>
          <w:i w:val="1"/>
          <w:iCs w:val="1"/>
          <w:color w:val="000000"/>
        </w:rPr>
        <w:t>Section 5.06</w:t>
      </w:r>
      <w:r>
        <w:rPr>
          <w:rFonts w:ascii="Arial" w:cs="Arial" w:eastAsia="Arial" w:hAnsi="Arial"/>
          <w:sz w:val="18"/>
          <w:szCs w:val="18"/>
          <w:color w:val="000000"/>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8"/>
          <w:szCs w:val="18"/>
          <w:i w:val="1"/>
          <w:iCs w:val="1"/>
          <w:color w:val="000000"/>
        </w:rPr>
        <w:t xml:space="preserve">Section 5.06 </w:t>
      </w:r>
      <w:r>
        <w:rPr>
          <w:rFonts w:ascii="Arial" w:cs="Arial" w:eastAsia="Arial" w:hAnsi="Arial"/>
          <w:sz w:val="18"/>
          <w:szCs w:val="18"/>
          <w:color w:val="000000"/>
        </w:rPr>
        <w:t>shall not apply.</w:t>
      </w:r>
    </w:p>
    <w:p>
      <w:pPr>
        <w:spacing w:after="0" w:line="19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5.07.</w:t>
      </w:r>
      <w:r>
        <w:rPr>
          <w:sz w:val="20"/>
          <w:szCs w:val="20"/>
          <w:color w:val="auto"/>
        </w:rPr>
        <w:tab/>
      </w:r>
      <w:r>
        <w:rPr>
          <w:rFonts w:ascii="Arial" w:cs="Arial" w:eastAsia="Arial" w:hAnsi="Arial"/>
          <w:sz w:val="15"/>
          <w:szCs w:val="15"/>
          <w:b w:val="1"/>
          <w:bCs w:val="1"/>
          <w:i w:val="1"/>
          <w:iCs w:val="1"/>
          <w:color w:val="auto"/>
        </w:rPr>
        <w:t>Purchaser’s Substitute Support Obligations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2" w:lineRule="auto"/>
        <w:tabs>
          <w:tab w:leader="none" w:pos="182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Purchaser acknowledges that Seller and certain Affiliates have provided certain credit support pursuant to the support obligations and related agreements described on </w:t>
      </w:r>
      <w:r>
        <w:rPr>
          <w:rFonts w:ascii="Arial" w:cs="Arial" w:eastAsia="Arial" w:hAnsi="Arial"/>
          <w:sz w:val="17"/>
          <w:szCs w:val="17"/>
          <w:i w:val="1"/>
          <w:iCs w:val="1"/>
          <w:color w:val="auto"/>
        </w:rPr>
        <w:t>Schedule 3.01(y)</w:t>
      </w:r>
      <w:r>
        <w:rPr>
          <w:rFonts w:ascii="Arial" w:cs="Arial" w:eastAsia="Arial" w:hAnsi="Arial"/>
          <w:sz w:val="17"/>
          <w:szCs w:val="17"/>
          <w:color w:val="auto"/>
        </w:rPr>
        <w:t xml:space="preserve"> of the Disclosure Schedules (the “</w:t>
      </w:r>
      <w:r>
        <w:rPr>
          <w:rFonts w:ascii="Arial" w:cs="Arial" w:eastAsia="Arial" w:hAnsi="Arial"/>
          <w:sz w:val="17"/>
          <w:szCs w:val="17"/>
          <w:i w:val="1"/>
          <w:iCs w:val="1"/>
          <w:color w:val="auto"/>
        </w:rPr>
        <w:t>Support Obligations</w:t>
      </w:r>
      <w:r>
        <w:rPr>
          <w:rFonts w:ascii="Arial" w:cs="Arial" w:eastAsia="Arial" w:hAnsi="Arial"/>
          <w:sz w:val="17"/>
          <w:szCs w:val="17"/>
          <w:color w:val="auto"/>
        </w:rPr>
        <w:t>”). From the Execution Date and continuing until the earlier of the termination of this Agreement or the replacement and/or release of each Support Obligation, Purchaser shall use commercially reasonable efforts to negotiate a replacement of each Support Obligations (each, a “</w:t>
      </w:r>
      <w:r>
        <w:rPr>
          <w:rFonts w:ascii="Arial" w:cs="Arial" w:eastAsia="Arial" w:hAnsi="Arial"/>
          <w:sz w:val="17"/>
          <w:szCs w:val="17"/>
          <w:i w:val="1"/>
          <w:iCs w:val="1"/>
          <w:color w:val="auto"/>
        </w:rPr>
        <w:t>Substitute Support Obligation</w:t>
      </w:r>
      <w:r>
        <w:rPr>
          <w:rFonts w:ascii="Arial" w:cs="Arial" w:eastAsia="Arial" w:hAnsi="Arial"/>
          <w:sz w:val="17"/>
          <w:szCs w:val="17"/>
          <w:color w:val="auto"/>
        </w:rPr>
        <w:t>”) with the beneficiary thereof and/or to effect the complete and unconditional release of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Closing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firstLine="1304"/>
        <w:spacing w:after="0" w:line="272" w:lineRule="auto"/>
        <w:tabs>
          <w:tab w:leader="none" w:pos="175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From the Execution Date and continuing until the earlier of (</w:t>
      </w:r>
      <w:r>
        <w:rPr>
          <w:rFonts w:ascii="Arial" w:cs="Arial" w:eastAsia="Arial" w:hAnsi="Arial"/>
          <w:sz w:val="17"/>
          <w:szCs w:val="17"/>
          <w:i w:val="1"/>
          <w:iCs w:val="1"/>
          <w:color w:val="auto"/>
        </w:rPr>
        <w:t>i</w:t>
      </w:r>
      <w:r>
        <w:rPr>
          <w:rFonts w:ascii="Arial" w:cs="Arial" w:eastAsia="Arial" w:hAnsi="Arial"/>
          <w:sz w:val="17"/>
          <w:szCs w:val="17"/>
          <w:color w:val="auto"/>
        </w:rPr>
        <w:t>) the termination of this Agreement, (</w:t>
      </w:r>
      <w:r>
        <w:rPr>
          <w:rFonts w:ascii="Arial" w:cs="Arial" w:eastAsia="Arial" w:hAnsi="Arial"/>
          <w:sz w:val="17"/>
          <w:szCs w:val="17"/>
          <w:i w:val="1"/>
          <w:iCs w:val="1"/>
          <w:color w:val="auto"/>
        </w:rPr>
        <w:t>ii</w:t>
      </w:r>
      <w:r>
        <w:rPr>
          <w:rFonts w:ascii="Arial" w:cs="Arial" w:eastAsia="Arial" w:hAnsi="Arial"/>
          <w:sz w:val="17"/>
          <w:szCs w:val="17"/>
          <w:color w:val="auto"/>
        </w:rPr>
        <w:t>) the effective date of the applicable Substitute Support Obligation, and (</w:t>
      </w:r>
      <w:r>
        <w:rPr>
          <w:rFonts w:ascii="Arial" w:cs="Arial" w:eastAsia="Arial" w:hAnsi="Arial"/>
          <w:sz w:val="17"/>
          <w:szCs w:val="17"/>
          <w:i w:val="1"/>
          <w:iCs w:val="1"/>
          <w:color w:val="auto"/>
        </w:rPr>
        <w:t>iii</w:t>
      </w:r>
      <w:r>
        <w:rPr>
          <w:rFonts w:ascii="Arial" w:cs="Arial" w:eastAsia="Arial" w:hAnsi="Arial"/>
          <w:sz w:val="17"/>
          <w:szCs w:val="17"/>
          <w:color w:val="auto"/>
        </w:rPr>
        <w:t>) the date such Support Obligation is no longer required to be maintained under the applicable Company Contract, Seller shall, and shall cause its Affiliates to, (</w:t>
      </w:r>
      <w:r>
        <w:rPr>
          <w:rFonts w:ascii="Arial" w:cs="Arial" w:eastAsia="Arial" w:hAnsi="Arial"/>
          <w:sz w:val="17"/>
          <w:szCs w:val="17"/>
          <w:i w:val="1"/>
          <w:iCs w:val="1"/>
          <w:color w:val="auto"/>
        </w:rPr>
        <w:t>x</w:t>
      </w:r>
      <w:r>
        <w:rPr>
          <w:rFonts w:ascii="Arial" w:cs="Arial" w:eastAsia="Arial" w:hAnsi="Arial"/>
          <w:sz w:val="17"/>
          <w:szCs w:val="17"/>
          <w:color w:val="auto"/>
        </w:rPr>
        <w:t>) maintain each Support Obligation in full force and effect in accordance with the requirements under the applicable Company Contract, (</w:t>
      </w:r>
      <w:r>
        <w:rPr>
          <w:rFonts w:ascii="Arial" w:cs="Arial" w:eastAsia="Arial" w:hAnsi="Arial"/>
          <w:sz w:val="17"/>
          <w:szCs w:val="17"/>
          <w:i w:val="1"/>
          <w:iCs w:val="1"/>
          <w:color w:val="auto"/>
        </w:rPr>
        <w:t>y</w:t>
      </w:r>
      <w:r>
        <w:rPr>
          <w:rFonts w:ascii="Arial" w:cs="Arial" w:eastAsia="Arial" w:hAnsi="Arial"/>
          <w:sz w:val="17"/>
          <w:szCs w:val="17"/>
          <w:color w:val="auto"/>
        </w:rPr>
        <w:t>) perform all of its obligations under each Support Obligation and (</w:t>
      </w:r>
      <w:r>
        <w:rPr>
          <w:rFonts w:ascii="Arial" w:cs="Arial" w:eastAsia="Arial" w:hAnsi="Arial"/>
          <w:sz w:val="17"/>
          <w:szCs w:val="17"/>
          <w:i w:val="1"/>
          <w:iCs w:val="1"/>
          <w:color w:val="auto"/>
        </w:rPr>
        <w:t>z</w:t>
      </w:r>
      <w:r>
        <w:rPr>
          <w:rFonts w:ascii="Arial" w:cs="Arial" w:eastAsia="Arial" w:hAnsi="Arial"/>
          <w:sz w:val="17"/>
          <w:szCs w:val="17"/>
          <w:color w:val="auto"/>
        </w:rPr>
        <w:t xml:space="preserve">) not amend, modify, grant a waiver in respect of, cancel or consent to the termination of such Support Obligation;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solely to the extent that a Support Obligation cannot be released, terminated or replaced by Purchaser at or prior to the Closing (a “</w:t>
      </w:r>
      <w:r>
        <w:rPr>
          <w:rFonts w:ascii="Arial" w:cs="Arial" w:eastAsia="Arial" w:hAnsi="Arial"/>
          <w:sz w:val="17"/>
          <w:szCs w:val="17"/>
          <w:i w:val="1"/>
          <w:iCs w:val="1"/>
          <w:color w:val="auto"/>
        </w:rPr>
        <w:t>Retained Support Obligation</w:t>
      </w:r>
      <w:r>
        <w:rPr>
          <w:rFonts w:ascii="Arial" w:cs="Arial" w:eastAsia="Arial" w:hAnsi="Arial"/>
          <w:sz w:val="17"/>
          <w:szCs w:val="17"/>
          <w:color w:val="auto"/>
        </w:rPr>
        <w:t xml:space="preserve">”), subject to </w:t>
      </w:r>
      <w:r>
        <w:rPr>
          <w:rFonts w:ascii="Arial" w:cs="Arial" w:eastAsia="Arial" w:hAnsi="Arial"/>
          <w:sz w:val="17"/>
          <w:szCs w:val="17"/>
          <w:i w:val="1"/>
          <w:iCs w:val="1"/>
          <w:color w:val="auto"/>
        </w:rPr>
        <w:t>Section 5.07(c)</w:t>
      </w:r>
      <w:r>
        <w:rPr>
          <w:rFonts w:ascii="Arial" w:cs="Arial" w:eastAsia="Arial" w:hAnsi="Arial"/>
          <w:sz w:val="17"/>
          <w:szCs w:val="17"/>
          <w:color w:val="auto"/>
        </w:rPr>
        <w:t xml:space="preserve"> below, Seller shall, and shall cause its Affiliates to, perform its obligations with respect to such Retained Support Obligation.</w:t>
      </w:r>
    </w:p>
    <w:p>
      <w:pPr>
        <w:spacing w:after="0" w:line="177" w:lineRule="exact"/>
        <w:rPr>
          <w:rFonts w:ascii="Arial" w:cs="Arial" w:eastAsia="Arial" w:hAnsi="Arial"/>
          <w:sz w:val="17"/>
          <w:szCs w:val="17"/>
          <w:color w:val="auto"/>
        </w:rPr>
      </w:pPr>
    </w:p>
    <w:p>
      <w:pPr>
        <w:jc w:val="both"/>
        <w:ind w:firstLine="1304"/>
        <w:spacing w:after="0" w:line="270" w:lineRule="auto"/>
        <w:tabs>
          <w:tab w:leader="none" w:pos="17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To the extent there is a Retained Support Obligation, Purchaser shall (</w:t>
      </w:r>
      <w:r>
        <w:rPr>
          <w:rFonts w:ascii="Arial" w:cs="Arial" w:eastAsia="Arial" w:hAnsi="Arial"/>
          <w:sz w:val="17"/>
          <w:szCs w:val="17"/>
          <w:i w:val="1"/>
          <w:iCs w:val="1"/>
          <w:color w:val="auto"/>
        </w:rPr>
        <w:t>i</w:t>
      </w:r>
      <w:r>
        <w:rPr>
          <w:rFonts w:ascii="Arial" w:cs="Arial" w:eastAsia="Arial" w:hAnsi="Arial"/>
          <w:sz w:val="17"/>
          <w:szCs w:val="17"/>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the Company or the Black Rock Entities conducted, existing or arising after the Closing (including as a result of any draw or demand for or making of any payment by Seller or any such Affiliate of Seller under any Support Obligation), (</w:t>
      </w:r>
      <w:r>
        <w:rPr>
          <w:rFonts w:ascii="Arial" w:cs="Arial" w:eastAsia="Arial" w:hAnsi="Arial"/>
          <w:sz w:val="17"/>
          <w:szCs w:val="17"/>
          <w:i w:val="1"/>
          <w:iCs w:val="1"/>
          <w:color w:val="auto"/>
        </w:rPr>
        <w:t>ii</w:t>
      </w:r>
      <w:r>
        <w:rPr>
          <w:rFonts w:ascii="Arial" w:cs="Arial" w:eastAsia="Arial" w:hAnsi="Arial"/>
          <w:sz w:val="17"/>
          <w:szCs w:val="17"/>
          <w:color w:val="auto"/>
        </w:rPr>
        <w:t>) diligently continue to seek the release, termination and replacement of such Support Obligation, and (</w:t>
      </w:r>
      <w:r>
        <w:rPr>
          <w:rFonts w:ascii="Arial" w:cs="Arial" w:eastAsia="Arial" w:hAnsi="Arial"/>
          <w:sz w:val="17"/>
          <w:szCs w:val="17"/>
          <w:i w:val="1"/>
          <w:iCs w:val="1"/>
          <w:color w:val="auto"/>
        </w:rPr>
        <w:t>iii</w:t>
      </w:r>
      <w:r>
        <w:rPr>
          <w:rFonts w:ascii="Arial" w:cs="Arial" w:eastAsia="Arial" w:hAnsi="Arial"/>
          <w:sz w:val="17"/>
          <w:szCs w:val="17"/>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Purchaser’s indemnification obligations under clause (i) shall not affect Seller’s indemnification obligations under </w:t>
      </w:r>
      <w:r>
        <w:rPr>
          <w:rFonts w:ascii="Arial" w:cs="Arial" w:eastAsia="Arial" w:hAnsi="Arial"/>
          <w:sz w:val="17"/>
          <w:szCs w:val="17"/>
          <w:i w:val="1"/>
          <w:iCs w:val="1"/>
          <w:color w:val="auto"/>
        </w:rPr>
        <w:t>Section 5.07(d)</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6.01</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304"/>
        <w:spacing w:after="0" w:line="255" w:lineRule="auto"/>
        <w:tabs>
          <w:tab w:leader="none" w:pos="175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the Company or the Black Rock Entities conducted, existing or arising at or prior to the Closing (including as a result of any draw or demand for or making of any payment by Purchaser or any such Affiliate of Purchaser under any Substitute Support Obligation).</w:t>
      </w:r>
    </w:p>
    <w:p>
      <w:pPr>
        <w:spacing w:after="0" w:line="18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5.08.</w:t>
      </w:r>
      <w:r>
        <w:rPr>
          <w:sz w:val="20"/>
          <w:szCs w:val="20"/>
          <w:color w:val="auto"/>
        </w:rPr>
        <w:tab/>
      </w:r>
      <w:r>
        <w:rPr>
          <w:rFonts w:ascii="Arial" w:cs="Arial" w:eastAsia="Arial" w:hAnsi="Arial"/>
          <w:sz w:val="16"/>
          <w:szCs w:val="16"/>
          <w:b w:val="1"/>
          <w:bCs w:val="1"/>
          <w:i w:val="1"/>
          <w:iCs w:val="1"/>
          <w:color w:val="auto"/>
        </w:rPr>
        <w:t>Tax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96" w:lineRule="auto"/>
        <w:tabs>
          <w:tab w:leader="none" w:pos="173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All sales, use transfer, controlling interest transfer, recording, stock transfer, real property transfer, value-added and other similar Taxes and fees (“</w:t>
      </w:r>
      <w:r>
        <w:rPr>
          <w:rFonts w:ascii="Arial" w:cs="Arial" w:eastAsia="Arial" w:hAnsi="Arial"/>
          <w:sz w:val="16"/>
          <w:szCs w:val="16"/>
          <w:i w:val="1"/>
          <w:iCs w:val="1"/>
          <w:color w:val="auto"/>
        </w:rPr>
        <w:t>Transfer Taxes</w:t>
      </w:r>
      <w:r>
        <w:rPr>
          <w:rFonts w:ascii="Arial" w:cs="Arial" w:eastAsia="Arial" w:hAnsi="Arial"/>
          <w:sz w:val="16"/>
          <w:szCs w:val="16"/>
          <w:color w:val="auto"/>
        </w:rPr>
        <w:t>”), if any, arising out of or in connection with the consummation of the transactions contemplated by this Agreement shall be shared equally by Purchaser and Seller. Tax Returns that must be filed in connection with such Transfer Taxes shall be prepared and filed by the Party primarily or customarily responsible under applicable local Law for filing such Tax Returns, and such Party will use commercially reasonable efforts to provide such Tax Returns to the other Party at least ten (10) business days prior to the date such Tax Returns are due to be filed.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1304"/>
        <w:spacing w:after="0" w:line="285" w:lineRule="auto"/>
        <w:tabs>
          <w:tab w:leader="none" w:pos="174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All real property Taxes, personal property Taxes and similar obligations of the Company and Black Rock Entities imposed by any Governmental Authority that are due or become due for Tax periods within which the Closing Date occurs shall be apportioned between Seller for the pre-Closing Date period (which shall include the Closing Date), on the one hand, and the Company (or the applicable Black Rock Entity) for the post-Closing Date period, on the other hand, as of the Closing Date, based upon the actual number of days of the Tax period that have elapsed before and after the Closing Date, and any income Taxes imposed on the Company and the Black Rock Entities shall be allocated between the pre- Closing Date period and the post-Closing Date period as though a taxable year of the Company and the Black Rock Entities (as applicable) has ended on (and includes) the Closing Date (collectively, the “</w:t>
      </w:r>
      <w:r>
        <w:rPr>
          <w:rFonts w:ascii="Arial" w:cs="Arial" w:eastAsia="Arial" w:hAnsi="Arial"/>
          <w:sz w:val="16"/>
          <w:szCs w:val="16"/>
          <w:i w:val="1"/>
          <w:iCs w:val="1"/>
          <w:color w:val="auto"/>
        </w:rPr>
        <w:t>Apportioned Obligations</w:t>
      </w:r>
      <w:r>
        <w:rPr>
          <w:rFonts w:ascii="Arial" w:cs="Arial" w:eastAsia="Arial" w:hAnsi="Arial"/>
          <w:sz w:val="16"/>
          <w:szCs w:val="16"/>
          <w:color w:val="auto"/>
        </w:rPr>
        <w:t xml:space="preserve">”). Seller shall be responsible for the portion of such Apportioned Obligations attributable to the period ending on (and including) the Closing Date. The Company (or the applicable Black Rock Entity)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Company (or the applicable Black Rock Entity) pursuant to the preceding sentence shall be paid by the Company (or the applicable Black Rock Entity). If any refund, rebate or similar payment is received by the Company or the Black Rock Entities for any real property Taxes, personal property Taxes or similar obligations referred to above that are Apportioned Obligations, such refund shall be apportioned between Seller and the Company (or the applicable Black Rock Entity) as aforesaid on the basis of the obligations of the Company and the Black Rock Entities during the applicable Tax period. Any refund, rebate or similar payment received by the Company or a Black Rock Entity for any income Tax or Transfer Tax (other than Transfer Taxes governed under </w:t>
      </w:r>
      <w:r>
        <w:rPr>
          <w:rFonts w:ascii="Arial" w:cs="Arial" w:eastAsia="Arial" w:hAnsi="Arial"/>
          <w:sz w:val="16"/>
          <w:szCs w:val="16"/>
          <w:i w:val="1"/>
          <w:iCs w:val="1"/>
          <w:color w:val="auto"/>
        </w:rPr>
        <w:t>Section 5.08(a)</w:t>
      </w:r>
      <w:r>
        <w:rPr>
          <w:rFonts w:ascii="Arial" w:cs="Arial" w:eastAsia="Arial" w:hAnsi="Arial"/>
          <w:sz w:val="16"/>
          <w:szCs w:val="16"/>
          <w:color w:val="auto"/>
        </w:rPr>
        <w:t>) attributable to the pre-Closing Date period, as determined above, shall be for the benefit of Seller; and any such refund, rebate or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attributable to the post-Closing Date period, as determined above, shall be for the benefit of the Company (or the applicable Black Rock Entity).</w:t>
      </w:r>
    </w:p>
    <w:p>
      <w:pPr>
        <w:spacing w:after="0" w:line="173" w:lineRule="exact"/>
        <w:rPr>
          <w:rFonts w:ascii="Arial" w:cs="Arial" w:eastAsia="Arial" w:hAnsi="Arial"/>
          <w:sz w:val="16"/>
          <w:szCs w:val="16"/>
          <w:color w:val="auto"/>
        </w:rPr>
      </w:pPr>
    </w:p>
    <w:p>
      <w:pPr>
        <w:jc w:val="both"/>
        <w:ind w:firstLine="1304"/>
        <w:spacing w:after="0" w:line="296" w:lineRule="auto"/>
        <w:tabs>
          <w:tab w:leader="none" w:pos="174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For any Taxes with respect to which the taxable period of the Company or the Black Rock Entities (as applicable) ends on or before the Closing Date, Seller shall, at its sole cost and expense, timely prepare and file with the appropriate authorities all Tax Returns required to be filed by the Company and the Black Rock Entities (as applicable), and pay or cause to be paid all Taxes shown to be due thereon. After the Closing Date, the Company shall, at its sole cost and expense, timely prepare and file, or cause to be timely prepared and filed, with the appropriate authorities all other Tax Returns required to be filed by the Company and the Black Rock Entities, as applicable, and pay all Taxes shown to be due thereon.</w:t>
      </w:r>
    </w:p>
    <w:p>
      <w:pPr>
        <w:spacing w:after="0" w:line="161" w:lineRule="exact"/>
        <w:rPr>
          <w:rFonts w:ascii="Arial" w:cs="Arial" w:eastAsia="Arial" w:hAnsi="Arial"/>
          <w:sz w:val="16"/>
          <w:szCs w:val="16"/>
          <w:color w:val="auto"/>
        </w:rPr>
      </w:pPr>
    </w:p>
    <w:p>
      <w:pPr>
        <w:jc w:val="both"/>
        <w:ind w:firstLine="1304"/>
        <w:spacing w:after="0" w:line="259" w:lineRule="auto"/>
        <w:tabs>
          <w:tab w:leader="none" w:pos="17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Seller and Purchaser shall reasonably cooperate, and shall cause their respective Affiliates, employees and agents reasonably to cooperate, in preparing and filing all Tax Returns of the Company and applicable Black Rock Entities, including maintaining and making available to each other all records that are necessary for the preparation of any Tax Returns that the Party is required to file under this </w:t>
      </w:r>
      <w:r>
        <w:rPr>
          <w:rFonts w:ascii="Arial" w:cs="Arial" w:eastAsia="Arial" w:hAnsi="Arial"/>
          <w:sz w:val="18"/>
          <w:szCs w:val="18"/>
          <w:i w:val="1"/>
          <w:iCs w:val="1"/>
          <w:color w:val="auto"/>
        </w:rPr>
        <w:t>Section 5.08</w:t>
      </w:r>
      <w:r>
        <w:rPr>
          <w:rFonts w:ascii="Arial" w:cs="Arial" w:eastAsia="Arial" w:hAnsi="Arial"/>
          <w:sz w:val="18"/>
          <w:szCs w:val="18"/>
          <w:color w:val="auto"/>
        </w:rPr>
        <w:t>, and in resolving all Actions or Proceedings, and audits or examinations with respect to such Tax Returns.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5.09. </w:t>
      </w:r>
      <w:r>
        <w:rPr>
          <w:rFonts w:ascii="Arial" w:cs="Arial" w:eastAsia="Arial" w:hAnsi="Arial"/>
          <w:sz w:val="17"/>
          <w:szCs w:val="17"/>
          <w:b w:val="1"/>
          <w:bCs w:val="1"/>
          <w:i w:val="1"/>
          <w:iCs w:val="1"/>
          <w:color w:val="auto"/>
        </w:rPr>
        <w:t>No Solicitation</w:t>
      </w:r>
      <w:r>
        <w:rPr>
          <w:rFonts w:ascii="Arial" w:cs="Arial" w:eastAsia="Arial" w:hAnsi="Arial"/>
          <w:sz w:val="17"/>
          <w:szCs w:val="17"/>
          <w:color w:val="auto"/>
        </w:rPr>
        <w:t>. Until the Closing, Seller shall not, and shall not authorize or permit the Company, the Black Rock Entities, any of its or</w:t>
      </w:r>
      <w:r>
        <w:rPr>
          <w:rFonts w:ascii="Arial" w:cs="Arial" w:eastAsia="Arial" w:hAnsi="Arial"/>
          <w:sz w:val="17"/>
          <w:szCs w:val="17"/>
          <w:b w:val="1"/>
          <w:bCs w:val="1"/>
          <w:color w:val="auto"/>
        </w:rPr>
        <w:t xml:space="preserve"> </w:t>
      </w:r>
      <w:r>
        <w:rPr>
          <w:rFonts w:ascii="Arial" w:cs="Arial" w:eastAsia="Arial" w:hAnsi="Arial"/>
          <w:sz w:val="17"/>
          <w:szCs w:val="17"/>
          <w:color w:val="auto"/>
        </w:rPr>
        <w:t>their Affiliates or any of its or their Representatives to, directly or indirectly, (</w:t>
      </w:r>
      <w:r>
        <w:rPr>
          <w:rFonts w:ascii="Arial" w:cs="Arial" w:eastAsia="Arial" w:hAnsi="Arial"/>
          <w:sz w:val="17"/>
          <w:szCs w:val="17"/>
          <w:i w:val="1"/>
          <w:iCs w:val="1"/>
          <w:color w:val="auto"/>
        </w:rPr>
        <w:t>a</w:t>
      </w:r>
      <w:r>
        <w:rPr>
          <w:rFonts w:ascii="Arial" w:cs="Arial" w:eastAsia="Arial" w:hAnsi="Arial"/>
          <w:sz w:val="17"/>
          <w:szCs w:val="17"/>
          <w:color w:val="auto"/>
        </w:rPr>
        <w:t>) encourage, solicit, initiate, facilitate or continue inquiries regarding an Acquisition Proposal, (</w:t>
      </w:r>
      <w:r>
        <w:rPr>
          <w:rFonts w:ascii="Arial" w:cs="Arial" w:eastAsia="Arial" w:hAnsi="Arial"/>
          <w:sz w:val="17"/>
          <w:szCs w:val="17"/>
          <w:i w:val="1"/>
          <w:iCs w:val="1"/>
          <w:color w:val="auto"/>
        </w:rPr>
        <w:t>b</w:t>
      </w:r>
      <w:r>
        <w:rPr>
          <w:rFonts w:ascii="Arial" w:cs="Arial" w:eastAsia="Arial" w:hAnsi="Arial"/>
          <w:sz w:val="17"/>
          <w:szCs w:val="17"/>
          <w:color w:val="auto"/>
        </w:rPr>
        <w:t>) enter into discussions or negotiations with, or provide any information to, any Person concerning a possible Acquisition Proposal or (</w:t>
      </w:r>
      <w:r>
        <w:rPr>
          <w:rFonts w:ascii="Arial" w:cs="Arial" w:eastAsia="Arial" w:hAnsi="Arial"/>
          <w:sz w:val="17"/>
          <w:szCs w:val="17"/>
          <w:i w:val="1"/>
          <w:iCs w:val="1"/>
          <w:color w:val="auto"/>
        </w:rPr>
        <w:t>c</w:t>
      </w:r>
      <w:r>
        <w:rPr>
          <w:rFonts w:ascii="Arial" w:cs="Arial" w:eastAsia="Arial" w:hAnsi="Arial"/>
          <w:sz w:val="17"/>
          <w:szCs w:val="17"/>
          <w:color w:val="auto"/>
        </w:rPr>
        <w:t>) enter into any agreements or other instruments (whether or not binding) regarding an Acquisition Proposal. Seller shall immediately cease and cause to be terminated, and shall cause the Company, the Black Rock Entities, any of its and their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7"/>
          <w:szCs w:val="17"/>
          <w:i w:val="1"/>
          <w:iCs w:val="1"/>
          <w:color w:val="auto"/>
        </w:rPr>
        <w:t>Acquisition Proposal</w:t>
      </w:r>
      <w:r>
        <w:rPr>
          <w:rFonts w:ascii="Arial" w:cs="Arial" w:eastAsia="Arial" w:hAnsi="Arial"/>
          <w:sz w:val="17"/>
          <w:szCs w:val="17"/>
          <w:color w:val="auto"/>
        </w:rPr>
        <w:t>” shall mean (other than with respect to the transactions contemplated by the Tax Equity Agreement, the Financing Documents and the HASI Purchase Agreement) any inquiry, proposal or offer from any Person concerning (</w:t>
      </w:r>
      <w:r>
        <w:rPr>
          <w:rFonts w:ascii="Arial" w:cs="Arial" w:eastAsia="Arial" w:hAnsi="Arial"/>
          <w:sz w:val="17"/>
          <w:szCs w:val="17"/>
          <w:i w:val="1"/>
          <w:iCs w:val="1"/>
          <w:color w:val="auto"/>
        </w:rPr>
        <w:t>i</w:t>
      </w:r>
      <w:r>
        <w:rPr>
          <w:rFonts w:ascii="Arial" w:cs="Arial" w:eastAsia="Arial" w:hAnsi="Arial"/>
          <w:sz w:val="17"/>
          <w:szCs w:val="17"/>
          <w:color w:val="auto"/>
        </w:rPr>
        <w:t>) a merger, consolidation, liquidation, recapitalization, share exchange or other business combination transaction involving the Company or the Black Rock Entities, (</w:t>
      </w:r>
      <w:r>
        <w:rPr>
          <w:rFonts w:ascii="Arial" w:cs="Arial" w:eastAsia="Arial" w:hAnsi="Arial"/>
          <w:sz w:val="17"/>
          <w:szCs w:val="17"/>
          <w:i w:val="1"/>
          <w:iCs w:val="1"/>
          <w:color w:val="auto"/>
        </w:rPr>
        <w:t>ii</w:t>
      </w:r>
      <w:r>
        <w:rPr>
          <w:rFonts w:ascii="Arial" w:cs="Arial" w:eastAsia="Arial" w:hAnsi="Arial"/>
          <w:sz w:val="17"/>
          <w:szCs w:val="17"/>
          <w:color w:val="auto"/>
        </w:rPr>
        <w:t>) the issuance or acquisition of equity securities of the Company or the Black Rock Entities, or (</w:t>
      </w:r>
      <w:r>
        <w:rPr>
          <w:rFonts w:ascii="Arial" w:cs="Arial" w:eastAsia="Arial" w:hAnsi="Arial"/>
          <w:sz w:val="17"/>
          <w:szCs w:val="17"/>
          <w:i w:val="1"/>
          <w:iCs w:val="1"/>
          <w:color w:val="auto"/>
        </w:rPr>
        <w:t>iii</w:t>
      </w:r>
      <w:r>
        <w:rPr>
          <w:rFonts w:ascii="Arial" w:cs="Arial" w:eastAsia="Arial" w:hAnsi="Arial"/>
          <w:sz w:val="17"/>
          <w:szCs w:val="17"/>
          <w:color w:val="auto"/>
        </w:rPr>
        <w:t>) the sale, lease, exchange or other disposition of any significant portion of the Company’s or the Black Rock Entities’ properties or assets.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left="660"/>
        <w:spacing w:after="0"/>
        <w:tabs>
          <w:tab w:leader="none" w:pos="126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i w:val="1"/>
          <w:iCs w:val="1"/>
          <w:color w:val="auto"/>
        </w:rPr>
        <w:t>Purchaser Parent Guaranty</w:t>
      </w:r>
      <w:r>
        <w:rPr>
          <w:rFonts w:ascii="Arial" w:cs="Arial" w:eastAsia="Arial" w:hAnsi="Arial"/>
          <w:sz w:val="18"/>
          <w:szCs w:val="18"/>
          <w:color w:val="auto"/>
        </w:rPr>
        <w:t>. Purchaser shall, concurrently with the execution and delivery of this Agreement, cause to be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Seller the Purchaser Parent Guaranty.</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i w:val="1"/>
          <w:iCs w:val="1"/>
          <w:color w:val="auto"/>
        </w:rPr>
        <w:t>Post-Execution Date Documents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63" w:lineRule="auto"/>
        <w:tabs>
          <w:tab w:leader="none" w:pos="182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 soon as practicable (but, with respect to the Financing Documents, in no event later than January 29, 2021), Seller shall (or shall cause the Company and/or applicable Black Rock Entity to) enter into the Financing Documents and the Ancillary Documents on the following terms and conditions:</w:t>
      </w:r>
    </w:p>
    <w:p>
      <w:pPr>
        <w:spacing w:after="0" w:line="183" w:lineRule="exact"/>
        <w:rPr>
          <w:rFonts w:ascii="Arial" w:cs="Arial" w:eastAsia="Arial" w:hAnsi="Arial"/>
          <w:sz w:val="18"/>
          <w:szCs w:val="18"/>
          <w:color w:val="auto"/>
        </w:rPr>
      </w:pPr>
    </w:p>
    <w:p>
      <w:pPr>
        <w:jc w:val="both"/>
        <w:ind w:left="660" w:firstLine="1292"/>
        <w:spacing w:after="0" w:line="293" w:lineRule="auto"/>
        <w:tabs>
          <w:tab w:leader="none" w:pos="237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With respect to the Financing Agreement and the Tax Equity Agreement: (</w:t>
      </w:r>
      <w:r>
        <w:rPr>
          <w:rFonts w:ascii="Arial" w:cs="Arial" w:eastAsia="Arial" w:hAnsi="Arial"/>
          <w:sz w:val="16"/>
          <w:szCs w:val="16"/>
          <w:i w:val="1"/>
          <w:iCs w:val="1"/>
          <w:color w:val="auto"/>
        </w:rPr>
        <w:t>A</w:t>
      </w:r>
      <w:r>
        <w:rPr>
          <w:rFonts w:ascii="Arial" w:cs="Arial" w:eastAsia="Arial" w:hAnsi="Arial"/>
          <w:sz w:val="16"/>
          <w:szCs w:val="16"/>
          <w:color w:val="auto"/>
        </w:rPr>
        <w:t>) to the extent such Financing Document is in a form that deviates in any material respect from the latest form of such Financing Document provided to Purchaser prior to the Execution Date (provided that, for the avoidance of doubt, any deviation in those certain conditions to the obligations of the Tax Equity Investor set forth in Article V of such form of Tax Equity Agreement shall be deemed a material deviation), enter into such Financing Document only upon the prior written consent of Purchaser; or (</w:t>
      </w:r>
      <w:r>
        <w:rPr>
          <w:rFonts w:ascii="Arial" w:cs="Arial" w:eastAsia="Arial" w:hAnsi="Arial"/>
          <w:sz w:val="16"/>
          <w:szCs w:val="16"/>
          <w:i w:val="1"/>
          <w:iCs w:val="1"/>
          <w:color w:val="auto"/>
        </w:rPr>
        <w:t>B</w:t>
      </w:r>
      <w:r>
        <w:rPr>
          <w:rFonts w:ascii="Arial" w:cs="Arial" w:eastAsia="Arial" w:hAnsi="Arial"/>
          <w:sz w:val="16"/>
          <w:szCs w:val="16"/>
          <w:color w:val="auto"/>
        </w:rPr>
        <w:t>) to the extent such Financing Document is not otherwise subject to the terms and conditions of the foregoing clause (A), enter into such Financing Document without the necessity of Purchaser’s prior consent in any respect; and</w:t>
      </w:r>
    </w:p>
    <w:p>
      <w:pPr>
        <w:spacing w:after="0" w:line="164" w:lineRule="exact"/>
        <w:rPr>
          <w:rFonts w:ascii="Arial" w:cs="Arial" w:eastAsia="Arial" w:hAnsi="Arial"/>
          <w:sz w:val="16"/>
          <w:szCs w:val="16"/>
          <w:color w:val="auto"/>
        </w:rPr>
      </w:pPr>
    </w:p>
    <w:p>
      <w:pPr>
        <w:jc w:val="both"/>
        <w:ind w:left="660" w:firstLine="1292"/>
        <w:spacing w:after="0" w:line="254" w:lineRule="auto"/>
        <w:tabs>
          <w:tab w:leader="none" w:pos="24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With respect to each Ancillary Document: (</w:t>
      </w:r>
      <w:r>
        <w:rPr>
          <w:rFonts w:ascii="Arial" w:cs="Arial" w:eastAsia="Arial" w:hAnsi="Arial"/>
          <w:sz w:val="18"/>
          <w:szCs w:val="18"/>
          <w:i w:val="1"/>
          <w:iCs w:val="1"/>
          <w:color w:val="auto"/>
        </w:rPr>
        <w:t>A</w:t>
      </w:r>
      <w:r>
        <w:rPr>
          <w:rFonts w:ascii="Arial" w:cs="Arial" w:eastAsia="Arial" w:hAnsi="Arial"/>
          <w:sz w:val="18"/>
          <w:szCs w:val="18"/>
          <w:color w:val="auto"/>
        </w:rPr>
        <w:t>) to the extent such Ancillary Document is (</w:t>
      </w:r>
      <w:r>
        <w:rPr>
          <w:rFonts w:ascii="Arial" w:cs="Arial" w:eastAsia="Arial" w:hAnsi="Arial"/>
          <w:sz w:val="18"/>
          <w:szCs w:val="18"/>
          <w:i w:val="1"/>
          <w:iCs w:val="1"/>
          <w:color w:val="auto"/>
        </w:rPr>
        <w:t>1</w:t>
      </w:r>
      <w:r>
        <w:rPr>
          <w:rFonts w:ascii="Arial" w:cs="Arial" w:eastAsia="Arial" w:hAnsi="Arial"/>
          <w:sz w:val="18"/>
          <w:szCs w:val="18"/>
          <w:color w:val="auto"/>
        </w:rPr>
        <w:t xml:space="preserve">) material to the Company and/or applicable Black Rock Entity and </w:t>
      </w:r>
      <w:r>
        <w:rPr>
          <w:rFonts w:ascii="Arial" w:cs="Arial" w:eastAsia="Arial" w:hAnsi="Arial"/>
          <w:sz w:val="18"/>
          <w:szCs w:val="18"/>
          <w:color w:val="FF0000"/>
          <w:strike w:val="1"/>
        </w:rPr>
        <w:t>a form of</w:t>
      </w:r>
      <w:r>
        <w:rPr>
          <w:rFonts w:ascii="Arial" w:cs="Arial" w:eastAsia="Arial" w:hAnsi="Arial"/>
          <w:sz w:val="18"/>
          <w:szCs w:val="18"/>
          <w:color w:val="auto"/>
        </w:rPr>
        <w:t xml:space="preserve"> such Ancillary Document </w:t>
      </w:r>
      <w:r>
        <w:rPr>
          <w:rFonts w:ascii="Arial" w:cs="Arial" w:eastAsia="Arial" w:hAnsi="Arial"/>
          <w:sz w:val="18"/>
          <w:szCs w:val="18"/>
          <w:color w:val="FF0000"/>
          <w:strike w:val="1"/>
        </w:rPr>
        <w:t>has not been provided to Purchaser prior to the Execution Date or</w:t>
      </w:r>
      <w:r>
        <w:rPr>
          <w:rFonts w:ascii="Arial" w:cs="Arial" w:eastAsia="Arial" w:hAnsi="Arial"/>
          <w:sz w:val="18"/>
          <w:szCs w:val="18"/>
          <w:color w:val="auto"/>
        </w:rPr>
        <w:t xml:space="preserve"> </w:t>
      </w: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2</w:t>
      </w:r>
      <w:r>
        <w:rPr>
          <w:rFonts w:ascii="Arial" w:cs="Arial" w:eastAsia="Arial" w:hAnsi="Arial"/>
          <w:sz w:val="18"/>
          <w:szCs w:val="18"/>
          <w:color w:val="FF0000"/>
          <w:strike w:val="1"/>
        </w:rPr>
        <w:t>) in a form that</w:t>
      </w:r>
      <w:r>
        <w:rPr>
          <w:rFonts w:ascii="Arial" w:cs="Arial" w:eastAsia="Arial" w:hAnsi="Arial"/>
          <w:sz w:val="18"/>
          <w:szCs w:val="18"/>
          <w:u w:val="single" w:color="auto"/>
          <w:color w:val="0000FF"/>
        </w:rPr>
        <w:t>is not designated with an asterisk on</w:t>
      </w:r>
      <w:r>
        <w:rPr>
          <w:rFonts w:ascii="Arial" w:cs="Arial" w:eastAsia="Arial" w:hAnsi="Arial"/>
          <w:sz w:val="18"/>
          <w:szCs w:val="18"/>
          <w:color w:val="FF0000"/>
        </w:rPr>
        <w:t xml:space="preserve"> </w:t>
      </w:r>
      <w:r>
        <w:rPr>
          <w:rFonts w:ascii="Arial" w:cs="Arial" w:eastAsia="Arial" w:hAnsi="Arial"/>
          <w:sz w:val="18"/>
          <w:szCs w:val="18"/>
          <w:i w:val="1"/>
          <w:iCs w:val="1"/>
          <w:u w:val="single" w:color="auto"/>
          <w:color w:val="0000FF"/>
        </w:rPr>
        <w:t>Schedule 1.03</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or (</w:t>
      </w:r>
      <w:r>
        <w:rPr>
          <w:rFonts w:ascii="Arial" w:cs="Arial" w:eastAsia="Arial" w:hAnsi="Arial"/>
          <w:sz w:val="18"/>
          <w:szCs w:val="18"/>
          <w:i w:val="1"/>
          <w:iCs w:val="1"/>
          <w:u w:val="single" w:color="auto"/>
          <w:color w:val="0000FF"/>
        </w:rPr>
        <w:t>2</w:t>
      </w:r>
      <w:r>
        <w:rPr>
          <w:rFonts w:ascii="Arial" w:cs="Arial" w:eastAsia="Arial" w:hAnsi="Arial"/>
          <w:sz w:val="18"/>
          <w:szCs w:val="18"/>
          <w:u w:val="single" w:color="auto"/>
          <w:color w:val="0000FF"/>
        </w:rPr>
        <w:t>) has been designated with an asterisk but</w:t>
      </w:r>
      <w:r>
        <w:rPr>
          <w:rFonts w:ascii="Arial" w:cs="Arial" w:eastAsia="Arial" w:hAnsi="Arial"/>
          <w:sz w:val="18"/>
          <w:szCs w:val="18"/>
          <w:color w:val="FF0000"/>
        </w:rPr>
        <w:t xml:space="preserve"> </w:t>
      </w:r>
      <w:r>
        <w:rPr>
          <w:rFonts w:ascii="Arial" w:cs="Arial" w:eastAsia="Arial" w:hAnsi="Arial"/>
          <w:sz w:val="18"/>
          <w:szCs w:val="18"/>
          <w:color w:val="000000"/>
        </w:rPr>
        <w:t>deviates in any material</w:t>
      </w:r>
      <w:r>
        <w:rPr>
          <w:rFonts w:ascii="Arial" w:cs="Arial" w:eastAsia="Arial" w:hAnsi="Arial"/>
          <w:sz w:val="18"/>
          <w:szCs w:val="18"/>
          <w:color w:val="FF0000"/>
        </w:rPr>
        <w:t xml:space="preserve"> </w:t>
      </w:r>
      <w:r>
        <w:rPr>
          <w:rFonts w:ascii="Arial" w:cs="Arial" w:eastAsia="Arial" w:hAnsi="Arial"/>
          <w:sz w:val="18"/>
          <w:szCs w:val="18"/>
          <w:color w:val="000000"/>
        </w:rPr>
        <w:t>respect from the latest form of such Ancillary Document provided to Purchaser prior to the Execution Date, enter into such Ancillary Document only upon the prior written consent of Purchaser (which consent shall not be unreasonably withheld or delayed); or (</w:t>
      </w:r>
      <w:r>
        <w:rPr>
          <w:rFonts w:ascii="Arial" w:cs="Arial" w:eastAsia="Arial" w:hAnsi="Arial"/>
          <w:sz w:val="18"/>
          <w:szCs w:val="18"/>
          <w:i w:val="1"/>
          <w:iCs w:val="1"/>
          <w:color w:val="000000"/>
        </w:rPr>
        <w:t>B</w:t>
      </w:r>
      <w:r>
        <w:rPr>
          <w:rFonts w:ascii="Arial" w:cs="Arial" w:eastAsia="Arial" w:hAnsi="Arial"/>
          <w:sz w:val="18"/>
          <w:szCs w:val="18"/>
          <w:color w:val="000000"/>
        </w:rPr>
        <w:t>) to the extent such Ancillary Document is not subject to the terms and conditions of the foregoing clause (A), enter into such Ancillary Document without the necessity of Purchaser’s consent in any respect.</w:t>
      </w:r>
    </w:p>
    <w:p>
      <w:pPr>
        <w:spacing w:after="0" w:line="194" w:lineRule="exact"/>
        <w:rPr>
          <w:rFonts w:ascii="Arial" w:cs="Arial" w:eastAsia="Arial" w:hAnsi="Arial"/>
          <w:sz w:val="18"/>
          <w:szCs w:val="18"/>
          <w:color w:val="auto"/>
        </w:rPr>
      </w:pPr>
    </w:p>
    <w:p>
      <w:pPr>
        <w:ind w:firstLine="1304"/>
        <w:spacing w:after="0" w:line="277" w:lineRule="auto"/>
        <w:tabs>
          <w:tab w:leader="none" w:pos="180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Following entry into any Financing Document or Ancillary Document, Seller shall promptly provide to Purchaser a true, complete and correct copy of such Contract or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6.01. </w:t>
      </w:r>
      <w:r>
        <w:rPr>
          <w:rFonts w:ascii="Arial" w:cs="Arial" w:eastAsia="Arial" w:hAnsi="Arial"/>
          <w:sz w:val="18"/>
          <w:szCs w:val="18"/>
          <w:b w:val="1"/>
          <w:bCs w:val="1"/>
          <w:i w:val="1"/>
          <w:iCs w:val="1"/>
          <w:color w:val="auto"/>
        </w:rPr>
        <w:t>Indemnification by Seller</w:t>
      </w:r>
      <w:r>
        <w:rPr>
          <w:rFonts w:ascii="Arial" w:cs="Arial" w:eastAsia="Arial" w:hAnsi="Arial"/>
          <w:sz w:val="18"/>
          <w:szCs w:val="18"/>
          <w:color w:val="auto"/>
        </w:rPr>
        <w:t>. Seller hereby indemnifies and holds harmless the Purchaser Indemnified Parties in respect of, and holds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them harmless from and against, any and all Losses suffered, incurred or sustained by any of them or to which any of them become subject, resulting from, arising out of or related to</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w:t>
      </w:r>
      <w:r>
        <w:rPr>
          <w:rFonts w:ascii="Arial" w:cs="Arial" w:eastAsia="Arial" w:hAnsi="Arial"/>
          <w:sz w:val="18"/>
          <w:szCs w:val="18"/>
          <w:color w:val="auto"/>
        </w:rPr>
        <w:t>) any breach of any representation, warranty, covenant, agreement or obligation made by Seller in this Agreement or any certificate delivered by Seller pursuant to this Agreement</w:t>
      </w:r>
      <w:r>
        <w:rPr>
          <w:rFonts w:ascii="Arial" w:cs="Arial" w:eastAsia="Arial" w:hAnsi="Arial"/>
          <w:sz w:val="18"/>
          <w:szCs w:val="18"/>
          <w:color w:val="0000FF"/>
        </w:rPr>
        <w:t>;</w:t>
      </w:r>
      <w:r>
        <w:rPr>
          <w:rFonts w:ascii="Arial" w:cs="Arial" w:eastAsia="Arial" w:hAnsi="Arial"/>
          <w:sz w:val="18"/>
          <w:szCs w:val="18"/>
          <w:color w:val="auto"/>
        </w:rPr>
        <w:t xml:space="preserve"> or (</w:t>
      </w:r>
      <w:r>
        <w:rPr>
          <w:rFonts w:ascii="Arial" w:cs="Arial" w:eastAsia="Arial" w:hAnsi="Arial"/>
          <w:sz w:val="18"/>
          <w:szCs w:val="18"/>
          <w:i w:val="1"/>
          <w:iCs w:val="1"/>
          <w:color w:val="auto"/>
        </w:rPr>
        <w:t>b</w:t>
      </w:r>
      <w:r>
        <w:rPr>
          <w:rFonts w:ascii="Arial" w:cs="Arial" w:eastAsia="Arial" w:hAnsi="Arial"/>
          <w:sz w:val="18"/>
          <w:szCs w:val="18"/>
          <w:color w:val="auto"/>
        </w:rPr>
        <w:t xml:space="preserve">) the matters referenced on </w:t>
      </w:r>
      <w:r>
        <w:rPr>
          <w:rFonts w:ascii="Arial" w:cs="Arial" w:eastAsia="Arial" w:hAnsi="Arial"/>
          <w:sz w:val="18"/>
          <w:szCs w:val="18"/>
          <w:i w:val="1"/>
          <w:iCs w:val="1"/>
          <w:color w:val="auto"/>
        </w:rPr>
        <w:t>Schedule 6.01(b)</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w:t>
      </w:r>
      <w:r>
        <w:rPr>
          <w:rFonts w:ascii="Arial" w:cs="Arial" w:eastAsia="Arial" w:hAnsi="Arial"/>
          <w:sz w:val="18"/>
          <w:szCs w:val="18"/>
          <w:color w:val="auto"/>
        </w:rPr>
        <w:t>r, that the foregoing indemnity shall not apply to Losses to the extent caused by the gross negligence or willful misconduct of Purchaser Indemnified Parties or their agents, officers, employees or contractors.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6.02. </w:t>
      </w:r>
      <w:r>
        <w:rPr>
          <w:rFonts w:ascii="Arial" w:cs="Arial" w:eastAsia="Arial" w:hAnsi="Arial"/>
          <w:sz w:val="16"/>
          <w:szCs w:val="16"/>
          <w:b w:val="1"/>
          <w:bCs w:val="1"/>
          <w:i w:val="1"/>
          <w:iCs w:val="1"/>
          <w:color w:val="auto"/>
        </w:rPr>
        <w:t>Indemnification by Purchaser</w:t>
      </w:r>
      <w:r>
        <w:rPr>
          <w:rFonts w:ascii="Arial" w:cs="Arial" w:eastAsia="Arial" w:hAnsi="Arial"/>
          <w:sz w:val="16"/>
          <w:szCs w:val="16"/>
          <w:color w:val="auto"/>
        </w:rPr>
        <w:t>. Purchaser hereby indemnifies and holds harmless the Seller Indemnified Parties in respect of, and holds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w:t>
      </w:r>
      <w:r>
        <w:rPr>
          <w:rFonts w:ascii="Arial" w:cs="Arial" w:eastAsia="Arial" w:hAnsi="Arial"/>
          <w:sz w:val="16"/>
          <w:szCs w:val="16"/>
          <w:color w:val="auto"/>
        </w:rPr>
        <w:t>r, that the foregoing indemnity shall not apply to Losses to the extent caused by the gross negligence or willful misconduct of Seller Indemnified Parties or their agents, officers, employees or contractors.</w:t>
      </w:r>
    </w:p>
    <w:p>
      <w:pPr>
        <w:spacing w:after="0" w:line="15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 xml:space="preserve">6.03. </w:t>
      </w:r>
      <w:r>
        <w:rPr>
          <w:rFonts w:ascii="Arial" w:cs="Arial" w:eastAsia="Arial" w:hAnsi="Arial"/>
          <w:sz w:val="16"/>
          <w:szCs w:val="16"/>
          <w:b w:val="1"/>
          <w:bCs w:val="1"/>
          <w:i w:val="1"/>
          <w:iCs w:val="1"/>
          <w:color w:val="auto"/>
        </w:rPr>
        <w:t>Survival of Representations, Warranties, Covenants and Agreements</w:t>
      </w:r>
      <w:r>
        <w:rPr>
          <w:rFonts w:ascii="Arial" w:cs="Arial" w:eastAsia="Arial" w:hAnsi="Arial"/>
          <w:sz w:val="16"/>
          <w:szCs w:val="16"/>
          <w:color w:val="auto"/>
        </w:rPr>
        <w:t>. The representations, warranties, covenants, agreements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of Seller and Purchaser contained in this Agreement are material, were relied on by such Parties, and will survive the Closing Date </w:t>
      </w:r>
      <w:r>
        <w:rPr>
          <w:rFonts w:ascii="Arial" w:cs="Arial" w:eastAsia="Arial" w:hAnsi="Arial"/>
          <w:sz w:val="16"/>
          <w:szCs w:val="16"/>
          <w:u w:val="single" w:color="auto"/>
          <w:color w:val="0000FF"/>
        </w:rPr>
        <w:t>and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Second Closing Date</w:t>
      </w:r>
      <w:r>
        <w:rPr>
          <w:rFonts w:ascii="Arial" w:cs="Arial" w:eastAsia="Arial" w:hAnsi="Arial"/>
          <w:sz w:val="16"/>
          <w:szCs w:val="16"/>
          <w:color w:val="0000FF"/>
        </w:rPr>
        <w:t xml:space="preserve"> </w:t>
      </w:r>
      <w:r>
        <w:rPr>
          <w:rFonts w:ascii="Arial" w:cs="Arial" w:eastAsia="Arial" w:hAnsi="Arial"/>
          <w:sz w:val="16"/>
          <w:szCs w:val="16"/>
          <w:color w:val="000000"/>
        </w:rPr>
        <w:t>as provided in this</w:t>
      </w:r>
      <w:r>
        <w:rPr>
          <w:rFonts w:ascii="Arial" w:cs="Arial" w:eastAsia="Arial" w:hAnsi="Arial"/>
          <w:sz w:val="16"/>
          <w:szCs w:val="16"/>
          <w:color w:val="0000FF"/>
        </w:rPr>
        <w:t xml:space="preserve"> </w:t>
      </w:r>
      <w:r>
        <w:rPr>
          <w:rFonts w:ascii="Arial" w:cs="Arial" w:eastAsia="Arial" w:hAnsi="Arial"/>
          <w:sz w:val="16"/>
          <w:szCs w:val="16"/>
          <w:i w:val="1"/>
          <w:iCs w:val="1"/>
          <w:color w:val="000000"/>
        </w:rPr>
        <w:t>Section 6.03</w:t>
      </w:r>
      <w:r>
        <w:rPr>
          <w:rFonts w:ascii="Arial" w:cs="Arial" w:eastAsia="Arial" w:hAnsi="Arial"/>
          <w:sz w:val="16"/>
          <w:szCs w:val="16"/>
          <w:color w:val="000000"/>
        </w:rPr>
        <w:t>. Subject to the limitations and other provisions of this Agreement,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w:t>
      </w:r>
      <w:r>
        <w:rPr>
          <w:rFonts w:ascii="Arial" w:cs="Arial" w:eastAsia="Arial" w:hAnsi="Arial"/>
          <w:sz w:val="16"/>
          <w:szCs w:val="16"/>
          <w:color w:val="0000FF"/>
        </w:rPr>
        <w:t xml:space="preserve"> </w:t>
      </w:r>
      <w:r>
        <w:rPr>
          <w:rFonts w:ascii="Arial" w:cs="Arial" w:eastAsia="Arial" w:hAnsi="Arial"/>
          <w:sz w:val="16"/>
          <w:szCs w:val="16"/>
          <w:color w:val="000000"/>
        </w:rPr>
        <w:t>the representations and</w:t>
      </w:r>
      <w:r>
        <w:rPr>
          <w:rFonts w:ascii="Arial" w:cs="Arial" w:eastAsia="Arial" w:hAnsi="Arial"/>
          <w:sz w:val="16"/>
          <w:szCs w:val="16"/>
          <w:color w:val="0000FF"/>
        </w:rPr>
        <w:t xml:space="preserve"> </w:t>
      </w:r>
      <w:r>
        <w:rPr>
          <w:rFonts w:ascii="Arial" w:cs="Arial" w:eastAsia="Arial" w:hAnsi="Arial"/>
          <w:sz w:val="16"/>
          <w:szCs w:val="16"/>
          <w:color w:val="000000"/>
        </w:rPr>
        <w:t xml:space="preserve">warranties contained herein </w:t>
      </w:r>
      <w:r>
        <w:rPr>
          <w:rFonts w:ascii="Arial" w:cs="Arial" w:eastAsia="Arial" w:hAnsi="Arial"/>
          <w:sz w:val="16"/>
          <w:szCs w:val="16"/>
          <w:u w:val="single" w:color="auto"/>
          <w:color w:val="0000FF"/>
        </w:rPr>
        <w:t>and made as of the Execution Date or the Closing Date</w:t>
      </w:r>
      <w:r>
        <w:rPr>
          <w:rFonts w:ascii="Arial" w:cs="Arial" w:eastAsia="Arial" w:hAnsi="Arial"/>
          <w:sz w:val="16"/>
          <w:szCs w:val="16"/>
          <w:color w:val="000000"/>
        </w:rPr>
        <w:t xml:space="preserve"> shall survive the Closing for twelve (12) months after the Closing Date; </w:t>
      </w:r>
      <w:r>
        <w:rPr>
          <w:rFonts w:ascii="Arial" w:cs="Arial" w:eastAsia="Arial" w:hAnsi="Arial"/>
          <w:sz w:val="16"/>
          <w:szCs w:val="16"/>
          <w:i w:val="1"/>
          <w:iCs w:val="1"/>
          <w:color w:val="000000"/>
        </w:rPr>
        <w:t xml:space="preserve">provided </w:t>
      </w:r>
      <w:r>
        <w:rPr>
          <w:rFonts w:ascii="Arial" w:cs="Arial" w:eastAsia="Arial" w:hAnsi="Arial"/>
          <w:sz w:val="16"/>
          <w:szCs w:val="16"/>
          <w:color w:val="000000"/>
        </w:rPr>
        <w:t>that (</w:t>
      </w:r>
      <w:r>
        <w:rPr>
          <w:rFonts w:ascii="Arial" w:cs="Arial" w:eastAsia="Arial" w:hAnsi="Arial"/>
          <w:sz w:val="16"/>
          <w:szCs w:val="16"/>
          <w:i w:val="1"/>
          <w:iCs w:val="1"/>
          <w:color w:val="000000"/>
        </w:rPr>
        <w:t>i</w:t>
      </w:r>
      <w:r>
        <w:rPr>
          <w:rFonts w:ascii="Arial" w:cs="Arial" w:eastAsia="Arial" w:hAnsi="Arial"/>
          <w:sz w:val="16"/>
          <w:szCs w:val="16"/>
          <w:color w:val="000000"/>
        </w:rPr>
        <w:t>) the representations and warranties contained in</w:t>
      </w:r>
      <w:r>
        <w:rPr>
          <w:rFonts w:ascii="Arial" w:cs="Arial" w:eastAsia="Arial" w:hAnsi="Arial"/>
          <w:sz w:val="16"/>
          <w:szCs w:val="16"/>
          <w:i w:val="1"/>
          <w:iCs w:val="1"/>
          <w:color w:val="000000"/>
        </w:rPr>
        <w:t xml:space="preserve"> Section 3.01(a) </w:t>
      </w:r>
      <w:r>
        <w:rPr>
          <w:rFonts w:ascii="Arial" w:cs="Arial" w:eastAsia="Arial" w:hAnsi="Arial"/>
          <w:sz w:val="16"/>
          <w:szCs w:val="16"/>
          <w:color w:val="000000"/>
        </w:rPr>
        <w:t>(Existence),</w:t>
      </w:r>
      <w:r>
        <w:rPr>
          <w:rFonts w:ascii="Arial" w:cs="Arial" w:eastAsia="Arial" w:hAnsi="Arial"/>
          <w:sz w:val="16"/>
          <w:szCs w:val="16"/>
          <w:i w:val="1"/>
          <w:iCs w:val="1"/>
          <w:color w:val="000000"/>
        </w:rPr>
        <w:t xml:space="preserve"> Section 3.01(b) </w:t>
      </w:r>
      <w:r>
        <w:rPr>
          <w:rFonts w:ascii="Arial" w:cs="Arial" w:eastAsia="Arial" w:hAnsi="Arial"/>
          <w:sz w:val="16"/>
          <w:szCs w:val="16"/>
          <w:color w:val="000000"/>
        </w:rPr>
        <w:t>(Authority),</w:t>
      </w:r>
      <w:r>
        <w:rPr>
          <w:rFonts w:ascii="Arial" w:cs="Arial" w:eastAsia="Arial" w:hAnsi="Arial"/>
          <w:sz w:val="16"/>
          <w:szCs w:val="16"/>
          <w:i w:val="1"/>
          <w:iCs w:val="1"/>
          <w:color w:val="000000"/>
        </w:rPr>
        <w:t xml:space="preserve"> Section 3.01(g) </w:t>
      </w:r>
      <w:r>
        <w:rPr>
          <w:rFonts w:ascii="Arial" w:cs="Arial" w:eastAsia="Arial" w:hAnsi="Arial"/>
          <w:sz w:val="16"/>
          <w:szCs w:val="16"/>
          <w:color w:val="000000"/>
        </w:rPr>
        <w:t>(Brokers)</w:t>
      </w:r>
      <w:r>
        <w:rPr>
          <w:rFonts w:ascii="Arial" w:cs="Arial" w:eastAsia="Arial" w:hAnsi="Arial"/>
          <w:sz w:val="16"/>
          <w:szCs w:val="16"/>
          <w:color w:val="FF0000"/>
          <w:strike w:val="1"/>
        </w:rPr>
        <w:t>,</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000FF"/>
        </w:rPr>
        <w:t>and</w:t>
      </w:r>
      <w:r>
        <w:rPr>
          <w:rFonts w:ascii="Arial" w:cs="Arial" w:eastAsia="Arial" w:hAnsi="Arial"/>
          <w:sz w:val="16"/>
          <w:szCs w:val="16"/>
          <w:i w:val="1"/>
          <w:iCs w:val="1"/>
          <w:color w:val="000000"/>
        </w:rPr>
        <w:t xml:space="preserve"> Sections 3.01(i)(i)</w:t>
      </w:r>
      <w:r>
        <w:rPr>
          <w:rFonts w:ascii="Arial" w:cs="Arial" w:eastAsia="Arial" w:hAnsi="Arial"/>
          <w:sz w:val="16"/>
          <w:szCs w:val="16"/>
          <w:color w:val="000000"/>
        </w:rPr>
        <w:t>,</w:t>
      </w:r>
      <w:r>
        <w:rPr>
          <w:rFonts w:ascii="Arial" w:cs="Arial" w:eastAsia="Arial" w:hAnsi="Arial"/>
          <w:sz w:val="16"/>
          <w:szCs w:val="16"/>
          <w:i w:val="1"/>
          <w:iCs w:val="1"/>
          <w:color w:val="000000"/>
        </w:rPr>
        <w:t xml:space="preserve"> (ii), (v) and (ix) </w:t>
      </w:r>
      <w:r>
        <w:rPr>
          <w:rFonts w:ascii="Arial" w:cs="Arial" w:eastAsia="Arial" w:hAnsi="Arial"/>
          <w:sz w:val="16"/>
          <w:szCs w:val="16"/>
          <w:color w:val="000000"/>
        </w:rPr>
        <w:t>(Company and Black Rock Entities)</w:t>
      </w:r>
      <w:r>
        <w:rPr>
          <w:rFonts w:ascii="Arial" w:cs="Arial" w:eastAsia="Arial" w:hAnsi="Arial"/>
          <w:sz w:val="16"/>
          <w:szCs w:val="16"/>
          <w:color w:val="FF0000"/>
          <w:strike w:val="1"/>
        </w:rPr>
        <w:t>,</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000FF"/>
        </w:rPr>
        <w:t>given on the Closing Date (collectively, the “</w:t>
      </w:r>
      <w:r>
        <w:rPr>
          <w:rFonts w:ascii="Arial" w:cs="Arial" w:eastAsia="Arial" w:hAnsi="Arial"/>
          <w:sz w:val="16"/>
          <w:szCs w:val="16"/>
          <w:i w:val="1"/>
          <w:iCs w:val="1"/>
          <w:u w:val="single" w:color="auto"/>
          <w:color w:val="0000FF"/>
        </w:rPr>
        <w:t>Seller Closing Date Fundamental</w:t>
      </w:r>
      <w:r>
        <w:rPr>
          <w:rFonts w:ascii="Arial" w:cs="Arial" w:eastAsia="Arial" w:hAnsi="Arial"/>
          <w:sz w:val="16"/>
          <w:szCs w:val="16"/>
          <w:i w:val="1"/>
          <w:iCs w:val="1"/>
          <w:color w:val="000000"/>
        </w:rPr>
        <w:t xml:space="preserve"> </w:t>
      </w:r>
      <w:r>
        <w:rPr>
          <w:rFonts w:ascii="Arial" w:cs="Arial" w:eastAsia="Arial" w:hAnsi="Arial"/>
          <w:sz w:val="16"/>
          <w:szCs w:val="16"/>
          <w:i w:val="1"/>
          <w:iCs w:val="1"/>
          <w:u w:val="single" w:color="auto"/>
          <w:color w:val="0000FF"/>
        </w:rPr>
        <w:t>Representations</w:t>
      </w:r>
      <w:r>
        <w:rPr>
          <w:rFonts w:ascii="Arial" w:cs="Arial" w:eastAsia="Arial" w:hAnsi="Arial"/>
          <w:sz w:val="16"/>
          <w:szCs w:val="16"/>
          <w:u w:val="single" w:color="auto"/>
          <w:color w:val="0000FF"/>
        </w:rPr>
        <w:t>”) and</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Section 3.02(a)</w:t>
      </w:r>
      <w:r>
        <w:rPr>
          <w:rFonts w:ascii="Arial" w:cs="Arial" w:eastAsia="Arial" w:hAnsi="Arial"/>
          <w:sz w:val="16"/>
          <w:szCs w:val="16"/>
          <w:i w:val="1"/>
          <w:iCs w:val="1"/>
          <w:color w:val="0000FF"/>
        </w:rPr>
        <w:t xml:space="preserve"> </w:t>
      </w:r>
      <w:r>
        <w:rPr>
          <w:rFonts w:ascii="Arial" w:cs="Arial" w:eastAsia="Arial" w:hAnsi="Arial"/>
          <w:sz w:val="16"/>
          <w:szCs w:val="16"/>
          <w:color w:val="000000"/>
        </w:rPr>
        <w:t>(Existence),</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Section 3.02(b)</w:t>
      </w:r>
      <w:r>
        <w:rPr>
          <w:rFonts w:ascii="Arial" w:cs="Arial" w:eastAsia="Arial" w:hAnsi="Arial"/>
          <w:sz w:val="16"/>
          <w:szCs w:val="16"/>
          <w:i w:val="1"/>
          <w:iCs w:val="1"/>
          <w:color w:val="0000FF"/>
        </w:rPr>
        <w:t xml:space="preserve"> </w:t>
      </w:r>
      <w:r>
        <w:rPr>
          <w:rFonts w:ascii="Arial" w:cs="Arial" w:eastAsia="Arial" w:hAnsi="Arial"/>
          <w:sz w:val="16"/>
          <w:szCs w:val="16"/>
          <w:color w:val="000000"/>
        </w:rPr>
        <w:t>(Authority) and</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Section 3.02(h)</w:t>
      </w:r>
      <w:r>
        <w:rPr>
          <w:rFonts w:ascii="Arial" w:cs="Arial" w:eastAsia="Arial" w:hAnsi="Arial"/>
          <w:sz w:val="16"/>
          <w:szCs w:val="16"/>
          <w:i w:val="1"/>
          <w:iCs w:val="1"/>
          <w:color w:val="0000FF"/>
        </w:rPr>
        <w:t xml:space="preserve"> </w:t>
      </w:r>
      <w:r>
        <w:rPr>
          <w:rFonts w:ascii="Arial" w:cs="Arial" w:eastAsia="Arial" w:hAnsi="Arial"/>
          <w:sz w:val="16"/>
          <w:szCs w:val="16"/>
          <w:color w:val="000000"/>
        </w:rPr>
        <w:t>(Brokers</w:t>
      </w:r>
      <w:r>
        <w:rPr>
          <w:rFonts w:ascii="Arial" w:cs="Arial" w:eastAsia="Arial" w:hAnsi="Arial"/>
          <w:sz w:val="16"/>
          <w:szCs w:val="16"/>
          <w:color w:val="FF0000"/>
          <w:strike w:val="1"/>
        </w:rPr>
        <w:t>) (the “</w:t>
      </w:r>
      <w:r>
        <w:rPr>
          <w:rFonts w:ascii="Arial" w:cs="Arial" w:eastAsia="Arial" w:hAnsi="Arial"/>
          <w:sz w:val="16"/>
          <w:szCs w:val="16"/>
          <w:i w:val="1"/>
          <w:iCs w:val="1"/>
          <w:color w:val="FF0000"/>
          <w:strike w:val="1"/>
        </w:rPr>
        <w:t>Seller Fundamental Representations</w:t>
      </w:r>
      <w:r>
        <w:rPr>
          <w:rFonts w:ascii="Arial" w:cs="Arial" w:eastAsia="Arial" w:hAnsi="Arial"/>
          <w:sz w:val="16"/>
          <w:szCs w:val="16"/>
          <w:color w:val="FF0000"/>
          <w:strike w:val="1"/>
        </w:rPr>
        <w:t>”</w:t>
      </w:r>
      <w:r>
        <w:rPr>
          <w:rFonts w:ascii="Arial" w:cs="Arial" w:eastAsia="Arial" w:hAnsi="Arial"/>
          <w:sz w:val="16"/>
          <w:szCs w:val="16"/>
          <w:color w:val="000000"/>
        </w:rPr>
        <w:t>)</w:t>
      </w:r>
      <w:r>
        <w:rPr>
          <w:rFonts w:ascii="Arial" w:cs="Arial" w:eastAsia="Arial" w:hAnsi="Arial"/>
          <w:sz w:val="16"/>
          <w:szCs w:val="16"/>
          <w:i w:val="1"/>
          <w:iCs w:val="1"/>
          <w:color w:val="0000FF"/>
        </w:rPr>
        <w:t xml:space="preserve"> </w:t>
      </w:r>
      <w:r>
        <w:rPr>
          <w:rFonts w:ascii="Arial" w:cs="Arial" w:eastAsia="Arial" w:hAnsi="Arial"/>
          <w:sz w:val="16"/>
          <w:szCs w:val="16"/>
          <w:color w:val="000000"/>
        </w:rPr>
        <w:t>shall survive the Closing for five (5) years after the Closing Date and (</w:t>
      </w:r>
      <w:r>
        <w:rPr>
          <w:rFonts w:ascii="Arial" w:cs="Arial" w:eastAsia="Arial" w:hAnsi="Arial"/>
          <w:sz w:val="16"/>
          <w:szCs w:val="16"/>
          <w:i w:val="1"/>
          <w:iCs w:val="1"/>
          <w:color w:val="000000"/>
        </w:rPr>
        <w:t>ii</w:t>
      </w:r>
      <w:r>
        <w:rPr>
          <w:rFonts w:ascii="Arial" w:cs="Arial" w:eastAsia="Arial" w:hAnsi="Arial"/>
          <w:sz w:val="16"/>
          <w:szCs w:val="16"/>
          <w:color w:val="000000"/>
        </w:rPr>
        <w:t xml:space="preserve">) the representations and warranties in </w:t>
      </w:r>
      <w:r>
        <w:rPr>
          <w:rFonts w:ascii="Arial" w:cs="Arial" w:eastAsia="Arial" w:hAnsi="Arial"/>
          <w:sz w:val="16"/>
          <w:szCs w:val="16"/>
          <w:i w:val="1"/>
          <w:iCs w:val="1"/>
          <w:color w:val="000000"/>
        </w:rPr>
        <w:t>Section 3.01(k)</w:t>
      </w:r>
      <w:r>
        <w:rPr>
          <w:rFonts w:ascii="Arial" w:cs="Arial" w:eastAsia="Arial" w:hAnsi="Arial"/>
          <w:sz w:val="16"/>
          <w:szCs w:val="16"/>
          <w:color w:val="000000"/>
        </w:rPr>
        <w:t xml:space="preserve"> (Taxes) shall survive the Closing until thirty (30) days after the expiration of the applicable Tax statute of limitations</w:t>
      </w:r>
      <w:r>
        <w:rPr>
          <w:rFonts w:ascii="Arial" w:cs="Arial" w:eastAsia="Arial" w:hAnsi="Arial"/>
          <w:sz w:val="16"/>
          <w:szCs w:val="16"/>
          <w:color w:val="FF0000"/>
          <w:strike w:val="1"/>
        </w:rPr>
        <w:t>.</w:t>
      </w:r>
      <w:r>
        <w:rPr>
          <w:rFonts w:ascii="Arial" w:cs="Arial" w:eastAsia="Arial" w:hAnsi="Arial"/>
          <w:sz w:val="16"/>
          <w:szCs w:val="16"/>
          <w:u w:val="single" w:color="auto"/>
          <w:color w:val="0000FF"/>
        </w:rPr>
        <w:t>; and (b) the representations and warranties contained herein</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 xml:space="preserve">and made as of the Second Closing Date shall survive the Second Closing for twelve (12) months after the Second Closing Date; </w:t>
      </w:r>
      <w:r>
        <w:rPr>
          <w:rFonts w:ascii="Arial" w:cs="Arial" w:eastAsia="Arial" w:hAnsi="Arial"/>
          <w:sz w:val="16"/>
          <w:szCs w:val="16"/>
          <w:i w:val="1"/>
          <w:iCs w:val="1"/>
          <w:u w:val="single" w:color="auto"/>
          <w:color w:val="0000FF"/>
        </w:rPr>
        <w:t>provided</w:t>
      </w:r>
      <w:r>
        <w:rPr>
          <w:rFonts w:ascii="Arial" w:cs="Arial" w:eastAsia="Arial" w:hAnsi="Arial"/>
          <w:sz w:val="16"/>
          <w:szCs w:val="16"/>
          <w:u w:val="single" w:color="auto"/>
          <w:color w:val="0000FF"/>
        </w:rPr>
        <w:t xml:space="preserve"> that the representations and warranties contained in </w:t>
      </w:r>
      <w:r>
        <w:rPr>
          <w:rFonts w:ascii="Arial" w:cs="Arial" w:eastAsia="Arial" w:hAnsi="Arial"/>
          <w:sz w:val="16"/>
          <w:szCs w:val="16"/>
          <w:i w:val="1"/>
          <w:iCs w:val="1"/>
          <w:u w:val="single" w:color="auto"/>
          <w:color w:val="0000FF"/>
        </w:rPr>
        <w:t>Section 3.01(a)</w:t>
      </w:r>
      <w:r>
        <w:rPr>
          <w:rFonts w:ascii="Arial" w:cs="Arial" w:eastAsia="Arial" w:hAnsi="Arial"/>
          <w:sz w:val="16"/>
          <w:szCs w:val="16"/>
          <w:u w:val="single" w:color="auto"/>
          <w:color w:val="0000FF"/>
        </w:rPr>
        <w:t xml:space="preserve"> (Existence), </w:t>
      </w:r>
      <w:r>
        <w:rPr>
          <w:rFonts w:ascii="Arial" w:cs="Arial" w:eastAsia="Arial" w:hAnsi="Arial"/>
          <w:sz w:val="16"/>
          <w:szCs w:val="16"/>
          <w:i w:val="1"/>
          <w:iCs w:val="1"/>
          <w:u w:val="single" w:color="auto"/>
          <w:color w:val="0000FF"/>
        </w:rPr>
        <w:t>Section 3.01(b)</w:t>
      </w:r>
      <w:r>
        <w:rPr>
          <w:rFonts w:ascii="Arial" w:cs="Arial" w:eastAsia="Arial" w:hAnsi="Arial"/>
          <w:sz w:val="16"/>
          <w:szCs w:val="16"/>
          <w:u w:val="single" w:color="auto"/>
          <w:color w:val="0000FF"/>
        </w:rPr>
        <w:t xml:space="preserve"> (Authority), </w:t>
      </w:r>
      <w:r>
        <w:rPr>
          <w:rFonts w:ascii="Arial" w:cs="Arial" w:eastAsia="Arial" w:hAnsi="Arial"/>
          <w:sz w:val="16"/>
          <w:szCs w:val="16"/>
          <w:i w:val="1"/>
          <w:iCs w:val="1"/>
          <w:u w:val="single" w:color="auto"/>
          <w:color w:val="0000FF"/>
        </w:rPr>
        <w:t>Section 3.01(g)</w:t>
      </w:r>
      <w:r>
        <w:rPr>
          <w:rFonts w:ascii="Arial" w:cs="Arial" w:eastAsia="Arial" w:hAnsi="Arial"/>
          <w:sz w:val="16"/>
          <w:szCs w:val="16"/>
          <w:u w:val="single" w:color="auto"/>
          <w:color w:val="0000FF"/>
        </w:rPr>
        <w:t xml:space="preserve"> (Brokers), </w:t>
      </w:r>
      <w:r>
        <w:rPr>
          <w:rFonts w:ascii="Arial" w:cs="Arial" w:eastAsia="Arial" w:hAnsi="Arial"/>
          <w:sz w:val="16"/>
          <w:szCs w:val="16"/>
          <w:i w:val="1"/>
          <w:iCs w:val="1"/>
          <w:u w:val="single" w:color="auto"/>
          <w:color w:val="0000FF"/>
        </w:rPr>
        <w:t>Sections 3.01(i)(x), 3.01(i)</w:t>
      </w:r>
    </w:p>
    <w:p>
      <w:pPr>
        <w:spacing w:after="0" w:line="8" w:lineRule="exact"/>
        <w:rPr>
          <w:sz w:val="20"/>
          <w:szCs w:val="20"/>
          <w:color w:val="auto"/>
        </w:rPr>
      </w:pPr>
    </w:p>
    <w:p>
      <w:pPr>
        <w:jc w:val="both"/>
        <w:ind w:firstLine="8"/>
        <w:spacing w:after="0" w:line="268" w:lineRule="auto"/>
        <w:tabs>
          <w:tab w:leader="none" w:pos="308" w:val="left"/>
        </w:tabs>
        <w:numPr>
          <w:ilvl w:val="0"/>
          <w:numId w:val="137"/>
        </w:numPr>
        <w:rPr>
          <w:rFonts w:ascii="Arial" w:cs="Arial" w:eastAsia="Arial" w:hAnsi="Arial"/>
          <w:sz w:val="17"/>
          <w:szCs w:val="17"/>
          <w:i w:val="1"/>
          <w:iCs w:val="1"/>
          <w:u w:val="single" w:color="auto"/>
          <w:color w:val="0000FF"/>
        </w:rPr>
      </w:pPr>
      <w:r>
        <w:rPr>
          <w:rFonts w:ascii="Arial" w:cs="Arial" w:eastAsia="Arial" w:hAnsi="Arial"/>
          <w:sz w:val="17"/>
          <w:szCs w:val="17"/>
          <w:u w:val="single" w:color="auto"/>
          <w:color w:val="0000FF"/>
        </w:rPr>
        <w:t xml:space="preserve">and </w:t>
      </w:r>
      <w:r>
        <w:rPr>
          <w:rFonts w:ascii="Arial" w:cs="Arial" w:eastAsia="Arial" w:hAnsi="Arial"/>
          <w:sz w:val="17"/>
          <w:szCs w:val="17"/>
          <w:i w:val="1"/>
          <w:iCs w:val="1"/>
          <w:u w:val="single" w:color="auto"/>
          <w:color w:val="0000FF"/>
        </w:rPr>
        <w:t>3.01(i)(xii)</w:t>
      </w:r>
      <w:r>
        <w:rPr>
          <w:rFonts w:ascii="Arial" w:cs="Arial" w:eastAsia="Arial" w:hAnsi="Arial"/>
          <w:sz w:val="17"/>
          <w:szCs w:val="17"/>
          <w:u w:val="single" w:color="auto"/>
          <w:color w:val="0000FF"/>
        </w:rPr>
        <w:t xml:space="preserve"> (Company and Black Rock Entities) given on the Second Closing Date (collectively, the “</w:t>
      </w:r>
      <w:r>
        <w:rPr>
          <w:rFonts w:ascii="Arial" w:cs="Arial" w:eastAsia="Arial" w:hAnsi="Arial"/>
          <w:sz w:val="17"/>
          <w:szCs w:val="17"/>
          <w:i w:val="1"/>
          <w:iCs w:val="1"/>
          <w:u w:val="single" w:color="auto"/>
          <w:color w:val="0000FF"/>
        </w:rPr>
        <w:t>Seller Second Closing Date Fundamental</w:t>
      </w:r>
      <w:r>
        <w:rPr>
          <w:rFonts w:ascii="Arial" w:cs="Arial" w:eastAsia="Arial" w:hAnsi="Arial"/>
          <w:sz w:val="17"/>
          <w:szCs w:val="17"/>
          <w:u w:val="single" w:color="auto"/>
          <w:color w:val="0000FF"/>
        </w:rPr>
        <w:t xml:space="preserve"> </w:t>
      </w:r>
      <w:r>
        <w:rPr>
          <w:rFonts w:ascii="Arial" w:cs="Arial" w:eastAsia="Arial" w:hAnsi="Arial"/>
          <w:sz w:val="17"/>
          <w:szCs w:val="17"/>
          <w:i w:val="1"/>
          <w:iCs w:val="1"/>
          <w:u w:val="single" w:color="auto"/>
          <w:color w:val="0000FF"/>
        </w:rPr>
        <w:t>Representations</w:t>
      </w:r>
      <w:r>
        <w:rPr>
          <w:rFonts w:ascii="Arial" w:cs="Arial" w:eastAsia="Arial" w:hAnsi="Arial"/>
          <w:sz w:val="17"/>
          <w:szCs w:val="17"/>
          <w:u w:val="single" w:color="auto"/>
          <w:color w:val="0000FF"/>
        </w:rPr>
        <w:t>” and, together with the Seller Closing Date Fundamental Representations, the “</w:t>
      </w:r>
      <w:r>
        <w:rPr>
          <w:rFonts w:ascii="Arial" w:cs="Arial" w:eastAsia="Arial" w:hAnsi="Arial"/>
          <w:sz w:val="17"/>
          <w:szCs w:val="17"/>
          <w:i w:val="1"/>
          <w:iCs w:val="1"/>
          <w:u w:val="single" w:color="auto"/>
          <w:color w:val="0000FF"/>
        </w:rPr>
        <w:t>Seller Fundamental Representations</w:t>
      </w:r>
      <w:r>
        <w:rPr>
          <w:rFonts w:ascii="Arial" w:cs="Arial" w:eastAsia="Arial" w:hAnsi="Arial"/>
          <w:sz w:val="17"/>
          <w:szCs w:val="17"/>
          <w:u w:val="single" w:color="auto"/>
          <w:color w:val="0000FF"/>
        </w:rPr>
        <w:t>”) and</w:t>
      </w:r>
      <w:r>
        <w:rPr>
          <w:rFonts w:ascii="Arial" w:cs="Arial" w:eastAsia="Arial" w:hAnsi="Arial"/>
          <w:sz w:val="17"/>
          <w:szCs w:val="17"/>
          <w:i w:val="1"/>
          <w:iCs w:val="1"/>
          <w:u w:val="single" w:color="auto"/>
          <w:color w:val="0000FF"/>
        </w:rPr>
        <w:t xml:space="preserve"> Section 3.02(a)</w:t>
      </w:r>
      <w:r>
        <w:rPr>
          <w:rFonts w:ascii="Arial" w:cs="Arial" w:eastAsia="Arial" w:hAnsi="Arial"/>
          <w:sz w:val="17"/>
          <w:szCs w:val="17"/>
          <w:i w:val="1"/>
          <w:iCs w:val="1"/>
          <w:color w:val="0000FF"/>
        </w:rPr>
        <w:t xml:space="preserve"> </w:t>
      </w:r>
      <w:r>
        <w:rPr>
          <w:rFonts w:ascii="Arial" w:cs="Arial" w:eastAsia="Arial" w:hAnsi="Arial"/>
          <w:sz w:val="17"/>
          <w:szCs w:val="17"/>
          <w:u w:val="single" w:color="auto"/>
          <w:color w:val="0000FF"/>
        </w:rPr>
        <w:t>(Existence) and</w:t>
      </w:r>
      <w:r>
        <w:rPr>
          <w:rFonts w:ascii="Arial" w:cs="Arial" w:eastAsia="Arial" w:hAnsi="Arial"/>
          <w:sz w:val="17"/>
          <w:szCs w:val="17"/>
          <w:i w:val="1"/>
          <w:iCs w:val="1"/>
          <w:color w:val="0000FF"/>
        </w:rPr>
        <w:t xml:space="preserve"> </w:t>
      </w:r>
      <w:r>
        <w:rPr>
          <w:rFonts w:ascii="Arial" w:cs="Arial" w:eastAsia="Arial" w:hAnsi="Arial"/>
          <w:sz w:val="17"/>
          <w:szCs w:val="17"/>
          <w:i w:val="1"/>
          <w:iCs w:val="1"/>
          <w:u w:val="single" w:color="auto"/>
          <w:color w:val="0000FF"/>
        </w:rPr>
        <w:t>Section 3.02(b)</w:t>
      </w:r>
      <w:r>
        <w:rPr>
          <w:rFonts w:ascii="Arial" w:cs="Arial" w:eastAsia="Arial" w:hAnsi="Arial"/>
          <w:sz w:val="17"/>
          <w:szCs w:val="17"/>
          <w:i w:val="1"/>
          <w:iCs w:val="1"/>
          <w:color w:val="0000FF"/>
        </w:rPr>
        <w:t xml:space="preserve"> </w:t>
      </w:r>
      <w:r>
        <w:rPr>
          <w:rFonts w:ascii="Arial" w:cs="Arial" w:eastAsia="Arial" w:hAnsi="Arial"/>
          <w:sz w:val="17"/>
          <w:szCs w:val="17"/>
          <w:u w:val="single" w:color="auto"/>
          <w:color w:val="0000FF"/>
        </w:rPr>
        <w:t>(Authority) shall survive the Closing for five (5) years after the Second Closing Date.</w:t>
      </w:r>
      <w:r>
        <w:rPr>
          <w:rFonts w:ascii="Arial" w:cs="Arial" w:eastAsia="Arial" w:hAnsi="Arial"/>
          <w:sz w:val="17"/>
          <w:szCs w:val="17"/>
          <w:i w:val="1"/>
          <w:iCs w:val="1"/>
          <w:color w:val="0000FF"/>
        </w:rPr>
        <w:t xml:space="preserve"> </w:t>
      </w:r>
      <w:r>
        <w:rPr>
          <w:rFonts w:ascii="Arial" w:cs="Arial" w:eastAsia="Arial" w:hAnsi="Arial"/>
          <w:sz w:val="17"/>
          <w:szCs w:val="17"/>
          <w:color w:val="000000"/>
        </w:rPr>
        <w:t>The covenants,</w:t>
      </w:r>
      <w:r>
        <w:rPr>
          <w:rFonts w:ascii="Arial" w:cs="Arial" w:eastAsia="Arial" w:hAnsi="Arial"/>
          <w:sz w:val="17"/>
          <w:szCs w:val="17"/>
          <w:i w:val="1"/>
          <w:iCs w:val="1"/>
          <w:color w:val="0000FF"/>
        </w:rPr>
        <w:t xml:space="preserve"> </w:t>
      </w:r>
      <w:r>
        <w:rPr>
          <w:rFonts w:ascii="Arial" w:cs="Arial" w:eastAsia="Arial" w:hAnsi="Arial"/>
          <w:sz w:val="17"/>
          <w:szCs w:val="17"/>
          <w:color w:val="000000"/>
        </w:rPr>
        <w:t xml:space="preserve">agreements and obligations in this Agreement to be performed shall survive until the date on which they have been fully performed. No claim under this Agreement may be made unless such Party shall have delivered, with respect to any claim under </w:t>
      </w:r>
      <w:r>
        <w:rPr>
          <w:rFonts w:ascii="Arial" w:cs="Arial" w:eastAsia="Arial" w:hAnsi="Arial"/>
          <w:sz w:val="17"/>
          <w:szCs w:val="17"/>
          <w:i w:val="1"/>
          <w:iCs w:val="1"/>
          <w:color w:val="000000"/>
        </w:rPr>
        <w:t>Section 6.01</w:t>
      </w:r>
      <w:r>
        <w:rPr>
          <w:rFonts w:ascii="Arial" w:cs="Arial" w:eastAsia="Arial" w:hAnsi="Arial"/>
          <w:sz w:val="17"/>
          <w:szCs w:val="17"/>
          <w:color w:val="000000"/>
        </w:rPr>
        <w:t xml:space="preserve"> or </w:t>
      </w:r>
      <w:r>
        <w:rPr>
          <w:rFonts w:ascii="Arial" w:cs="Arial" w:eastAsia="Arial" w:hAnsi="Arial"/>
          <w:sz w:val="17"/>
          <w:szCs w:val="17"/>
          <w:i w:val="1"/>
          <w:iCs w:val="1"/>
          <w:color w:val="000000"/>
        </w:rPr>
        <w:t>Section 6.02</w:t>
      </w:r>
      <w:r>
        <w:rPr>
          <w:rFonts w:ascii="Arial" w:cs="Arial" w:eastAsia="Arial" w:hAnsi="Arial"/>
          <w:sz w:val="17"/>
          <w:szCs w:val="17"/>
          <w:color w:val="000000"/>
        </w:rPr>
        <w:t xml:space="preserve">, a written notice of claim prior to the applicable survival expiration date;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if written notice for a claim of indemnification has been provided by the Indemnified Party pursuant to </w:t>
      </w:r>
      <w:r>
        <w:rPr>
          <w:rFonts w:ascii="Arial" w:cs="Arial" w:eastAsia="Arial" w:hAnsi="Arial"/>
          <w:sz w:val="17"/>
          <w:szCs w:val="17"/>
          <w:i w:val="1"/>
          <w:iCs w:val="1"/>
          <w:color w:val="000000"/>
        </w:rPr>
        <w:t>Section 6.04(a)</w:t>
      </w:r>
      <w:r>
        <w:rPr>
          <w:rFonts w:ascii="Arial" w:cs="Arial" w:eastAsia="Arial" w:hAnsi="Arial"/>
          <w:sz w:val="17"/>
          <w:szCs w:val="17"/>
          <w:color w:val="000000"/>
        </w:rPr>
        <w:t xml:space="preserve"> on or prior to the applicable survival expiration date, then the obligation of the Indemnifying Party to indemnify the Indemnified Party pursuant to this </w:t>
      </w:r>
      <w:r>
        <w:rPr>
          <w:rFonts w:ascii="Arial" w:cs="Arial" w:eastAsia="Arial" w:hAnsi="Arial"/>
          <w:sz w:val="17"/>
          <w:szCs w:val="17"/>
          <w:i w:val="1"/>
          <w:iCs w:val="1"/>
          <w:color w:val="000000"/>
        </w:rPr>
        <w:t>Article 6</w:t>
      </w:r>
      <w:r>
        <w:rPr>
          <w:rFonts w:ascii="Arial" w:cs="Arial" w:eastAsia="Arial" w:hAnsi="Arial"/>
          <w:sz w:val="17"/>
          <w:szCs w:val="17"/>
          <w:color w:val="000000"/>
        </w:rPr>
        <w:t xml:space="preserve"> shall survive with respect to such claim until such claim is finally resolved.</w:t>
      </w:r>
    </w:p>
    <w:p>
      <w:pPr>
        <w:spacing w:after="0" w:line="17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5"/>
          <w:szCs w:val="15"/>
          <w:b w:val="1"/>
          <w:bCs w:val="1"/>
          <w:i w:val="1"/>
          <w:iCs w:val="1"/>
          <w:color w:val="auto"/>
        </w:rPr>
        <w:t>Limitations on Claims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57" w:lineRule="auto"/>
        <w:tabs>
          <w:tab w:leader="none" w:pos="185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equal or exceed [***] of the </w:t>
      </w:r>
      <w:r>
        <w:rPr>
          <w:rFonts w:ascii="Arial" w:cs="Arial" w:eastAsia="Arial" w:hAnsi="Arial"/>
          <w:sz w:val="18"/>
          <w:szCs w:val="18"/>
          <w:u w:val="single" w:color="auto"/>
          <w:color w:val="0000FF"/>
        </w:rPr>
        <w:t>portion of the</w:t>
      </w:r>
      <w:r>
        <w:rPr>
          <w:rFonts w:ascii="Arial" w:cs="Arial" w:eastAsia="Arial" w:hAnsi="Arial"/>
          <w:sz w:val="18"/>
          <w:szCs w:val="18"/>
          <w:color w:val="auto"/>
        </w:rPr>
        <w:t xml:space="preserve"> Purchase Price </w:t>
      </w:r>
      <w:r>
        <w:rPr>
          <w:rFonts w:ascii="Arial" w:cs="Arial" w:eastAsia="Arial" w:hAnsi="Arial"/>
          <w:sz w:val="18"/>
          <w:szCs w:val="18"/>
          <w:u w:val="single" w:color="auto"/>
          <w:color w:val="0000FF"/>
        </w:rPr>
        <w:t>paid by Purchaser as of such date</w:t>
      </w:r>
      <w:r>
        <w:rPr>
          <w:rFonts w:ascii="Arial" w:cs="Arial" w:eastAsia="Arial" w:hAnsi="Arial"/>
          <w:sz w:val="18"/>
          <w:szCs w:val="18"/>
          <w:color w:val="0000FF"/>
        </w:rPr>
        <w:t xml:space="preserve"> </w:t>
      </w:r>
      <w:r>
        <w:rPr>
          <w:rFonts w:ascii="Arial" w:cs="Arial" w:eastAsia="Arial" w:hAnsi="Arial"/>
          <w:sz w:val="18"/>
          <w:szCs w:val="18"/>
          <w:color w:val="000000"/>
        </w:rPr>
        <w:t>(the “</w:t>
      </w:r>
      <w:r>
        <w:rPr>
          <w:rFonts w:ascii="Arial" w:cs="Arial" w:eastAsia="Arial" w:hAnsi="Arial"/>
          <w:sz w:val="18"/>
          <w:szCs w:val="18"/>
          <w:i w:val="1"/>
          <w:iCs w:val="1"/>
          <w:color w:val="000000"/>
        </w:rPr>
        <w:t>Deductible</w:t>
      </w:r>
      <w:r>
        <w:rPr>
          <w:rFonts w:ascii="Arial" w:cs="Arial" w:eastAsia="Arial" w:hAnsi="Arial"/>
          <w:sz w:val="18"/>
          <w:szCs w:val="18"/>
          <w:color w:val="000000"/>
        </w:rPr>
        <w:t>”) in which event the Indemnifying Party shall be liable for Losses only to the extent they are in excess</w:t>
      </w:r>
      <w:r>
        <w:rPr>
          <w:rFonts w:ascii="Arial" w:cs="Arial" w:eastAsia="Arial" w:hAnsi="Arial"/>
          <w:sz w:val="18"/>
          <w:szCs w:val="18"/>
          <w:color w:val="0000FF"/>
        </w:rPr>
        <w:t xml:space="preserve"> </w:t>
      </w:r>
      <w:r>
        <w:rPr>
          <w:rFonts w:ascii="Arial" w:cs="Arial" w:eastAsia="Arial" w:hAnsi="Arial"/>
          <w:sz w:val="18"/>
          <w:szCs w:val="18"/>
          <w:color w:val="000000"/>
        </w:rPr>
        <w:t xml:space="preserve">of the Deductible;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the Deductible shall not apply to Losses resulting from, arising out of or relating to (</w:t>
      </w:r>
      <w:r>
        <w:rPr>
          <w:rFonts w:ascii="Arial" w:cs="Arial" w:eastAsia="Arial" w:hAnsi="Arial"/>
          <w:sz w:val="18"/>
          <w:szCs w:val="18"/>
          <w:i w:val="1"/>
          <w:iCs w:val="1"/>
          <w:color w:val="000000"/>
        </w:rPr>
        <w:t>i</w:t>
      </w:r>
      <w:r>
        <w:rPr>
          <w:rFonts w:ascii="Arial" w:cs="Arial" w:eastAsia="Arial" w:hAnsi="Arial"/>
          <w:sz w:val="18"/>
          <w:szCs w:val="18"/>
          <w:color w:val="000000"/>
        </w:rPr>
        <w:t>) any Fraudulent Action or (</w:t>
      </w:r>
      <w:r>
        <w:rPr>
          <w:rFonts w:ascii="Arial" w:cs="Arial" w:eastAsia="Arial" w:hAnsi="Arial"/>
          <w:sz w:val="18"/>
          <w:szCs w:val="18"/>
          <w:i w:val="1"/>
          <w:iCs w:val="1"/>
          <w:color w:val="000000"/>
        </w:rPr>
        <w:t>ii</w:t>
      </w:r>
      <w:r>
        <w:rPr>
          <w:rFonts w:ascii="Arial" w:cs="Arial" w:eastAsia="Arial" w:hAnsi="Arial"/>
          <w:sz w:val="18"/>
          <w:szCs w:val="18"/>
          <w:color w:val="000000"/>
        </w:rPr>
        <w:t xml:space="preserve">) the matters referenced on </w:t>
      </w:r>
      <w:r>
        <w:rPr>
          <w:rFonts w:ascii="Arial" w:cs="Arial" w:eastAsia="Arial" w:hAnsi="Arial"/>
          <w:sz w:val="18"/>
          <w:szCs w:val="18"/>
          <w:i w:val="1"/>
          <w:iCs w:val="1"/>
          <w:color w:val="000000"/>
        </w:rPr>
        <w:t>Schedule 6.01(b)</w:t>
      </w:r>
      <w:r>
        <w:rPr>
          <w:rFonts w:ascii="Arial" w:cs="Arial" w:eastAsia="Arial" w:hAnsi="Arial"/>
          <w:sz w:val="18"/>
          <w:szCs w:val="18"/>
          <w:color w:val="000000"/>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1304"/>
        <w:spacing w:after="0" w:line="270" w:lineRule="auto"/>
        <w:tabs>
          <w:tab w:leader="none" w:pos="175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The aggregate liability of the Seller Indemnifying Parties and the Purchaser Indemnifying Parties under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resulting from any claims under any breaches of representations or warranties herein and in any certificates delivered pursuant hereto, shall be limited to an amount equal to [***] of the </w:t>
      </w:r>
      <w:r>
        <w:rPr>
          <w:rFonts w:ascii="Arial" w:cs="Arial" w:eastAsia="Arial" w:hAnsi="Arial"/>
          <w:sz w:val="17"/>
          <w:szCs w:val="17"/>
          <w:u w:val="single" w:color="auto"/>
          <w:color w:val="0000FF"/>
        </w:rPr>
        <w:t>portion of the</w:t>
      </w:r>
      <w:r>
        <w:rPr>
          <w:rFonts w:ascii="Arial" w:cs="Arial" w:eastAsia="Arial" w:hAnsi="Arial"/>
          <w:sz w:val="17"/>
          <w:szCs w:val="17"/>
          <w:color w:val="auto"/>
        </w:rPr>
        <w:t xml:space="preserve"> Purchase Price </w:t>
      </w:r>
      <w:r>
        <w:rPr>
          <w:rFonts w:ascii="Arial" w:cs="Arial" w:eastAsia="Arial" w:hAnsi="Arial"/>
          <w:sz w:val="17"/>
          <w:szCs w:val="17"/>
          <w:u w:val="single" w:color="auto"/>
          <w:color w:val="0000FF"/>
        </w:rPr>
        <w:t>paid by Purchaser as of such date</w:t>
      </w:r>
      <w:r>
        <w:rPr>
          <w:rFonts w:ascii="Arial" w:cs="Arial" w:eastAsia="Arial" w:hAnsi="Arial"/>
          <w:sz w:val="17"/>
          <w:szCs w:val="17"/>
          <w:color w:val="auto"/>
        </w:rPr>
        <w:t xml:space="preserve"> (the “</w:t>
      </w:r>
      <w:r>
        <w:rPr>
          <w:rFonts w:ascii="Arial" w:cs="Arial" w:eastAsia="Arial" w:hAnsi="Arial"/>
          <w:sz w:val="17"/>
          <w:szCs w:val="17"/>
          <w:i w:val="1"/>
          <w:iCs w:val="1"/>
          <w:color w:val="auto"/>
        </w:rPr>
        <w:t>Cap</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Cap shall not apply to Losses resulting from, arising out of or relating to (i) any Fraudulent Action or (ii) a breach of the Seller Fundamental Representations;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aggregate liability of the Seller Indemnifying Parties resulting from the Seller Fundamental Representations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other Losses resulting from any claims under breaches of representations or warranties herein and in any certificates delivered pursuant hereto shall be limited to an amount equal to the </w:t>
      </w:r>
      <w:r>
        <w:rPr>
          <w:rFonts w:ascii="Arial" w:cs="Arial" w:eastAsia="Arial" w:hAnsi="Arial"/>
          <w:sz w:val="17"/>
          <w:szCs w:val="17"/>
          <w:u w:val="single" w:color="auto"/>
          <w:color w:val="0000FF"/>
        </w:rPr>
        <w:t>portion of the</w:t>
      </w:r>
      <w:r>
        <w:rPr>
          <w:rFonts w:ascii="Arial" w:cs="Arial" w:eastAsia="Arial" w:hAnsi="Arial"/>
          <w:sz w:val="17"/>
          <w:szCs w:val="17"/>
          <w:color w:val="auto"/>
        </w:rPr>
        <w:t xml:space="preserve"> Purchase Price </w:t>
      </w:r>
      <w:r>
        <w:rPr>
          <w:rFonts w:ascii="Arial" w:cs="Arial" w:eastAsia="Arial" w:hAnsi="Arial"/>
          <w:sz w:val="17"/>
          <w:szCs w:val="17"/>
          <w:u w:val="single" w:color="auto"/>
          <w:color w:val="0000FF"/>
        </w:rPr>
        <w:t>paid by Purchaser as of such date</w:t>
      </w:r>
      <w:r>
        <w:rPr>
          <w:rFonts w:ascii="Arial" w:cs="Arial" w:eastAsia="Arial" w:hAnsi="Arial"/>
          <w:sz w:val="17"/>
          <w:szCs w:val="17"/>
          <w:color w:val="auto"/>
        </w:rPr>
        <w:t>. For the avoidance of doubt, the foregoing limitation will not apply to Losses resulting from, arising out of or relating to (</w:t>
      </w:r>
      <w:r>
        <w:rPr>
          <w:rFonts w:ascii="Arial" w:cs="Arial" w:eastAsia="Arial" w:hAnsi="Arial"/>
          <w:sz w:val="17"/>
          <w:szCs w:val="17"/>
          <w:i w:val="1"/>
          <w:iCs w:val="1"/>
          <w:color w:val="auto"/>
        </w:rPr>
        <w:t>i</w:t>
      </w:r>
      <w:r>
        <w:rPr>
          <w:rFonts w:ascii="Arial" w:cs="Arial" w:eastAsia="Arial" w:hAnsi="Arial"/>
          <w:sz w:val="17"/>
          <w:szCs w:val="17"/>
          <w:color w:val="auto"/>
        </w:rPr>
        <w:t>) any breach of any covenant, agreement or obligation made herein or any certificate delivered pursuant hereto or (</w:t>
      </w:r>
      <w:r>
        <w:rPr>
          <w:rFonts w:ascii="Arial" w:cs="Arial" w:eastAsia="Arial" w:hAnsi="Arial"/>
          <w:sz w:val="17"/>
          <w:szCs w:val="17"/>
          <w:i w:val="1"/>
          <w:iCs w:val="1"/>
          <w:color w:val="auto"/>
        </w:rPr>
        <w:t>ii</w:t>
      </w:r>
      <w:r>
        <w:rPr>
          <w:rFonts w:ascii="Arial" w:cs="Arial" w:eastAsia="Arial" w:hAnsi="Arial"/>
          <w:sz w:val="17"/>
          <w:szCs w:val="17"/>
          <w:color w:val="auto"/>
        </w:rPr>
        <w:t xml:space="preserve">) the matters referenced on </w:t>
      </w:r>
      <w:r>
        <w:rPr>
          <w:rFonts w:ascii="Arial" w:cs="Arial" w:eastAsia="Arial" w:hAnsi="Arial"/>
          <w:sz w:val="17"/>
          <w:szCs w:val="17"/>
          <w:i w:val="1"/>
          <w:iCs w:val="1"/>
          <w:color w:val="auto"/>
        </w:rPr>
        <w:t>Schedule 6.01(b)</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304"/>
        <w:spacing w:after="0" w:line="270" w:lineRule="auto"/>
        <w:tabs>
          <w:tab w:leader="none" w:pos="17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The amount of any claim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payment shall not exceed the amount of the indemnity payment.</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6"/>
          <w:szCs w:val="16"/>
          <w:b w:val="1"/>
          <w:bCs w:val="1"/>
          <w:i w:val="1"/>
          <w:iCs w:val="1"/>
          <w:color w:val="auto"/>
        </w:rPr>
        <w:t>Procedure for Indemnification of 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4" w:lineRule="auto"/>
        <w:tabs>
          <w:tab w:leader="none" w:pos="1743"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Whenever any claim by a third party shall arise for indemnification under this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Article 6</w:t>
      </w:r>
      <w:r>
        <w:rPr>
          <w:rFonts w:ascii="Arial" w:cs="Arial" w:eastAsia="Arial" w:hAnsi="Arial"/>
          <w:sz w:val="17"/>
          <w:szCs w:val="17"/>
          <w:color w:val="auto"/>
        </w:rPr>
        <w:t>, the Indemnified Party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73" w:lineRule="exact"/>
        <w:rPr>
          <w:rFonts w:ascii="Arial" w:cs="Arial" w:eastAsia="Arial" w:hAnsi="Arial"/>
          <w:sz w:val="17"/>
          <w:szCs w:val="17"/>
          <w:color w:val="auto"/>
        </w:rPr>
      </w:pPr>
    </w:p>
    <w:p>
      <w:pPr>
        <w:jc w:val="both"/>
        <w:ind w:firstLine="1304"/>
        <w:spacing w:after="0" w:line="289" w:lineRule="auto"/>
        <w:tabs>
          <w:tab w:leader="none" w:pos="1753"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Settlement of Losses</w:t>
      </w:r>
      <w:r>
        <w:rPr>
          <w:rFonts w:ascii="Arial" w:cs="Arial" w:eastAsia="Arial" w:hAnsi="Arial"/>
          <w:sz w:val="17"/>
          <w:szCs w:val="17"/>
          <w:color w:val="auto"/>
        </w:rPr>
        <w:t>. If the Indemnified Party has assumed the defense of any claim by a third party which may give rise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indemnity hereunder pursuant to </w:t>
      </w:r>
      <w:r>
        <w:rPr>
          <w:rFonts w:ascii="Arial" w:cs="Arial" w:eastAsia="Arial" w:hAnsi="Arial"/>
          <w:sz w:val="17"/>
          <w:szCs w:val="17"/>
          <w:i w:val="1"/>
          <w:iCs w:val="1"/>
          <w:color w:val="auto"/>
        </w:rPr>
        <w:t>Section 6.06(c)</w:t>
      </w:r>
      <w:r>
        <w:rPr>
          <w:rFonts w:ascii="Arial" w:cs="Arial" w:eastAsia="Arial" w:hAnsi="Arial"/>
          <w:sz w:val="17"/>
          <w:szCs w:val="17"/>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5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5"/>
          <w:szCs w:val="15"/>
          <w:b w:val="1"/>
          <w:bCs w:val="1"/>
          <w:i w:val="1"/>
          <w:iCs w:val="1"/>
          <w:color w:val="auto"/>
        </w:rPr>
        <w:t>Rights of the Indemnifying Party in the Defense of Third Party Claims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61" w:lineRule="auto"/>
        <w:tabs>
          <w:tab w:leader="none" w:pos="1743"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Right to Assume the Defense</w:t>
      </w:r>
      <w:r>
        <w:rPr>
          <w:rFonts w:ascii="Arial" w:cs="Arial" w:eastAsia="Arial" w:hAnsi="Arial"/>
          <w:sz w:val="18"/>
          <w:szCs w:val="18"/>
          <w:color w:val="auto"/>
        </w:rPr>
        <w:t>. In connection with any claim by a third party which may give rise to indemnity hereunder,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ind w:firstLine="1304"/>
        <w:spacing w:after="0" w:line="292" w:lineRule="auto"/>
        <w:tabs>
          <w:tab w:leader="none" w:pos="1753"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Procedure</w:t>
      </w:r>
      <w:r>
        <w:rPr>
          <w:rFonts w:ascii="Arial" w:cs="Arial" w:eastAsia="Arial" w:hAnsi="Arial"/>
          <w:sz w:val="16"/>
          <w:szCs w:val="16"/>
          <w:color w:val="auto"/>
        </w:rPr>
        <w:t>. If the Indemnifying Party assumes the defense of any such claim, the Indemnifying Party shall (</w:t>
      </w:r>
      <w:r>
        <w:rPr>
          <w:rFonts w:ascii="Arial" w:cs="Arial" w:eastAsia="Arial" w:hAnsi="Arial"/>
          <w:sz w:val="16"/>
          <w:szCs w:val="16"/>
          <w:i w:val="1"/>
          <w:iCs w:val="1"/>
          <w:color w:val="auto"/>
        </w:rPr>
        <w:t>i</w:t>
      </w:r>
      <w:r>
        <w:rPr>
          <w:rFonts w:ascii="Arial" w:cs="Arial" w:eastAsia="Arial" w:hAnsi="Arial"/>
          <w:sz w:val="16"/>
          <w:szCs w:val="16"/>
          <w:color w:val="auto"/>
        </w:rPr>
        <w:t>) select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acceptable to the Indemnified Party to conduct the defense of such claim and (</w:t>
      </w:r>
      <w:r>
        <w:rPr>
          <w:rFonts w:ascii="Arial" w:cs="Arial" w:eastAsia="Arial" w:hAnsi="Arial"/>
          <w:sz w:val="16"/>
          <w:szCs w:val="16"/>
          <w:i w:val="1"/>
          <w:iCs w:val="1"/>
          <w:color w:val="auto"/>
        </w:rPr>
        <w:t>ii</w:t>
      </w:r>
      <w:r>
        <w:rPr>
          <w:rFonts w:ascii="Arial" w:cs="Arial" w:eastAsia="Arial" w:hAnsi="Arial"/>
          <w:sz w:val="16"/>
          <w:szCs w:val="16"/>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61" w:lineRule="exact"/>
        <w:rPr>
          <w:rFonts w:ascii="Arial" w:cs="Arial" w:eastAsia="Arial" w:hAnsi="Arial"/>
          <w:sz w:val="16"/>
          <w:szCs w:val="16"/>
          <w:color w:val="auto"/>
        </w:rPr>
      </w:pPr>
    </w:p>
    <w:p>
      <w:pPr>
        <w:ind w:firstLine="1304"/>
        <w:spacing w:after="0" w:line="347" w:lineRule="auto"/>
        <w:tabs>
          <w:tab w:leader="none" w:pos="1743"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Settlement of Losses</w:t>
      </w:r>
      <w:r>
        <w:rPr>
          <w:rFonts w:ascii="Arial" w:cs="Arial" w:eastAsia="Arial" w:hAnsi="Arial"/>
          <w:sz w:val="16"/>
          <w:szCs w:val="16"/>
          <w:color w:val="auto"/>
        </w:rPr>
        <w:t>. The Indemnifying Party shall not consent to a settlement of or the entry of any judgment arising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claim or legal proceeding, without the prior written consent of the Indemnified Party (which consent shall not be unreasonably withheld or delayed).</w:t>
      </w:r>
    </w:p>
    <w:p>
      <w:pPr>
        <w:spacing w:after="0" w:line="115" w:lineRule="exact"/>
        <w:rPr>
          <w:rFonts w:ascii="Arial" w:cs="Arial" w:eastAsia="Arial" w:hAnsi="Arial"/>
          <w:sz w:val="16"/>
          <w:szCs w:val="16"/>
          <w:color w:val="auto"/>
        </w:rPr>
      </w:pPr>
    </w:p>
    <w:p>
      <w:pPr>
        <w:jc w:val="both"/>
        <w:ind w:firstLine="1304"/>
        <w:spacing w:after="0" w:line="254" w:lineRule="auto"/>
        <w:tabs>
          <w:tab w:leader="none" w:pos="1753"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Decline to Assume the Defense</w:t>
      </w:r>
      <w:r>
        <w:rPr>
          <w:rFonts w:ascii="Arial" w:cs="Arial" w:eastAsia="Arial" w:hAnsi="Arial"/>
          <w:sz w:val="18"/>
          <w:szCs w:val="18"/>
          <w:color w:val="auto"/>
        </w:rPr>
        <w:t>. The Indemnified Party may defend against any such claim, at the sole cost and expense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Indemnifying Party, in such manner as it may deem reasonably appropriate, including settling such claim in accordance with the terms hereof if (</w:t>
      </w:r>
      <w:r>
        <w:rPr>
          <w:rFonts w:ascii="Arial" w:cs="Arial" w:eastAsia="Arial" w:hAnsi="Arial"/>
          <w:sz w:val="18"/>
          <w:szCs w:val="18"/>
          <w:i w:val="1"/>
          <w:iCs w:val="1"/>
          <w:color w:val="auto"/>
        </w:rPr>
        <w:t>i</w:t>
      </w:r>
      <w:r>
        <w:rPr>
          <w:rFonts w:ascii="Arial" w:cs="Arial" w:eastAsia="Arial" w:hAnsi="Arial"/>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Arial" w:cs="Arial" w:eastAsia="Arial" w:hAnsi="Arial"/>
          <w:sz w:val="18"/>
          <w:szCs w:val="18"/>
          <w:i w:val="1"/>
          <w:iCs w:val="1"/>
          <w:color w:val="auto"/>
        </w:rPr>
        <w:t>ii</w:t>
      </w:r>
      <w:r>
        <w:rPr>
          <w:rFonts w:ascii="Arial" w:cs="Arial" w:eastAsia="Arial" w:hAnsi="Arial"/>
          <w:sz w:val="18"/>
          <w:szCs w:val="18"/>
          <w:color w:val="auto"/>
        </w:rPr>
        <w:t>) the Indemnified Party reasonably concludes that the Indemnifying Party is (</w:t>
      </w:r>
      <w:r>
        <w:rPr>
          <w:rFonts w:ascii="Arial" w:cs="Arial" w:eastAsia="Arial" w:hAnsi="Arial"/>
          <w:sz w:val="18"/>
          <w:szCs w:val="18"/>
          <w:i w:val="1"/>
          <w:iCs w:val="1"/>
          <w:color w:val="auto"/>
        </w:rPr>
        <w:t>A</w:t>
      </w:r>
      <w:r>
        <w:rPr>
          <w:rFonts w:ascii="Arial" w:cs="Arial" w:eastAsia="Arial" w:hAnsi="Arial"/>
          <w:sz w:val="18"/>
          <w:szCs w:val="18"/>
          <w:color w:val="auto"/>
        </w:rPr>
        <w:t>) not diligently defending the Indemnified Party, (</w:t>
      </w:r>
      <w:r>
        <w:rPr>
          <w:rFonts w:ascii="Arial" w:cs="Arial" w:eastAsia="Arial" w:hAnsi="Arial"/>
          <w:sz w:val="18"/>
          <w:szCs w:val="18"/>
          <w:i w:val="1"/>
          <w:iCs w:val="1"/>
          <w:color w:val="auto"/>
        </w:rPr>
        <w:t>B</w:t>
      </w:r>
      <w:r>
        <w:rPr>
          <w:rFonts w:ascii="Arial" w:cs="Arial" w:eastAsia="Arial" w:hAnsi="Arial"/>
          <w:sz w:val="18"/>
          <w:szCs w:val="18"/>
          <w:color w:val="auto"/>
        </w:rPr>
        <w:t>) not contesting such claim in good faith through appropriate proceedings or (</w:t>
      </w:r>
      <w:r>
        <w:rPr>
          <w:rFonts w:ascii="Arial" w:cs="Arial" w:eastAsia="Arial" w:hAnsi="Arial"/>
          <w:sz w:val="18"/>
          <w:szCs w:val="18"/>
          <w:i w:val="1"/>
          <w:iCs w:val="1"/>
          <w:color w:val="auto"/>
        </w:rPr>
        <w:t>C</w:t>
      </w:r>
      <w:r>
        <w:rPr>
          <w:rFonts w:ascii="Arial" w:cs="Arial" w:eastAsia="Arial" w:hAnsi="Arial"/>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6.07. </w:t>
      </w:r>
      <w:r>
        <w:rPr>
          <w:rFonts w:ascii="Arial" w:cs="Arial" w:eastAsia="Arial" w:hAnsi="Arial"/>
          <w:sz w:val="17"/>
          <w:szCs w:val="17"/>
          <w:b w:val="1"/>
          <w:bCs w:val="1"/>
          <w:i w:val="1"/>
          <w:iCs w:val="1"/>
          <w:color w:val="auto"/>
        </w:rPr>
        <w:t>Direct Claims</w:t>
      </w:r>
      <w:r>
        <w:rPr>
          <w:rFonts w:ascii="Arial" w:cs="Arial" w:eastAsia="Arial" w:hAnsi="Arial"/>
          <w:sz w:val="17"/>
          <w:szCs w:val="17"/>
          <w:color w:val="auto"/>
        </w:rPr>
        <w:t>. In the event that any Indemnified Party has a claim against any Indemnifying Party which may give rise to indemnity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Arial" w:cs="Arial" w:eastAsia="Arial" w:hAnsi="Arial"/>
          <w:sz w:val="17"/>
          <w:szCs w:val="17"/>
          <w:i w:val="1"/>
          <w:iCs w:val="1"/>
          <w:color w:val="auto"/>
        </w:rPr>
        <w:t>Article 6</w:t>
      </w:r>
      <w:r>
        <w:rPr>
          <w:rFonts w:ascii="Arial" w:cs="Arial" w:eastAsia="Arial" w:hAnsi="Arial"/>
          <w:sz w:val="17"/>
          <w:szCs w:val="17"/>
          <w:color w:val="auto"/>
        </w:rPr>
        <w:t xml:space="preserve"> against the Indemnifying Party.</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6.08. </w:t>
      </w:r>
      <w:r>
        <w:rPr>
          <w:rFonts w:ascii="Arial" w:cs="Arial" w:eastAsia="Arial" w:hAnsi="Arial"/>
          <w:sz w:val="16"/>
          <w:szCs w:val="16"/>
          <w:b w:val="1"/>
          <w:bCs w:val="1"/>
          <w:i w:val="1"/>
          <w:iCs w:val="1"/>
          <w:color w:val="auto"/>
        </w:rPr>
        <w:t>Exclusive Remedy</w:t>
      </w:r>
      <w:r>
        <w:rPr>
          <w:rFonts w:ascii="Arial" w:cs="Arial" w:eastAsia="Arial" w:hAnsi="Arial"/>
          <w:sz w:val="16"/>
          <w:szCs w:val="16"/>
          <w:color w:val="auto"/>
        </w:rPr>
        <w:t>. Absent any Fraudulent Action, the indemnities set forth in this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Article 6</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exclusive remedies of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ind w:left="660"/>
        <w:spacing w:after="0"/>
        <w:tabs>
          <w:tab w:leader="none" w:pos="1260" w:val="left"/>
        </w:tabs>
        <w:rPr>
          <w:sz w:val="20"/>
          <w:szCs w:val="20"/>
          <w:color w:val="auto"/>
        </w:rPr>
      </w:pPr>
      <w:r>
        <w:rPr>
          <w:rFonts w:ascii="Arial" w:cs="Arial" w:eastAsia="Arial" w:hAnsi="Arial"/>
          <w:sz w:val="18"/>
          <w:szCs w:val="18"/>
          <w:b w:val="1"/>
          <w:bCs w:val="1"/>
          <w:color w:val="auto"/>
        </w:rPr>
        <w:t>6.09.</w:t>
      </w:r>
      <w:r>
        <w:rPr>
          <w:sz w:val="20"/>
          <w:szCs w:val="20"/>
          <w:color w:val="auto"/>
        </w:rPr>
        <w:tab/>
      </w:r>
      <w:r>
        <w:rPr>
          <w:rFonts w:ascii="Arial" w:cs="Arial" w:eastAsia="Arial" w:hAnsi="Arial"/>
          <w:sz w:val="16"/>
          <w:szCs w:val="16"/>
          <w:b w:val="1"/>
          <w:bCs w:val="1"/>
          <w:i w:val="1"/>
          <w:iCs w:val="1"/>
          <w:color w:val="auto"/>
        </w:rPr>
        <w:t>Mitigations</w:t>
      </w:r>
      <w:r>
        <w:rPr>
          <w:rFonts w:ascii="Arial" w:cs="Arial" w:eastAsia="Arial" w:hAnsi="Arial"/>
          <w:sz w:val="16"/>
          <w:szCs w:val="16"/>
          <w:color w:val="auto"/>
        </w:rPr>
        <w:t>.</w:t>
      </w:r>
    </w:p>
    <w:p>
      <w:pPr>
        <w:spacing w:after="0" w:line="229" w:lineRule="exact"/>
        <w:rPr>
          <w:sz w:val="20"/>
          <w:szCs w:val="20"/>
          <w:color w:val="auto"/>
        </w:rPr>
      </w:pPr>
    </w:p>
    <w:p>
      <w:pPr>
        <w:ind w:firstLine="1304"/>
        <w:spacing w:after="0" w:line="308" w:lineRule="auto"/>
        <w:tabs>
          <w:tab w:leader="none" w:pos="1819"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46" w:lineRule="exact"/>
        <w:rPr>
          <w:rFonts w:ascii="Arial" w:cs="Arial" w:eastAsia="Arial" w:hAnsi="Arial"/>
          <w:sz w:val="17"/>
          <w:szCs w:val="17"/>
          <w:color w:val="auto"/>
        </w:rPr>
      </w:pPr>
    </w:p>
    <w:p>
      <w:pPr>
        <w:jc w:val="both"/>
        <w:ind w:firstLine="1304"/>
        <w:spacing w:after="0" w:line="286" w:lineRule="auto"/>
        <w:tabs>
          <w:tab w:leader="none" w:pos="184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Upon making any payment to the Indemnified Party for any indemnification claim pursuant to this </w:t>
      </w:r>
      <w:r>
        <w:rPr>
          <w:rFonts w:ascii="Arial" w:cs="Arial" w:eastAsia="Arial" w:hAnsi="Arial"/>
          <w:sz w:val="17"/>
          <w:szCs w:val="17"/>
          <w:i w:val="1"/>
          <w:iCs w:val="1"/>
          <w:color w:val="auto"/>
        </w:rPr>
        <w:t>Article 6</w:t>
      </w:r>
      <w:r>
        <w:rPr>
          <w:rFonts w:ascii="Arial" w:cs="Arial" w:eastAsia="Arial" w:hAnsi="Arial"/>
          <w:sz w:val="17"/>
          <w:szCs w:val="17"/>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6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i w:val="1"/>
          <w:iCs w:val="1"/>
          <w:color w:val="auto"/>
        </w:rPr>
        <w:t>Indemnity Treatment</w:t>
      </w:r>
      <w:r>
        <w:rPr>
          <w:rFonts w:ascii="Arial" w:cs="Arial" w:eastAsia="Arial" w:hAnsi="Arial"/>
          <w:sz w:val="18"/>
          <w:szCs w:val="18"/>
          <w:color w:val="auto"/>
        </w:rPr>
        <w:t>. Any amount of indemnification payable pursuant to the provisions of this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shall, to the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be treated as an adjustment to the Purchase Price (as determined for all relevant Tax purposes).</w:t>
      </w:r>
    </w:p>
    <w:p>
      <w:pPr>
        <w:spacing w:after="0" w:line="16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This Agreement may be terminated at any time prior to the Closing Date as follows:</w:t>
      </w:r>
    </w:p>
    <w:p>
      <w:pPr>
        <w:spacing w:after="0" w:line="229" w:lineRule="exact"/>
        <w:rPr>
          <w:sz w:val="20"/>
          <w:szCs w:val="20"/>
          <w:color w:val="auto"/>
        </w:rPr>
      </w:pPr>
    </w:p>
    <w:p>
      <w:pPr>
        <w:ind w:left="1800" w:hanging="496"/>
        <w:spacing w:after="0"/>
        <w:tabs>
          <w:tab w:leader="none" w:pos="1800" w:val="left"/>
        </w:tabs>
        <w:numPr>
          <w:ilvl w:val="0"/>
          <w:numId w:val="14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This Agreement may be terminated at any time </w:t>
      </w:r>
      <w:r>
        <w:rPr>
          <w:rFonts w:ascii="Arial" w:cs="Arial" w:eastAsia="Arial" w:hAnsi="Arial"/>
          <w:sz w:val="18"/>
          <w:szCs w:val="18"/>
          <w:u w:val="single" w:color="auto"/>
          <w:color w:val="008000"/>
        </w:rPr>
        <w:t>prior to the Closing Date</w:t>
      </w:r>
      <w:r>
        <w:rPr>
          <w:rFonts w:ascii="Arial" w:cs="Arial" w:eastAsia="Arial" w:hAnsi="Arial"/>
          <w:sz w:val="18"/>
          <w:szCs w:val="18"/>
          <w:u w:val="single" w:color="auto"/>
          <w:color w:val="0000FF"/>
        </w:rPr>
        <w:t xml:space="preserve"> as follows:</w:t>
      </w:r>
    </w:p>
    <w:p>
      <w:pPr>
        <w:spacing w:after="0" w:line="225" w:lineRule="exact"/>
        <w:rPr>
          <w:rFonts w:ascii="Arial" w:cs="Arial" w:eastAsia="Arial" w:hAnsi="Arial"/>
          <w:sz w:val="18"/>
          <w:szCs w:val="18"/>
          <w:u w:val="single" w:color="auto"/>
          <w:color w:val="0000FF"/>
        </w:rPr>
      </w:pPr>
    </w:p>
    <w:p>
      <w:pPr>
        <w:ind w:left="2360" w:hanging="408"/>
        <w:spacing w:after="0"/>
        <w:tabs>
          <w:tab w:leader="none" w:pos="2360" w:val="left"/>
        </w:tabs>
        <w:numPr>
          <w:ilvl w:val="1"/>
          <w:numId w:val="144"/>
        </w:numPr>
        <w:rPr>
          <w:rFonts w:ascii="Arial" w:cs="Arial" w:eastAsia="Arial" w:hAnsi="Arial"/>
          <w:sz w:val="18"/>
          <w:szCs w:val="18"/>
          <w:u w:val="single" w:color="auto"/>
          <w:color w:val="0000FF"/>
        </w:rPr>
      </w:pPr>
      <w:r>
        <w:rPr>
          <w:rFonts w:ascii="Arial" w:cs="Arial" w:eastAsia="Arial" w:hAnsi="Arial"/>
          <w:sz w:val="18"/>
          <w:szCs w:val="18"/>
          <w:color w:val="FF0000"/>
          <w:strike w:val="1"/>
        </w:rPr>
        <w:t>(a)</w:t>
      </w:r>
      <w:r>
        <w:rPr>
          <w:rFonts w:ascii="Arial" w:cs="Arial" w:eastAsia="Arial" w:hAnsi="Arial"/>
          <w:sz w:val="18"/>
          <w:szCs w:val="18"/>
          <w:color w:val="FF0000"/>
        </w:rPr>
        <w:t xml:space="preserve"> </w:t>
      </w:r>
      <w:r>
        <w:rPr>
          <w:rFonts w:ascii="Arial" w:cs="Arial" w:eastAsia="Arial" w:hAnsi="Arial"/>
          <w:sz w:val="18"/>
          <w:szCs w:val="18"/>
          <w:color w:val="000000"/>
        </w:rPr>
        <w:t>by mutual written consent of Seller and Purchaser;</w:t>
      </w:r>
    </w:p>
    <w:p>
      <w:pPr>
        <w:spacing w:after="0" w:line="225" w:lineRule="exact"/>
        <w:rPr>
          <w:rFonts w:ascii="Arial" w:cs="Arial" w:eastAsia="Arial" w:hAnsi="Arial"/>
          <w:sz w:val="18"/>
          <w:szCs w:val="18"/>
          <w:u w:val="single" w:color="auto"/>
          <w:color w:val="0000FF"/>
        </w:rPr>
      </w:pPr>
    </w:p>
    <w:p>
      <w:pPr>
        <w:jc w:val="both"/>
        <w:ind w:left="660" w:firstLine="1292"/>
        <w:spacing w:after="0" w:line="275" w:lineRule="auto"/>
        <w:tabs>
          <w:tab w:leader="none" w:pos="2513" w:val="left"/>
        </w:tabs>
        <w:numPr>
          <w:ilvl w:val="1"/>
          <w:numId w:val="144"/>
        </w:numPr>
        <w:rPr>
          <w:rFonts w:ascii="Arial" w:cs="Arial" w:eastAsia="Arial" w:hAnsi="Arial"/>
          <w:sz w:val="17"/>
          <w:szCs w:val="17"/>
          <w:u w:val="single" w:color="auto"/>
          <w:color w:val="0000FF"/>
        </w:rPr>
      </w:pPr>
      <w:r>
        <w:rPr>
          <w:rFonts w:ascii="Arial" w:cs="Arial" w:eastAsia="Arial" w:hAnsi="Arial"/>
          <w:sz w:val="17"/>
          <w:szCs w:val="17"/>
          <w:color w:val="FF0000"/>
          <w:strike w:val="1"/>
        </w:rPr>
        <w:t>(b)</w:t>
      </w:r>
      <w:r>
        <w:rPr>
          <w:rFonts w:ascii="Arial" w:cs="Arial" w:eastAsia="Arial" w:hAnsi="Arial"/>
          <w:sz w:val="17"/>
          <w:szCs w:val="17"/>
          <w:color w:val="FF0000"/>
        </w:rPr>
        <w:t xml:space="preserve"> </w:t>
      </w:r>
      <w:r>
        <w:rPr>
          <w:rFonts w:ascii="Arial" w:cs="Arial" w:eastAsia="Arial" w:hAnsi="Arial"/>
          <w:sz w:val="17"/>
          <w:szCs w:val="17"/>
          <w:color w:val="000000"/>
        </w:rPr>
        <w:t>by either Party if the Closing has not occurred on or before</w:t>
      </w:r>
      <w:r>
        <w:rPr>
          <w:rFonts w:ascii="Arial" w:cs="Arial" w:eastAsia="Arial" w:hAnsi="Arial"/>
          <w:sz w:val="17"/>
          <w:szCs w:val="17"/>
          <w:color w:val="FF0000"/>
        </w:rPr>
        <w:t xml:space="preserve"> </w:t>
      </w:r>
      <w:r>
        <w:rPr>
          <w:rFonts w:ascii="Arial" w:cs="Arial" w:eastAsia="Arial" w:hAnsi="Arial"/>
          <w:sz w:val="17"/>
          <w:szCs w:val="17"/>
          <w:color w:val="FF0000"/>
          <w:strike w:val="1"/>
        </w:rPr>
        <w:t>March</w:t>
      </w:r>
      <w:r>
        <w:rPr>
          <w:rFonts w:ascii="Arial" w:cs="Arial" w:eastAsia="Arial" w:hAnsi="Arial"/>
          <w:sz w:val="17"/>
          <w:szCs w:val="17"/>
          <w:u w:val="single" w:color="auto"/>
          <w:color w:val="0000FF"/>
        </w:rPr>
        <w:t>January</w:t>
      </w:r>
      <w:r>
        <w:rPr>
          <w:rFonts w:ascii="Arial" w:cs="Arial" w:eastAsia="Arial" w:hAnsi="Arial"/>
          <w:sz w:val="17"/>
          <w:szCs w:val="17"/>
          <w:color w:val="FF0000"/>
        </w:rPr>
        <w:t xml:space="preserve"> </w:t>
      </w:r>
      <w:r>
        <w:rPr>
          <w:rFonts w:ascii="Arial" w:cs="Arial" w:eastAsia="Arial" w:hAnsi="Arial"/>
          <w:sz w:val="17"/>
          <w:szCs w:val="17"/>
          <w:color w:val="000000"/>
        </w:rPr>
        <w:t>31, 2022</w:t>
      </w:r>
      <w:r>
        <w:rPr>
          <w:rFonts w:ascii="Arial" w:cs="Arial" w:eastAsia="Arial" w:hAnsi="Arial"/>
          <w:sz w:val="17"/>
          <w:szCs w:val="17"/>
          <w:color w:val="FF0000"/>
        </w:rPr>
        <w:t xml:space="preserve"> </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FF0000"/>
        </w:rPr>
        <w:t xml:space="preserve"> </w:t>
      </w:r>
      <w:r>
        <w:rPr>
          <w:rFonts w:ascii="Arial" w:cs="Arial" w:eastAsia="Arial" w:hAnsi="Arial"/>
          <w:sz w:val="17"/>
          <w:szCs w:val="17"/>
          <w:i w:val="1"/>
          <w:iCs w:val="1"/>
          <w:u w:val="single" w:color="auto"/>
          <w:color w:val="0000FF"/>
        </w:rPr>
        <w:t>provided</w:t>
      </w:r>
      <w:r>
        <w:rPr>
          <w:rFonts w:ascii="Arial" w:cs="Arial" w:eastAsia="Arial" w:hAnsi="Arial"/>
          <w:sz w:val="17"/>
          <w:szCs w:val="17"/>
          <w:u w:val="single" w:color="auto"/>
          <w:color w:val="0000FF"/>
        </w:rPr>
        <w:t>,</w:t>
      </w:r>
      <w:r>
        <w:rPr>
          <w:rFonts w:ascii="Arial" w:cs="Arial" w:eastAsia="Arial" w:hAnsi="Arial"/>
          <w:sz w:val="17"/>
          <w:szCs w:val="17"/>
          <w:color w:val="FF0000"/>
        </w:rPr>
        <w:t xml:space="preserve"> </w:t>
      </w:r>
      <w:r>
        <w:rPr>
          <w:rFonts w:ascii="Arial" w:cs="Arial" w:eastAsia="Arial" w:hAnsi="Arial"/>
          <w:sz w:val="17"/>
          <w:szCs w:val="17"/>
          <w:i w:val="1"/>
          <w:iCs w:val="1"/>
          <w:u w:val="single" w:color="auto"/>
          <w:color w:val="0000FF"/>
        </w:rPr>
        <w:t>however</w:t>
      </w:r>
      <w:r>
        <w:rPr>
          <w:rFonts w:ascii="Arial" w:cs="Arial" w:eastAsia="Arial" w:hAnsi="Arial"/>
          <w:sz w:val="17"/>
          <w:szCs w:val="17"/>
          <w:u w:val="single" w:color="auto"/>
          <w:color w:val="0000FF"/>
        </w:rPr>
        <w:t>, that so long</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 xml:space="preserve">as the Seller is using commercially reasonable efforts to continue commissioning Additional Turbines as of such date, such deadline shall be extended to March 2, 2022, </w:t>
      </w:r>
      <w:r>
        <w:rPr>
          <w:rFonts w:ascii="Arial" w:cs="Arial" w:eastAsia="Arial" w:hAnsi="Arial"/>
          <w:sz w:val="17"/>
          <w:szCs w:val="17"/>
          <w:i w:val="1"/>
          <w:iCs w:val="1"/>
          <w:u w:val="single" w:color="auto"/>
          <w:color w:val="0000FF"/>
        </w:rPr>
        <w:t>provided further</w:t>
      </w:r>
      <w:r>
        <w:rPr>
          <w:rFonts w:ascii="Arial" w:cs="Arial" w:eastAsia="Arial" w:hAnsi="Arial"/>
          <w:sz w:val="17"/>
          <w:szCs w:val="17"/>
          <w:u w:val="single" w:color="auto"/>
          <w:color w:val="0000FF"/>
        </w:rPr>
        <w:t xml:space="preserve"> that so long as the Seller is using commercially reasonable efforts to continue commissioning Additional Turbines as of such date, such deadline shall be extended to April 1, 2022 (such date,</w:t>
      </w:r>
      <w:r>
        <w:rPr>
          <w:rFonts w:ascii="Arial" w:cs="Arial" w:eastAsia="Arial" w:hAnsi="Arial"/>
          <w:sz w:val="17"/>
          <w:szCs w:val="17"/>
          <w:color w:val="0000FF"/>
        </w:rPr>
        <w:t xml:space="preserve"> </w:t>
      </w:r>
      <w:r>
        <w:rPr>
          <w:rFonts w:ascii="Arial" w:cs="Arial" w:eastAsia="Arial" w:hAnsi="Arial"/>
          <w:sz w:val="17"/>
          <w:szCs w:val="17"/>
          <w:color w:val="000000"/>
        </w:rPr>
        <w:t>the “</w:t>
      </w:r>
      <w:r>
        <w:rPr>
          <w:rFonts w:ascii="Arial" w:cs="Arial" w:eastAsia="Arial" w:hAnsi="Arial"/>
          <w:sz w:val="17"/>
          <w:szCs w:val="17"/>
          <w:i w:val="1"/>
          <w:iCs w:val="1"/>
          <w:color w:val="000000"/>
        </w:rPr>
        <w:t>Outside Date</w:t>
      </w:r>
      <w:r>
        <w:rPr>
          <w:rFonts w:ascii="Arial" w:cs="Arial" w:eastAsia="Arial" w:hAnsi="Arial"/>
          <w:sz w:val="17"/>
          <w:szCs w:val="17"/>
          <w:color w:val="000000"/>
        </w:rPr>
        <w:t>”), and the failure to reach the</w:t>
      </w:r>
      <w:r>
        <w:rPr>
          <w:rFonts w:ascii="Arial" w:cs="Arial" w:eastAsia="Arial" w:hAnsi="Arial"/>
          <w:sz w:val="17"/>
          <w:szCs w:val="17"/>
          <w:color w:val="0000FF"/>
        </w:rPr>
        <w:t xml:space="preserve"> </w:t>
      </w:r>
      <w:r>
        <w:rPr>
          <w:rFonts w:ascii="Arial" w:cs="Arial" w:eastAsia="Arial" w:hAnsi="Arial"/>
          <w:sz w:val="17"/>
          <w:szCs w:val="17"/>
          <w:color w:val="000000"/>
        </w:rPr>
        <w:t>Closing Date was not caused by a breach of this Agreement by the terminating Party;</w:t>
      </w:r>
    </w:p>
    <w:p>
      <w:pPr>
        <w:spacing w:after="0" w:line="176" w:lineRule="exact"/>
        <w:rPr>
          <w:rFonts w:ascii="Arial" w:cs="Arial" w:eastAsia="Arial" w:hAnsi="Arial"/>
          <w:sz w:val="17"/>
          <w:szCs w:val="17"/>
          <w:u w:val="single" w:color="auto"/>
          <w:color w:val="0000FF"/>
        </w:rPr>
      </w:pPr>
    </w:p>
    <w:p>
      <w:pPr>
        <w:jc w:val="both"/>
        <w:ind w:left="660" w:firstLine="1292"/>
        <w:spacing w:after="0" w:line="255" w:lineRule="auto"/>
        <w:tabs>
          <w:tab w:leader="none" w:pos="2518" w:val="left"/>
        </w:tabs>
        <w:numPr>
          <w:ilvl w:val="1"/>
          <w:numId w:val="144"/>
        </w:numPr>
        <w:rPr>
          <w:rFonts w:ascii="Arial" w:cs="Arial" w:eastAsia="Arial" w:hAnsi="Arial"/>
          <w:sz w:val="18"/>
          <w:szCs w:val="18"/>
          <w:u w:val="single" w:color="auto"/>
          <w:color w:val="0000FF"/>
        </w:rPr>
      </w:pPr>
      <w:r>
        <w:rPr>
          <w:rFonts w:ascii="Arial" w:cs="Arial" w:eastAsia="Arial" w:hAnsi="Arial"/>
          <w:sz w:val="18"/>
          <w:szCs w:val="18"/>
          <w:color w:val="FF0000"/>
          <w:strike w:val="1"/>
        </w:rPr>
        <w:t>(c)</w:t>
      </w:r>
      <w:r>
        <w:rPr>
          <w:rFonts w:ascii="Arial" w:cs="Arial" w:eastAsia="Arial" w:hAnsi="Arial"/>
          <w:sz w:val="18"/>
          <w:szCs w:val="18"/>
          <w:color w:val="FF0000"/>
        </w:rPr>
        <w:t xml:space="preserve"> </w:t>
      </w:r>
      <w:r>
        <w:rPr>
          <w:rFonts w:ascii="Arial" w:cs="Arial" w:eastAsia="Arial" w:hAnsi="Arial"/>
          <w:sz w:val="18"/>
          <w:szCs w:val="18"/>
          <w:color w:val="000000"/>
        </w:rPr>
        <w:t>by Purchaser if there has been a breach by Seller of any representation, warranty, covenant or agreement contained in</w:t>
      </w:r>
      <w:r>
        <w:rPr>
          <w:rFonts w:ascii="Arial" w:cs="Arial" w:eastAsia="Arial" w:hAnsi="Arial"/>
          <w:sz w:val="18"/>
          <w:szCs w:val="18"/>
          <w:color w:val="FF0000"/>
        </w:rPr>
        <w:t xml:space="preserve"> </w:t>
      </w:r>
      <w:r>
        <w:rPr>
          <w:rFonts w:ascii="Arial" w:cs="Arial" w:eastAsia="Arial" w:hAnsi="Arial"/>
          <w:sz w:val="18"/>
          <w:szCs w:val="18"/>
          <w:color w:val="000000"/>
        </w:rPr>
        <w:t>this Agreement that (</w:t>
      </w:r>
      <w:r>
        <w:rPr>
          <w:rFonts w:ascii="Arial" w:cs="Arial" w:eastAsia="Arial" w:hAnsi="Arial"/>
          <w:sz w:val="18"/>
          <w:szCs w:val="18"/>
          <w:i w:val="1"/>
          <w:iCs w:val="1"/>
          <w:color w:val="000000"/>
        </w:rPr>
        <w:t>i</w:t>
      </w:r>
      <w:r>
        <w:rPr>
          <w:rFonts w:ascii="Arial" w:cs="Arial" w:eastAsia="Arial" w:hAnsi="Arial"/>
          <w:sz w:val="18"/>
          <w:szCs w:val="18"/>
          <w:color w:val="000000"/>
        </w:rPr>
        <w:t xml:space="preserve">) would result in a failure of a condition set forth in </w:t>
      </w:r>
      <w:r>
        <w:rPr>
          <w:rFonts w:ascii="Arial" w:cs="Arial" w:eastAsia="Arial" w:hAnsi="Arial"/>
          <w:sz w:val="18"/>
          <w:szCs w:val="18"/>
          <w:i w:val="1"/>
          <w:iCs w:val="1"/>
          <w:color w:val="000000"/>
        </w:rPr>
        <w:t>Section 4.01</w:t>
      </w:r>
      <w:r>
        <w:rPr>
          <w:rFonts w:ascii="Arial" w:cs="Arial" w:eastAsia="Arial" w:hAnsi="Arial"/>
          <w:sz w:val="18"/>
          <w:szCs w:val="18"/>
          <w:color w:val="000000"/>
        </w:rPr>
        <w:t>, as applicable, and (</w:t>
      </w:r>
      <w:r>
        <w:rPr>
          <w:rFonts w:ascii="Arial" w:cs="Arial" w:eastAsia="Arial" w:hAnsi="Arial"/>
          <w:sz w:val="18"/>
          <w:szCs w:val="18"/>
          <w:i w:val="1"/>
          <w:iCs w:val="1"/>
          <w:color w:val="000000"/>
        </w:rPr>
        <w:t>ii</w:t>
      </w:r>
      <w:r>
        <w:rPr>
          <w:rFonts w:ascii="Arial" w:cs="Arial" w:eastAsia="Arial" w:hAnsi="Arial"/>
          <w:sz w:val="18"/>
          <w:szCs w:val="18"/>
          <w:color w:val="000000"/>
        </w:rPr>
        <w:t xml:space="preserve">) either (x) is a breach of Seller’s obligations to transfer the Acquired Interests at Closing in accordance with this Agreement or (y) such breach has not been cured, or by its nature cannot be cured, within thirty (30) days following written notification thereof;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if, at the end of such thirty (30) day period, Seller is endeavoring in good faith, and proceeding diligently, to cure such breach, Seller shall have an additional thirty (30) days in which to effect such cure;</w:t>
      </w:r>
    </w:p>
    <w:p>
      <w:pPr>
        <w:spacing w:after="0" w:line="192" w:lineRule="exact"/>
        <w:rPr>
          <w:rFonts w:ascii="Arial" w:cs="Arial" w:eastAsia="Arial" w:hAnsi="Arial"/>
          <w:sz w:val="18"/>
          <w:szCs w:val="18"/>
          <w:u w:val="single" w:color="auto"/>
          <w:color w:val="0000FF"/>
        </w:rPr>
      </w:pPr>
    </w:p>
    <w:p>
      <w:pPr>
        <w:jc w:val="both"/>
        <w:ind w:left="660" w:firstLine="1292"/>
        <w:spacing w:after="0" w:line="257" w:lineRule="auto"/>
        <w:tabs>
          <w:tab w:leader="none" w:pos="2508" w:val="left"/>
        </w:tabs>
        <w:numPr>
          <w:ilvl w:val="1"/>
          <w:numId w:val="144"/>
        </w:numPr>
        <w:rPr>
          <w:rFonts w:ascii="Arial" w:cs="Arial" w:eastAsia="Arial" w:hAnsi="Arial"/>
          <w:sz w:val="18"/>
          <w:szCs w:val="18"/>
          <w:u w:val="single" w:color="auto"/>
          <w:color w:val="0000FF"/>
        </w:rPr>
      </w:pPr>
      <w:r>
        <w:rPr>
          <w:rFonts w:ascii="Arial" w:cs="Arial" w:eastAsia="Arial" w:hAnsi="Arial"/>
          <w:sz w:val="18"/>
          <w:szCs w:val="18"/>
          <w:color w:val="FF0000"/>
          <w:strike w:val="1"/>
        </w:rPr>
        <w:t>(d)</w:t>
      </w:r>
      <w:r>
        <w:rPr>
          <w:rFonts w:ascii="Arial" w:cs="Arial" w:eastAsia="Arial" w:hAnsi="Arial"/>
          <w:sz w:val="18"/>
          <w:szCs w:val="18"/>
          <w:color w:val="FF0000"/>
        </w:rPr>
        <w:t xml:space="preserve"> </w:t>
      </w:r>
      <w:r>
        <w:rPr>
          <w:rFonts w:ascii="Arial" w:cs="Arial" w:eastAsia="Arial" w:hAnsi="Arial"/>
          <w:sz w:val="18"/>
          <w:szCs w:val="18"/>
          <w:color w:val="000000"/>
        </w:rPr>
        <w:t>by Seller if there has been a breach by Purchaser of any representation, warranty, covenant or agreement contained in</w:t>
      </w:r>
      <w:r>
        <w:rPr>
          <w:rFonts w:ascii="Arial" w:cs="Arial" w:eastAsia="Arial" w:hAnsi="Arial"/>
          <w:sz w:val="18"/>
          <w:szCs w:val="18"/>
          <w:color w:val="FF0000"/>
        </w:rPr>
        <w:t xml:space="preserve"> </w:t>
      </w:r>
      <w:r>
        <w:rPr>
          <w:rFonts w:ascii="Arial" w:cs="Arial" w:eastAsia="Arial" w:hAnsi="Arial"/>
          <w:sz w:val="18"/>
          <w:szCs w:val="18"/>
          <w:color w:val="000000"/>
        </w:rPr>
        <w:t>this Agreement that (</w:t>
      </w:r>
      <w:r>
        <w:rPr>
          <w:rFonts w:ascii="Arial" w:cs="Arial" w:eastAsia="Arial" w:hAnsi="Arial"/>
          <w:sz w:val="18"/>
          <w:szCs w:val="18"/>
          <w:i w:val="1"/>
          <w:iCs w:val="1"/>
          <w:color w:val="000000"/>
        </w:rPr>
        <w:t>i</w:t>
      </w:r>
      <w:r>
        <w:rPr>
          <w:rFonts w:ascii="Arial" w:cs="Arial" w:eastAsia="Arial" w:hAnsi="Arial"/>
          <w:sz w:val="18"/>
          <w:szCs w:val="18"/>
          <w:color w:val="000000"/>
        </w:rPr>
        <w:t xml:space="preserve">) would result in a failure of a condition set forth in </w:t>
      </w:r>
      <w:r>
        <w:rPr>
          <w:rFonts w:ascii="Arial" w:cs="Arial" w:eastAsia="Arial" w:hAnsi="Arial"/>
          <w:sz w:val="18"/>
          <w:szCs w:val="18"/>
          <w:i w:val="1"/>
          <w:iCs w:val="1"/>
          <w:color w:val="000000"/>
        </w:rPr>
        <w:t>Section 4.01</w:t>
      </w:r>
      <w:r>
        <w:rPr>
          <w:rFonts w:ascii="Arial" w:cs="Arial" w:eastAsia="Arial" w:hAnsi="Arial"/>
          <w:sz w:val="18"/>
          <w:szCs w:val="18"/>
          <w:color w:val="000000"/>
        </w:rPr>
        <w:t>, as applicable, and (</w:t>
      </w:r>
      <w:r>
        <w:rPr>
          <w:rFonts w:ascii="Arial" w:cs="Arial" w:eastAsia="Arial" w:hAnsi="Arial"/>
          <w:sz w:val="18"/>
          <w:szCs w:val="18"/>
          <w:i w:val="1"/>
          <w:iCs w:val="1"/>
          <w:color w:val="000000"/>
        </w:rPr>
        <w:t>ii</w:t>
      </w:r>
      <w:r>
        <w:rPr>
          <w:rFonts w:ascii="Arial" w:cs="Arial" w:eastAsia="Arial" w:hAnsi="Arial"/>
          <w:sz w:val="18"/>
          <w:szCs w:val="18"/>
          <w:color w:val="000000"/>
        </w:rPr>
        <w:t xml:space="preserve">) such breach has not been cured, or by its nature cannot be cured, within 30 days following written notification thereof;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if, at the end of such thirty (30) day period, Purchaser is endeavoring in good faith, and proceeding diligently, to cure such breach, Purchaser shall have an additional thirty (30) days in which to effect such cure;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left="660" w:firstLine="1292"/>
        <w:spacing w:after="0" w:line="263" w:lineRule="auto"/>
        <w:tabs>
          <w:tab w:leader="none" w:pos="2570" w:val="left"/>
        </w:tabs>
        <w:numPr>
          <w:ilvl w:val="1"/>
          <w:numId w:val="145"/>
        </w:numPr>
        <w:rPr>
          <w:rFonts w:ascii="Arial" w:cs="Arial" w:eastAsia="Arial" w:hAnsi="Arial"/>
          <w:sz w:val="18"/>
          <w:szCs w:val="18"/>
          <w:u w:val="single" w:color="auto"/>
          <w:color w:val="0000FF"/>
        </w:rPr>
      </w:pPr>
      <w:r>
        <w:rPr>
          <w:rFonts w:ascii="Arial" w:cs="Arial" w:eastAsia="Arial" w:hAnsi="Arial"/>
          <w:sz w:val="18"/>
          <w:szCs w:val="18"/>
          <w:color w:val="FF0000"/>
          <w:strike w:val="1"/>
        </w:rPr>
        <w:t>(e)</w:t>
      </w:r>
      <w:r>
        <w:rPr>
          <w:rFonts w:ascii="Arial" w:cs="Arial" w:eastAsia="Arial" w:hAnsi="Arial"/>
          <w:sz w:val="18"/>
          <w:szCs w:val="18"/>
          <w:color w:val="FF0000"/>
        </w:rPr>
        <w:t xml:space="preserve"> </w:t>
      </w:r>
      <w:r>
        <w:rPr>
          <w:rFonts w:ascii="Arial" w:cs="Arial" w:eastAsia="Arial" w:hAnsi="Arial"/>
          <w:sz w:val="18"/>
          <w:szCs w:val="18"/>
          <w:color w:val="000000"/>
        </w:rPr>
        <w:t>by Purchaser if there has been a breach by Seller of its covenant in</w:t>
      </w:r>
      <w:r>
        <w:rPr>
          <w:rFonts w:ascii="Arial" w:cs="Arial" w:eastAsia="Arial" w:hAnsi="Arial"/>
          <w:sz w:val="18"/>
          <w:szCs w:val="18"/>
          <w:color w:val="FF0000"/>
        </w:rPr>
        <w:t xml:space="preserve"> </w:t>
      </w:r>
      <w:r>
        <w:rPr>
          <w:rFonts w:ascii="Arial" w:cs="Arial" w:eastAsia="Arial" w:hAnsi="Arial"/>
          <w:sz w:val="18"/>
          <w:szCs w:val="18"/>
          <w:i w:val="1"/>
          <w:iCs w:val="1"/>
          <w:color w:val="000000"/>
        </w:rPr>
        <w:t>Section 5.12(a)</w:t>
      </w:r>
      <w:r>
        <w:rPr>
          <w:rFonts w:ascii="Arial" w:cs="Arial" w:eastAsia="Arial" w:hAnsi="Arial"/>
          <w:sz w:val="18"/>
          <w:szCs w:val="18"/>
          <w:color w:val="FF0000"/>
        </w:rPr>
        <w:t xml:space="preserve"> </w:t>
      </w:r>
      <w:r>
        <w:rPr>
          <w:rFonts w:ascii="Arial" w:cs="Arial" w:eastAsia="Arial" w:hAnsi="Arial"/>
          <w:sz w:val="18"/>
          <w:szCs w:val="18"/>
          <w:color w:val="000000"/>
        </w:rPr>
        <w:t>with respect to the Financing</w:t>
      </w:r>
      <w:r>
        <w:rPr>
          <w:rFonts w:ascii="Arial" w:cs="Arial" w:eastAsia="Arial" w:hAnsi="Arial"/>
          <w:sz w:val="18"/>
          <w:szCs w:val="18"/>
          <w:color w:val="FF0000"/>
        </w:rPr>
        <w:t xml:space="preserve"> </w:t>
      </w:r>
      <w:r>
        <w:rPr>
          <w:rFonts w:ascii="Arial" w:cs="Arial" w:eastAsia="Arial" w:hAnsi="Arial"/>
          <w:sz w:val="18"/>
          <w:szCs w:val="18"/>
          <w:color w:val="000000"/>
        </w:rPr>
        <w:t xml:space="preserve">Documents;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such breach was not caused by a breach by Purchaser of the terms and conditions with respect to its granting of consent under </w:t>
      </w:r>
      <w:r>
        <w:rPr>
          <w:rFonts w:ascii="Arial" w:cs="Arial" w:eastAsia="Arial" w:hAnsi="Arial"/>
          <w:sz w:val="18"/>
          <w:szCs w:val="18"/>
          <w:i w:val="1"/>
          <w:iCs w:val="1"/>
          <w:color w:val="000000"/>
        </w:rPr>
        <w:t>Section 5.12(a),</w:t>
      </w:r>
      <w:r>
        <w:rPr>
          <w:rFonts w:ascii="Arial" w:cs="Arial" w:eastAsia="Arial" w:hAnsi="Arial"/>
          <w:sz w:val="18"/>
          <w:szCs w:val="18"/>
          <w:color w:val="000000"/>
        </w:rPr>
        <w:t xml:space="preserve"> as applicable.</w:t>
      </w:r>
    </w:p>
    <w:p>
      <w:pPr>
        <w:spacing w:after="0" w:line="183" w:lineRule="exact"/>
        <w:rPr>
          <w:rFonts w:ascii="Arial" w:cs="Arial" w:eastAsia="Arial" w:hAnsi="Arial"/>
          <w:sz w:val="18"/>
          <w:szCs w:val="18"/>
          <w:u w:val="single" w:color="auto"/>
          <w:color w:val="0000FF"/>
        </w:rPr>
      </w:pPr>
    </w:p>
    <w:p>
      <w:pPr>
        <w:jc w:val="both"/>
        <w:ind w:firstLine="1304"/>
        <w:spacing w:after="0" w:line="259" w:lineRule="auto"/>
        <w:tabs>
          <w:tab w:leader="none" w:pos="1798" w:val="left"/>
        </w:tabs>
        <w:numPr>
          <w:ilvl w:val="0"/>
          <w:numId w:val="14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This Agreement may be terminated, solely with respect to Purchaser’s obligations to purchase the Class A Interests from Seller for the Class A Purchase Price and subsequently contribute such Class A Interests to the Master JV HoldCo, at any time prior to the Second Closing Date, by either Party if the Second Closing has not occurred on or before the Outside Date, and the failure to reach the Second Closing Date was not caused by a breach of this Agreement by the terminating Party.</w:t>
      </w:r>
    </w:p>
    <w:p>
      <w:pPr>
        <w:spacing w:after="0" w:line="18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6"/>
          <w:szCs w:val="16"/>
          <w:b w:val="1"/>
          <w:bCs w:val="1"/>
          <w:i w:val="1"/>
          <w:iCs w:val="1"/>
          <w:color w:val="auto"/>
        </w:rPr>
        <w:t>Effect of Termination</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57" w:lineRule="auto"/>
        <w:tabs>
          <w:tab w:leader="none" w:pos="182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If this Agreement is validly terminated pursuant to </w:t>
      </w:r>
      <w:r>
        <w:rPr>
          <w:rFonts w:ascii="Arial" w:cs="Arial" w:eastAsia="Arial" w:hAnsi="Arial"/>
          <w:sz w:val="18"/>
          <w:szCs w:val="18"/>
          <w:i w:val="1"/>
          <w:iCs w:val="1"/>
          <w:color w:val="auto"/>
        </w:rPr>
        <w:t>Section 7.01</w:t>
      </w:r>
      <w:r>
        <w:rPr>
          <w:rFonts w:ascii="Arial" w:cs="Arial" w:eastAsia="Arial" w:hAnsi="Arial"/>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and the entirety of </w:t>
      </w:r>
      <w:r>
        <w:rPr>
          <w:rFonts w:ascii="Arial" w:cs="Arial" w:eastAsia="Arial" w:hAnsi="Arial"/>
          <w:sz w:val="18"/>
          <w:szCs w:val="18"/>
          <w:i w:val="1"/>
          <w:iCs w:val="1"/>
          <w:color w:val="auto"/>
        </w:rPr>
        <w:t>Article 6</w:t>
      </w:r>
      <w:r>
        <w:rPr>
          <w:rFonts w:ascii="Arial" w:cs="Arial" w:eastAsia="Arial" w:hAnsi="Arial"/>
          <w:sz w:val="18"/>
          <w:szCs w:val="18"/>
          <w:color w:val="auto"/>
        </w:rPr>
        <w:t xml:space="preserve"> and </w:t>
      </w:r>
      <w:r>
        <w:rPr>
          <w:rFonts w:ascii="Arial" w:cs="Arial" w:eastAsia="Arial" w:hAnsi="Arial"/>
          <w:sz w:val="18"/>
          <w:szCs w:val="18"/>
          <w:i w:val="1"/>
          <w:iCs w:val="1"/>
          <w:color w:val="auto"/>
        </w:rPr>
        <w:t>Article 8</w:t>
      </w:r>
      <w:r>
        <w:rPr>
          <w:rFonts w:ascii="Arial" w:cs="Arial" w:eastAsia="Arial" w:hAnsi="Arial"/>
          <w:sz w:val="18"/>
          <w:szCs w:val="18"/>
          <w:color w:val="auto"/>
        </w:rPr>
        <w:t xml:space="preserve"> will continue to apply following any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i w:val="1"/>
          <w:iCs w:val="1"/>
          <w:color w:val="auto"/>
        </w:rPr>
        <w:t>Section 7.02</w:t>
      </w:r>
      <w:r>
        <w:rPr>
          <w:rFonts w:ascii="Arial" w:cs="Arial" w:eastAsia="Arial" w:hAnsi="Arial"/>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798" w:val="left"/>
        </w:tabs>
        <w:numPr>
          <w:ilvl w:val="0"/>
          <w:numId w:val="14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If Purchaser’s obligations to purchase the Class A Interests from Seller for the Class A Purchase Price and subsequently contribute such Class A Interests to the Master JV HoldCo are validly terminated pursuant to </w:t>
      </w:r>
      <w:r>
        <w:rPr>
          <w:rFonts w:ascii="Arial" w:cs="Arial" w:eastAsia="Arial" w:hAnsi="Arial"/>
          <w:sz w:val="18"/>
          <w:szCs w:val="18"/>
          <w:i w:val="1"/>
          <w:iCs w:val="1"/>
          <w:u w:val="single" w:color="auto"/>
          <w:color w:val="0000FF"/>
        </w:rPr>
        <w:t>Section 7.01(b)</w:t>
      </w:r>
      <w:r>
        <w:rPr>
          <w:rFonts w:ascii="Arial" w:cs="Arial" w:eastAsia="Arial" w:hAnsi="Arial"/>
          <w:sz w:val="18"/>
          <w:szCs w:val="18"/>
          <w:u w:val="single" w:color="auto"/>
          <w:color w:val="0000FF"/>
        </w:rPr>
        <w:t xml:space="preserve">, such obligations will forthwith become null and void, and there will be no liability or obligation on the part of either Purchaser or Seller (or any of their respective Representatives or Affiliates) in respect of such obligations, except that the applicable portions of this </w:t>
      </w:r>
      <w:r>
        <w:rPr>
          <w:rFonts w:ascii="Arial" w:cs="Arial" w:eastAsia="Arial" w:hAnsi="Arial"/>
          <w:sz w:val="18"/>
          <w:szCs w:val="18"/>
          <w:i w:val="1"/>
          <w:iCs w:val="1"/>
          <w:u w:val="single" w:color="auto"/>
          <w:color w:val="0000FF"/>
        </w:rPr>
        <w:t>Section 7.02</w:t>
      </w:r>
      <w:r>
        <w:rPr>
          <w:rFonts w:ascii="Arial" w:cs="Arial" w:eastAsia="Arial" w:hAnsi="Arial"/>
          <w:sz w:val="18"/>
          <w:szCs w:val="18"/>
          <w:u w:val="single" w:color="auto"/>
          <w:color w:val="0000FF"/>
        </w:rPr>
        <w:t xml:space="preserve">, and the entirety of </w:t>
      </w:r>
      <w:r>
        <w:rPr>
          <w:rFonts w:ascii="Arial" w:cs="Arial" w:eastAsia="Arial" w:hAnsi="Arial"/>
          <w:sz w:val="18"/>
          <w:szCs w:val="18"/>
          <w:i w:val="1"/>
          <w:iCs w:val="1"/>
          <w:u w:val="single" w:color="auto"/>
          <w:color w:val="0000FF"/>
        </w:rPr>
        <w:t>Article 6</w:t>
      </w:r>
      <w:r>
        <w:rPr>
          <w:rFonts w:ascii="Arial" w:cs="Arial" w:eastAsia="Arial" w:hAnsi="Arial"/>
          <w:sz w:val="18"/>
          <w:szCs w:val="18"/>
          <w:u w:val="single" w:color="auto"/>
          <w:color w:val="0000FF"/>
        </w:rPr>
        <w:t xml:space="preserve"> and </w:t>
      </w:r>
      <w:r>
        <w:rPr>
          <w:rFonts w:ascii="Arial" w:cs="Arial" w:eastAsia="Arial" w:hAnsi="Arial"/>
          <w:sz w:val="18"/>
          <w:szCs w:val="18"/>
          <w:i w:val="1"/>
          <w:iCs w:val="1"/>
          <w:u w:val="single" w:color="auto"/>
          <w:color w:val="0000FF"/>
        </w:rPr>
        <w:t>Article 8</w:t>
      </w:r>
      <w:r>
        <w:rPr>
          <w:rFonts w:ascii="Arial" w:cs="Arial" w:eastAsia="Arial" w:hAnsi="Arial"/>
          <w:sz w:val="18"/>
          <w:szCs w:val="18"/>
          <w:u w:val="single" w:color="auto"/>
          <w:color w:val="0000FF"/>
        </w:rPr>
        <w:t xml:space="preserve"> will continue to apply following any termination.</w:t>
      </w:r>
    </w:p>
    <w:p>
      <w:pPr>
        <w:spacing w:after="0" w:line="187" w:lineRule="exact"/>
        <w:rPr>
          <w:rFonts w:ascii="Arial" w:cs="Arial" w:eastAsia="Arial" w:hAnsi="Arial"/>
          <w:sz w:val="18"/>
          <w:szCs w:val="18"/>
          <w:u w:val="single" w:color="auto"/>
          <w:color w:val="0000FF"/>
        </w:rPr>
      </w:pPr>
    </w:p>
    <w:p>
      <w:pPr>
        <w:jc w:val="both"/>
        <w:ind w:firstLine="1304"/>
        <w:spacing w:after="0" w:line="293" w:lineRule="auto"/>
        <w:tabs>
          <w:tab w:leader="none" w:pos="1801" w:val="left"/>
        </w:tabs>
        <w:numPr>
          <w:ilvl w:val="0"/>
          <w:numId w:val="147"/>
        </w:numPr>
        <w:rPr>
          <w:rFonts w:ascii="Arial" w:cs="Arial" w:eastAsia="Arial" w:hAnsi="Arial"/>
          <w:sz w:val="16"/>
          <w:szCs w:val="16"/>
          <w:u w:val="single" w:color="auto"/>
          <w:color w:val="0000FF"/>
        </w:rPr>
      </w:pPr>
      <w:r>
        <w:rPr>
          <w:rFonts w:ascii="Arial" w:cs="Arial" w:eastAsia="Arial" w:hAnsi="Arial"/>
          <w:sz w:val="16"/>
          <w:szCs w:val="16"/>
          <w:color w:val="FF0000"/>
          <w:strike w:val="1"/>
        </w:rPr>
        <w:t>(b)</w:t>
      </w:r>
      <w:r>
        <w:rPr>
          <w:rFonts w:ascii="Arial" w:cs="Arial" w:eastAsia="Arial" w:hAnsi="Arial"/>
          <w:sz w:val="16"/>
          <w:szCs w:val="16"/>
          <w:color w:val="FF0000"/>
        </w:rPr>
        <w:t xml:space="preserve"> </w:t>
      </w:r>
      <w:r>
        <w:rPr>
          <w:rFonts w:ascii="Arial" w:cs="Arial" w:eastAsia="Arial" w:hAnsi="Arial"/>
          <w:sz w:val="16"/>
          <w:szCs w:val="16"/>
          <w:color w:val="000000"/>
        </w:rPr>
        <w:t>Upon termination of this Agreement by a Party for any reason, (i) Purchaser shall return all documents and other materials of</w:t>
      </w:r>
      <w:r>
        <w:rPr>
          <w:rFonts w:ascii="Arial" w:cs="Arial" w:eastAsia="Arial" w:hAnsi="Arial"/>
          <w:sz w:val="16"/>
          <w:szCs w:val="16"/>
          <w:color w:val="FF0000"/>
        </w:rPr>
        <w:t xml:space="preserve"> </w:t>
      </w:r>
      <w:r>
        <w:rPr>
          <w:rFonts w:ascii="Arial" w:cs="Arial" w:eastAsia="Arial" w:hAnsi="Arial"/>
          <w:sz w:val="16"/>
          <w:szCs w:val="16"/>
          <w:color w:val="000000"/>
        </w:rPr>
        <w:t xml:space="preserve">Seller relating to the Company and the Black Rock Entities, the assets or properties of the Company and the Black Rock Entities and the transactions contemplated hereby, and (ii)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Company, the Black Rock Entities, the assets of the Company, the assets of the Black Rock Entities or the other Party shall remain subject to the provisions of </w:t>
      </w:r>
      <w:r>
        <w:rPr>
          <w:rFonts w:ascii="Arial" w:cs="Arial" w:eastAsia="Arial" w:hAnsi="Arial"/>
          <w:sz w:val="16"/>
          <w:szCs w:val="16"/>
          <w:i w:val="1"/>
          <w:iCs w:val="1"/>
          <w:color w:val="000000"/>
        </w:rPr>
        <w:t>Section 8.06</w:t>
      </w:r>
      <w:r>
        <w:rPr>
          <w:rFonts w:ascii="Arial" w:cs="Arial" w:eastAsia="Arial" w:hAnsi="Arial"/>
          <w:sz w:val="16"/>
          <w:szCs w:val="16"/>
          <w:color w:val="000000"/>
        </w:rPr>
        <w:t>.</w:t>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8.01.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requests and other communications hereunder must be in writing and will be deemed to have been duly given only if</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personally, by email, by reputable national overnight courier service or by registered or certified mail (postage prepaid) to the Parties at the following addresses or email addresses, as applicable: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ind w:left="1300"/>
              <w:spacing w:after="0"/>
              <w:rPr>
                <w:sz w:val="20"/>
                <w:szCs w:val="20"/>
                <w:color w:val="auto"/>
              </w:rPr>
            </w:pPr>
            <w:r>
              <w:rPr>
                <w:rFonts w:ascii="Arial" w:cs="Arial" w:eastAsia="Arial" w:hAnsi="Arial"/>
                <w:sz w:val="18"/>
                <w:szCs w:val="18"/>
                <w:color w:val="auto"/>
              </w:rPr>
              <w:t>If to Purchaser, to:</w:t>
            </w:r>
          </w:p>
        </w:tc>
        <w:tc>
          <w:tcPr>
            <w:tcW w:w="7980" w:type="dxa"/>
            <w:vAlign w:val="bottom"/>
          </w:tcPr>
          <w:p>
            <w:pPr>
              <w:ind w:left="640"/>
              <w:spacing w:after="0"/>
              <w:rPr>
                <w:sz w:val="20"/>
                <w:szCs w:val="20"/>
                <w:color w:val="auto"/>
              </w:rPr>
            </w:pPr>
            <w:r>
              <w:rPr>
                <w:rFonts w:ascii="Arial" w:cs="Arial" w:eastAsia="Arial" w:hAnsi="Arial"/>
                <w:sz w:val="18"/>
                <w:szCs w:val="18"/>
                <w:color w:val="auto"/>
              </w:rPr>
              <w:t>Lighthouse Renewable Class A LLC</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c/o Clearway Energy, Inc.</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300 Carnegie Center Drive, Suite 300</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Princeton, NJ 08540</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Attn: Christopher Sotos and Kevin Malcarney</w:t>
            </w:r>
          </w:p>
        </w:tc>
      </w:tr>
      <w:tr>
        <w:trPr>
          <w:trHeight w:val="230"/>
        </w:trPr>
        <w:tc>
          <w:tcPr>
            <w:tcW w:w="3260" w:type="dxa"/>
            <w:vAlign w:val="bottom"/>
          </w:tcPr>
          <w:p>
            <w:pPr>
              <w:spacing w:after="0"/>
              <w:rPr>
                <w:sz w:val="20"/>
                <w:szCs w:val="20"/>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Email: christopher.sotos@clearwayenergy.com and kevin.malcarney@clearwayenergy.com</w:t>
            </w:r>
          </w:p>
        </w:tc>
      </w:tr>
      <w:tr>
        <w:trPr>
          <w:trHeight w:val="648"/>
        </w:trPr>
        <w:tc>
          <w:tcPr>
            <w:tcW w:w="32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240"/>
          </w:cols>
          <w:pgMar w:left="320" w:top="908" w:right="339" w:bottom="1440" w:gutter="0" w:footer="0" w:header="0"/>
        </w:sectPr>
      </w:pPr>
    </w:p>
    <w:bookmarkStart w:id="128" w:name="page129"/>
    <w:bookmarkEnd w:id="128"/>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Perkins Coie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 13th St.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Eric Dodson Greenberg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egreenberg@perkinscoie.com</w:t>
      </w:r>
    </w:p>
    <w:p>
      <w:pPr>
        <w:spacing w:after="0" w:line="200" w:lineRule="exact"/>
        <w:rPr>
          <w:sz w:val="20"/>
          <w:szCs w:val="20"/>
          <w:color w:val="auto"/>
        </w:rPr>
      </w:pPr>
    </w:p>
    <w:p>
      <w:pPr>
        <w:sectPr>
          <w:pgSz w:w="11900" w:h="16838" w:orient="portrait"/>
          <w:cols w:equalWidth="0" w:num="2">
            <w:col w:w="3180" w:space="720"/>
            <w:col w:w="7340"/>
          </w:cols>
          <w:pgMar w:left="320" w:top="908" w:right="339" w:bottom="1440" w:gutter="0" w:footer="0" w:header="0"/>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Seller,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4900 N Scottsdale Road, Suite 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Scottsdale, AZ 85251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Operating Officer E-mail: am@clearwayenergy.com</w:t>
      </w:r>
    </w:p>
    <w:p>
      <w:pPr>
        <w:spacing w:after="0" w:line="200" w:lineRule="exact"/>
        <w:rPr>
          <w:sz w:val="20"/>
          <w:szCs w:val="20"/>
          <w:color w:val="auto"/>
        </w:rPr>
      </w:pPr>
    </w:p>
    <w:p>
      <w:pPr>
        <w:sectPr>
          <w:pgSz w:w="11900" w:h="16838" w:orient="portrait"/>
          <w:cols w:equalWidth="0" w:num="2">
            <w:col w:w="3180" w:space="720"/>
            <w:col w:w="7340"/>
          </w:cols>
          <w:pgMar w:left="320" w:top="908" w:right="339" w:bottom="144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5780 Fleet St., Suite 130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Carlsbad, CA 92008 Attention: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legal@clearwayenergy.com</w:t>
      </w:r>
    </w:p>
    <w:p>
      <w:pPr>
        <w:spacing w:after="0" w:line="200" w:lineRule="exact"/>
        <w:rPr>
          <w:sz w:val="20"/>
          <w:szCs w:val="20"/>
          <w:color w:val="auto"/>
        </w:rPr>
      </w:pPr>
    </w:p>
    <w:p>
      <w:pPr>
        <w:sectPr>
          <w:pgSz w:w="11900" w:h="16838" w:orient="portrait"/>
          <w:cols w:equalWidth="0" w:num="2">
            <w:col w:w="3180" w:space="720"/>
            <w:col w:w="7340"/>
          </w:cols>
          <w:pgMar w:left="320" w:top="908" w:right="339" w:bottom="1440" w:gutter="0" w:footer="0" w:header="0"/>
          <w:type w:val="continuous"/>
        </w:sectPr>
      </w:pPr>
    </w:p>
    <w:p>
      <w:pPr>
        <w:spacing w:after="0" w:line="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Notices, requests and other communications will be deemed given upon the first to occur of such item having been (</w:t>
      </w:r>
      <w:r>
        <w:rPr>
          <w:rFonts w:ascii="Arial" w:cs="Arial" w:eastAsia="Arial" w:hAnsi="Arial"/>
          <w:sz w:val="16"/>
          <w:szCs w:val="16"/>
          <w:i w:val="1"/>
          <w:iCs w:val="1"/>
          <w:color w:val="auto"/>
        </w:rPr>
        <w:t>a</w:t>
      </w:r>
      <w:r>
        <w:rPr>
          <w:rFonts w:ascii="Arial" w:cs="Arial" w:eastAsia="Arial" w:hAnsi="Arial"/>
          <w:sz w:val="16"/>
          <w:szCs w:val="16"/>
          <w:color w:val="auto"/>
        </w:rPr>
        <w:t xml:space="preserve">) delivered personally (or refusal of delivery) to the address provided in this </w:t>
      </w:r>
      <w:r>
        <w:rPr>
          <w:rFonts w:ascii="Arial" w:cs="Arial" w:eastAsia="Arial" w:hAnsi="Arial"/>
          <w:sz w:val="16"/>
          <w:szCs w:val="16"/>
          <w:i w:val="1"/>
          <w:iCs w:val="1"/>
          <w:color w:val="auto"/>
        </w:rPr>
        <w:t>Section 8.01</w:t>
      </w:r>
      <w:r>
        <w:rPr>
          <w:rFonts w:ascii="Arial" w:cs="Arial" w:eastAsia="Arial" w:hAnsi="Arial"/>
          <w:sz w:val="16"/>
          <w:szCs w:val="16"/>
          <w:color w:val="auto"/>
        </w:rPr>
        <w:t xml:space="preserve">, (b) delivered by confirmed email transmission to the email address provided in this </w:t>
      </w:r>
      <w:r>
        <w:rPr>
          <w:rFonts w:ascii="Arial" w:cs="Arial" w:eastAsia="Arial" w:hAnsi="Arial"/>
          <w:sz w:val="16"/>
          <w:szCs w:val="16"/>
          <w:i w:val="1"/>
          <w:iCs w:val="1"/>
          <w:color w:val="auto"/>
        </w:rPr>
        <w:t>Section 8.01</w:t>
      </w:r>
      <w:r>
        <w:rPr>
          <w:rFonts w:ascii="Arial" w:cs="Arial" w:eastAsia="Arial" w:hAnsi="Arial"/>
          <w:sz w:val="16"/>
          <w:szCs w:val="16"/>
          <w:color w:val="auto"/>
        </w:rPr>
        <w:t xml:space="preserve"> or</w:t>
      </w:r>
    </w:p>
    <w:p>
      <w:pPr>
        <w:jc w:val="both"/>
        <w:ind w:firstLine="8"/>
        <w:spacing w:after="0" w:line="253" w:lineRule="auto"/>
        <w:tabs>
          <w:tab w:leader="none" w:pos="25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delivered (or refusal of such delivery) by registered or certified mail (postage prepaid) or by reputable national overnight courier service in the manner described above to the address provided in this </w:t>
      </w:r>
      <w:r>
        <w:rPr>
          <w:rFonts w:ascii="Arial" w:cs="Arial" w:eastAsia="Arial" w:hAnsi="Arial"/>
          <w:sz w:val="18"/>
          <w:szCs w:val="18"/>
          <w:i w:val="1"/>
          <w:iCs w:val="1"/>
          <w:color w:val="auto"/>
        </w:rPr>
        <w:t>Section 8.01</w:t>
      </w:r>
      <w:r>
        <w:rPr>
          <w:rFonts w:ascii="Arial" w:cs="Arial" w:eastAsia="Arial" w:hAnsi="Arial"/>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8"/>
          <w:szCs w:val="18"/>
          <w:i w:val="1"/>
          <w:iCs w:val="1"/>
          <w:color w:val="auto"/>
        </w:rPr>
        <w:t>Section 8.01</w:t>
      </w:r>
      <w:r>
        <w:rPr>
          <w:rFonts w:ascii="Arial" w:cs="Arial" w:eastAsia="Arial" w:hAnsi="Arial"/>
          <w:sz w:val="18"/>
          <w:szCs w:val="18"/>
          <w:color w:val="auto"/>
        </w:rPr>
        <w:t>). Any Party from time to time may change its address, email address or other information for the purpose of notices to that Party by giving notice specifying such change to the other Party.</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i w:val="1"/>
          <w:iCs w:val="1"/>
          <w:color w:val="auto"/>
        </w:rPr>
        <w:t>Entire Agreement</w:t>
      </w:r>
      <w:r>
        <w:rPr>
          <w:rFonts w:ascii="Arial" w:cs="Arial" w:eastAsia="Arial" w:hAnsi="Arial"/>
          <w:sz w:val="18"/>
          <w:szCs w:val="18"/>
          <w:color w:val="auto"/>
        </w:rPr>
        <w:t>. This Agreement and the documents referenced herein supersede all prior discussions and agreements, whether oral 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between the Parties with respect to the subject matter hereof, and contains the entire agreement between the Parties with respect to the subject matter hereof.</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8.03. </w:t>
      </w:r>
      <w:r>
        <w:rPr>
          <w:rFonts w:ascii="Arial" w:cs="Arial" w:eastAsia="Arial" w:hAnsi="Arial"/>
          <w:sz w:val="16"/>
          <w:szCs w:val="16"/>
          <w:b w:val="1"/>
          <w:bCs w:val="1"/>
          <w:i w:val="1"/>
          <w:iCs w:val="1"/>
          <w:color w:val="auto"/>
        </w:rPr>
        <w:t>Specific Performance</w:t>
      </w:r>
      <w:r>
        <w:rPr>
          <w:rFonts w:ascii="Arial" w:cs="Arial" w:eastAsia="Arial" w:hAnsi="Arial"/>
          <w:sz w:val="16"/>
          <w:szCs w:val="16"/>
          <w:color w:val="auto"/>
        </w:rPr>
        <w:t>. The Parties to this Agreement agree that if any of the provisions of this Agreement were not performed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5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8.04.</w:t>
      </w:r>
      <w:r>
        <w:rPr>
          <w:sz w:val="20"/>
          <w:szCs w:val="20"/>
          <w:color w:val="auto"/>
        </w:rPr>
        <w:tab/>
      </w:r>
      <w:r>
        <w:rPr>
          <w:rFonts w:ascii="Arial" w:cs="Arial" w:eastAsia="Arial" w:hAnsi="Arial"/>
          <w:sz w:val="16"/>
          <w:szCs w:val="16"/>
          <w:b w:val="1"/>
          <w:bCs w:val="1"/>
          <w:i w:val="1"/>
          <w:iCs w:val="1"/>
          <w:color w:val="auto"/>
        </w:rPr>
        <w:t>Time of the Essence</w:t>
      </w:r>
      <w:r>
        <w:rPr>
          <w:rFonts w:ascii="Arial" w:cs="Arial" w:eastAsia="Arial" w:hAnsi="Arial"/>
          <w:sz w:val="16"/>
          <w:szCs w:val="16"/>
          <w:color w:val="auto"/>
        </w:rPr>
        <w:t>. Time is of the essence with regard to all duties and time periods set forth in this Agreement.</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 xml:space="preserve">8.05.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Except as otherwise expressly provided in this Agreement, whether or not the transactions contemplated hereby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each Party will pay its own costs and expenses incurred in connection with the negotiation, execution and performance of this Agreement.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29" w:name="page130"/>
    <w:bookmarkEnd w:id="129"/>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8.06. </w:t>
      </w:r>
      <w:r>
        <w:rPr>
          <w:rFonts w:ascii="Arial" w:cs="Arial" w:eastAsia="Arial" w:hAnsi="Arial"/>
          <w:sz w:val="16"/>
          <w:szCs w:val="16"/>
          <w:b w:val="1"/>
          <w:bCs w:val="1"/>
          <w:i w:val="1"/>
          <w:iCs w:val="1"/>
          <w:color w:val="auto"/>
        </w:rPr>
        <w:t>Confidentiality; Disclosures</w:t>
      </w:r>
      <w:r>
        <w:rPr>
          <w:rFonts w:ascii="Arial" w:cs="Arial" w:eastAsia="Arial" w:hAnsi="Arial"/>
          <w:sz w:val="16"/>
          <w:szCs w:val="16"/>
          <w:color w:val="auto"/>
        </w:rPr>
        <w:t>. This Agreement is confidential, and neither Party shall disclose the terms and conditions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8.07.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Any term or condition of this Agreement may be waived at any time by the Party that is entitled to the benefit thereof, but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waiver shall be effective unless set forth in a written instrument duly executed by or on behalf of the Party waiving such term or condition and delivered pursuant to </w:t>
      </w:r>
      <w:r>
        <w:rPr>
          <w:rFonts w:ascii="Arial" w:cs="Arial" w:eastAsia="Arial" w:hAnsi="Arial"/>
          <w:sz w:val="18"/>
          <w:szCs w:val="18"/>
          <w:i w:val="1"/>
          <w:iCs w:val="1"/>
          <w:color w:val="auto"/>
        </w:rPr>
        <w:t>Section 8.01</w:t>
      </w:r>
      <w:r>
        <w:rPr>
          <w:rFonts w:ascii="Arial" w:cs="Arial" w:eastAsia="Arial" w:hAnsi="Arial"/>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8.08.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This Agreement may be amended, supplemented or modified only by a written instrument duly executed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8.09. </w:t>
      </w:r>
      <w:r>
        <w:rPr>
          <w:rFonts w:ascii="Arial" w:cs="Arial" w:eastAsia="Arial" w:hAnsi="Arial"/>
          <w:sz w:val="18"/>
          <w:szCs w:val="18"/>
          <w:b w:val="1"/>
          <w:bCs w:val="1"/>
          <w:i w:val="1"/>
          <w:iCs w:val="1"/>
          <w:color w:val="auto"/>
        </w:rPr>
        <w:t>No Third Party Beneficiary</w:t>
      </w:r>
      <w:r>
        <w:rPr>
          <w:rFonts w:ascii="Arial" w:cs="Arial" w:eastAsia="Arial" w:hAnsi="Arial"/>
          <w:sz w:val="18"/>
          <w:szCs w:val="18"/>
          <w:color w:val="auto"/>
        </w:rPr>
        <w:t>. The terms and provisions of this Agreement are intended solely for the benefit of each Party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Arial" w:cs="Arial" w:eastAsia="Arial" w:hAnsi="Arial"/>
          <w:sz w:val="18"/>
          <w:szCs w:val="18"/>
          <w:i w:val="1"/>
          <w:iCs w:val="1"/>
          <w:color w:val="auto"/>
        </w:rPr>
        <w:t>Article 6</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The obligations of the Parties under this Agreement are not assignable without the prior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such Party may withhold in its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Purchaser may assign this Agreement, including the right to acquire the Acquired Interests </w:t>
      </w:r>
      <w:r>
        <w:rPr>
          <w:rFonts w:ascii="Arial" w:cs="Arial" w:eastAsia="Arial" w:hAnsi="Arial"/>
          <w:sz w:val="18"/>
          <w:szCs w:val="18"/>
          <w:u w:val="single" w:color="auto"/>
          <w:color w:val="0000FF"/>
        </w:rPr>
        <w:t>or the Class A Interests</w:t>
      </w:r>
      <w:r>
        <w:rPr>
          <w:rFonts w:ascii="Arial" w:cs="Arial" w:eastAsia="Arial" w:hAnsi="Arial"/>
          <w:sz w:val="18"/>
          <w:szCs w:val="18"/>
          <w:color w:val="000000"/>
        </w:rPr>
        <w:t>, without the prior written consent of Seller, to (a) any Affiliate of Purchaser, or (b) any financial institution providing purchase</w:t>
      </w:r>
      <w:r>
        <w:rPr>
          <w:rFonts w:ascii="Arial" w:cs="Arial" w:eastAsia="Arial" w:hAnsi="Arial"/>
          <w:sz w:val="18"/>
          <w:szCs w:val="18"/>
          <w:color w:val="0000FF"/>
        </w:rPr>
        <w:t xml:space="preserve"> </w:t>
      </w:r>
      <w:r>
        <w:rPr>
          <w:rFonts w:ascii="Arial" w:cs="Arial" w:eastAsia="Arial" w:hAnsi="Arial"/>
          <w:sz w:val="18"/>
          <w:szCs w:val="18"/>
          <w:color w:val="000000"/>
        </w:rPr>
        <w:t>money or other financing to Purchaser from time to time as collateral security for such financing, in each case so long as Purchaser remains fully liable for its obligations under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this Agreement is held to be illegal, invalid or unenforceable under any present or future Law, and if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or obligations of any Party under this Agreement shall not be materially and adversely affected thereby, (</w:t>
      </w:r>
      <w:r>
        <w:rPr>
          <w:rFonts w:ascii="Arial" w:cs="Arial" w:eastAsia="Arial" w:hAnsi="Arial"/>
          <w:sz w:val="18"/>
          <w:szCs w:val="18"/>
          <w:i w:val="1"/>
          <w:iCs w:val="1"/>
          <w:color w:val="auto"/>
        </w:rPr>
        <w:t>a</w:t>
      </w:r>
      <w:r>
        <w:rPr>
          <w:rFonts w:ascii="Arial" w:cs="Arial" w:eastAsia="Arial" w:hAnsi="Arial"/>
          <w:sz w:val="18"/>
          <w:szCs w:val="18"/>
          <w:color w:val="auto"/>
        </w:rPr>
        <w:t>) such provision shall be fully severable, (</w:t>
      </w:r>
      <w:r>
        <w:rPr>
          <w:rFonts w:ascii="Arial" w:cs="Arial" w:eastAsia="Arial" w:hAnsi="Arial"/>
          <w:sz w:val="18"/>
          <w:szCs w:val="18"/>
          <w:i w:val="1"/>
          <w:iCs w:val="1"/>
          <w:color w:val="auto"/>
        </w:rPr>
        <w:t>b</w:t>
      </w:r>
      <w:r>
        <w:rPr>
          <w:rFonts w:ascii="Arial" w:cs="Arial" w:eastAsia="Arial" w:hAnsi="Arial"/>
          <w:sz w:val="18"/>
          <w:szCs w:val="18"/>
          <w:color w:val="auto"/>
        </w:rPr>
        <w:t>) this Agreement shall be construed and enforced as if such illegal, invalid or unenforceable provision had never comprised a part hereof and (</w:t>
      </w:r>
      <w:r>
        <w:rPr>
          <w:rFonts w:ascii="Arial" w:cs="Arial" w:eastAsia="Arial" w:hAnsi="Arial"/>
          <w:sz w:val="18"/>
          <w:szCs w:val="18"/>
          <w:i w:val="1"/>
          <w:iCs w:val="1"/>
          <w:color w:val="auto"/>
        </w:rPr>
        <w:t>c</w:t>
      </w:r>
      <w:r>
        <w:rPr>
          <w:rFonts w:ascii="Arial" w:cs="Arial" w:eastAsia="Arial" w:hAnsi="Arial"/>
          <w:sz w:val="18"/>
          <w:szCs w:val="18"/>
          <w:color w:val="auto"/>
        </w:rPr>
        <w:t>) the remaining provisions of this Agreement shall remain in full force and effect and shall not be affected by the illegal, invalid or unenforceable provision or by its severance here from.</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AGREEMENT AND ALL DISPUTES AND CONTROVERSIES ARISING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CONSTRUED IN ALL RESPECTS IN ACCORDANCE WITH THE LAWS OF THE STATE OF NEW YORK WITHOUT GIVING EFFECT TO THE CONFLICTS OF LAWS PRINCIPLES THEREOF EXCEPT FOR SECTIONS 5-1401 AND 5- 1402 OF THE NEW YORK GENERAL OBLIGATIONS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left="660"/>
        <w:spacing w:after="0"/>
        <w:tabs>
          <w:tab w:leader="none" w:pos="12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5"/>
          <w:szCs w:val="15"/>
          <w:b w:val="1"/>
          <w:bCs w:val="1"/>
          <w:i w:val="1"/>
          <w:iCs w:val="1"/>
          <w:color w:val="auto"/>
        </w:rPr>
        <w:t>Consent to Jurisdiction</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2" w:lineRule="auto"/>
        <w:tabs>
          <w:tab w:leader="none" w:pos="181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77" w:lineRule="exact"/>
        <w:rPr>
          <w:rFonts w:ascii="Arial" w:cs="Arial" w:eastAsia="Arial" w:hAnsi="Arial"/>
          <w:sz w:val="17"/>
          <w:szCs w:val="17"/>
          <w:color w:val="auto"/>
        </w:rPr>
      </w:pPr>
    </w:p>
    <w:p>
      <w:pPr>
        <w:ind w:left="1800" w:hanging="496"/>
        <w:spacing w:after="0"/>
        <w:tabs>
          <w:tab w:leader="none" w:pos="1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Party hereto irrevocably and unconditionally waives, to the fullest extent it may legally and effectively do so:</w:t>
      </w:r>
    </w:p>
    <w:p>
      <w:pPr>
        <w:spacing w:after="0" w:line="225" w:lineRule="exact"/>
        <w:rPr>
          <w:rFonts w:ascii="Arial" w:cs="Arial" w:eastAsia="Arial" w:hAnsi="Arial"/>
          <w:sz w:val="18"/>
          <w:szCs w:val="18"/>
          <w:color w:val="auto"/>
        </w:rPr>
      </w:pPr>
    </w:p>
    <w:p>
      <w:pPr>
        <w:ind w:firstLine="1952"/>
        <w:spacing w:after="0" w:line="277" w:lineRule="auto"/>
        <w:tabs>
          <w:tab w:leader="none" w:pos="236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70" w:lineRule="exact"/>
        <w:rPr>
          <w:rFonts w:ascii="Arial" w:cs="Arial" w:eastAsia="Arial" w:hAnsi="Arial"/>
          <w:sz w:val="18"/>
          <w:szCs w:val="18"/>
          <w:color w:val="auto"/>
        </w:rPr>
      </w:pPr>
    </w:p>
    <w:p>
      <w:pPr>
        <w:ind w:left="2500" w:hanging="548"/>
        <w:spacing w:after="0"/>
        <w:tabs>
          <w:tab w:leader="none" w:pos="25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defense of an inconvenient forum to the maintenance of such Action or Proceeding in any such court.</w:t>
      </w:r>
    </w:p>
    <w:p>
      <w:pPr>
        <w:spacing w:after="0" w:line="225" w:lineRule="exact"/>
        <w:rPr>
          <w:rFonts w:ascii="Arial" w:cs="Arial" w:eastAsia="Arial" w:hAnsi="Arial"/>
          <w:sz w:val="18"/>
          <w:szCs w:val="18"/>
          <w:color w:val="auto"/>
        </w:rPr>
      </w:pPr>
    </w:p>
    <w:p>
      <w:pPr>
        <w:ind w:right="20" w:firstLine="1304"/>
        <w:spacing w:after="0" w:line="308" w:lineRule="auto"/>
        <w:tabs>
          <w:tab w:leader="none" w:pos="191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Each Party hereto irrevocably consents to service of process by registered mail, return receipt requested, as provided in </w:t>
      </w:r>
      <w:r>
        <w:rPr>
          <w:rFonts w:ascii="Arial" w:cs="Arial" w:eastAsia="Arial" w:hAnsi="Arial"/>
          <w:sz w:val="17"/>
          <w:szCs w:val="17"/>
          <w:i w:val="1"/>
          <w:iCs w:val="1"/>
          <w:color w:val="auto"/>
        </w:rPr>
        <w:t>Section 8.01</w:t>
      </w:r>
      <w:r>
        <w:rPr>
          <w:rFonts w:ascii="Arial" w:cs="Arial" w:eastAsia="Arial" w:hAnsi="Arial"/>
          <w:sz w:val="17"/>
          <w:szCs w:val="17"/>
          <w:color w:val="auto"/>
        </w:rPr>
        <w:t>. Nothing in this Agreement will affect the right of any Party hereto to serve process in any other manner permitted by Law.</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8.14.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TO THE FULLEST EXTENT PERMITTED BY LAW, EACH PARTY HEREBY WAIVES ALL RIGHTS TO A</w:t>
      </w:r>
      <w:r>
        <w:rPr>
          <w:rFonts w:ascii="Arial" w:cs="Arial" w:eastAsia="Arial" w:hAnsi="Arial"/>
          <w:sz w:val="18"/>
          <w:szCs w:val="18"/>
          <w:b w:val="1"/>
          <w:bCs w:val="1"/>
          <w:color w:val="auto"/>
        </w:rPr>
        <w:t xml:space="preserve"> </w:t>
      </w:r>
      <w:r>
        <w:rPr>
          <w:rFonts w:ascii="Arial" w:cs="Arial" w:eastAsia="Arial" w:hAnsi="Arial"/>
          <w:sz w:val="18"/>
          <w:szCs w:val="18"/>
          <w:color w:val="auto"/>
        </w:rPr>
        <w:t>TRIAL BY JURY IN ANY LEGAL ACTION TO ENFORCE OR INTERPRET THE PROVISIONS OF THIS AGREEMENT OR THAT OTHERWISE RELATES TO THIS AGREEMENT.</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8.15. </w:t>
      </w:r>
      <w:r>
        <w:rPr>
          <w:rFonts w:ascii="Arial" w:cs="Arial" w:eastAsia="Arial" w:hAnsi="Arial"/>
          <w:sz w:val="17"/>
          <w:szCs w:val="17"/>
          <w:b w:val="1"/>
          <w:bCs w:val="1"/>
          <w:i w:val="1"/>
          <w:iCs w:val="1"/>
          <w:color w:val="auto"/>
        </w:rPr>
        <w:t>Limitation on Certain Damages</w:t>
      </w:r>
      <w:r>
        <w:rPr>
          <w:rFonts w:ascii="Arial" w:cs="Arial" w:eastAsia="Arial" w:hAnsi="Arial"/>
          <w:sz w:val="17"/>
          <w:szCs w:val="17"/>
          <w:color w:val="auto"/>
        </w:rPr>
        <w:t>. NOTWITHSTANDING ANYTHING IN THIS AGREEMENT TO THE CONTRARY, NO PARTY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LIABLE TO ANY OTHER PARTY FOR ANY CONSEQUENTIAL, SPECIAL, INDIRECT, SPECULATIVE, EXEMPLARY, OR PUNITIVE DAMAGES (COLLECTIVELY, “</w:t>
      </w:r>
      <w:r>
        <w:rPr>
          <w:rFonts w:ascii="Arial" w:cs="Arial" w:eastAsia="Arial" w:hAnsi="Arial"/>
          <w:sz w:val="17"/>
          <w:szCs w:val="17"/>
          <w:i w:val="1"/>
          <w:iCs w:val="1"/>
          <w:color w:val="auto"/>
        </w:rPr>
        <w:t>CONSEQUENTIAL DAMAGES</w:t>
      </w:r>
      <w:r>
        <w:rPr>
          <w:rFonts w:ascii="Arial" w:cs="Arial" w:eastAsia="Arial" w:hAnsi="Arial"/>
          <w:sz w:val="17"/>
          <w:szCs w:val="17"/>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ANY LOSSES ARISING OUT OF THIRD PARTY CLAIMS FOR WHICH A PARTY IS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INDEMNIFICATION UNDER THIS AGREEMENT SHALL NOT CONSTITUTE CONSEQUENTIAL DAMAGES. FOR THE AVOIDANCE OF DOUBT, AN ACTION FOR THE PAYMENT OF THE PURCHASE PRICE SHALL NOT BE CONSIDERED CONSEQUENTIAL DAMAGES.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8.16. </w:t>
      </w:r>
      <w:r>
        <w:rPr>
          <w:rFonts w:ascii="Arial" w:cs="Arial" w:eastAsia="Arial" w:hAnsi="Arial"/>
          <w:sz w:val="18"/>
          <w:szCs w:val="18"/>
          <w:b w:val="1"/>
          <w:bCs w:val="1"/>
          <w:i w:val="1"/>
          <w:iCs w:val="1"/>
          <w:color w:val="auto"/>
        </w:rPr>
        <w:t>Disclosures</w:t>
      </w:r>
      <w:r>
        <w:rPr>
          <w:rFonts w:ascii="Arial" w:cs="Arial" w:eastAsia="Arial" w:hAnsi="Arial"/>
          <w:sz w:val="18"/>
          <w:szCs w:val="18"/>
          <w:color w:val="auto"/>
        </w:rPr>
        <w:t>. Seller or Purchaser may, at its option, include in the Disclosure Schedules items that are not material in order to avoid any</w:t>
      </w:r>
      <w:r>
        <w:rPr>
          <w:rFonts w:ascii="Arial" w:cs="Arial" w:eastAsia="Arial" w:hAnsi="Arial"/>
          <w:sz w:val="18"/>
          <w:szCs w:val="18"/>
          <w:b w:val="1"/>
          <w:bCs w:val="1"/>
          <w:color w:val="auto"/>
        </w:rPr>
        <w:t xml:space="preserve"> </w:t>
      </w:r>
      <w:r>
        <w:rPr>
          <w:rFonts w:ascii="Arial" w:cs="Arial" w:eastAsia="Arial" w:hAnsi="Arial"/>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Company, the Black Rock Entities or Purchaser.</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8.17. </w:t>
      </w:r>
      <w:r>
        <w:rPr>
          <w:rFonts w:ascii="Arial" w:cs="Arial" w:eastAsia="Arial" w:hAnsi="Arial"/>
          <w:sz w:val="18"/>
          <w:szCs w:val="18"/>
          <w:b w:val="1"/>
          <w:bCs w:val="1"/>
          <w:i w:val="1"/>
          <w:iCs w:val="1"/>
          <w:color w:val="auto"/>
        </w:rPr>
        <w:t>PDF Signature; Counterparts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by PDF signature in any number of counterparts, each of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but all of which together will constitute one and the same instrument.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Membership Interest Purchase Agreement to be executed and delivered by their duly authorized officers as of the date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Seller: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[Signature Page – Black Rock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133" w:name="page134"/>
    <w:bookmarkEnd w:id="133"/>
    <w:p>
      <w:pPr>
        <w:ind w:left="452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LIGHTHOUSE RENEWABLE CLASS A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914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914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Black Rock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1)"/>
      <w:numFmt w:val="lowerRoman"/>
      <w:start w:val="2"/>
    </w:lvl>
  </w:abstractNum>
  <w:abstractNum w:abstractNumId="2">
    <w:nsid w:val="613EFDC5"/>
    <w:multiLevelType w:val="hybridMultilevel"/>
    <w:lvl w:ilvl="0">
      <w:lvlJc w:val="left"/>
      <w:lvlText w:val="(%1)"/>
      <w:numFmt w:val="lowerLetter"/>
      <w:start w:val="4"/>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1."/>
      <w:numFmt w:val="upperLetter"/>
      <w:start w:val="1"/>
    </w:lvl>
  </w:abstractNum>
  <w:abstractNum w:abstractNumId="6">
    <w:nsid w:val="A0382C5"/>
    <w:multiLevelType w:val="hybridMultilevel"/>
    <w:lvl w:ilvl="0">
      <w:lvlJc w:val="left"/>
      <w:lvlText w:val="%1."/>
      <w:numFmt w:val="decimal"/>
      <w:start w:val="8"/>
    </w:lvl>
  </w:abstractNum>
  <w:abstractNum w:abstractNumId="7">
    <w:nsid w:val="8F2B15E"/>
    <w:multiLevelType w:val="hybridMultilevel"/>
    <w:lvl w:ilvl="0">
      <w:lvlJc w:val="left"/>
      <w:lvlText w:val="(%1)"/>
      <w:numFmt w:val="lowerRoman"/>
      <w:start w:val="1"/>
    </w:lvl>
  </w:abstractNum>
  <w:abstractNum w:abstractNumId="8">
    <w:nsid w:val="1A32234B"/>
    <w:multiLevelType w:val="hybridMultilevel"/>
    <w:lvl w:ilvl="0">
      <w:lvlJc w:val="left"/>
      <w:lvlText w:val="(%1)"/>
      <w:numFmt w:val="lowerLetter"/>
      <w:start w:val="1"/>
    </w:lvl>
    <w:lvl w:ilvl="1">
      <w:lvlJc w:val="left"/>
      <w:lvlText w:val="(%2)"/>
      <w:numFmt w:val="lowerRoman"/>
      <w:start w:val="1"/>
    </w:lvl>
  </w:abstractNum>
  <w:abstractNum w:abstractNumId="9">
    <w:nsid w:val="3B0FD379"/>
    <w:multiLevelType w:val="hybridMultilevel"/>
    <w:lvl w:ilvl="0">
      <w:lvlJc w:val="left"/>
      <w:lvlText w:val="(%1)"/>
      <w:numFmt w:val="lowerLetter"/>
      <w:start w:val="1"/>
    </w:lvl>
    <w:lvl w:ilvl="1">
      <w:lvlJc w:val="left"/>
      <w:lvlText w:val="(%2)"/>
      <w:numFmt w:val="lowerLetter"/>
      <w:start w:val="9"/>
    </w:lvl>
  </w:abstractNum>
  <w:abstractNum w:abstractNumId="10">
    <w:nsid w:val="68EB2F63"/>
    <w:multiLevelType w:val="hybridMultilevel"/>
    <w:lvl w:ilvl="0">
      <w:lvlJc w:val="left"/>
      <w:lvlText w:val="%1"/>
      <w:numFmt w:val="lowerLetter"/>
      <w:start w:val="1"/>
    </w:lvl>
    <w:lvl w:ilvl="1">
      <w:lvlJc w:val="left"/>
      <w:lvlText w:val="(%2)"/>
      <w:numFmt w:val="lowerLetter"/>
      <w:start w:val="35"/>
    </w:lvl>
  </w:abstractNum>
  <w:abstractNum w:abstractNumId="11">
    <w:nsid w:val="4962813B"/>
    <w:multiLevelType w:val="hybridMultilevel"/>
    <w:lvl w:ilvl="0">
      <w:lvlJc w:val="left"/>
      <w:lvlText w:val="(%1)"/>
      <w:numFmt w:val="lowerLetter"/>
      <w:start w:val="3"/>
    </w:lvl>
    <w:lvl w:ilvl="1">
      <w:lvlJc w:val="left"/>
      <w:lvlText w:val="%2"/>
      <w:numFmt w:val="lowerLetter"/>
      <w:start w:val="1"/>
    </w:lvl>
  </w:abstractNum>
  <w:abstractNum w:abstractNumId="12">
    <w:nsid w:val="60B6DF70"/>
    <w:multiLevelType w:val="hybridMultilevel"/>
    <w:lvl w:ilvl="0">
      <w:lvlJc w:val="left"/>
      <w:lvlText w:val="%1"/>
      <w:numFmt w:val="lowerRoman"/>
      <w:start w:val="1"/>
    </w:lvl>
    <w:lvl w:ilvl="1">
      <w:lvlJc w:val="left"/>
      <w:lvlText w:val="(%2)"/>
      <w:numFmt w:val="lowerRoman"/>
      <w:start w:val="1"/>
    </w:lvl>
  </w:abstractNum>
  <w:abstractNum w:abstractNumId="13">
    <w:nsid w:val="6A5EE64"/>
    <w:multiLevelType w:val="hybridMultilevel"/>
    <w:lvl w:ilvl="0">
      <w:lvlJc w:val="left"/>
      <w:lvlText w:val="(%1)"/>
      <w:numFmt w:val="lowerRoman"/>
      <w:start w:val="1"/>
    </w:lvl>
    <w:lvl w:ilvl="1">
      <w:lvlJc w:val="left"/>
      <w:lvlText w:val="%2"/>
      <w:numFmt w:val="lowerRoman"/>
      <w:start w:val="1"/>
    </w:lvl>
  </w:abstractNum>
  <w:abstractNum w:abstractNumId="14">
    <w:nsid w:val="14330624"/>
    <w:multiLevelType w:val="hybridMultilevel"/>
    <w:lvl w:ilvl="0">
      <w:lvlJc w:val="left"/>
      <w:lvlText w:val="(%1)"/>
      <w:numFmt w:val="lowerLetter"/>
      <w:start w:val="4"/>
    </w:lvl>
  </w:abstractNum>
  <w:abstractNum w:abstractNumId="15">
    <w:nsid w:val="7FFFCA11"/>
    <w:multiLevelType w:val="hybridMultilevel"/>
    <w:lvl w:ilvl="0">
      <w:lvlJc w:val="left"/>
      <w:lvlText w:val="(%1)"/>
      <w:numFmt w:val="lowerRoman"/>
      <w:start w:val="11"/>
    </w:lvl>
  </w:abstractNum>
  <w:abstractNum w:abstractNumId="16">
    <w:nsid w:val="1A27709E"/>
    <w:multiLevelType w:val="hybridMultilevel"/>
    <w:lvl w:ilvl="0">
      <w:lvlJc w:val="left"/>
      <w:lvlText w:val="(%1)"/>
      <w:numFmt w:val="lowerLetter"/>
      <w:start w:val="1"/>
    </w:lvl>
  </w:abstractNum>
  <w:abstractNum w:abstractNumId="17">
    <w:nsid w:val="71EA1109"/>
    <w:multiLevelType w:val="hybridMultilevel"/>
    <w:lvl w:ilvl="0">
      <w:lvlJc w:val="left"/>
      <w:lvlText w:val="(%1)"/>
      <w:numFmt w:val="lowerLetter"/>
      <w:start w:val="2"/>
    </w:lvl>
  </w:abstractNum>
  <w:abstractNum w:abstractNumId="18">
    <w:nsid w:val="100F59DC"/>
    <w:multiLevelType w:val="hybridMultilevel"/>
    <w:lvl w:ilvl="0">
      <w:lvlJc w:val="left"/>
      <w:lvlText w:val="(%1)"/>
      <w:numFmt w:val="decimal"/>
      <w:start w:val="5"/>
    </w:lvl>
  </w:abstractNum>
  <w:abstractNum w:abstractNumId="19">
    <w:nsid w:val="7FB7E0AA"/>
    <w:multiLevelType w:val="hybridMultilevel"/>
    <w:lvl w:ilvl="0">
      <w:lvlJc w:val="left"/>
      <w:lvlText w:val="(%1)"/>
      <w:numFmt w:val="lowerLetter"/>
      <w:start w:val="1"/>
    </w:lvl>
    <w:lvl w:ilvl="1">
      <w:lvlJc w:val="left"/>
      <w:lvlText w:val="(%2)"/>
      <w:numFmt w:val="lowerRoman"/>
      <w:start w:val="1"/>
    </w:lvl>
  </w:abstractNum>
  <w:abstractNum w:abstractNumId="20">
    <w:nsid w:val="6EB5BD4"/>
    <w:multiLevelType w:val="hybridMultilevel"/>
    <w:lvl w:ilvl="0">
      <w:lvlJc w:val="left"/>
      <w:lvlText w:val="(%1)"/>
      <w:numFmt w:val="lowerLetter"/>
      <w:start w:val="2"/>
    </w:lvl>
    <w:lvl w:ilvl="1">
      <w:lvlJc w:val="left"/>
      <w:lvlText w:val="(%2)"/>
      <w:numFmt w:val="lowerLetter"/>
      <w:start w:val="9"/>
    </w:lvl>
  </w:abstractNum>
  <w:abstractNum w:abstractNumId="21">
    <w:nsid w:val="6F6DD9AC"/>
    <w:multiLevelType w:val="hybridMultilevel"/>
    <w:lvl w:ilvl="0">
      <w:lvlJc w:val="left"/>
      <w:lvlText w:val="(%1)"/>
      <w:numFmt w:val="lowerLetter"/>
      <w:start w:val="2"/>
    </w:lvl>
  </w:abstractNum>
  <w:abstractNum w:abstractNumId="22">
    <w:nsid w:val="94211F2"/>
    <w:multiLevelType w:val="hybridMultilevel"/>
    <w:lvl w:ilvl="0">
      <w:lvlJc w:val="left"/>
      <w:lvlText w:val="%1."/>
      <w:numFmt w:val="decimal"/>
      <w:start w:val="1"/>
    </w:lvl>
  </w:abstractNum>
  <w:abstractNum w:abstractNumId="23">
    <w:nsid w:val="885E1B"/>
    <w:multiLevelType w:val="hybridMultilevel"/>
    <w:lvl w:ilvl="0">
      <w:lvlJc w:val="left"/>
      <w:lvlText w:val="(%1)"/>
      <w:numFmt w:val="lowerLetter"/>
      <w:start w:val="1"/>
    </w:lvl>
  </w:abstractNum>
  <w:abstractNum w:abstractNumId="24">
    <w:nsid w:val="76272110"/>
    <w:multiLevelType w:val="hybridMultilevel"/>
    <w:lvl w:ilvl="0">
      <w:lvlJc w:val="left"/>
      <w:lvlText w:val="(%1)"/>
      <w:numFmt w:val="lowerLetter"/>
      <w:start w:val="7"/>
    </w:lvl>
  </w:abstractNum>
  <w:abstractNum w:abstractNumId="25">
    <w:nsid w:val="4C04A8AF"/>
    <w:multiLevelType w:val="hybridMultilevel"/>
    <w:lvl w:ilvl="0">
      <w:lvlJc w:val="left"/>
      <w:lvlText w:val="(%1)"/>
      <w:numFmt w:val="lowerRoman"/>
      <w:start w:val="2"/>
    </w:lvl>
  </w:abstractNum>
  <w:abstractNum w:abstractNumId="26">
    <w:nsid w:val="1716703B"/>
    <w:multiLevelType w:val="hybridMultilevel"/>
    <w:lvl w:ilvl="0">
      <w:lvlJc w:val="left"/>
      <w:lvlText w:val="(%1)"/>
      <w:numFmt w:val="lowerLetter"/>
      <w:start w:val="1"/>
    </w:lvl>
  </w:abstractNum>
  <w:abstractNum w:abstractNumId="27">
    <w:nsid w:val="14E17E33"/>
    <w:multiLevelType w:val="hybridMultilevel"/>
    <w:lvl w:ilvl="0">
      <w:lvlJc w:val="left"/>
      <w:lvlText w:val="(%1)"/>
      <w:numFmt w:val="lowerLetter"/>
      <w:start w:val="1"/>
    </w:lvl>
  </w:abstractNum>
  <w:abstractNum w:abstractNumId="28">
    <w:nsid w:val="3222E7CD"/>
    <w:multiLevelType w:val="hybridMultilevel"/>
    <w:lvl w:ilvl="0">
      <w:lvlJc w:val="left"/>
      <w:lvlText w:val="(%1)"/>
      <w:numFmt w:val="lowerLetter"/>
      <w:start w:val="1"/>
    </w:lvl>
    <w:lvl w:ilvl="1">
      <w:lvlJc w:val="left"/>
      <w:lvlText w:val="(%2)"/>
      <w:numFmt w:val="lowerRoman"/>
      <w:start w:val="1"/>
    </w:lvl>
  </w:abstractNum>
  <w:abstractNum w:abstractNumId="29">
    <w:nsid w:val="74DE0EE3"/>
    <w:multiLevelType w:val="hybridMultilevel"/>
    <w:lvl w:ilvl="0">
      <w:lvlJc w:val="left"/>
      <w:lvlText w:val="(%1)"/>
      <w:numFmt w:val="lowerLetter"/>
      <w:start w:val="1"/>
    </w:lvl>
    <w:lvl w:ilvl="1">
      <w:lvlJc w:val="left"/>
      <w:lvlText w:val="(%2)"/>
      <w:numFmt w:val="lowerRoman"/>
      <w:start w:val="1"/>
    </w:lvl>
  </w:abstractNum>
  <w:abstractNum w:abstractNumId="30">
    <w:nsid w:val="68EBC550"/>
    <w:multiLevelType w:val="hybridMultilevel"/>
    <w:lvl w:ilvl="0">
      <w:lvlJc w:val="left"/>
      <w:lvlText w:val="(%1)"/>
      <w:numFmt w:val="lowerLetter"/>
      <w:start w:val="2"/>
    </w:lvl>
  </w:abstractNum>
  <w:abstractNum w:abstractNumId="31">
    <w:nsid w:val="2DF6D648"/>
    <w:multiLevelType w:val="hybridMultilevel"/>
    <w:lvl w:ilvl="0">
      <w:lvlJc w:val="left"/>
      <w:lvlText w:val="(%1)"/>
      <w:numFmt w:val="lowerLetter"/>
      <w:start w:val="1"/>
    </w:lvl>
    <w:lvl w:ilvl="1">
      <w:lvlJc w:val="left"/>
      <w:lvlText w:val="(%2)"/>
      <w:numFmt w:val="lowerRoman"/>
      <w:start w:val="1"/>
    </w:lvl>
  </w:abstractNum>
  <w:abstractNum w:abstractNumId="32">
    <w:nsid w:val="46B7D447"/>
    <w:multiLevelType w:val="hybridMultilevel"/>
    <w:lvl w:ilvl="0">
      <w:lvlJc w:val="left"/>
      <w:lvlText w:val="(%1)"/>
      <w:numFmt w:val="lowerLetter"/>
      <w:start w:val="1"/>
    </w:lvl>
  </w:abstractNum>
  <w:abstractNum w:abstractNumId="33">
    <w:nsid w:val="4A2AC315"/>
    <w:multiLevelType w:val="hybridMultilevel"/>
    <w:lvl w:ilvl="0">
      <w:lvlJc w:val="left"/>
      <w:lvlText w:val="(%1)"/>
      <w:numFmt w:val="lowerLetter"/>
      <w:start w:val="5"/>
    </w:lvl>
    <w:lvl w:ilvl="1">
      <w:lvlJc w:val="left"/>
      <w:lvlText w:val="(%2)"/>
      <w:numFmt w:val="lowerRoman"/>
      <w:start w:val="1"/>
    </w:lvl>
  </w:abstractNum>
  <w:abstractNum w:abstractNumId="34">
    <w:nsid w:val="39EE015C"/>
    <w:multiLevelType w:val="hybridMultilevel"/>
    <w:lvl w:ilvl="0">
      <w:lvlJc w:val="left"/>
      <w:lvlText w:val="(%1)"/>
      <w:numFmt w:val="lowerRoman"/>
      <w:start w:val="3"/>
    </w:lvl>
    <w:lvl w:ilvl="1">
      <w:lvlJc w:val="left"/>
      <w:lvlText w:val="(%2)"/>
      <w:numFmt w:val="lowerRoman"/>
      <w:start w:val="9"/>
    </w:lvl>
  </w:abstractNum>
  <w:abstractNum w:abstractNumId="35">
    <w:nsid w:val="57FC4FBB"/>
    <w:multiLevelType w:val="hybridMultilevel"/>
    <w:lvl w:ilvl="0">
      <w:lvlJc w:val="left"/>
      <w:lvlText w:val="(%1)"/>
      <w:numFmt w:val="lowerRoman"/>
      <w:start w:val="10"/>
    </w:lvl>
  </w:abstractNum>
  <w:abstractNum w:abstractNumId="36">
    <w:nsid w:val="CC1016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1"/>
    </w:lvl>
  </w:abstractNum>
  <w:abstractNum w:abstractNumId="37">
    <w:nsid w:val="43F18422"/>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38">
    <w:nsid w:val="60EF0119"/>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39">
    <w:nsid w:val="26F324B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0">
    <w:nsid w:val="7F01579B"/>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41">
    <w:nsid w:val="49DA307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42">
    <w:nsid w:val="7055A5F5"/>
    <w:multiLevelType w:val="hybridMultilevel"/>
    <w:lvl w:ilvl="0">
      <w:lvlJc w:val="left"/>
      <w:lvlText w:val="%1"/>
      <w:numFmt w:val="lowerRoman"/>
      <w:start w:val="1"/>
    </w:lvl>
    <w:lvl w:ilvl="1">
      <w:lvlJc w:val="left"/>
      <w:lvlText w:val="(%2)"/>
      <w:numFmt w:val="lowerLetter"/>
      <w:start w:val="14"/>
    </w:lvl>
    <w:lvl w:ilvl="2">
      <w:lvlJc w:val="left"/>
      <w:lvlText w:val="(%3)"/>
      <w:numFmt w:val="lowerRoman"/>
      <w:start w:val="1"/>
    </w:lvl>
  </w:abstractNum>
  <w:abstractNum w:abstractNumId="43">
    <w:nsid w:val="5FB8370B"/>
    <w:multiLevelType w:val="hybridMultilevel"/>
    <w:lvl w:ilvl="0">
      <w:lvlJc w:val="left"/>
      <w:lvlText w:val="(%1)"/>
      <w:numFmt w:val="lowerRoman"/>
      <w:start w:val="3"/>
    </w:lvl>
    <w:lvl w:ilvl="1">
      <w:lvlJc w:val="left"/>
      <w:lvlText w:val="(%2)"/>
      <w:numFmt w:val="lowerLetter"/>
      <w:start w:val="14"/>
    </w:lvl>
    <w:lvl w:ilvl="2">
      <w:lvlJc w:val="left"/>
      <w:lvlText w:val="(%3)"/>
      <w:numFmt w:val="lowerRoman"/>
      <w:start w:val="4"/>
    </w:lvl>
  </w:abstractNum>
  <w:abstractNum w:abstractNumId="44">
    <w:nsid w:val="50801EE1"/>
    <w:multiLevelType w:val="hybridMultilevel"/>
    <w:lvl w:ilvl="0">
      <w:lvlJc w:val="left"/>
      <w:lvlText w:val="(%1)"/>
      <w:numFmt w:val="lowerLetter"/>
      <w:start w:val="16"/>
    </w:lvl>
    <w:lvl w:ilvl="1">
      <w:lvlJc w:val="left"/>
      <w:lvlText w:val="(%2)"/>
      <w:numFmt w:val="lowerRoman"/>
      <w:start w:val="1"/>
    </w:lvl>
  </w:abstractNum>
  <w:abstractNum w:abstractNumId="45">
    <w:nsid w:val="488AC1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46">
    <w:nsid w:val="5FB8011C"/>
    <w:multiLevelType w:val="hybridMultilevel"/>
    <w:lvl w:ilvl="0">
      <w:lvlJc w:val="left"/>
      <w:lvlText w:val="(%1)"/>
      <w:numFmt w:val="lowerRoman"/>
      <w:start w:val="2"/>
    </w:lvl>
    <w:lvl w:ilvl="1">
      <w:lvlJc w:val="left"/>
      <w:lvlText w:val="(%2)"/>
      <w:numFmt w:val="lowerLetter"/>
      <w:start w:val="17"/>
    </w:lvl>
    <w:lvl w:ilvl="2">
      <w:lvlJc w:val="left"/>
      <w:lvlText w:val="(%3)"/>
      <w:numFmt w:val="lowerLetter"/>
      <w:start w:val="61"/>
    </w:lvl>
  </w:abstractNum>
  <w:abstractNum w:abstractNumId="47">
    <w:nsid w:val="6AA78F7F"/>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48">
    <w:nsid w:val="7672BD23"/>
    <w:multiLevelType w:val="hybridMultilevel"/>
    <w:lvl w:ilvl="0">
      <w:lvlJc w:val="left"/>
      <w:lvlText w:val="(%1)"/>
      <w:numFmt w:val="lowerRoman"/>
      <w:start w:val="2"/>
    </w:lvl>
  </w:abstractNum>
  <w:abstractNum w:abstractNumId="49">
    <w:nsid w:val="6FC75AF8"/>
    <w:multiLevelType w:val="hybridMultilevel"/>
    <w:lvl w:ilvl="0">
      <w:lvlJc w:val="left"/>
      <w:lvlText w:val="(%1)"/>
      <w:numFmt w:val="lowerLetter"/>
      <w:start w:val="20"/>
    </w:lvl>
    <w:lvl w:ilvl="1">
      <w:lvlJc w:val="left"/>
      <w:lvlText w:val="(%2)"/>
      <w:numFmt w:val="lowerRoman"/>
      <w:start w:val="1"/>
    </w:lvl>
  </w:abstractNum>
  <w:abstractNum w:abstractNumId="50">
    <w:nsid w:val="6A5F7029"/>
    <w:multiLevelType w:val="hybridMultilevel"/>
    <w:lvl w:ilvl="0">
      <w:lvlJc w:val="left"/>
      <w:lvlText w:val="%1"/>
      <w:numFmt w:val="lowerLetter"/>
      <w:start w:val="1"/>
    </w:lvl>
    <w:lvl w:ilvl="1">
      <w:lvlJc w:val="left"/>
      <w:lvlText w:val="(%2)"/>
      <w:numFmt w:val="lowerRoman"/>
      <w:start w:val="5"/>
    </w:lvl>
  </w:abstractNum>
  <w:abstractNum w:abstractNumId="51">
    <w:nsid w:val="7D5E18F8"/>
    <w:multiLevelType w:val="hybridMultilevel"/>
    <w:lvl w:ilvl="0">
      <w:lvlJc w:val="left"/>
      <w:lvlText w:val="(%1)"/>
      <w:numFmt w:val="lowerLetter"/>
      <w:start w:val="23"/>
    </w:lvl>
    <w:lvl w:ilvl="1">
      <w:lvlJc w:val="left"/>
      <w:lvlText w:val="(%2)"/>
      <w:numFmt w:val="lowerRoman"/>
      <w:start w:val="1"/>
    </w:lvl>
  </w:abstractNum>
  <w:abstractNum w:abstractNumId="52">
    <w:nsid w:val="5F3534A4"/>
    <w:multiLevelType w:val="hybridMultilevel"/>
    <w:lvl w:ilvl="0">
      <w:lvlJc w:val="left"/>
      <w:lvlText w:val="(%1)"/>
      <w:numFmt w:val="lowerLetter"/>
      <w:start w:val="27"/>
    </w:lvl>
  </w:abstractNum>
  <w:abstractNum w:abstractNumId="53">
    <w:nsid w:val="73A1821B"/>
    <w:multiLevelType w:val="hybridMultilevel"/>
    <w:lvl w:ilvl="0">
      <w:lvlJc w:val="left"/>
      <w:lvlText w:val="(%1)"/>
      <w:numFmt w:val="lowerLetter"/>
      <w:start w:val="1"/>
    </w:lvl>
  </w:abstractNum>
  <w:abstractNum w:abstractNumId="54">
    <w:nsid w:val="7DE67713"/>
    <w:multiLevelType w:val="hybridMultilevel"/>
    <w:lvl w:ilvl="0">
      <w:lvlJc w:val="left"/>
      <w:lvlText w:val="(%1)"/>
      <w:numFmt w:val="lowerLetter"/>
      <w:start w:val="3"/>
    </w:lvl>
  </w:abstractNum>
  <w:abstractNum w:abstractNumId="55">
    <w:nsid w:val="555C55B5"/>
    <w:multiLevelType w:val="hybridMultilevel"/>
    <w:lvl w:ilvl="0">
      <w:lvlJc w:val="left"/>
      <w:lvlText w:val="(%1)"/>
      <w:numFmt w:val="lowerLetter"/>
      <w:start w:val="10"/>
    </w:lvl>
  </w:abstractNum>
  <w:abstractNum w:abstractNumId="56">
    <w:nsid w:val="3FA62ACA"/>
    <w:multiLevelType w:val="hybridMultilevel"/>
    <w:lvl w:ilvl="0">
      <w:lvlJc w:val="left"/>
      <w:lvlText w:val="(%1)"/>
      <w:numFmt w:val="lowerLetter"/>
      <w:start w:val="1"/>
    </w:lvl>
  </w:abstractNum>
  <w:abstractNum w:abstractNumId="57">
    <w:nsid w:val="14FCE74E"/>
    <w:multiLevelType w:val="hybridMultilevel"/>
    <w:lvl w:ilvl="0">
      <w:lvlJc w:val="left"/>
      <w:lvlText w:val="(%1)"/>
      <w:numFmt w:val="lowerLetter"/>
      <w:start w:val="7"/>
    </w:lvl>
  </w:abstractNum>
  <w:abstractNum w:abstractNumId="58">
    <w:nsid w:val="6A3DD3E8"/>
    <w:multiLevelType w:val="hybridMultilevel"/>
    <w:lvl w:ilvl="0">
      <w:lvlJc w:val="left"/>
      <w:lvlText w:val="(%1)"/>
      <w:numFmt w:val="lowerLetter"/>
      <w:start w:val="1"/>
    </w:lvl>
  </w:abstractNum>
  <w:abstractNum w:abstractNumId="59">
    <w:nsid w:val="71C91298"/>
    <w:multiLevelType w:val="hybridMultilevel"/>
    <w:lvl w:ilvl="0">
      <w:lvlJc w:val="left"/>
      <w:lvlText w:val="(%1)"/>
      <w:numFmt w:val="lowerLetter"/>
      <w:start w:val="2"/>
    </w:lvl>
  </w:abstractNum>
  <w:abstractNum w:abstractNumId="60">
    <w:nsid w:val="9DAF632"/>
    <w:multiLevelType w:val="hybridMultilevel"/>
    <w:lvl w:ilvl="0">
      <w:lvlJc w:val="left"/>
      <w:lvlText w:val="(%1)"/>
      <w:numFmt w:val="lowerLetter"/>
      <w:start w:val="1"/>
    </w:lvl>
  </w:abstractNum>
  <w:abstractNum w:abstractNumId="61">
    <w:nsid w:val="53299938"/>
    <w:multiLevelType w:val="hybridMultilevel"/>
    <w:lvl w:ilvl="0">
      <w:lvlJc w:val="left"/>
      <w:lvlText w:val="(%1)"/>
      <w:numFmt w:val="lowerLetter"/>
      <w:start w:val="2"/>
    </w:lvl>
    <w:lvl w:ilvl="1">
      <w:lvlJc w:val="left"/>
      <w:lvlText w:val="(%2)"/>
      <w:numFmt w:val="lowerRoman"/>
      <w:start w:val="1"/>
    </w:lvl>
  </w:abstractNum>
  <w:abstractNum w:abstractNumId="62">
    <w:nsid w:val="1FBFE8E0"/>
    <w:multiLevelType w:val="hybridMultilevel"/>
    <w:lvl w:ilvl="0">
      <w:lvlJc w:val="left"/>
      <w:lvlText w:val="(%1)"/>
      <w:numFmt w:val="lowerRoman"/>
      <w:start w:val="11"/>
    </w:lvl>
  </w:abstractNum>
  <w:abstractNum w:abstractNumId="63">
    <w:nsid w:val="5092CA79"/>
    <w:multiLevelType w:val="hybridMultilevel"/>
    <w:lvl w:ilvl="0">
      <w:lvlJc w:val="left"/>
      <w:lvlText w:val="(%1)"/>
      <w:numFmt w:val="lowerRoman"/>
      <w:start w:val="21"/>
    </w:lvl>
  </w:abstractNum>
  <w:abstractNum w:abstractNumId="64">
    <w:nsid w:val="1D545C4D"/>
    <w:multiLevelType w:val="hybridMultilevel"/>
    <w:lvl w:ilvl="0">
      <w:lvlJc w:val="left"/>
      <w:lvlText w:val="(%1)"/>
      <w:numFmt w:val="lowerLetter"/>
      <w:start w:val="3"/>
    </w:lvl>
  </w:abstractNum>
  <w:abstractNum w:abstractNumId="65">
    <w:nsid w:val="59ADEA3D"/>
    <w:multiLevelType w:val="hybridMultilevel"/>
    <w:lvl w:ilvl="0">
      <w:lvlJc w:val="left"/>
      <w:lvlText w:val="(%1)"/>
      <w:numFmt w:val="lowerLetter"/>
      <w:start w:val="1"/>
    </w:lvl>
  </w:abstractNum>
  <w:abstractNum w:abstractNumId="66">
    <w:nsid w:val="288F1A34"/>
    <w:multiLevelType w:val="hybridMultilevel"/>
    <w:lvl w:ilvl="0">
      <w:lvlJc w:val="left"/>
      <w:lvlText w:val="(%1)"/>
      <w:numFmt w:val="lowerLetter"/>
      <w:start w:val="2"/>
    </w:lvl>
  </w:abstractNum>
  <w:abstractNum w:abstractNumId="67">
    <w:nsid w:val="2A155DBC"/>
    <w:multiLevelType w:val="hybridMultilevel"/>
    <w:lvl w:ilvl="0">
      <w:lvlJc w:val="left"/>
      <w:lvlText w:val="(%1)"/>
      <w:numFmt w:val="lowerLetter"/>
      <w:start w:val="1"/>
    </w:lvl>
  </w:abstractNum>
  <w:abstractNum w:abstractNumId="68">
    <w:nsid w:val="1D9F6E5F"/>
    <w:multiLevelType w:val="hybridMultilevel"/>
    <w:lvl w:ilvl="0">
      <w:lvlJc w:val="left"/>
      <w:lvlText w:val="(%1)"/>
      <w:numFmt w:val="lowerLetter"/>
      <w:start w:val="2"/>
    </w:lvl>
  </w:abstractNum>
  <w:abstractNum w:abstractNumId="69">
    <w:nsid w:val="97E1B4E"/>
    <w:multiLevelType w:val="hybridMultilevel"/>
    <w:lvl w:ilvl="0">
      <w:lvlJc w:val="left"/>
      <w:lvlText w:val="(%1)"/>
      <w:numFmt w:val="lowerLetter"/>
      <w:start w:val="1"/>
    </w:lvl>
    <w:lvl w:ilvl="1">
      <w:lvlJc w:val="left"/>
      <w:lvlText w:val="(%2)"/>
      <w:numFmt w:val="lowerRoman"/>
      <w:start w:val="1"/>
    </w:lvl>
  </w:abstractNum>
  <w:abstractNum w:abstractNumId="70">
    <w:nsid w:val="51088277"/>
    <w:multiLevelType w:val="hybridMultilevel"/>
    <w:lvl w:ilvl="0">
      <w:lvlJc w:val="left"/>
      <w:lvlText w:val="(%1)"/>
      <w:numFmt w:val="lowerLetter"/>
      <w:start w:val="1"/>
    </w:lvl>
  </w:abstractNum>
  <w:abstractNum w:abstractNumId="71">
    <w:nsid w:val="1CA0C5FA"/>
    <w:multiLevelType w:val="hybridMultilevel"/>
    <w:lvl w:ilvl="0">
      <w:lvlJc w:val="left"/>
      <w:lvlText w:val="(%1)"/>
      <w:numFmt w:val="lowerLetter"/>
      <w:start w:val="2"/>
    </w:lvl>
  </w:abstractNum>
  <w:abstractNum w:abstractNumId="72">
    <w:nsid w:val="53584BCB"/>
    <w:multiLevelType w:val="hybridMultilevel"/>
    <w:lvl w:ilvl="0">
      <w:lvlJc w:val="left"/>
      <w:lvlText w:val="(%1)"/>
      <w:numFmt w:val="lowerLetter"/>
      <w:start w:val="1"/>
    </w:lvl>
  </w:abstractNum>
  <w:abstractNum w:abstractNumId="73">
    <w:nsid w:val="415E286C"/>
    <w:multiLevelType w:val="hybridMultilevel"/>
    <w:lvl w:ilvl="0">
      <w:lvlJc w:val="left"/>
      <w:lvlText w:val="(%1)"/>
      <w:numFmt w:val="lowerLetter"/>
      <w:start w:val="1"/>
    </w:lvl>
  </w:abstractNum>
  <w:abstractNum w:abstractNumId="74">
    <w:nsid w:val="7C58FD05"/>
    <w:multiLevelType w:val="hybridMultilevel"/>
    <w:lvl w:ilvl="0">
      <w:lvlJc w:val="left"/>
      <w:lvlText w:val="(%1)"/>
      <w:numFmt w:val="lowerLetter"/>
      <w:start w:val="2"/>
    </w:lvl>
  </w:abstractNum>
  <w:abstractNum w:abstractNumId="75">
    <w:nsid w:val="23D86AAC"/>
    <w:multiLevelType w:val="hybridMultilevel"/>
    <w:lvl w:ilvl="0">
      <w:lvlJc w:val="left"/>
      <w:lvlText w:val="(%1)"/>
      <w:numFmt w:val="lowerLetter"/>
      <w:start w:val="3"/>
    </w:lvl>
  </w:abstractNum>
  <w:abstractNum w:abstractNumId="76">
    <w:nsid w:val="45E6D486"/>
    <w:multiLevelType w:val="hybridMultilevel"/>
    <w:lvl w:ilvl="0">
      <w:lvlJc w:val="left"/>
      <w:lvlText w:val="(%1)"/>
      <w:numFmt w:val="lowerLetter"/>
      <w:start w:val="1"/>
    </w:lvl>
  </w:abstractNum>
  <w:abstractNum w:abstractNumId="77">
    <w:nsid w:val="5C10FE21"/>
    <w:multiLevelType w:val="hybridMultilevel"/>
    <w:lvl w:ilvl="0">
      <w:lvlJc w:val="left"/>
      <w:lvlText w:val="(%1)"/>
      <w:numFmt w:val="lowerLetter"/>
      <w:start w:val="1"/>
    </w:lvl>
    <w:lvl w:ilvl="1">
      <w:lvlJc w:val="left"/>
      <w:lvlText w:val="(%2)"/>
      <w:numFmt w:val="lowerRoman"/>
      <w:start w:val="1"/>
    </w:lvl>
  </w:abstractNum>
  <w:abstractNum w:abstractNumId="78">
    <w:nsid w:val="E7FFA2B"/>
    <w:multiLevelType w:val="hybridMultilevel"/>
    <w:lvl w:ilvl="0">
      <w:lvlJc w:val="left"/>
      <w:lvlText w:val="(%1)"/>
      <w:numFmt w:val="lowerLetter"/>
      <w:start w:val="2"/>
    </w:lvl>
    <w:lvl w:ilvl="1">
      <w:lvlJc w:val="left"/>
      <w:lvlText w:val="(%2)"/>
      <w:numFmt w:val="lowerLetter"/>
      <w:start w:val="9"/>
    </w:lvl>
  </w:abstractNum>
  <w:abstractNum w:abstractNumId="79">
    <w:nsid w:val="3C5991AA"/>
    <w:multiLevelType w:val="hybridMultilevel"/>
    <w:lvl w:ilvl="0">
      <w:lvlJc w:val="left"/>
      <w:lvlText w:val="(%1)"/>
      <w:numFmt w:val="lowerLetter"/>
      <w:start w:val="1"/>
    </w:lvl>
  </w:abstractNum>
  <w:abstractNum w:abstractNumId="80">
    <w:nsid w:val="4BD8591A"/>
    <w:multiLevelType w:val="hybridMultilevel"/>
    <w:lvl w:ilvl="0">
      <w:lvlJc w:val="left"/>
      <w:lvlText w:val="(%1)"/>
      <w:numFmt w:val="lowerLetter"/>
      <w:start w:val="1"/>
    </w:lvl>
    <w:lvl w:ilvl="1">
      <w:lvlJc w:val="left"/>
      <w:lvlText w:val="(%2)"/>
      <w:numFmt w:val="lowerRoman"/>
      <w:start w:val="1"/>
    </w:lvl>
  </w:abstractNum>
  <w:abstractNum w:abstractNumId="81">
    <w:nsid w:val="78DF6A55"/>
    <w:multiLevelType w:val="hybridMultilevel"/>
    <w:lvl w:ilvl="0">
      <w:lvlJc w:val="left"/>
      <w:lvlText w:val="%1."/>
      <w:numFmt w:val="upperLetter"/>
      <w:start w:val="1"/>
    </w:lvl>
  </w:abstractNum>
  <w:abstractNum w:abstractNumId="82">
    <w:nsid w:val="39B7AAA2"/>
    <w:multiLevelType w:val="hybridMultilevel"/>
    <w:lvl w:ilvl="0">
      <w:lvlJc w:val="left"/>
      <w:lvlText w:val="(%1)"/>
      <w:numFmt w:val="lowerLetter"/>
      <w:start w:val="2"/>
    </w:lvl>
  </w:abstractNum>
  <w:abstractNum w:abstractNumId="83">
    <w:nsid w:val="2B0D8DBE"/>
    <w:multiLevelType w:val="hybridMultilevel"/>
    <w:lvl w:ilvl="0">
      <w:lvlJc w:val="left"/>
      <w:lvlText w:val="%1."/>
      <w:numFmt w:val="decimal"/>
      <w:start w:val="1"/>
    </w:lvl>
  </w:abstractNum>
  <w:abstractNum w:abstractNumId="84">
    <w:nsid w:val="6C80EC70"/>
    <w:multiLevelType w:val="hybridMultilevel"/>
    <w:lvl w:ilvl="0">
      <w:lvlJc w:val="left"/>
      <w:lvlText w:val="(%1)"/>
      <w:numFmt w:val="lowerLetter"/>
      <w:start w:val="1"/>
    </w:lvl>
  </w:abstractNum>
  <w:abstractNum w:abstractNumId="85">
    <w:nsid w:val="379E21B5"/>
    <w:multiLevelType w:val="hybridMultilevel"/>
    <w:lvl w:ilvl="0">
      <w:lvlJc w:val="left"/>
      <w:lvlText w:val="(%1)"/>
      <w:numFmt w:val="lowerLetter"/>
      <w:start w:val="9"/>
    </w:lvl>
  </w:abstractNum>
  <w:abstractNum w:abstractNumId="86">
    <w:nsid w:val="69E373"/>
    <w:multiLevelType w:val="hybridMultilevel"/>
    <w:lvl w:ilvl="0">
      <w:lvlJc w:val="left"/>
      <w:lvlText w:val="(%1)"/>
      <w:numFmt w:val="lowerRoman"/>
      <w:start w:val="2"/>
    </w:lvl>
  </w:abstractNum>
  <w:abstractNum w:abstractNumId="87">
    <w:nsid w:val="2C27173B"/>
    <w:multiLevelType w:val="hybridMultilevel"/>
    <w:lvl w:ilvl="0">
      <w:lvlJc w:val="left"/>
      <w:lvlText w:val="(%1)"/>
      <w:numFmt w:val="lowerLetter"/>
      <w:start w:val="1"/>
    </w:lvl>
  </w:abstractNum>
  <w:abstractNum w:abstractNumId="88">
    <w:nsid w:val="4C9B0904"/>
    <w:multiLevelType w:val="hybridMultilevel"/>
    <w:lvl w:ilvl="0">
      <w:lvlJc w:val="left"/>
      <w:lvlText w:val="(%1)"/>
      <w:numFmt w:val="lowerLetter"/>
      <w:start w:val="1"/>
    </w:lvl>
  </w:abstractNum>
  <w:abstractNum w:abstractNumId="89">
    <w:nsid w:val="6AA7B7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0">
    <w:nsid w:val="1DF029D3"/>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2"/>
    </w:lvl>
  </w:abstractNum>
  <w:abstractNum w:abstractNumId="91">
    <w:nsid w:val="5675FF3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2">
    <w:nsid w:val="3DD15094"/>
    <w:multiLevelType w:val="hybridMultilevel"/>
    <w:lvl w:ilvl="0">
      <w:lvlJc w:val="left"/>
      <w:lvlText w:val="(%1)"/>
      <w:numFmt w:val="lowerLetter"/>
      <w:start w:val="1"/>
    </w:lvl>
  </w:abstractNum>
  <w:abstractNum w:abstractNumId="93">
    <w:nsid w:val="3DB012B3"/>
    <w:multiLevelType w:val="hybridMultilevel"/>
    <w:lvl w:ilvl="0">
      <w:lvlJc w:val="left"/>
      <w:lvlText w:val="(%1)"/>
      <w:numFmt w:val="lowerLetter"/>
      <w:start w:val="3"/>
    </w:lvl>
  </w:abstractNum>
  <w:abstractNum w:abstractNumId="94">
    <w:nsid w:val="2708C9AF"/>
    <w:multiLevelType w:val="hybridMultilevel"/>
    <w:lvl w:ilvl="0">
      <w:lvlJc w:val="left"/>
      <w:lvlText w:val="(%1)"/>
      <w:numFmt w:val="lowerLetter"/>
      <w:start w:val="1"/>
    </w:lvl>
    <w:lvl w:ilvl="1">
      <w:lvlJc w:val="left"/>
      <w:lvlText w:val="(%2)"/>
      <w:numFmt w:val="lowerRoman"/>
      <w:start w:val="1"/>
    </w:lvl>
  </w:abstractNum>
  <w:abstractNum w:abstractNumId="95">
    <w:nsid w:val="5B25ACE2"/>
    <w:multiLevelType w:val="hybridMultilevel"/>
    <w:lvl w:ilvl="0">
      <w:lvlJc w:val="left"/>
      <w:lvlText w:val="%1"/>
      <w:numFmt w:val="lowerLetter"/>
      <w:start w:val="1"/>
    </w:lvl>
    <w:lvl w:ilvl="1">
      <w:lvlJc w:val="left"/>
      <w:lvlText w:val="(%2)"/>
      <w:numFmt w:val="lowerLetter"/>
      <w:start w:val="1"/>
    </w:lvl>
  </w:abstractNum>
  <w:abstractNum w:abstractNumId="96">
    <w:nsid w:val="175DFCF0"/>
    <w:multiLevelType w:val="hybridMultilevel"/>
    <w:lvl w:ilvl="0">
      <w:lvlJc w:val="left"/>
      <w:lvlText w:val="(%1)"/>
      <w:numFmt w:val="lowerLetter"/>
      <w:start w:val="9"/>
    </w:lvl>
    <w:lvl w:ilvl="1">
      <w:lvlJc w:val="left"/>
      <w:lvlText w:val="%2"/>
      <w:numFmt w:val="lowerLetter"/>
      <w:start w:val="1"/>
    </w:lvl>
  </w:abstractNum>
  <w:abstractNum w:abstractNumId="97">
    <w:nsid w:val="4F97E3E4"/>
    <w:multiLevelType w:val="hybridMultilevel"/>
    <w:lvl w:ilvl="0">
      <w:lvlJc w:val="left"/>
      <w:lvlText w:val="(%1)"/>
      <w:numFmt w:val="lowerLetter"/>
      <w:start w:val="5"/>
    </w:lvl>
    <w:lvl w:ilvl="1">
      <w:lvlJc w:val="left"/>
      <w:lvlText w:val="(%2)"/>
      <w:numFmt w:val="lowerRoman"/>
      <w:start w:val="1"/>
    </w:lvl>
  </w:abstractNum>
  <w:abstractNum w:abstractNumId="98">
    <w:nsid w:val="53B0A9E"/>
    <w:multiLevelType w:val="hybridMultilevel"/>
    <w:lvl w:ilvl="0">
      <w:lvlJc w:val="left"/>
      <w:lvlText w:val="(%1)"/>
      <w:numFmt w:val="lowerRoman"/>
      <w:start w:val="3"/>
    </w:lvl>
  </w:abstractNum>
  <w:abstractNum w:abstractNumId="99">
    <w:nsid w:val="34FD6B4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2"/>
    </w:lvl>
  </w:abstractNum>
  <w:abstractNum w:abstractNumId="100">
    <w:nsid w:val="5915FF32"/>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101">
    <w:nsid w:val="56438D15"/>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102">
    <w:nsid w:val="519E3149"/>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03">
    <w:nsid w:val="2C6E4AFD"/>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104">
    <w:nsid w:val="17A1B582"/>
    <w:multiLevelType w:val="hybridMultilevel"/>
    <w:lvl w:ilvl="0">
      <w:lvlJc w:val="left"/>
      <w:lvlText w:val="%1"/>
      <w:numFmt w:val="lowerLetter"/>
      <w:start w:val="1"/>
    </w:lvl>
    <w:lvl w:ilvl="1">
      <w:lvlJc w:val="left"/>
      <w:lvlText w:val="(%2)"/>
      <w:numFmt w:val="lowerRoman"/>
      <w:start w:val="3"/>
    </w:lvl>
  </w:abstractNum>
  <w:abstractNum w:abstractNumId="105">
    <w:nsid w:val="4DF72E4E"/>
    <w:multiLevelType w:val="hybridMultilevel"/>
    <w:lvl w:ilvl="0">
      <w:lvlJc w:val="left"/>
      <w:lvlText w:val="(%1)"/>
      <w:numFmt w:val="lowerLetter"/>
      <w:start w:val="14"/>
    </w:lvl>
    <w:lvl w:ilvl="1">
      <w:lvlJc w:val="left"/>
      <w:lvlText w:val="(%2)"/>
      <w:numFmt w:val="lowerRoman"/>
      <w:start w:val="1"/>
    </w:lvl>
  </w:abstractNum>
  <w:abstractNum w:abstractNumId="106">
    <w:nsid w:val="5046B5A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07">
    <w:nsid w:val="5D888A08"/>
    <w:multiLevelType w:val="hybridMultilevel"/>
    <w:lvl w:ilvl="0">
      <w:lvlJc w:val="left"/>
      <w:lvlText w:val="%1"/>
      <w:numFmt w:val="lowerRoman"/>
      <w:start w:val="1"/>
    </w:lvl>
    <w:lvl w:ilvl="1">
      <w:lvlJc w:val="left"/>
      <w:lvlText w:val="(%2)"/>
      <w:numFmt w:val="lowerLetter"/>
      <w:start w:val="17"/>
    </w:lvl>
    <w:lvl w:ilvl="2">
      <w:lvlJc w:val="left"/>
      <w:lvlText w:val="(%3)"/>
      <w:numFmt w:val="lowerRoman"/>
      <w:start w:val="1"/>
    </w:lvl>
  </w:abstractNum>
  <w:abstractNum w:abstractNumId="108">
    <w:nsid w:val="2A082C70"/>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09">
    <w:nsid w:val="5EC6AFD4"/>
    <w:multiLevelType w:val="hybridMultilevel"/>
    <w:lvl w:ilvl="0">
      <w:lvlJc w:val="left"/>
      <w:lvlText w:val="%1"/>
      <w:numFmt w:val="lowerLetter"/>
      <w:start w:val="1"/>
    </w:lvl>
    <w:lvl w:ilvl="1">
      <w:lvlJc w:val="left"/>
      <w:lvlText w:val="(%2)"/>
      <w:numFmt w:val="lowerLetter"/>
      <w:start w:val="61"/>
    </w:lvl>
  </w:abstractNum>
  <w:abstractNum w:abstractNumId="110">
    <w:nsid w:val="19E21BB2"/>
    <w:multiLevelType w:val="hybridMultilevel"/>
    <w:lvl w:ilvl="0">
      <w:lvlJc w:val="left"/>
      <w:lvlText w:val="(%1)"/>
      <w:numFmt w:val="lowerLetter"/>
      <w:start w:val="18"/>
    </w:lvl>
    <w:lvl w:ilvl="1">
      <w:lvlJc w:val="left"/>
      <w:lvlText w:val="(%2)"/>
      <w:numFmt w:val="lowerLetter"/>
      <w:start w:val="9"/>
    </w:lvl>
  </w:abstractNum>
  <w:abstractNum w:abstractNumId="111">
    <w:nsid w:val="75E0858A"/>
    <w:multiLevelType w:val="hybridMultilevel"/>
    <w:lvl w:ilvl="0">
      <w:lvlJc w:val="left"/>
      <w:lvlText w:val="%1"/>
      <w:numFmt w:val="lowerLetter"/>
      <w:start w:val="1"/>
    </w:lvl>
    <w:lvl w:ilvl="1">
      <w:lvlJc w:val="left"/>
      <w:lvlText w:val="(%2)"/>
      <w:numFmt w:val="lowerRoman"/>
      <w:start w:val="2"/>
    </w:lvl>
  </w:abstractNum>
  <w:abstractNum w:abstractNumId="112">
    <w:nsid w:val="57A61A29"/>
    <w:multiLevelType w:val="hybridMultilevel"/>
    <w:lvl w:ilvl="0">
      <w:lvlJc w:val="left"/>
      <w:lvlText w:val="(%1)"/>
      <w:numFmt w:val="lowerLetter"/>
      <w:start w:val="20"/>
    </w:lvl>
    <w:lvl w:ilvl="1">
      <w:lvlJc w:val="left"/>
      <w:lvlText w:val="%2"/>
      <w:numFmt w:val="lowerRoman"/>
      <w:start w:val="1"/>
    </w:lvl>
  </w:abstractNum>
  <w:abstractNum w:abstractNumId="113">
    <w:nsid w:val="5399C654"/>
    <w:multiLevelType w:val="hybridMultilevel"/>
    <w:lvl w:ilvl="0">
      <w:lvlJc w:val="left"/>
      <w:lvlText w:val="(%1)"/>
      <w:numFmt w:val="lowerLetter"/>
      <w:start w:val="21"/>
    </w:lvl>
    <w:lvl w:ilvl="1">
      <w:lvlJc w:val="left"/>
      <w:lvlText w:val="(%2)"/>
      <w:numFmt w:val="lowerRoman"/>
      <w:start w:val="1"/>
    </w:lvl>
  </w:abstractNum>
  <w:abstractNum w:abstractNumId="114">
    <w:nsid w:val="20EE1348"/>
    <w:multiLevelType w:val="hybridMultilevel"/>
    <w:lvl w:ilvl="0">
      <w:lvlJc w:val="left"/>
      <w:lvlText w:val="%1"/>
      <w:numFmt w:val="lowerLetter"/>
      <w:start w:val="1"/>
    </w:lvl>
    <w:lvl w:ilvl="1">
      <w:lvlJc w:val="left"/>
      <w:lvlText w:val="(%2)"/>
      <w:numFmt w:val="lowerRoman"/>
      <w:start w:val="6"/>
    </w:lvl>
  </w:abstractNum>
  <w:abstractNum w:abstractNumId="115">
    <w:nsid w:val="4427069A"/>
    <w:multiLevelType w:val="hybridMultilevel"/>
    <w:lvl w:ilvl="0">
      <w:lvlJc w:val="left"/>
      <w:lvlText w:val="(%1)"/>
      <w:numFmt w:val="lowerLetter"/>
      <w:start w:val="23"/>
    </w:lvl>
    <w:lvl w:ilvl="1">
      <w:lvlJc w:val="left"/>
      <w:lvlText w:val="(%2)"/>
      <w:numFmt w:val="lowerRoman"/>
      <w:start w:val="1"/>
    </w:lvl>
  </w:abstractNum>
  <w:abstractNum w:abstractNumId="116">
    <w:nsid w:val="B37E80A"/>
    <w:multiLevelType w:val="hybridMultilevel"/>
    <w:lvl w:ilvl="0">
      <w:lvlJc w:val="left"/>
      <w:lvlText w:val="(%1)"/>
      <w:numFmt w:val="lowerLetter"/>
      <w:start w:val="27"/>
    </w:lvl>
  </w:abstractNum>
  <w:abstractNum w:abstractNumId="117">
    <w:nsid w:val="2157F6BC"/>
    <w:multiLevelType w:val="hybridMultilevel"/>
    <w:lvl w:ilvl="0">
      <w:lvlJc w:val="left"/>
      <w:lvlText w:val="(%1)"/>
      <w:numFmt w:val="lowerLetter"/>
      <w:start w:val="28"/>
    </w:lvl>
  </w:abstractNum>
  <w:abstractNum w:abstractNumId="118">
    <w:nsid w:val="704E1DD5"/>
    <w:multiLevelType w:val="hybridMultilevel"/>
    <w:lvl w:ilvl="0">
      <w:lvlJc w:val="left"/>
      <w:lvlText w:val="(%1)"/>
      <w:numFmt w:val="lowerLetter"/>
      <w:start w:val="1"/>
    </w:lvl>
  </w:abstractNum>
  <w:abstractNum w:abstractNumId="119">
    <w:nsid w:val="57D2F10E"/>
    <w:multiLevelType w:val="hybridMultilevel"/>
    <w:lvl w:ilvl="0">
      <w:lvlJc w:val="left"/>
      <w:lvlText w:val="(%1)"/>
      <w:numFmt w:val="lowerLetter"/>
      <w:start w:val="4"/>
    </w:lvl>
  </w:abstractNum>
  <w:abstractNum w:abstractNumId="120">
    <w:nsid w:val="BFFAE18"/>
    <w:multiLevelType w:val="hybridMultilevel"/>
    <w:lvl w:ilvl="0">
      <w:lvlJc w:val="left"/>
      <w:lvlText w:val="(%1)"/>
      <w:numFmt w:val="lowerLetter"/>
      <w:start w:val="11"/>
    </w:lvl>
  </w:abstractNum>
  <w:abstractNum w:abstractNumId="121">
    <w:nsid w:val="E3E47A8"/>
    <w:multiLevelType w:val="hybridMultilevel"/>
    <w:lvl w:ilvl="0">
      <w:lvlJc w:val="left"/>
      <w:lvlText w:val="(%1)"/>
      <w:numFmt w:val="lowerLetter"/>
      <w:start w:val="1"/>
    </w:lvl>
  </w:abstractNum>
  <w:abstractNum w:abstractNumId="122">
    <w:nsid w:val="2E48F044"/>
    <w:multiLevelType w:val="hybridMultilevel"/>
    <w:lvl w:ilvl="0">
      <w:lvlJc w:val="left"/>
      <w:lvlText w:val="(%1)"/>
      <w:numFmt w:val="lowerLetter"/>
      <w:start w:val="8"/>
    </w:lvl>
  </w:abstractNum>
  <w:abstractNum w:abstractNumId="123">
    <w:nsid w:val="49D0FEAC"/>
    <w:multiLevelType w:val="hybridMultilevel"/>
    <w:lvl w:ilvl="0">
      <w:lvlJc w:val="left"/>
      <w:lvlText w:val="(%1)"/>
      <w:numFmt w:val="lowerLetter"/>
      <w:start w:val="1"/>
    </w:lvl>
  </w:abstractNum>
  <w:abstractNum w:abstractNumId="124">
    <w:nsid w:val="4BEE5A5B"/>
    <w:multiLevelType w:val="hybridMultilevel"/>
    <w:lvl w:ilvl="0">
      <w:lvlJc w:val="left"/>
      <w:lvlText w:val="(%1)"/>
      <w:numFmt w:val="lowerLetter"/>
      <w:start w:val="2"/>
    </w:lvl>
  </w:abstractNum>
  <w:abstractNum w:abstractNumId="125">
    <w:nsid w:val="5551B9F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26">
    <w:nsid w:val="24F6AB8E"/>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35"/>
    </w:lvl>
  </w:abstractNum>
  <w:abstractNum w:abstractNumId="127">
    <w:nsid w:val="634C574C"/>
    <w:multiLevelType w:val="hybridMultilevel"/>
    <w:lvl w:ilvl="0">
      <w:lvlJc w:val="left"/>
      <w:lvlText w:val="(%1)"/>
      <w:numFmt w:val="lowerRoman"/>
      <w:start w:val="3"/>
    </w:lvl>
  </w:abstractNum>
  <w:abstractNum w:abstractNumId="128">
    <w:nsid w:val="24E99DD7"/>
    <w:multiLevelType w:val="hybridMultilevel"/>
    <w:lvl w:ilvl="0">
      <w:lvlJc w:val="left"/>
      <w:lvlText w:val="(%1)"/>
      <w:numFmt w:val="lowerRoman"/>
      <w:start w:val="10"/>
    </w:lvl>
  </w:abstractNum>
  <w:abstractNum w:abstractNumId="129">
    <w:nsid w:val="2A31B62D"/>
    <w:multiLevelType w:val="hybridMultilevel"/>
    <w:lvl w:ilvl="0">
      <w:lvlJc w:val="left"/>
      <w:lvlText w:val="(%1)"/>
      <w:numFmt w:val="lowerRoman"/>
      <w:start w:val="20"/>
    </w:lvl>
  </w:abstractNum>
  <w:abstractNum w:abstractNumId="130">
    <w:nsid w:val="1849C29B"/>
    <w:multiLevelType w:val="hybridMultilevel"/>
    <w:lvl w:ilvl="0">
      <w:lvlJc w:val="left"/>
      <w:lvlText w:val="(%1)"/>
      <w:numFmt w:val="lowerLetter"/>
      <w:start w:val="3"/>
    </w:lvl>
  </w:abstractNum>
  <w:abstractNum w:abstractNumId="131">
    <w:nsid w:val="7DFF9D09"/>
    <w:multiLevelType w:val="hybridMultilevel"/>
    <w:lvl w:ilvl="0">
      <w:lvlJc w:val="left"/>
      <w:lvlText w:val="(%1)"/>
      <w:numFmt w:val="lowerLetter"/>
      <w:start w:val="1"/>
    </w:lvl>
  </w:abstractNum>
  <w:abstractNum w:abstractNumId="132">
    <w:nsid w:val="754342"/>
    <w:multiLevelType w:val="hybridMultilevel"/>
    <w:lvl w:ilvl="0">
      <w:lvlJc w:val="left"/>
      <w:lvlText w:val="(%1)"/>
      <w:numFmt w:val="lowerLetter"/>
      <w:start w:val="2"/>
    </w:lvl>
  </w:abstractNum>
  <w:abstractNum w:abstractNumId="133">
    <w:nsid w:val="69E7F3E5"/>
    <w:multiLevelType w:val="hybridMultilevel"/>
    <w:lvl w:ilvl="0">
      <w:lvlJc w:val="left"/>
      <w:lvlText w:val="(%1)"/>
      <w:numFmt w:val="lowerLetter"/>
      <w:start w:val="1"/>
    </w:lvl>
  </w:abstractNum>
  <w:abstractNum w:abstractNumId="134">
    <w:nsid w:val="2A6DE806"/>
    <w:multiLevelType w:val="hybridMultilevel"/>
    <w:lvl w:ilvl="0">
      <w:lvlJc w:val="left"/>
      <w:lvlText w:val="(%1)"/>
      <w:numFmt w:val="lowerLetter"/>
      <w:start w:val="2"/>
    </w:lvl>
  </w:abstractNum>
  <w:abstractNum w:abstractNumId="135">
    <w:nsid w:val="1816F8C4"/>
    <w:multiLevelType w:val="hybridMultilevel"/>
    <w:lvl w:ilvl="0">
      <w:lvlJc w:val="left"/>
      <w:lvlText w:val="(%1)"/>
      <w:numFmt w:val="lowerLetter"/>
      <w:start w:val="1"/>
    </w:lvl>
    <w:lvl w:ilvl="1">
      <w:lvlJc w:val="left"/>
      <w:lvlText w:val="(%2)"/>
      <w:numFmt w:val="lowerRoman"/>
      <w:start w:val="1"/>
    </w:lvl>
  </w:abstractNum>
  <w:abstractNum w:abstractNumId="136">
    <w:nsid w:val="37DF2233"/>
    <w:multiLevelType w:val="hybridMultilevel"/>
    <w:lvl w:ilvl="0">
      <w:lvlJc w:val="left"/>
      <w:lvlText w:val="(%1)"/>
      <w:numFmt w:val="lowerRoman"/>
      <w:start w:val="11"/>
    </w:lvl>
  </w:abstractNum>
  <w:abstractNum w:abstractNumId="137">
    <w:nsid w:val="7AB49DAF"/>
    <w:multiLevelType w:val="hybridMultilevel"/>
    <w:lvl w:ilvl="0">
      <w:lvlJc w:val="left"/>
      <w:lvlText w:val="(%1)"/>
      <w:numFmt w:val="lowerLetter"/>
      <w:start w:val="1"/>
    </w:lvl>
  </w:abstractNum>
  <w:abstractNum w:abstractNumId="138">
    <w:nsid w:val="759F82CD"/>
    <w:multiLevelType w:val="hybridMultilevel"/>
    <w:lvl w:ilvl="0">
      <w:lvlJc w:val="left"/>
      <w:lvlText w:val="(%1)"/>
      <w:numFmt w:val="lowerLetter"/>
      <w:start w:val="2"/>
    </w:lvl>
  </w:abstractNum>
  <w:abstractNum w:abstractNumId="139">
    <w:nsid w:val="61E74EA3"/>
    <w:multiLevelType w:val="hybridMultilevel"/>
    <w:lvl w:ilvl="0">
      <w:lvlJc w:val="left"/>
      <w:lvlText w:val="(%1)"/>
      <w:numFmt w:val="lowerLetter"/>
      <w:start w:val="1"/>
    </w:lvl>
  </w:abstractNum>
  <w:abstractNum w:abstractNumId="140">
    <w:nsid w:val="597B4D84"/>
    <w:multiLevelType w:val="hybridMultilevel"/>
    <w:lvl w:ilvl="0">
      <w:lvlJc w:val="left"/>
      <w:lvlText w:val="(%1)"/>
      <w:numFmt w:val="lowerLetter"/>
      <w:start w:val="1"/>
    </w:lvl>
  </w:abstractNum>
  <w:abstractNum w:abstractNumId="141">
    <w:nsid w:val="F819E7F"/>
    <w:multiLevelType w:val="hybridMultilevel"/>
    <w:lvl w:ilvl="0">
      <w:lvlJc w:val="left"/>
      <w:lvlText w:val="(%1)"/>
      <w:numFmt w:val="lowerLetter"/>
      <w:start w:val="2"/>
    </w:lvl>
  </w:abstractNum>
  <w:abstractNum w:abstractNumId="142">
    <w:nsid w:val="57C7D42D"/>
    <w:multiLevelType w:val="hybridMultilevel"/>
    <w:lvl w:ilvl="0">
      <w:lvlJc w:val="left"/>
      <w:lvlText w:val="(%1)"/>
      <w:numFmt w:val="lowerLetter"/>
      <w:start w:val="1"/>
    </w:lvl>
  </w:abstractNum>
  <w:abstractNum w:abstractNumId="143">
    <w:nsid w:val="312167AD"/>
    <w:multiLevelType w:val="hybridMultilevel"/>
    <w:lvl w:ilvl="0">
      <w:lvlJc w:val="left"/>
      <w:lvlText w:val="(%1)"/>
      <w:numFmt w:val="lowerLetter"/>
      <w:start w:val="1"/>
    </w:lvl>
    <w:lvl w:ilvl="1">
      <w:lvlJc w:val="left"/>
      <w:lvlText w:val="(%2)"/>
      <w:numFmt w:val="lowerRoman"/>
      <w:start w:val="1"/>
    </w:lvl>
  </w:abstractNum>
  <w:abstractNum w:abstractNumId="144">
    <w:nsid w:val="631B64D4"/>
    <w:multiLevelType w:val="hybridMultilevel"/>
    <w:lvl w:ilvl="0">
      <w:lvlJc w:val="left"/>
      <w:lvlText w:val="%1"/>
      <w:numFmt w:val="lowerLetter"/>
      <w:start w:val="1"/>
    </w:lvl>
    <w:lvl w:ilvl="1">
      <w:lvlJc w:val="left"/>
      <w:lvlText w:val="(%2)"/>
      <w:numFmt w:val="lowerLetter"/>
      <w:start w:val="22"/>
    </w:lvl>
  </w:abstractNum>
  <w:abstractNum w:abstractNumId="145">
    <w:nsid w:val="78B5E776"/>
    <w:multiLevelType w:val="hybridMultilevel"/>
    <w:lvl w:ilvl="0">
      <w:lvlJc w:val="left"/>
      <w:lvlText w:val="(%1)"/>
      <w:numFmt w:val="lowerLetter"/>
      <w:start w:val="2"/>
    </w:lvl>
    <w:lvl w:ilvl="1">
      <w:lvlJc w:val="left"/>
      <w:lvlText w:val="%2"/>
      <w:numFmt w:val="lowerLetter"/>
      <w:start w:val="1"/>
    </w:lvl>
  </w:abstractNum>
  <w:abstractNum w:abstractNumId="146">
    <w:nsid w:val="75486E47"/>
    <w:multiLevelType w:val="hybridMultilevel"/>
    <w:lvl w:ilvl="0">
      <w:lvlJc w:val="left"/>
      <w:lvlText w:val="(%1)"/>
      <w:numFmt w:val="lowerLetter"/>
      <w:start w:val="1"/>
    </w:lvl>
  </w:abstractNum>
  <w:abstractNum w:abstractNumId="147">
    <w:nsid w:val="6E534CDE"/>
    <w:multiLevelType w:val="hybridMultilevel"/>
    <w:lvl w:ilvl="0">
      <w:lvlJc w:val="left"/>
      <w:lvlText w:val="(%1)"/>
      <w:numFmt w:val="lowerLetter"/>
      <w:start w:val="3"/>
    </w:lvl>
  </w:abstractNum>
  <w:abstractNum w:abstractNumId="148">
    <w:nsid w:val="1A0DDE3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2022-01-18T07:07:39Z</dcterms:created>
  <dcterms:modified xsi:type="dcterms:W3CDTF">2022-01-18T07:07:39Z</dcterms:modified>
</cp:coreProperties>
</file>