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11"/>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0"/>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10"/>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Global Infrastructure Investors III, LLC</w:t>
              </w:r>
            </w:hyperlink>
          </w:p>
        </w:tc>
        <w:tc>
          <w:tcPr>
            <w:tcW w:w="80" w:type="dxa"/>
            <w:vAlign w:val="bottom"/>
          </w:tcPr>
          <w:p>
            <w:pPr>
              <w:spacing w:after="0"/>
              <w:rPr>
                <w:sz w:val="9"/>
                <w:szCs w:val="9"/>
                <w:color w:val="auto"/>
              </w:rPr>
            </w:pPr>
          </w:p>
        </w:tc>
        <w:tc>
          <w:tcPr>
            <w:tcW w:w="2900" w:type="dxa"/>
            <w:vAlign w:val="bottom"/>
            <w:gridSpan w:val="10"/>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20" w:type="dxa"/>
            <w:vAlign w:val="bottom"/>
            <w:gridSpan w:val="10"/>
            <w:vMerge w:val="continue"/>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20" w:type="dxa"/>
            <w:vAlign w:val="bottom"/>
            <w:gridSpan w:val="10"/>
            <w:vMerge w:val="continue"/>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2"/>
                <w:szCs w:val="2"/>
                <w:color w:val="auto"/>
              </w:rPr>
            </w:pPr>
          </w:p>
        </w:tc>
        <w:tc>
          <w:tcPr>
            <w:tcW w:w="1680" w:type="dxa"/>
            <w:vAlign w:val="bottom"/>
            <w:gridSpan w:val="5"/>
            <w:vMerge w:val="restart"/>
          </w:tcPr>
          <w:p>
            <w:pPr>
              <w:ind w:left="1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20" w:type="dxa"/>
            <w:vAlign w:val="bottom"/>
            <w:gridSpan w:val="10"/>
            <w:vMerge w:val="continue"/>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6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6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80" w:type="dxa"/>
            <w:vAlign w:val="bottom"/>
            <w:gridSpan w:val="3"/>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68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gridSpan w:val="3"/>
            <w:vMerge w:val="continue"/>
          </w:tcPr>
          <w:p>
            <w:pPr>
              <w:spacing w:after="0"/>
              <w:rPr>
                <w:sz w:val="3"/>
                <w:szCs w:val="3"/>
                <w:color w:val="auto"/>
              </w:rPr>
            </w:pPr>
          </w:p>
        </w:tc>
        <w:tc>
          <w:tcPr>
            <w:tcW w:w="16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6"/>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3"/>
                <w:szCs w:val="13"/>
                <w:color w:val="auto"/>
              </w:rPr>
            </w:pPr>
          </w:p>
        </w:tc>
        <w:tc>
          <w:tcPr>
            <w:tcW w:w="900" w:type="dxa"/>
            <w:vAlign w:val="bottom"/>
            <w:gridSpan w:val="2"/>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0"/>
            <w:vMerge w:val="restart"/>
          </w:tcPr>
          <w:p>
            <w:pPr>
              <w:spacing w:after="0"/>
              <w:rPr>
                <w:sz w:val="20"/>
                <w:szCs w:val="20"/>
                <w:color w:val="auto"/>
              </w:rPr>
            </w:pPr>
            <w:r>
              <w:rPr>
                <w:rFonts w:ascii="Arial" w:cs="Arial" w:eastAsia="Arial" w:hAnsi="Arial"/>
                <w:sz w:val="17"/>
                <w:szCs w:val="17"/>
                <w:color w:val="0000FF"/>
              </w:rPr>
              <w:t>1345 AVENUE OF THE AMERICAS, 30TH</w:t>
            </w:r>
          </w:p>
        </w:tc>
        <w:tc>
          <w:tcPr>
            <w:tcW w:w="1360" w:type="dxa"/>
            <w:vAlign w:val="bottom"/>
            <w:gridSpan w:val="7"/>
          </w:tcPr>
          <w:p>
            <w:pPr>
              <w:ind w:left="80"/>
              <w:spacing w:after="0"/>
              <w:rPr>
                <w:sz w:val="20"/>
                <w:szCs w:val="20"/>
                <w:color w:val="auto"/>
              </w:rPr>
            </w:pPr>
            <w:r>
              <w:rPr>
                <w:rFonts w:ascii="Arial" w:cs="Arial" w:eastAsia="Arial" w:hAnsi="Arial"/>
                <w:sz w:val="17"/>
                <w:szCs w:val="17"/>
                <w:color w:val="0000FF"/>
              </w:rPr>
              <w:t>04/23/2021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720" w:type="dxa"/>
            <w:vAlign w:val="bottom"/>
            <w:gridSpan w:val="10"/>
            <w:vMerge w:val="continue"/>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line="182" w:lineRule="exact"/>
              <w:rPr>
                <w:sz w:val="20"/>
                <w:szCs w:val="20"/>
                <w:color w:val="auto"/>
              </w:rPr>
            </w:pPr>
            <w:r>
              <w:rPr>
                <w:rFonts w:ascii="Arial" w:cs="Arial" w:eastAsia="Arial" w:hAnsi="Arial"/>
                <w:sz w:val="17"/>
                <w:szCs w:val="17"/>
                <w:color w:val="0000FF"/>
              </w:rPr>
              <w:t>FLOOR</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92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58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0" w:type="dxa"/>
            <w:vAlign w:val="bottom"/>
            <w:gridSpan w:val="11"/>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40" w:type="dxa"/>
            <w:vAlign w:val="bottom"/>
            <w:gridSpan w:val="10"/>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2"/>
          </w:tcPr>
          <w:p>
            <w:pPr>
              <w:spacing w:after="0" w:line="120" w:lineRule="exact"/>
              <w:rPr>
                <w:sz w:val="20"/>
                <w:szCs w:val="20"/>
                <w:color w:val="auto"/>
              </w:rPr>
            </w:pPr>
            <w:r>
              <w:rPr>
                <w:rFonts w:ascii="Arial" w:cs="Arial" w:eastAsia="Arial" w:hAnsi="Arial"/>
                <w:sz w:val="13"/>
                <w:szCs w:val="13"/>
                <w:color w:val="auto"/>
              </w:rPr>
              <w:t>Line)</w:t>
            </w: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20" w:type="dxa"/>
            <w:vAlign w:val="bottom"/>
            <w:gridSpan w:val="2"/>
          </w:tcPr>
          <w:p>
            <w:pPr>
              <w:ind w:left="40"/>
              <w:spacing w:after="0"/>
              <w:rPr>
                <w:sz w:val="20"/>
                <w:szCs w:val="20"/>
                <w:color w:val="auto"/>
              </w:rPr>
            </w:pPr>
            <w:r>
              <w:rPr>
                <w:rFonts w:ascii="Arial" w:cs="Arial" w:eastAsia="Arial" w:hAnsi="Arial"/>
                <w:sz w:val="17"/>
                <w:szCs w:val="17"/>
                <w:color w:val="0000FF"/>
              </w:rPr>
              <w:t>NY</w:t>
            </w:r>
          </w:p>
        </w:tc>
        <w:tc>
          <w:tcPr>
            <w:tcW w:w="1120" w:type="dxa"/>
            <w:vAlign w:val="bottom"/>
            <w:gridSpan w:val="2"/>
          </w:tcPr>
          <w:p>
            <w:pPr>
              <w:ind w:left="140"/>
              <w:spacing w:after="0"/>
              <w:rPr>
                <w:sz w:val="20"/>
                <w:szCs w:val="20"/>
                <w:color w:val="auto"/>
              </w:rPr>
            </w:pPr>
            <w:r>
              <w:rPr>
                <w:rFonts w:ascii="Arial" w:cs="Arial" w:eastAsia="Arial" w:hAnsi="Arial"/>
                <w:sz w:val="17"/>
                <w:szCs w:val="17"/>
                <w:color w:val="0000FF"/>
              </w:rPr>
              <w:t>10105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6"/>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2"/>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gridSpan w:val="2"/>
          </w:tcPr>
          <w:p>
            <w:pPr>
              <w:spacing w:after="0"/>
              <w:rPr>
                <w:sz w:val="11"/>
                <w:szCs w:val="11"/>
                <w:color w:val="auto"/>
              </w:rPr>
            </w:pPr>
          </w:p>
        </w:tc>
        <w:tc>
          <w:tcPr>
            <w:tcW w:w="184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25"/>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40" w:type="dxa"/>
            <w:vAlign w:val="bottom"/>
          </w:tcPr>
          <w:p>
            <w:pPr>
              <w:spacing w:after="0"/>
              <w:rPr>
                <w:sz w:val="15"/>
                <w:szCs w:val="15"/>
                <w:color w:val="auto"/>
              </w:rPr>
            </w:pPr>
          </w:p>
        </w:tc>
        <w:tc>
          <w:tcPr>
            <w:tcW w:w="880" w:type="dxa"/>
            <w:vAlign w:val="bottom"/>
            <w:gridSpan w:val="5"/>
          </w:tcPr>
          <w:p>
            <w:pPr>
              <w:ind w:left="8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5"/>
                <w:szCs w:val="15"/>
                <w:color w:val="auto"/>
              </w:rPr>
            </w:pPr>
          </w:p>
        </w:tc>
        <w:tc>
          <w:tcPr>
            <w:tcW w:w="16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6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Disposed Of (D) (Instr. 3, 4</w:t>
            </w:r>
          </w:p>
        </w:tc>
        <w:tc>
          <w:tcPr>
            <w:tcW w:w="120" w:type="dxa"/>
            <w:vAlign w:val="bottom"/>
          </w:tcPr>
          <w:p>
            <w:pPr>
              <w:spacing w:after="0"/>
              <w:rPr>
                <w:sz w:val="11"/>
                <w:szCs w:val="11"/>
                <w:color w:val="auto"/>
              </w:rPr>
            </w:pPr>
          </w:p>
        </w:tc>
        <w:tc>
          <w:tcPr>
            <w:tcW w:w="7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C Common Stock</w:t>
            </w:r>
          </w:p>
        </w:tc>
        <w:tc>
          <w:tcPr>
            <w:tcW w:w="1720" w:type="dxa"/>
            <w:vAlign w:val="bottom"/>
            <w:gridSpan w:val="8"/>
            <w:vMerge w:val="restart"/>
          </w:tcPr>
          <w:p>
            <w:pPr>
              <w:ind w:left="720"/>
              <w:spacing w:after="0"/>
              <w:rPr>
                <w:sz w:val="20"/>
                <w:szCs w:val="20"/>
                <w:color w:val="auto"/>
              </w:rPr>
            </w:pPr>
            <w:r>
              <w:rPr>
                <w:rFonts w:ascii="Arial" w:cs="Arial" w:eastAsia="Arial" w:hAnsi="Arial"/>
                <w:sz w:val="17"/>
                <w:szCs w:val="17"/>
                <w:color w:val="0000FF"/>
              </w:rPr>
              <w:t>04/23/2021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60" w:type="dxa"/>
            <w:vAlign w:val="bottom"/>
            <w:vMerge w:val="restart"/>
          </w:tcPr>
          <w:p>
            <w:pPr>
              <w:ind w:left="200"/>
              <w:spacing w:after="0"/>
              <w:rPr>
                <w:sz w:val="20"/>
                <w:szCs w:val="20"/>
                <w:color w:val="auto"/>
              </w:rPr>
            </w:pPr>
            <w:r>
              <w:rPr>
                <w:rFonts w:ascii="Arial" w:cs="Arial" w:eastAsia="Arial" w:hAnsi="Arial"/>
                <w:sz w:val="17"/>
                <w:szCs w:val="17"/>
                <w:color w:val="0000FF"/>
              </w:rPr>
              <w:t>867</w:t>
            </w:r>
          </w:p>
        </w:tc>
        <w:tc>
          <w:tcPr>
            <w:tcW w:w="500" w:type="dxa"/>
            <w:vAlign w:val="bottom"/>
            <w:vMerge w:val="restart"/>
          </w:tcPr>
          <w:p>
            <w:pPr>
              <w:ind w:left="140"/>
              <w:spacing w:after="0"/>
              <w:rPr>
                <w:sz w:val="20"/>
                <w:szCs w:val="20"/>
                <w:color w:val="auto"/>
              </w:rPr>
            </w:pPr>
            <w:r>
              <w:rPr>
                <w:rFonts w:ascii="Arial" w:cs="Arial" w:eastAsia="Arial" w:hAnsi="Arial"/>
                <w:sz w:val="17"/>
                <w:szCs w:val="17"/>
                <w:color w:val="0000FF"/>
              </w:rPr>
              <w:t>A</w:t>
            </w:r>
          </w:p>
        </w:tc>
        <w:tc>
          <w:tcPr>
            <w:tcW w:w="340" w:type="dxa"/>
            <w:vAlign w:val="bottom"/>
            <w:vMerge w:val="restart"/>
          </w:tcPr>
          <w:p>
            <w:pPr>
              <w:ind w:left="18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7"/>
                <w:szCs w:val="17"/>
                <w:color w:val="0000FF"/>
              </w:rPr>
              <w:t>46,995</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720" w:type="dxa"/>
            <w:vAlign w:val="bottom"/>
            <w:gridSpan w:val="8"/>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40" w:type="dxa"/>
            <w:vAlign w:val="bottom"/>
            <w:gridSpan w:val="24"/>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160" w:type="dxa"/>
            <w:vAlign w:val="bottom"/>
            <w:gridSpan w:val="2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50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4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11"/>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0"/>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Global Infrastructure Investors III, LLC</w:t>
              </w:r>
            </w:hyperlink>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gridSpan w:val="12"/>
          </w:tcPr>
          <w:p>
            <w:pPr>
              <w:spacing w:after="0"/>
              <w:rPr>
                <w:sz w:val="20"/>
                <w:szCs w:val="20"/>
                <w:color w:val="auto"/>
              </w:rPr>
            </w:pPr>
            <w:r>
              <w:rPr>
                <w:rFonts w:ascii="Arial" w:cs="Arial" w:eastAsia="Arial" w:hAnsi="Arial"/>
                <w:sz w:val="17"/>
                <w:szCs w:val="17"/>
                <w:color w:val="0000FF"/>
              </w:rPr>
              <w:t>1345 AVENUE OF THE AMERICAS, 30TH FLOOR</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120" w:type="dxa"/>
            <w:vAlign w:val="bottom"/>
            <w:gridSpan w:val="2"/>
          </w:tcPr>
          <w:p>
            <w:pPr>
              <w:ind w:left="500"/>
              <w:spacing w:after="0"/>
              <w:rPr>
                <w:sz w:val="20"/>
                <w:szCs w:val="20"/>
                <w:color w:val="auto"/>
              </w:rPr>
            </w:pPr>
            <w:r>
              <w:rPr>
                <w:rFonts w:ascii="Arial" w:cs="Arial" w:eastAsia="Arial" w:hAnsi="Arial"/>
                <w:sz w:val="17"/>
                <w:szCs w:val="17"/>
                <w:color w:val="0000FF"/>
              </w:rPr>
              <w:t>10105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4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11"/>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0"/>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Global Infrastructure GP III, L.P.</w:t>
              </w:r>
            </w:hyperlink>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gridSpan w:val="12"/>
          </w:tcPr>
          <w:p>
            <w:pPr>
              <w:spacing w:after="0"/>
              <w:rPr>
                <w:sz w:val="20"/>
                <w:szCs w:val="20"/>
                <w:color w:val="auto"/>
              </w:rPr>
            </w:pPr>
            <w:r>
              <w:rPr>
                <w:rFonts w:ascii="Arial" w:cs="Arial" w:eastAsia="Arial" w:hAnsi="Arial"/>
                <w:sz w:val="17"/>
                <w:szCs w:val="17"/>
                <w:color w:val="0000FF"/>
              </w:rPr>
              <w:t>1345 AVENUE OF THE AMERICAS, 30TH FLOOR</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120" w:type="dxa"/>
            <w:vAlign w:val="bottom"/>
            <w:gridSpan w:val="2"/>
          </w:tcPr>
          <w:p>
            <w:pPr>
              <w:ind w:left="500"/>
              <w:spacing w:after="0"/>
              <w:rPr>
                <w:sz w:val="20"/>
                <w:szCs w:val="20"/>
                <w:color w:val="auto"/>
              </w:rPr>
            </w:pPr>
            <w:r>
              <w:rPr>
                <w:rFonts w:ascii="Arial" w:cs="Arial" w:eastAsia="Arial" w:hAnsi="Arial"/>
                <w:sz w:val="17"/>
                <w:szCs w:val="17"/>
                <w:color w:val="0000FF"/>
              </w:rPr>
              <w:t>10105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4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11"/>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0"/>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GIP III Zephyr Acquisition Partners L.P.</w:t>
              </w:r>
            </w:hyperlink>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-5749290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1345 AVENUE OF THE AMERICAS, 30TH FLOOR</w:t>
      </w:r>
    </w:p>
    <w:p>
      <w:pPr>
        <w:sectPr>
          <w:pgSz w:w="11900" w:h="16838" w:orient="portrait"/>
          <w:cols w:equalWidth="0" w:num="1">
            <w:col w:w="11080"/>
          </w:cols>
          <w:pgMar w:left="460" w:top="225" w:right="359" w:bottom="0" w:gutter="0" w:footer="0" w:header="0"/>
          <w:type w:val="continuous"/>
        </w:sectPr>
      </w:pPr>
    </w:p>
    <w:p>
      <w:pPr>
        <w:spacing w:after="0" w:line="35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10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50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480" w:type="dxa"/>
            <w:vAlign w:val="bottom"/>
          </w:tcPr>
          <w:p>
            <w:pPr>
              <w:ind w:left="120"/>
              <w:spacing w:after="0"/>
              <w:rPr>
                <w:sz w:val="20"/>
                <w:szCs w:val="20"/>
                <w:color w:val="auto"/>
              </w:rPr>
            </w:pPr>
            <w:r>
              <w:rPr>
                <w:rFonts w:ascii="Arial" w:cs="Arial" w:eastAsia="Arial" w:hAnsi="Arial"/>
                <w:sz w:val="17"/>
                <w:szCs w:val="17"/>
                <w:color w:val="0000FF"/>
              </w:rPr>
              <w:t>10105</w:t>
            </w:r>
          </w:p>
        </w:tc>
        <w:tc>
          <w:tcPr>
            <w:tcW w:w="100" w:type="dxa"/>
            <w:vAlign w:val="bottom"/>
          </w:tcPr>
          <w:p>
            <w:pPr>
              <w:spacing w:after="0"/>
              <w:rPr>
                <w:sz w:val="19"/>
                <w:szCs w:val="19"/>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80" w:type="dxa"/>
            <w:vAlign w:val="bottom"/>
            <w:gridSpan w:val="3"/>
          </w:tcPr>
          <w:p>
            <w:pPr>
              <w:spacing w:after="0" w:line="221" w:lineRule="exact"/>
              <w:rPr>
                <w:rFonts w:ascii="Arial" w:cs="Arial" w:eastAsia="Arial" w:hAnsi="Arial"/>
                <w:sz w:val="21"/>
                <w:szCs w:val="21"/>
                <w:color w:val="0000EE"/>
                <w:w w:val="99"/>
              </w:rPr>
            </w:pPr>
            <w:hyperlink r:id="rId17">
              <w:r>
                <w:rPr>
                  <w:rFonts w:ascii="Arial" w:cs="Arial" w:eastAsia="Arial" w:hAnsi="Arial"/>
                  <w:sz w:val="21"/>
                  <w:szCs w:val="21"/>
                  <w:color w:val="0000EE"/>
                  <w:w w:val="99"/>
                </w:rPr>
                <w:t>Clearway Energy Group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-1141730</wp:posOffset>
            </wp:positionV>
            <wp:extent cx="2809240" cy="2170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2170430"/>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1345 AVENUE OF THE AMERICAS, 30TH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forfeiture of shares of restricted stock of the Issuer previously granted by Clearway Energy Group LLC ("Clearway Energy Group") under its Long Term Equity Incentive Program to one of its employees.</w:t>
      </w:r>
    </w:p>
    <w:p>
      <w:pPr>
        <w:spacing w:after="0" w:line="15" w:lineRule="exact"/>
        <w:rPr>
          <w:rFonts w:ascii="Arial" w:cs="Arial" w:eastAsia="Arial" w:hAnsi="Arial"/>
          <w:sz w:val="13"/>
          <w:szCs w:val="13"/>
          <w:color w:val="008000"/>
        </w:rPr>
      </w:pPr>
    </w:p>
    <w:p>
      <w:pPr>
        <w:jc w:val="both"/>
        <w:ind w:left="20" w:right="80" w:firstLine="7"/>
        <w:spacing w:after="0" w:line="243"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securities held directly by Clearway Energy Group. Global Infrastructure Investors III, LLC ("Global Investors") is the sole general partner of Global Infrastructure GP III, L.P. ("Global GP"), which is the general partner of GIP III Zephyr Acquisition Partners, L.P. ("GIP"), which is the sole member of Clearway Energy Group. As a result, Global Investors, Global GP, and GIP may be deemed to share beneficial ownership of the Issuer securities owned by Clearway Energy Group.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Reporting Persons disclaims beneficial ownership of the securities reported herein, except to the extent of such Reporting Person's pecuniary interest therein, and, pursuant to Rule 16a-1(a)</w:t>
      </w:r>
    </w:p>
    <w:p>
      <w:pPr>
        <w:spacing w:after="0" w:line="18" w:lineRule="exact"/>
        <w:rPr>
          <w:rFonts w:ascii="Arial" w:cs="Arial" w:eastAsia="Arial" w:hAnsi="Arial"/>
          <w:sz w:val="12"/>
          <w:szCs w:val="12"/>
          <w:color w:val="008000"/>
        </w:rPr>
      </w:pPr>
    </w:p>
    <w:p>
      <w:pPr>
        <w:ind w:left="20" w:right="280"/>
        <w:spacing w:after="0" w:line="250" w:lineRule="auto"/>
        <w:rPr>
          <w:rFonts w:ascii="Arial" w:cs="Arial" w:eastAsia="Arial" w:hAnsi="Arial"/>
          <w:sz w:val="12"/>
          <w:szCs w:val="12"/>
          <w:color w:val="008000"/>
        </w:rPr>
      </w:pPr>
      <w:r>
        <w:rPr>
          <w:rFonts w:ascii="Arial" w:cs="Arial" w:eastAsia="Arial" w:hAnsi="Arial"/>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900"/>
          </w:cols>
          <w:pgMar w:left="480" w:top="131" w:right="519" w:bottom="1440" w:gutter="0" w:footer="0" w:header="0"/>
        </w:sectPr>
      </w:pPr>
    </w:p>
    <w:p>
      <w:pPr>
        <w:spacing w:after="0" w:line="52"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Jonathan Bram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700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5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7696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93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GP III,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531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18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687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GROUP LLC By: /s/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04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829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0000FF"/>
        </w:rPr>
        <w:t>04/27/2021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04/27/2021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04/27/2021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04/27/2021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28" w:lineRule="exact"/>
        <w:rPr>
          <w:sz w:val="20"/>
          <w:szCs w:val="20"/>
          <w:color w:val="auto"/>
        </w:rPr>
      </w:pPr>
    </w:p>
    <w:p>
      <w:pPr>
        <w:sectPr>
          <w:pgSz w:w="11900" w:h="16838" w:orient="portrait"/>
          <w:cols w:equalWidth="0" w:num="2">
            <w:col w:w="8700" w:space="60"/>
            <w:col w:w="2140"/>
          </w:cols>
          <w:pgMar w:left="480" w:top="131" w:right="51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31"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5" Type="http://schemas.openxmlformats.org/officeDocument/2006/relationships/hyperlink" Target="http://www.sec.gov/cgi-bin/browse-edgar?action=getcompany&amp;CIK=0001752556" TargetMode="External"/><Relationship Id="rId17"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2021-04-27T19:16:43Z</dcterms:created>
  <dcterms:modified xsi:type="dcterms:W3CDTF">2021-04-27T19:16:43Z</dcterms:modified>
</cp:coreProperties>
</file>