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191770</wp:posOffset>
            </wp:positionH>
            <wp:positionV relativeFrom="page">
              <wp:posOffset>819150</wp:posOffset>
            </wp:positionV>
            <wp:extent cx="7165340"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5340" cy="13335"/>
                    </a:xfrm>
                    <a:prstGeom prst="rect">
                      <a:avLst/>
                    </a:prstGeom>
                    <a:noFill/>
                  </pic:spPr>
                </pic:pic>
              </a:graphicData>
            </a:graphic>
          </wp:anchor>
        </w:drawing>
        <w:t>UNITED STATES</w:t>
      </w:r>
    </w:p>
    <w:p>
      <w:pPr>
        <w:spacing w:after="0" w:line="7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CURRENT REPORT</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231F20"/>
        </w:rPr>
        <w:t>Pursuant to Section 13 OR 15(d) of The Securities Exchange Act of 1934</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 xml:space="preserve">Date of Report (date of earliest event reported): </w:t>
      </w:r>
      <w:r>
        <w:rPr>
          <w:rFonts w:ascii="Arial" w:cs="Arial" w:eastAsia="Arial" w:hAnsi="Arial"/>
          <w:sz w:val="14"/>
          <w:szCs w:val="14"/>
          <w:b w:val="1"/>
          <w:bCs w:val="1"/>
          <w:color w:val="auto"/>
        </w:rPr>
        <w:t>May 5, 2022</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CLEARWAY ENERGY, INC.</w:t>
      </w:r>
    </w:p>
    <w:p>
      <w:pPr>
        <w:sectPr>
          <w:pgSz w:w="11900" w:h="16838" w:orient="portrait"/>
          <w:cols w:equalWidth="0" w:num="1">
            <w:col w:w="11280"/>
          </w:cols>
          <w:pgMar w:left="300" w:top="1422" w:right="319" w:bottom="1440" w:gutter="0" w:footer="0" w:header="0"/>
        </w:sectPr>
      </w:pPr>
    </w:p>
    <w:p>
      <w:pPr>
        <w:spacing w:after="0" w:line="311" w:lineRule="exact"/>
        <w:rPr>
          <w:sz w:val="24"/>
          <w:szCs w:val="24"/>
          <w:color w:val="auto"/>
        </w:rPr>
      </w:pPr>
    </w:p>
    <w:p>
      <w:pPr>
        <w:jc w:val="center"/>
        <w:ind w:left="320"/>
        <w:spacing w:after="0"/>
        <w:rPr>
          <w:sz w:val="20"/>
          <w:szCs w:val="20"/>
          <w:color w:val="auto"/>
        </w:rPr>
      </w:pPr>
      <w:r>
        <w:rPr>
          <w:rFonts w:ascii="Arial" w:cs="Arial" w:eastAsia="Arial" w:hAnsi="Arial"/>
          <w:sz w:val="14"/>
          <w:szCs w:val="14"/>
          <w:b w:val="1"/>
          <w:bCs w:val="1"/>
          <w:color w:val="auto"/>
        </w:rPr>
        <w:t>Delaware</w:t>
      </w:r>
    </w:p>
    <w:p>
      <w:pPr>
        <w:spacing w:after="0" w:line="28" w:lineRule="exact"/>
        <w:rPr>
          <w:sz w:val="24"/>
          <w:szCs w:val="24"/>
          <w:color w:val="auto"/>
        </w:rPr>
      </w:pPr>
    </w:p>
    <w:p>
      <w:pPr>
        <w:jc w:val="center"/>
        <w:ind w:left="320"/>
        <w:spacing w:after="0"/>
        <w:rPr>
          <w:sz w:val="20"/>
          <w:szCs w:val="20"/>
          <w:color w:val="auto"/>
        </w:rPr>
      </w:pPr>
      <w:r>
        <w:rPr>
          <w:rFonts w:ascii="Arial" w:cs="Arial" w:eastAsia="Arial" w:hAnsi="Arial"/>
          <w:sz w:val="11"/>
          <w:szCs w:val="1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ind w:left="380"/>
        <w:spacing w:after="0"/>
        <w:rPr>
          <w:sz w:val="20"/>
          <w:szCs w:val="20"/>
          <w:color w:val="auto"/>
        </w:rPr>
      </w:pPr>
      <w:r>
        <w:rPr>
          <w:rFonts w:ascii="Arial" w:cs="Arial" w:eastAsia="Arial" w:hAnsi="Arial"/>
          <w:sz w:val="13"/>
          <w:szCs w:val="13"/>
          <w:color w:val="auto"/>
        </w:rPr>
        <w:t>(Exact name of registrant as specified in its charter)</w:t>
      </w:r>
    </w:p>
    <w:p>
      <w:pPr>
        <w:spacing w:after="0" w:line="83" w:lineRule="exact"/>
        <w:rPr>
          <w:sz w:val="24"/>
          <w:szCs w:val="24"/>
          <w:color w:val="auto"/>
        </w:rPr>
      </w:pPr>
    </w:p>
    <w:p>
      <w:pPr>
        <w:ind w:left="1220"/>
        <w:spacing w:after="0"/>
        <w:rPr>
          <w:sz w:val="20"/>
          <w:szCs w:val="20"/>
          <w:color w:val="auto"/>
        </w:rPr>
      </w:pPr>
      <w:r>
        <w:rPr>
          <w:rFonts w:ascii="Arial" w:cs="Arial" w:eastAsia="Arial" w:hAnsi="Arial"/>
          <w:sz w:val="14"/>
          <w:szCs w:val="14"/>
          <w:b w:val="1"/>
          <w:bCs w:val="1"/>
          <w:color w:val="auto"/>
        </w:rPr>
        <w:t>001-36002</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14"/>
          <w:szCs w:val="14"/>
          <w:color w:val="auto"/>
        </w:rPr>
        <w:t>(Commission File Number)</w:t>
      </w:r>
    </w:p>
    <w:p>
      <w:pPr>
        <w:spacing w:after="0" w:line="81"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300 Carnegie Center, Suite 300, Princeton, New Jersey 08540</w:t>
      </w:r>
    </w:p>
    <w:p>
      <w:pPr>
        <w:spacing w:after="0" w:line="52" w:lineRule="exact"/>
        <w:rPr>
          <w:sz w:val="24"/>
          <w:szCs w:val="24"/>
          <w:color w:val="auto"/>
        </w:rPr>
      </w:pPr>
    </w:p>
    <w:p>
      <w:pPr>
        <w:ind w:left="160"/>
        <w:spacing w:after="0"/>
        <w:rPr>
          <w:sz w:val="20"/>
          <w:szCs w:val="20"/>
          <w:color w:val="auto"/>
        </w:rPr>
      </w:pPr>
      <w:r>
        <w:rPr>
          <w:rFonts w:ascii="Arial" w:cs="Arial" w:eastAsia="Arial" w:hAnsi="Arial"/>
          <w:sz w:val="13"/>
          <w:szCs w:val="13"/>
          <w:color w:val="auto"/>
        </w:rPr>
        <w:t>(Address of principal executive offices, including zip code)</w:t>
      </w:r>
    </w:p>
    <w:p>
      <w:pPr>
        <w:spacing w:after="0" w:line="42" w:lineRule="exact"/>
        <w:rPr>
          <w:sz w:val="24"/>
          <w:szCs w:val="24"/>
          <w:color w:val="auto"/>
        </w:rPr>
      </w:pPr>
    </w:p>
    <w:p>
      <w:pPr>
        <w:ind w:left="1360"/>
        <w:spacing w:after="0"/>
        <w:rPr>
          <w:sz w:val="20"/>
          <w:szCs w:val="20"/>
          <w:color w:val="auto"/>
        </w:rPr>
      </w:pPr>
      <w:r>
        <w:rPr>
          <w:rFonts w:ascii="Arial" w:cs="Arial" w:eastAsia="Arial" w:hAnsi="Arial"/>
          <w:sz w:val="14"/>
          <w:szCs w:val="14"/>
          <w:b w:val="1"/>
          <w:bCs w:val="1"/>
          <w:color w:val="auto"/>
        </w:rPr>
        <w:t>(609) 608-1525</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16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231F20"/>
        </w:rPr>
        <w:t>N/A</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1"/>
          <w:szCs w:val="11"/>
          <w:color w:val="231F20"/>
        </w:rPr>
        <w:t>(Former name or former address, if changed since last report.)</w:t>
      </w:r>
    </w:p>
    <w:p>
      <w:pPr>
        <w:spacing w:after="0" w:line="20" w:lineRule="exact"/>
        <w:rPr>
          <w:sz w:val="24"/>
          <w:szCs w:val="24"/>
          <w:color w:val="auto"/>
        </w:rPr>
      </w:pPr>
      <w:r>
        <w:rPr>
          <w:sz w:val="24"/>
          <w:szCs w:val="24"/>
          <w:color w:val="auto"/>
        </w:rPr>
        <w:br w:type="column"/>
      </w:r>
    </w:p>
    <w:p>
      <w:pPr>
        <w:spacing w:after="0" w:line="291" w:lineRule="exact"/>
        <w:rPr>
          <w:sz w:val="24"/>
          <w:szCs w:val="24"/>
          <w:color w:val="auto"/>
        </w:rPr>
      </w:pPr>
    </w:p>
    <w:p>
      <w:pPr>
        <w:jc w:val="center"/>
        <w:ind w:right="1220"/>
        <w:spacing w:after="0"/>
        <w:rPr>
          <w:sz w:val="20"/>
          <w:szCs w:val="20"/>
          <w:color w:val="auto"/>
        </w:rPr>
      </w:pPr>
      <w:r>
        <w:rPr>
          <w:rFonts w:ascii="Arial" w:cs="Arial" w:eastAsia="Arial" w:hAnsi="Arial"/>
          <w:sz w:val="14"/>
          <w:szCs w:val="14"/>
          <w:b w:val="1"/>
          <w:bCs w:val="1"/>
          <w:color w:val="auto"/>
        </w:rPr>
        <w:t>46-1777204</w:t>
      </w:r>
    </w:p>
    <w:p>
      <w:pPr>
        <w:spacing w:after="0" w:line="28" w:lineRule="exact"/>
        <w:rPr>
          <w:sz w:val="24"/>
          <w:szCs w:val="24"/>
          <w:color w:val="auto"/>
        </w:rPr>
      </w:pPr>
    </w:p>
    <w:p>
      <w:pPr>
        <w:jc w:val="center"/>
        <w:ind w:right="1220"/>
        <w:spacing w:after="0"/>
        <w:rPr>
          <w:sz w:val="20"/>
          <w:szCs w:val="20"/>
          <w:color w:val="auto"/>
        </w:rPr>
      </w:pPr>
      <w:r>
        <w:rPr>
          <w:rFonts w:ascii="Arial" w:cs="Arial" w:eastAsia="Arial" w:hAnsi="Arial"/>
          <w:sz w:val="11"/>
          <w:szCs w:val="11"/>
          <w:color w:val="auto"/>
        </w:rPr>
        <w:t>(I.R.S. Employer Identification No.)</w:t>
      </w:r>
    </w:p>
    <w:p>
      <w:pPr>
        <w:spacing w:after="0" w:line="1493" w:lineRule="exact"/>
        <w:rPr>
          <w:sz w:val="24"/>
          <w:szCs w:val="24"/>
          <w:color w:val="auto"/>
        </w:rPr>
      </w:pPr>
    </w:p>
    <w:p>
      <w:pPr>
        <w:sectPr>
          <w:pgSz w:w="11900" w:h="16838" w:orient="portrait"/>
          <w:cols w:equalWidth="0" w:num="3">
            <w:col w:w="3580" w:space="280"/>
            <w:col w:w="3560" w:space="640"/>
            <w:col w:w="3220"/>
          </w:cols>
          <w:pgMar w:left="300" w:top="1422" w:right="319" w:bottom="1440" w:gutter="0" w:footer="0" w:header="0"/>
          <w:type w:val="continuous"/>
        </w:sectPr>
      </w:pPr>
    </w:p>
    <w:p>
      <w:pPr>
        <w:spacing w:after="0" w:line="13" w:lineRule="exact"/>
        <w:rPr>
          <w:sz w:val="24"/>
          <w:szCs w:val="24"/>
          <w:color w:val="auto"/>
        </w:rPr>
      </w:pPr>
    </w:p>
    <w:p>
      <w:pPr>
        <w:spacing w:after="0"/>
        <w:rPr>
          <w:sz w:val="20"/>
          <w:szCs w:val="20"/>
          <w:color w:val="auto"/>
        </w:rPr>
      </w:pPr>
      <w:r>
        <w:rPr>
          <w:rFonts w:ascii="Arial" w:cs="Arial" w:eastAsia="Arial" w:hAnsi="Arial"/>
          <w:sz w:val="11"/>
          <w:szCs w:val="11"/>
          <w:color w:val="auto"/>
        </w:rPr>
        <w:t>Check the appropriate box below if the Form 8-K filing is intended to simultaneously satisfy the filing obligation of the registrant under any of the following provisions (see General Instruction A.2. below):</w:t>
      </w:r>
    </w:p>
    <w:p>
      <w:pPr>
        <w:spacing w:after="0" w:line="223" w:lineRule="exact"/>
        <w:rPr>
          <w:sz w:val="24"/>
          <w:szCs w:val="24"/>
          <w:color w:val="auto"/>
        </w:rPr>
      </w:pPr>
    </w:p>
    <w:p>
      <w:pPr>
        <w:ind w:left="200" w:hanging="167"/>
        <w:spacing w:after="0"/>
        <w:tabs>
          <w:tab w:leader="none" w:pos="2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28" w:lineRule="exact"/>
        <w:rPr>
          <w:rFonts w:ascii="MS PGothic" w:cs="MS PGothic" w:eastAsia="MS PGothic" w:hAnsi="MS PGothic"/>
          <w:sz w:val="14"/>
          <w:szCs w:val="14"/>
          <w:color w:val="auto"/>
        </w:rPr>
      </w:pPr>
    </w:p>
    <w:p>
      <w:pPr>
        <w:ind w:left="200" w:hanging="167"/>
        <w:spacing w:after="0"/>
        <w:tabs>
          <w:tab w:leader="none" w:pos="2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231F20"/>
        </w:rPr>
        <w:t>Soliciting material pursuant to Rule 14a-12 under the Exchange Act (17 CFR 240.14a-12)</w:t>
      </w:r>
    </w:p>
    <w:p>
      <w:pPr>
        <w:spacing w:after="0" w:line="20" w:lineRule="exact"/>
        <w:rPr>
          <w:rFonts w:ascii="MS PGothic" w:cs="MS PGothic" w:eastAsia="MS PGothic" w:hAnsi="MS PGothic"/>
          <w:sz w:val="14"/>
          <w:szCs w:val="14"/>
          <w:color w:val="auto"/>
        </w:rPr>
      </w:pPr>
    </w:p>
    <w:p>
      <w:pPr>
        <w:ind w:left="200" w:hanging="167"/>
        <w:spacing w:after="0"/>
        <w:tabs>
          <w:tab w:leader="none" w:pos="2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231F20"/>
        </w:rPr>
        <w:t>Pre-commencement communications pursuant to Rule 14d-2(b) under the Exchange Act (17 CFR 240.14d-2(b))</w:t>
      </w:r>
    </w:p>
    <w:p>
      <w:pPr>
        <w:spacing w:after="0" w:line="13" w:lineRule="exact"/>
        <w:rPr>
          <w:rFonts w:ascii="MS PGothic" w:cs="MS PGothic" w:eastAsia="MS PGothic" w:hAnsi="MS PGothic"/>
          <w:sz w:val="14"/>
          <w:szCs w:val="14"/>
          <w:color w:val="auto"/>
        </w:rPr>
      </w:pPr>
    </w:p>
    <w:p>
      <w:pPr>
        <w:ind w:right="4980" w:firstLine="33"/>
        <w:spacing w:after="0" w:line="271" w:lineRule="auto"/>
        <w:tabs>
          <w:tab w:leader="none" w:pos="192"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231F20"/>
        </w:rPr>
        <w:t xml:space="preserve">Pre-commencement communications pursuant to Rule 13e-4(c) under the Exchange Act (17 CFR 240.13e-4(c)) </w:t>
      </w:r>
      <w:r>
        <w:rPr>
          <w:rFonts w:ascii="Arial" w:cs="Arial" w:eastAsia="Arial" w:hAnsi="Arial"/>
          <w:sz w:val="14"/>
          <w:szCs w:val="14"/>
          <w:color w:val="000000"/>
        </w:rPr>
        <w:t>Securities registered pursuant to Section 12(b) of the Act:</w:t>
      </w:r>
    </w:p>
    <w:tbl>
      <w:tblPr>
        <w:tblLayout w:type="fixed"/>
        <w:tblInd w:w="0" w:type="dxa"/>
        <w:tblCellMar>
          <w:top w:w="0" w:type="dxa"/>
          <w:left w:w="0" w:type="dxa"/>
          <w:bottom w:w="0" w:type="dxa"/>
          <w:right w:w="0" w:type="dxa"/>
        </w:tblCellMar>
      </w:tblPr>
      <w:tr>
        <w:trPr>
          <w:trHeight w:val="178"/>
        </w:trPr>
        <w:tc>
          <w:tcPr>
            <w:tcW w:w="3820" w:type="dxa"/>
            <w:vAlign w:val="bottom"/>
            <w:tcBorders>
              <w:bottom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84"/>
              </w:rPr>
              <w:t>Title of each class</w:t>
            </w:r>
          </w:p>
        </w:tc>
        <w:tc>
          <w:tcPr>
            <w:tcW w:w="276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7"/>
              </w:rPr>
              <w:t>Trading Symbol(s)</w:t>
            </w:r>
          </w:p>
        </w:tc>
        <w:tc>
          <w:tcPr>
            <w:tcW w:w="4700" w:type="dxa"/>
            <w:vAlign w:val="bottom"/>
            <w:tcBorders>
              <w:bottom w:val="single" w:sz="8" w:color="auto"/>
            </w:tcBorders>
          </w:tcPr>
          <w:p>
            <w:pPr>
              <w:jc w:val="center"/>
              <w:ind w:right="212"/>
              <w:spacing w:after="0"/>
              <w:rPr>
                <w:sz w:val="20"/>
                <w:szCs w:val="20"/>
                <w:color w:val="auto"/>
              </w:rPr>
            </w:pPr>
            <w:r>
              <w:rPr>
                <w:rFonts w:ascii="Arial" w:cs="Arial" w:eastAsia="Arial" w:hAnsi="Arial"/>
                <w:sz w:val="14"/>
                <w:szCs w:val="14"/>
                <w:b w:val="1"/>
                <w:bCs w:val="1"/>
                <w:color w:val="auto"/>
                <w:w w:val="85"/>
              </w:rPr>
              <w:t>Name of each exchange on which registered</w:t>
            </w:r>
          </w:p>
        </w:tc>
      </w:tr>
      <w:tr>
        <w:trPr>
          <w:trHeight w:val="165"/>
        </w:trPr>
        <w:tc>
          <w:tcPr>
            <w:tcW w:w="3820" w:type="dxa"/>
            <w:vAlign w:val="bottom"/>
          </w:tcPr>
          <w:p>
            <w:pPr>
              <w:jc w:val="center"/>
              <w:ind w:left="32"/>
              <w:spacing w:after="0"/>
              <w:rPr>
                <w:sz w:val="20"/>
                <w:szCs w:val="20"/>
                <w:color w:val="auto"/>
              </w:rPr>
            </w:pPr>
            <w:r>
              <w:rPr>
                <w:rFonts w:ascii="Arial" w:cs="Arial" w:eastAsia="Arial" w:hAnsi="Arial"/>
                <w:sz w:val="14"/>
                <w:szCs w:val="14"/>
                <w:color w:val="auto"/>
                <w:w w:val="88"/>
              </w:rPr>
              <w:t>Class A Common Stock, par value $0.01</w:t>
            </w:r>
          </w:p>
        </w:tc>
        <w:tc>
          <w:tcPr>
            <w:tcW w:w="2760" w:type="dxa"/>
            <w:vAlign w:val="bottom"/>
          </w:tcPr>
          <w:p>
            <w:pPr>
              <w:jc w:val="center"/>
              <w:ind w:right="132"/>
              <w:spacing w:after="0"/>
              <w:rPr>
                <w:sz w:val="20"/>
                <w:szCs w:val="20"/>
                <w:color w:val="auto"/>
              </w:rPr>
            </w:pPr>
            <w:r>
              <w:rPr>
                <w:rFonts w:ascii="Arial" w:cs="Arial" w:eastAsia="Arial" w:hAnsi="Arial"/>
                <w:sz w:val="14"/>
                <w:szCs w:val="14"/>
                <w:color w:val="auto"/>
                <w:w w:val="92"/>
              </w:rPr>
              <w:t>CWEN.A</w:t>
            </w:r>
          </w:p>
        </w:tc>
        <w:tc>
          <w:tcPr>
            <w:tcW w:w="4700" w:type="dxa"/>
            <w:vAlign w:val="bottom"/>
          </w:tcPr>
          <w:p>
            <w:pPr>
              <w:jc w:val="center"/>
              <w:ind w:right="192"/>
              <w:spacing w:after="0"/>
              <w:rPr>
                <w:sz w:val="20"/>
                <w:szCs w:val="20"/>
                <w:color w:val="auto"/>
              </w:rPr>
            </w:pPr>
            <w:r>
              <w:rPr>
                <w:rFonts w:ascii="Arial" w:cs="Arial" w:eastAsia="Arial" w:hAnsi="Arial"/>
                <w:sz w:val="14"/>
                <w:szCs w:val="14"/>
                <w:color w:val="auto"/>
                <w:w w:val="89"/>
              </w:rPr>
              <w:t>New York Stock Exchange</w:t>
            </w:r>
          </w:p>
        </w:tc>
      </w:tr>
      <w:tr>
        <w:trPr>
          <w:trHeight w:val="174"/>
        </w:trPr>
        <w:tc>
          <w:tcPr>
            <w:tcW w:w="3820" w:type="dxa"/>
            <w:vAlign w:val="bottom"/>
          </w:tcPr>
          <w:p>
            <w:pPr>
              <w:jc w:val="center"/>
              <w:ind w:left="12"/>
              <w:spacing w:after="0"/>
              <w:rPr>
                <w:sz w:val="20"/>
                <w:szCs w:val="20"/>
                <w:color w:val="auto"/>
              </w:rPr>
            </w:pPr>
            <w:r>
              <w:rPr>
                <w:rFonts w:ascii="Arial" w:cs="Arial" w:eastAsia="Arial" w:hAnsi="Arial"/>
                <w:sz w:val="14"/>
                <w:szCs w:val="14"/>
                <w:color w:val="auto"/>
                <w:w w:val="87"/>
              </w:rPr>
              <w:t>Class C Common Stock, par value $0.01</w:t>
            </w:r>
          </w:p>
        </w:tc>
        <w:tc>
          <w:tcPr>
            <w:tcW w:w="2760" w:type="dxa"/>
            <w:vAlign w:val="bottom"/>
          </w:tcPr>
          <w:p>
            <w:pPr>
              <w:jc w:val="center"/>
              <w:ind w:right="132"/>
              <w:spacing w:after="0"/>
              <w:rPr>
                <w:sz w:val="20"/>
                <w:szCs w:val="20"/>
                <w:color w:val="auto"/>
              </w:rPr>
            </w:pPr>
            <w:r>
              <w:rPr>
                <w:rFonts w:ascii="Arial" w:cs="Arial" w:eastAsia="Arial" w:hAnsi="Arial"/>
                <w:sz w:val="14"/>
                <w:szCs w:val="14"/>
                <w:color w:val="auto"/>
                <w:w w:val="93"/>
              </w:rPr>
              <w:t>CWEN</w:t>
            </w:r>
          </w:p>
        </w:tc>
        <w:tc>
          <w:tcPr>
            <w:tcW w:w="4700" w:type="dxa"/>
            <w:vAlign w:val="bottom"/>
          </w:tcPr>
          <w:p>
            <w:pPr>
              <w:jc w:val="center"/>
              <w:ind w:right="192"/>
              <w:spacing w:after="0"/>
              <w:rPr>
                <w:sz w:val="20"/>
                <w:szCs w:val="20"/>
                <w:color w:val="auto"/>
              </w:rPr>
            </w:pPr>
            <w:r>
              <w:rPr>
                <w:rFonts w:ascii="Arial" w:cs="Arial" w:eastAsia="Arial" w:hAnsi="Arial"/>
                <w:sz w:val="14"/>
                <w:szCs w:val="14"/>
                <w:color w:val="auto"/>
                <w:w w:val="89"/>
              </w:rPr>
              <w:t>New York Stock Exchange</w:t>
            </w:r>
          </w:p>
        </w:tc>
      </w:tr>
    </w:tbl>
    <w:p>
      <w:pPr>
        <w:spacing w:after="0" w:line="237" w:lineRule="exact"/>
        <w:rPr>
          <w:sz w:val="24"/>
          <w:szCs w:val="24"/>
          <w:color w:val="auto"/>
        </w:rPr>
      </w:pPr>
    </w:p>
    <w:p>
      <w:pPr>
        <w:ind w:right="120"/>
        <w:spacing w:after="0" w:line="250"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ind w:left="9640"/>
        <w:spacing w:after="0" w:line="127" w:lineRule="exact"/>
        <w:rPr>
          <w:sz w:val="20"/>
          <w:szCs w:val="20"/>
          <w:color w:val="auto"/>
        </w:rPr>
      </w:pPr>
      <w:r>
        <w:rPr>
          <w:rFonts w:ascii="Arial" w:cs="Arial" w:eastAsia="Arial" w:hAnsi="Arial"/>
          <w:sz w:val="11"/>
          <w:szCs w:val="11"/>
          <w:color w:val="231F20"/>
        </w:rPr>
        <w:t xml:space="preserve">Emerging growth company </w:t>
      </w:r>
      <w:r>
        <w:rPr>
          <w:rFonts w:ascii="MS PGothic" w:cs="MS PGothic" w:eastAsia="MS PGothic" w:hAnsi="MS PGothic"/>
          <w:sz w:val="11"/>
          <w:szCs w:val="11"/>
          <w:color w:val="000000"/>
        </w:rPr>
        <w:t>☐</w:t>
      </w:r>
    </w:p>
    <w:p>
      <w:pPr>
        <w:spacing w:after="0" w:line="216" w:lineRule="exact"/>
        <w:rPr>
          <w:sz w:val="24"/>
          <w:szCs w:val="24"/>
          <w:color w:val="auto"/>
        </w:rPr>
      </w:pPr>
    </w:p>
    <w:p>
      <w:pPr>
        <w:ind w:right="60"/>
        <w:spacing w:after="0" w:line="250"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jc w:val="right"/>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683260</wp:posOffset>
            </wp:positionV>
            <wp:extent cx="719074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422" w:right="319" w:bottom="1440" w:gutter="0" w:footer="0" w:header="0"/>
          <w:type w:val="continuous"/>
        </w:sectPr>
      </w:pPr>
    </w:p>
    <w:bookmarkStart w:id="1" w:name="page2"/>
    <w:bookmarkEnd w:id="1"/>
    <w:p>
      <w:pPr>
        <w:spacing w:after="0"/>
        <w:tabs>
          <w:tab w:leader="none" w:pos="660" w:val="left"/>
        </w:tabs>
        <w:rPr>
          <w:sz w:val="20"/>
          <w:szCs w:val="20"/>
          <w:color w:val="auto"/>
        </w:rPr>
      </w:pPr>
      <w:r>
        <w:rPr>
          <w:rFonts w:ascii="Arial" w:cs="Arial" w:eastAsia="Arial" w:hAnsi="Arial"/>
          <w:sz w:val="14"/>
          <w:szCs w:val="14"/>
          <w:b w:val="1"/>
          <w:bCs w:val="1"/>
          <w:color w:val="auto"/>
        </w:rPr>
        <w:t>Item 2.02</w:t>
      </w:r>
      <w:r>
        <w:rPr>
          <w:sz w:val="20"/>
          <w:szCs w:val="20"/>
          <w:color w:val="auto"/>
        </w:rPr>
        <w:tab/>
      </w:r>
      <w:r>
        <w:rPr>
          <w:rFonts w:ascii="Arial" w:cs="Arial" w:eastAsia="Arial" w:hAnsi="Arial"/>
          <w:sz w:val="11"/>
          <w:szCs w:val="11"/>
          <w:b w:val="1"/>
          <w:bCs w:val="1"/>
          <w:color w:val="auto"/>
        </w:rPr>
        <w:t>Results of Operations and Financial Condition</w:t>
      </w:r>
    </w:p>
    <w:p>
      <w:pPr>
        <w:spacing w:after="0" w:line="192" w:lineRule="exact"/>
        <w:rPr>
          <w:sz w:val="20"/>
          <w:szCs w:val="20"/>
          <w:color w:val="auto"/>
        </w:rPr>
      </w:pPr>
    </w:p>
    <w:p>
      <w:pPr>
        <w:jc w:val="both"/>
        <w:ind w:firstLine="145"/>
        <w:spacing w:after="0" w:line="283" w:lineRule="auto"/>
        <w:rPr>
          <w:sz w:val="20"/>
          <w:szCs w:val="20"/>
          <w:color w:val="auto"/>
        </w:rPr>
      </w:pPr>
      <w:r>
        <w:rPr>
          <w:rFonts w:ascii="Arial" w:cs="Arial" w:eastAsia="Arial" w:hAnsi="Arial"/>
          <w:sz w:val="13"/>
          <w:szCs w:val="13"/>
          <w:color w:val="auto"/>
        </w:rPr>
        <w:t xml:space="preserve">On May 5, 2022, Clearway Energy, Inc. issued a press release announcing its financial results for the quarter ended March 31, 2022. A copy of the press release is furnished as Exhibit 99.1 to this report on Form 8-K and is hereby incorporated by reference. </w:t>
      </w:r>
      <w:r>
        <w:rPr>
          <w:rFonts w:ascii="Arial" w:cs="Arial" w:eastAsia="Arial" w:hAnsi="Arial"/>
          <w:sz w:val="13"/>
          <w:szCs w:val="13"/>
          <w:color w:val="212529"/>
        </w:rPr>
        <w:t>In accordance with General Instruction B.2 of Form 8-K, the information set forth in this Item 2.02 and in the attached exhibit are deemed to be</w:t>
      </w:r>
      <w:r>
        <w:rPr>
          <w:rFonts w:ascii="Arial" w:cs="Arial" w:eastAsia="Arial" w:hAnsi="Arial"/>
          <w:sz w:val="13"/>
          <w:szCs w:val="13"/>
          <w:color w:val="auto"/>
        </w:rPr>
        <w:t xml:space="preserve"> </w:t>
      </w:r>
      <w:r>
        <w:rPr>
          <w:rFonts w:ascii="Arial" w:cs="Arial" w:eastAsia="Arial" w:hAnsi="Arial"/>
          <w:sz w:val="13"/>
          <w:szCs w:val="13"/>
          <w:color w:val="212529"/>
        </w:rPr>
        <w:t>furnished and shall not be deemed to be “filed” for purposes of Section 18 of the Securities Exchange Act of 1934, as amended (the “Exchange Act”).</w:t>
      </w:r>
    </w:p>
    <w:p>
      <w:pPr>
        <w:spacing w:after="0" w:line="145" w:lineRule="exact"/>
        <w:rPr>
          <w:sz w:val="20"/>
          <w:szCs w:val="20"/>
          <w:color w:val="auto"/>
        </w:rPr>
      </w:pPr>
    </w:p>
    <w:p>
      <w:pPr>
        <w:spacing w:after="0"/>
        <w:tabs>
          <w:tab w:leader="none" w:pos="700" w:val="left"/>
        </w:tabs>
        <w:rPr>
          <w:sz w:val="20"/>
          <w:szCs w:val="20"/>
          <w:color w:val="auto"/>
        </w:rPr>
      </w:pPr>
      <w:r>
        <w:rPr>
          <w:rFonts w:ascii="Arial" w:cs="Arial" w:eastAsia="Arial" w:hAnsi="Arial"/>
          <w:sz w:val="14"/>
          <w:szCs w:val="14"/>
          <w:b w:val="1"/>
          <w:bCs w:val="1"/>
          <w:color w:val="auto"/>
        </w:rPr>
        <w:t>Item 9.01</w:t>
      </w:r>
      <w:r>
        <w:rPr>
          <w:sz w:val="20"/>
          <w:szCs w:val="20"/>
          <w:color w:val="auto"/>
        </w:rPr>
        <w:tab/>
      </w:r>
      <w:r>
        <w:rPr>
          <w:rFonts w:ascii="Arial" w:cs="Arial" w:eastAsia="Arial" w:hAnsi="Arial"/>
          <w:sz w:val="11"/>
          <w:szCs w:val="11"/>
          <w:b w:val="1"/>
          <w:bCs w:val="1"/>
          <w:color w:val="auto"/>
        </w:rPr>
        <w:t>Financial Statements and Exhibits</w:t>
      </w:r>
    </w:p>
    <w:p>
      <w:pPr>
        <w:spacing w:after="0" w:line="14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(d) Exhibits</w:t>
      </w:r>
    </w:p>
    <w:p>
      <w:pPr>
        <w:spacing w:after="0" w:line="188" w:lineRule="exact"/>
        <w:rPr>
          <w:sz w:val="20"/>
          <w:szCs w:val="20"/>
          <w:color w:val="auto"/>
        </w:rPr>
      </w:pPr>
    </w:p>
    <w:p>
      <w:pPr>
        <w:jc w:val="both"/>
        <w:ind w:firstLine="493"/>
        <w:spacing w:after="0" w:line="264" w:lineRule="auto"/>
        <w:rPr>
          <w:sz w:val="20"/>
          <w:szCs w:val="20"/>
          <w:color w:val="auto"/>
        </w:rPr>
      </w:pPr>
      <w:r>
        <w:rPr>
          <w:rFonts w:ascii="Arial" w:cs="Arial" w:eastAsia="Arial" w:hAnsi="Arial"/>
          <w:sz w:val="14"/>
          <w:szCs w:val="14"/>
          <w:color w:val="212529"/>
        </w:rPr>
        <w:t>In accordance with General Instruction B.2 of Form 8-K, the information set forth in the attached exhibit is deemed to be furnished and shall not be deemed to be “filed” for purposes of Section 18 of the Exchange Act.</w:t>
      </w:r>
    </w:p>
    <w:p>
      <w:pPr>
        <w:sectPr>
          <w:pgSz w:w="11900" w:h="16838" w:orient="portrait"/>
          <w:cols w:equalWidth="0" w:num="1">
            <w:col w:w="11280"/>
          </w:cols>
          <w:pgMar w:left="300" w:top="1018" w:right="319" w:bottom="1440" w:gutter="0" w:footer="0" w:header="0"/>
        </w:sectPr>
      </w:pPr>
    </w:p>
    <w:p>
      <w:pPr>
        <w:spacing w:after="0" w:line="9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ind w:left="20"/>
        <w:spacing w:after="0"/>
        <w:rPr>
          <w:sz w:val="20"/>
          <w:szCs w:val="20"/>
          <w:color w:val="auto"/>
        </w:rPr>
      </w:pPr>
      <w:r>
        <w:rPr>
          <w:rFonts w:ascii="Arial" w:cs="Arial" w:eastAsia="Arial" w:hAnsi="Arial"/>
          <w:sz w:val="11"/>
          <w:szCs w:val="11"/>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55880</wp:posOffset>
            </wp:positionV>
            <wp:extent cx="125857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58570" cy="6350"/>
                    </a:xfrm>
                    <a:prstGeom prst="rect">
                      <a:avLst/>
                    </a:prstGeom>
                    <a:noFill/>
                  </pic:spPr>
                </pic:pic>
              </a:graphicData>
            </a:graphic>
          </wp:anchor>
        </w:drawing>
      </w:r>
    </w:p>
    <w:p>
      <w:pPr>
        <w:spacing w:after="0" w:line="78" w:lineRule="exact"/>
        <w:rPr>
          <w:sz w:val="20"/>
          <w:szCs w:val="20"/>
          <w:color w:val="auto"/>
        </w:rPr>
      </w:pPr>
    </w:p>
    <w:p>
      <w:pPr>
        <w:ind w:left="20"/>
        <w:spacing w:after="0"/>
        <w:rPr>
          <w:sz w:val="20"/>
          <w:szCs w:val="20"/>
          <w:color w:val="auto"/>
        </w:rPr>
      </w:pPr>
      <w:r>
        <w:rPr>
          <w:rFonts w:ascii="Arial" w:cs="Arial" w:eastAsia="Arial" w:hAnsi="Arial"/>
          <w:sz w:val="14"/>
          <w:szCs w:val="14"/>
          <w:color w:val="auto"/>
        </w:rPr>
        <w:t>99.1</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ind w:left="3780"/>
        <w:spacing w:after="0"/>
        <w:rPr>
          <w:sz w:val="20"/>
          <w:szCs w:val="20"/>
          <w:color w:val="auto"/>
        </w:rPr>
      </w:pPr>
      <w:r>
        <w:rPr>
          <w:rFonts w:ascii="Arial" w:cs="Arial" w:eastAsia="Arial" w:hAnsi="Arial"/>
          <w:sz w:val="14"/>
          <w:szCs w:val="14"/>
          <w:b w:val="1"/>
          <w:bCs w:val="1"/>
          <w:color w:val="auto"/>
        </w:rPr>
        <w:t>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518287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82870" cy="6350"/>
                    </a:xfrm>
                    <a:prstGeom prst="rect">
                      <a:avLst/>
                    </a:prstGeom>
                    <a:noFill/>
                  </pic:spPr>
                </pic:pic>
              </a:graphicData>
            </a:graphic>
          </wp:anchor>
        </w:drawing>
      </w:r>
    </w:p>
    <w:p>
      <w:pPr>
        <w:spacing w:after="0" w:line="8" w:lineRule="exact"/>
        <w:rPr>
          <w:sz w:val="20"/>
          <w:szCs w:val="20"/>
          <w:color w:val="auto"/>
        </w:rPr>
      </w:pPr>
    </w:p>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Press Release, dated May 5, 2022</w:t>
        </w:r>
      </w:hyperlink>
    </w:p>
    <w:p>
      <w:pPr>
        <w:spacing w:after="0" w:line="14" w:lineRule="exact"/>
        <w:rPr>
          <w:sz w:val="20"/>
          <w:szCs w:val="20"/>
          <w:color w:val="auto"/>
        </w:rPr>
      </w:pPr>
    </w:p>
    <w:p>
      <w:pPr>
        <w:spacing w:after="0"/>
        <w:rPr>
          <w:sz w:val="20"/>
          <w:szCs w:val="20"/>
          <w:color w:val="auto"/>
        </w:rPr>
      </w:pPr>
      <w:r>
        <w:rPr>
          <w:rFonts w:ascii="Arial" w:cs="Arial" w:eastAsia="Arial" w:hAnsi="Arial"/>
          <w:sz w:val="11"/>
          <w:szCs w:val="11"/>
          <w:color w:val="auto"/>
        </w:rPr>
        <w:t>Cover Page Interactive Data File (formatted as inline XBRL and contained in Exhibit 101)</w:t>
      </w:r>
    </w:p>
    <w:p>
      <w:pPr>
        <w:spacing w:after="0" w:line="234" w:lineRule="exact"/>
        <w:rPr>
          <w:sz w:val="20"/>
          <w:szCs w:val="20"/>
          <w:color w:val="auto"/>
        </w:rPr>
      </w:pPr>
    </w:p>
    <w:p>
      <w:pPr>
        <w:sectPr>
          <w:pgSz w:w="11900" w:h="16838" w:orient="portrait"/>
          <w:cols w:equalWidth="0" w:num="2">
            <w:col w:w="1740" w:space="720"/>
            <w:col w:w="8820"/>
          </w:cols>
          <w:pgMar w:left="300" w:top="1018"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165735</wp:posOffset>
            </wp:positionV>
            <wp:extent cx="719074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90740" cy="38735"/>
                    </a:xfrm>
                    <a:prstGeom prst="rect">
                      <a:avLst/>
                    </a:prstGeom>
                    <a:noFill/>
                  </pic:spPr>
                </pic:pic>
              </a:graphicData>
            </a:graphic>
          </wp:anchor>
        </w:drawing>
      </w:r>
    </w:p>
    <w:p>
      <w:pPr>
        <w:sectPr>
          <w:pgSz w:w="11900" w:h="16838" w:orient="portrait"/>
          <w:cols w:equalWidth="0" w:num="1">
            <w:col w:w="11280"/>
          </w:cols>
          <w:pgMar w:left="300" w:top="1018" w:right="31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4"/>
          <w:szCs w:val="14"/>
          <w:b w:val="1"/>
          <w:bCs w:val="1"/>
          <w:u w:val="single" w:color="auto"/>
          <w:color w:val="auto"/>
        </w:rPr>
        <w:t>SIGNATURES</w:t>
      </w:r>
    </w:p>
    <w:p>
      <w:pPr>
        <w:spacing w:after="0" w:line="200" w:lineRule="exact"/>
        <w:rPr>
          <w:sz w:val="20"/>
          <w:szCs w:val="20"/>
          <w:color w:val="auto"/>
        </w:rPr>
      </w:pPr>
    </w:p>
    <w:p>
      <w:pPr>
        <w:spacing w:after="0" w:line="362" w:lineRule="exact"/>
        <w:rPr>
          <w:sz w:val="20"/>
          <w:szCs w:val="20"/>
          <w:color w:val="auto"/>
        </w:rPr>
      </w:pPr>
    </w:p>
    <w:p>
      <w:pPr>
        <w:ind w:left="480"/>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395"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Clearway Energy, Inc.</w:t>
      </w:r>
    </w:p>
    <w:p>
      <w:pPr>
        <w:spacing w:after="0" w:line="14"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(Registrant)</w:t>
      </w:r>
    </w:p>
    <w:p>
      <w:pPr>
        <w:spacing w:after="0" w:line="209" w:lineRule="exact"/>
        <w:rPr>
          <w:sz w:val="20"/>
          <w:szCs w:val="20"/>
          <w:color w:val="auto"/>
        </w:rPr>
      </w:pPr>
    </w:p>
    <w:tbl>
      <w:tblPr>
        <w:tblLayout w:type="fixed"/>
        <w:tblInd w:w="5620" w:type="dxa"/>
        <w:tblCellMar>
          <w:top w:w="0" w:type="dxa"/>
          <w:left w:w="0" w:type="dxa"/>
          <w:bottom w:w="0" w:type="dxa"/>
          <w:right w:w="0" w:type="dxa"/>
        </w:tblCellMar>
      </w:tblPr>
      <w:tr>
        <w:trPr>
          <w:trHeight w:val="174"/>
        </w:trPr>
        <w:tc>
          <w:tcPr>
            <w:tcW w:w="520" w:type="dxa"/>
            <w:vAlign w:val="bottom"/>
          </w:tcPr>
          <w:p>
            <w:pPr>
              <w:spacing w:after="0"/>
              <w:rPr>
                <w:sz w:val="20"/>
                <w:szCs w:val="20"/>
                <w:color w:val="auto"/>
              </w:rPr>
            </w:pPr>
            <w:r>
              <w:rPr>
                <w:rFonts w:ascii="Arial" w:cs="Arial" w:eastAsia="Arial" w:hAnsi="Arial"/>
                <w:sz w:val="14"/>
                <w:szCs w:val="14"/>
                <w:color w:val="auto"/>
              </w:rPr>
              <w:t>By:</w:t>
            </w:r>
          </w:p>
        </w:tc>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Kevin P. Malcarney</w:t>
            </w:r>
          </w:p>
        </w:tc>
      </w:tr>
      <w:tr>
        <w:trPr>
          <w:trHeight w:val="165"/>
        </w:trPr>
        <w:tc>
          <w:tcPr>
            <w:tcW w:w="520" w:type="dxa"/>
            <w:vAlign w:val="bottom"/>
          </w:tcPr>
          <w:p>
            <w:pPr>
              <w:spacing w:after="0"/>
              <w:rPr>
                <w:sz w:val="14"/>
                <w:szCs w:val="14"/>
                <w:color w:val="auto"/>
              </w:rPr>
            </w:pPr>
          </w:p>
        </w:tc>
        <w:tc>
          <w:tcPr>
            <w:tcW w:w="5120" w:type="dxa"/>
            <w:vAlign w:val="bottom"/>
          </w:tcPr>
          <w:p>
            <w:pPr>
              <w:ind w:left="20"/>
              <w:spacing w:after="0"/>
              <w:rPr>
                <w:sz w:val="20"/>
                <w:szCs w:val="20"/>
                <w:color w:val="auto"/>
              </w:rPr>
            </w:pPr>
            <w:r>
              <w:rPr>
                <w:rFonts w:ascii="Arial" w:cs="Arial" w:eastAsia="Arial" w:hAnsi="Arial"/>
                <w:sz w:val="14"/>
                <w:szCs w:val="14"/>
                <w:color w:val="auto"/>
              </w:rPr>
              <w:t>Kevin P. Malcarney</w:t>
            </w:r>
          </w:p>
        </w:tc>
      </w:tr>
      <w:tr>
        <w:trPr>
          <w:trHeight w:val="174"/>
        </w:trPr>
        <w:tc>
          <w:tcPr>
            <w:tcW w:w="520" w:type="dxa"/>
            <w:vAlign w:val="bottom"/>
          </w:tcPr>
          <w:p>
            <w:pPr>
              <w:spacing w:after="0"/>
              <w:rPr>
                <w:sz w:val="15"/>
                <w:szCs w:val="15"/>
                <w:color w:val="auto"/>
              </w:rPr>
            </w:pPr>
          </w:p>
        </w:tc>
        <w:tc>
          <w:tcPr>
            <w:tcW w:w="5120" w:type="dxa"/>
            <w:vAlign w:val="bottom"/>
          </w:tcPr>
          <w:p>
            <w:pPr>
              <w:ind w:left="20"/>
              <w:spacing w:after="0"/>
              <w:rPr>
                <w:sz w:val="20"/>
                <w:szCs w:val="20"/>
                <w:color w:val="auto"/>
              </w:rPr>
            </w:pPr>
            <w:r>
              <w:rPr>
                <w:rFonts w:ascii="Arial" w:cs="Arial" w:eastAsia="Arial" w:hAnsi="Arial"/>
                <w:sz w:val="14"/>
                <w:szCs w:val="14"/>
                <w:color w:val="auto"/>
              </w:rPr>
              <w:t>General Counsel and Corporate Secretary</w:t>
            </w:r>
          </w:p>
        </w:tc>
      </w:tr>
    </w:tbl>
    <w:p>
      <w:pPr>
        <w:spacing w:after="0" w:line="196" w:lineRule="exact"/>
        <w:rPr>
          <w:sz w:val="20"/>
          <w:szCs w:val="20"/>
          <w:color w:val="auto"/>
        </w:rPr>
      </w:pPr>
    </w:p>
    <w:p>
      <w:pPr>
        <w:spacing w:after="0"/>
        <w:rPr>
          <w:sz w:val="20"/>
          <w:szCs w:val="20"/>
          <w:color w:val="auto"/>
        </w:rPr>
      </w:pPr>
      <w:r>
        <w:rPr>
          <w:rFonts w:ascii="Arial" w:cs="Arial" w:eastAsia="Arial" w:hAnsi="Arial"/>
          <w:sz w:val="14"/>
          <w:szCs w:val="14"/>
          <w:color w:val="auto"/>
        </w:rPr>
        <w:t>Dated: May 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60"/>
          </w:cols>
          <w:pgMar w:left="320" w:top="1203" w:right="319" w:bottom="1440" w:gutter="0" w:footer="0" w:header="0"/>
        </w:sectPr>
      </w:pPr>
    </w:p>
    <w:bookmarkStart w:id="3" w:name="page4"/>
    <w:bookmarkEnd w:id="3"/>
    <w:p>
      <w:pPr>
        <w:jc w:val="right"/>
        <w:spacing w:after="0"/>
        <w:rPr>
          <w:sz w:val="20"/>
          <w:szCs w:val="20"/>
          <w:color w:val="auto"/>
        </w:rPr>
      </w:pPr>
      <w:r>
        <w:rPr>
          <w:rFonts w:ascii="Arial" w:cs="Arial" w:eastAsia="Arial" w:hAnsi="Arial"/>
          <w:sz w:val="14"/>
          <w:szCs w:val="14"/>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278765</wp:posOffset>
            </wp:positionV>
            <wp:extent cx="1858010" cy="2476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58010" cy="247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Clearway Energy, Inc. Reports First Quarter 2022 Financial Results</w:t>
      </w:r>
    </w:p>
    <w:p>
      <w:pPr>
        <w:spacing w:after="0" w:line="196" w:lineRule="exact"/>
        <w:rPr>
          <w:sz w:val="20"/>
          <w:szCs w:val="20"/>
          <w:color w:val="auto"/>
        </w:rPr>
      </w:pPr>
    </w:p>
    <w:p>
      <w:pPr>
        <w:ind w:left="500" w:hanging="251"/>
        <w:spacing w:after="0"/>
        <w:tabs>
          <w:tab w:leader="none" w:pos="500" w:val="left"/>
        </w:tabs>
        <w:numPr>
          <w:ilvl w:val="0"/>
          <w:numId w:val="2"/>
        </w:numPr>
        <w:rPr>
          <w:rFonts w:ascii="Arial" w:cs="Arial" w:eastAsia="Arial" w:hAnsi="Arial"/>
          <w:sz w:val="14"/>
          <w:szCs w:val="14"/>
          <w:b w:val="1"/>
          <w:bCs w:val="1"/>
          <w:color w:val="auto"/>
        </w:rPr>
      </w:pPr>
      <w:r>
        <w:rPr>
          <w:rFonts w:ascii="Arial" w:cs="Arial" w:eastAsia="Arial" w:hAnsi="Arial"/>
          <w:sz w:val="14"/>
          <w:szCs w:val="14"/>
          <w:b w:val="1"/>
          <w:bCs w:val="1"/>
          <w:color w:val="auto"/>
        </w:rPr>
        <w:t>Closed the sale of Clearway's Thermal Business on May 1st</w:t>
      </w:r>
    </w:p>
    <w:p>
      <w:pPr>
        <w:spacing w:after="0" w:line="16" w:lineRule="exact"/>
        <w:rPr>
          <w:rFonts w:ascii="Arial" w:cs="Arial" w:eastAsia="Arial" w:hAnsi="Arial"/>
          <w:sz w:val="14"/>
          <w:szCs w:val="14"/>
          <w:b w:val="1"/>
          <w:bCs w:val="1"/>
          <w:color w:val="auto"/>
        </w:rPr>
      </w:pPr>
    </w:p>
    <w:p>
      <w:pPr>
        <w:ind w:left="500" w:hanging="251"/>
        <w:spacing w:after="0"/>
        <w:tabs>
          <w:tab w:leader="none" w:pos="500" w:val="left"/>
        </w:tabs>
        <w:numPr>
          <w:ilvl w:val="0"/>
          <w:numId w:val="2"/>
        </w:numPr>
        <w:rPr>
          <w:rFonts w:ascii="Arial" w:cs="Arial" w:eastAsia="Arial" w:hAnsi="Arial"/>
          <w:sz w:val="14"/>
          <w:szCs w:val="14"/>
          <w:b w:val="1"/>
          <w:bCs w:val="1"/>
          <w:color w:val="auto"/>
        </w:rPr>
      </w:pPr>
      <w:r>
        <w:rPr>
          <w:rFonts w:ascii="Arial" w:cs="Arial" w:eastAsia="Arial" w:hAnsi="Arial"/>
          <w:sz w:val="14"/>
          <w:szCs w:val="14"/>
          <w:b w:val="1"/>
          <w:bCs w:val="1"/>
          <w:color w:val="auto"/>
        </w:rPr>
        <w:t>Repaid all outstanding borrowings under the revolving credit facility and the Bridge Loan Agreement</w:t>
      </w:r>
    </w:p>
    <w:p>
      <w:pPr>
        <w:spacing w:after="0" w:line="3" w:lineRule="exact"/>
        <w:rPr>
          <w:rFonts w:ascii="Arial" w:cs="Arial" w:eastAsia="Arial" w:hAnsi="Arial"/>
          <w:sz w:val="14"/>
          <w:szCs w:val="14"/>
          <w:b w:val="1"/>
          <w:bCs w:val="1"/>
          <w:color w:val="auto"/>
        </w:rPr>
      </w:pPr>
    </w:p>
    <w:p>
      <w:pPr>
        <w:ind w:left="500" w:hanging="251"/>
        <w:spacing w:after="0"/>
        <w:tabs>
          <w:tab w:leader="none" w:pos="500" w:val="left"/>
        </w:tabs>
        <w:numPr>
          <w:ilvl w:val="0"/>
          <w:numId w:val="2"/>
        </w:numPr>
        <w:rPr>
          <w:rFonts w:ascii="Arial" w:cs="Arial" w:eastAsia="Arial" w:hAnsi="Arial"/>
          <w:sz w:val="14"/>
          <w:szCs w:val="14"/>
          <w:b w:val="1"/>
          <w:bCs w:val="1"/>
          <w:color w:val="auto"/>
        </w:rPr>
      </w:pPr>
      <w:r>
        <w:rPr>
          <w:rFonts w:ascii="Arial" w:cs="Arial" w:eastAsia="Arial" w:hAnsi="Arial"/>
          <w:sz w:val="14"/>
          <w:szCs w:val="14"/>
          <w:b w:val="1"/>
          <w:bCs w:val="1"/>
          <w:color w:val="auto"/>
        </w:rPr>
        <w:t>Advanced previously committed growth through the initial funding of the Mililani solar project</w:t>
      </w:r>
    </w:p>
    <w:p>
      <w:pPr>
        <w:spacing w:after="0" w:line="3" w:lineRule="exact"/>
        <w:rPr>
          <w:rFonts w:ascii="Arial" w:cs="Arial" w:eastAsia="Arial" w:hAnsi="Arial"/>
          <w:sz w:val="14"/>
          <w:szCs w:val="14"/>
          <w:b w:val="1"/>
          <w:bCs w:val="1"/>
          <w:color w:val="auto"/>
        </w:rPr>
      </w:pPr>
    </w:p>
    <w:p>
      <w:pPr>
        <w:ind w:left="500" w:hanging="251"/>
        <w:spacing w:after="0"/>
        <w:tabs>
          <w:tab w:leader="none" w:pos="500" w:val="left"/>
        </w:tabs>
        <w:numPr>
          <w:ilvl w:val="0"/>
          <w:numId w:val="2"/>
        </w:numPr>
        <w:rPr>
          <w:rFonts w:ascii="Arial" w:cs="Arial" w:eastAsia="Arial" w:hAnsi="Arial"/>
          <w:sz w:val="14"/>
          <w:szCs w:val="14"/>
          <w:b w:val="1"/>
          <w:bCs w:val="1"/>
          <w:color w:val="auto"/>
        </w:rPr>
      </w:pPr>
      <w:r>
        <w:rPr>
          <w:rFonts w:ascii="Arial" w:cs="Arial" w:eastAsia="Arial" w:hAnsi="Arial"/>
          <w:sz w:val="14"/>
          <w:szCs w:val="14"/>
          <w:b w:val="1"/>
          <w:bCs w:val="1"/>
          <w:color w:val="auto"/>
        </w:rPr>
        <w:t>Updating 2022 financial guidance due to the closing of the Thermal transaction</w:t>
      </w:r>
    </w:p>
    <w:p>
      <w:pPr>
        <w:spacing w:after="0" w:line="3" w:lineRule="exact"/>
        <w:rPr>
          <w:rFonts w:ascii="Arial" w:cs="Arial" w:eastAsia="Arial" w:hAnsi="Arial"/>
          <w:sz w:val="14"/>
          <w:szCs w:val="14"/>
          <w:b w:val="1"/>
          <w:bCs w:val="1"/>
          <w:color w:val="auto"/>
        </w:rPr>
      </w:pPr>
    </w:p>
    <w:p>
      <w:pPr>
        <w:ind w:left="500" w:hanging="251"/>
        <w:spacing w:after="0"/>
        <w:tabs>
          <w:tab w:leader="none" w:pos="500" w:val="left"/>
        </w:tabs>
        <w:numPr>
          <w:ilvl w:val="0"/>
          <w:numId w:val="2"/>
        </w:numPr>
        <w:rPr>
          <w:rFonts w:ascii="Arial" w:cs="Arial" w:eastAsia="Arial" w:hAnsi="Arial"/>
          <w:sz w:val="14"/>
          <w:szCs w:val="14"/>
          <w:b w:val="1"/>
          <w:bCs w:val="1"/>
          <w:color w:val="auto"/>
        </w:rPr>
      </w:pPr>
      <w:r>
        <w:rPr>
          <w:rFonts w:ascii="Arial" w:cs="Arial" w:eastAsia="Arial" w:hAnsi="Arial"/>
          <w:sz w:val="14"/>
          <w:szCs w:val="14"/>
          <w:b w:val="1"/>
          <w:bCs w:val="1"/>
          <w:color w:val="auto"/>
        </w:rPr>
        <w:t>Increasing the quarterly dividend by 2% to $0.3536 per share in the second quarter of 2022, or $1.414 per share annualized</w:t>
      </w:r>
    </w:p>
    <w:p>
      <w:pPr>
        <w:spacing w:after="0" w:line="3" w:lineRule="exact"/>
        <w:rPr>
          <w:rFonts w:ascii="Arial" w:cs="Arial" w:eastAsia="Arial" w:hAnsi="Arial"/>
          <w:sz w:val="14"/>
          <w:szCs w:val="14"/>
          <w:b w:val="1"/>
          <w:bCs w:val="1"/>
          <w:color w:val="auto"/>
        </w:rPr>
      </w:pPr>
    </w:p>
    <w:p>
      <w:pPr>
        <w:ind w:left="500" w:hanging="251"/>
        <w:spacing w:after="0"/>
        <w:tabs>
          <w:tab w:leader="none" w:pos="500" w:val="left"/>
        </w:tabs>
        <w:numPr>
          <w:ilvl w:val="0"/>
          <w:numId w:val="2"/>
        </w:numPr>
        <w:rPr>
          <w:rFonts w:ascii="Arial" w:cs="Arial" w:eastAsia="Arial" w:hAnsi="Arial"/>
          <w:sz w:val="14"/>
          <w:szCs w:val="14"/>
          <w:b w:val="1"/>
          <w:bCs w:val="1"/>
          <w:color w:val="auto"/>
        </w:rPr>
      </w:pPr>
      <w:r>
        <w:rPr>
          <w:rFonts w:ascii="Arial" w:cs="Arial" w:eastAsia="Arial" w:hAnsi="Arial"/>
          <w:sz w:val="14"/>
          <w:szCs w:val="14"/>
          <w:b w:val="1"/>
          <w:bCs w:val="1"/>
          <w:color w:val="auto"/>
        </w:rPr>
        <w:t>Reaffirming annual dividend per share growth in the upper range of 5% to 8% through 2026</w:t>
      </w:r>
    </w:p>
    <w:p>
      <w:pPr>
        <w:spacing w:after="0" w:line="174" w:lineRule="exact"/>
        <w:rPr>
          <w:sz w:val="20"/>
          <w:szCs w:val="20"/>
          <w:color w:val="auto"/>
        </w:rPr>
      </w:pPr>
    </w:p>
    <w:p>
      <w:pPr>
        <w:jc w:val="both"/>
        <w:spacing w:after="0" w:line="270" w:lineRule="auto"/>
        <w:rPr>
          <w:sz w:val="20"/>
          <w:szCs w:val="20"/>
          <w:color w:val="auto"/>
        </w:rPr>
      </w:pPr>
      <w:r>
        <w:rPr>
          <w:rFonts w:ascii="Arial" w:cs="Arial" w:eastAsia="Arial" w:hAnsi="Arial"/>
          <w:sz w:val="14"/>
          <w:szCs w:val="14"/>
          <w:b w:val="1"/>
          <w:bCs w:val="1"/>
          <w:color w:val="auto"/>
        </w:rPr>
        <w:t xml:space="preserve">PRINCETON, NJ </w:t>
      </w:r>
      <w:r>
        <w:rPr>
          <w:rFonts w:ascii="Arial" w:cs="Arial" w:eastAsia="Arial" w:hAnsi="Arial"/>
          <w:sz w:val="14"/>
          <w:szCs w:val="14"/>
          <w:color w:val="auto"/>
        </w:rPr>
        <w:t>—</w:t>
      </w:r>
      <w:r>
        <w:rPr>
          <w:rFonts w:ascii="Arial" w:cs="Arial" w:eastAsia="Arial" w:hAnsi="Arial"/>
          <w:sz w:val="14"/>
          <w:szCs w:val="14"/>
          <w:b w:val="1"/>
          <w:bCs w:val="1"/>
          <w:color w:val="auto"/>
        </w:rPr>
        <w:t xml:space="preserve"> May 5, 2022</w:t>
      </w:r>
      <w:r>
        <w:rPr>
          <w:rFonts w:ascii="Arial" w:cs="Arial" w:eastAsia="Arial" w:hAnsi="Arial"/>
          <w:sz w:val="14"/>
          <w:szCs w:val="14"/>
          <w:color w:val="auto"/>
        </w:rPr>
        <w:t>— Clearway Energy, Inc. (NYSE: CWEN, CWEN.A) today reported first quarter 2022 financial results, including a Net Loss of $(97) million, Adjusted EBITDA of</w:t>
      </w:r>
      <w:r>
        <w:rPr>
          <w:rFonts w:ascii="Arial" w:cs="Arial" w:eastAsia="Arial" w:hAnsi="Arial"/>
          <w:sz w:val="14"/>
          <w:szCs w:val="14"/>
          <w:b w:val="1"/>
          <w:bCs w:val="1"/>
          <w:color w:val="auto"/>
        </w:rPr>
        <w:t xml:space="preserve"> </w:t>
      </w:r>
      <w:r>
        <w:rPr>
          <w:rFonts w:ascii="Arial" w:cs="Arial" w:eastAsia="Arial" w:hAnsi="Arial"/>
          <w:sz w:val="14"/>
          <w:szCs w:val="14"/>
          <w:color w:val="auto"/>
        </w:rPr>
        <w:t>$260 million, Cash from Operating Activities of $93 million, and Cash Available for Distribution (CAFD) of $(2) million.</w:t>
      </w:r>
    </w:p>
    <w:p>
      <w:pPr>
        <w:spacing w:after="0" w:line="155" w:lineRule="exact"/>
        <w:rPr>
          <w:sz w:val="20"/>
          <w:szCs w:val="20"/>
          <w:color w:val="auto"/>
        </w:rPr>
      </w:pPr>
    </w:p>
    <w:p>
      <w:pPr>
        <w:jc w:val="both"/>
        <w:spacing w:after="0" w:line="248" w:lineRule="auto"/>
        <w:rPr>
          <w:sz w:val="20"/>
          <w:szCs w:val="20"/>
          <w:color w:val="auto"/>
        </w:rPr>
      </w:pPr>
      <w:r>
        <w:rPr>
          <w:rFonts w:ascii="Arial" w:cs="Arial" w:eastAsia="Arial" w:hAnsi="Arial"/>
          <w:sz w:val="14"/>
          <w:szCs w:val="14"/>
          <w:color w:val="auto"/>
        </w:rPr>
        <w:t>"Clearway's near-term outlook remains on track with first quarter financial results within the Company's sensitivity range. Over the long-term, and with the sale of the Thermal Business now complete, the Company has unprecedented financial flexibility to create value for Clearway's investors,” said Christopher Sotos, Clearway Energy, Inc.’s President and Chief Executive Officer. “Through the approximate $1.35 billion in net proceeds from the Thermal sale, we have immediately repaid outstanding temporary corporate borrowings and remain on track to fund the balance of the $600 million in previously committed growth investments, including the recent investment in the Mililani solar project, allowing us the ability to reaffirm our pro forma CAFD outlook. With $750 million of excess proceeds, of which over $300 million is currently planned for future drop-downs from our sponsor, we are reaffirming our expectation to achieve the upper range of our 5% to 8% annual dividend growth objective through at least 2026.”</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color w:val="auto"/>
        </w:rPr>
        <w:t>Adjusted EBITDA and Cash Available for Distribution used in this press release are non-GAAP measures and are explained in greater detail under “Non-GAAP Financial Information” below.</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Overview of Financial and Operating Results</w:t>
            </w: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349"/>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Segment Results</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49"/>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Table 1: Net Income/(Loss)</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92"/>
        </w:trPr>
        <w:tc>
          <w:tcPr>
            <w:tcW w:w="4580" w:type="dxa"/>
            <w:vAlign w:val="bottom"/>
            <w:gridSpan w:val="2"/>
          </w:tcPr>
          <w:p>
            <w:pPr>
              <w:ind w:left="20"/>
              <w:spacing w:after="0"/>
              <w:rPr>
                <w:sz w:val="20"/>
                <w:szCs w:val="20"/>
                <w:color w:val="auto"/>
              </w:rPr>
            </w:pPr>
            <w:r>
              <w:rPr>
                <w:rFonts w:ascii="Arial" w:cs="Arial" w:eastAsia="Arial" w:hAnsi="Arial"/>
                <w:sz w:val="14"/>
                <w:szCs w:val="14"/>
                <w:i w:val="1"/>
                <w:iCs w:val="1"/>
                <w:color w:val="auto"/>
              </w:rPr>
              <w:t>($ millions)</w:t>
            </w:r>
          </w:p>
        </w:tc>
        <w:tc>
          <w:tcPr>
            <w:tcW w:w="260" w:type="dxa"/>
            <w:vAlign w:val="bottom"/>
          </w:tcPr>
          <w:p>
            <w:pPr>
              <w:spacing w:after="0"/>
              <w:rPr>
                <w:sz w:val="16"/>
                <w:szCs w:val="16"/>
                <w:color w:val="auto"/>
              </w:rPr>
            </w:pPr>
          </w:p>
        </w:tc>
        <w:tc>
          <w:tcPr>
            <w:tcW w:w="2560" w:type="dxa"/>
            <w:vAlign w:val="bottom"/>
            <w:gridSpan w:val="4"/>
          </w:tcPr>
          <w:p>
            <w:pPr>
              <w:jc w:val="right"/>
              <w:ind w:right="712"/>
              <w:spacing w:after="0"/>
              <w:rPr>
                <w:sz w:val="20"/>
                <w:szCs w:val="20"/>
                <w:color w:val="auto"/>
              </w:rPr>
            </w:pPr>
            <w:r>
              <w:rPr>
                <w:rFonts w:ascii="Arial" w:cs="Arial" w:eastAsia="Arial" w:hAnsi="Arial"/>
                <w:sz w:val="14"/>
                <w:szCs w:val="14"/>
                <w:b w:val="1"/>
                <w:bCs w:val="1"/>
                <w:color w:val="auto"/>
              </w:rPr>
              <w:t>Three Months Ended</w:t>
            </w:r>
          </w:p>
        </w:tc>
      </w:tr>
      <w:tr>
        <w:trPr>
          <w:trHeight w:val="178"/>
        </w:trPr>
        <w:tc>
          <w:tcPr>
            <w:tcW w:w="4580" w:type="dxa"/>
            <w:vAlign w:val="bottom"/>
            <w:gridSpan w:val="2"/>
          </w:tcPr>
          <w:p>
            <w:pPr>
              <w:ind w:left="20"/>
              <w:spacing w:after="0"/>
              <w:rPr>
                <w:sz w:val="20"/>
                <w:szCs w:val="20"/>
                <w:color w:val="auto"/>
              </w:rPr>
            </w:pPr>
            <w:r>
              <w:rPr>
                <w:rFonts w:ascii="Arial" w:cs="Arial" w:eastAsia="Arial" w:hAnsi="Arial"/>
                <w:sz w:val="14"/>
                <w:szCs w:val="14"/>
                <w:b w:val="1"/>
                <w:bCs w:val="1"/>
                <w:color w:val="auto"/>
              </w:rPr>
              <w:t>Segment</w:t>
            </w:r>
          </w:p>
        </w:tc>
        <w:tc>
          <w:tcPr>
            <w:tcW w:w="260" w:type="dxa"/>
            <w:vAlign w:val="bottom"/>
          </w:tcPr>
          <w:p>
            <w:pPr>
              <w:spacing w:after="0"/>
              <w:rPr>
                <w:sz w:val="15"/>
                <w:szCs w:val="15"/>
                <w:color w:val="auto"/>
              </w:rPr>
            </w:pPr>
          </w:p>
        </w:tc>
        <w:tc>
          <w:tcPr>
            <w:tcW w:w="1080" w:type="dxa"/>
            <w:vAlign w:val="bottom"/>
          </w:tcPr>
          <w:p>
            <w:pPr>
              <w:jc w:val="right"/>
              <w:ind w:right="392"/>
              <w:spacing w:after="0"/>
              <w:rPr>
                <w:sz w:val="20"/>
                <w:szCs w:val="20"/>
                <w:color w:val="auto"/>
              </w:rPr>
            </w:pPr>
            <w:r>
              <w:rPr>
                <w:rFonts w:ascii="Arial" w:cs="Arial" w:eastAsia="Arial" w:hAnsi="Arial"/>
                <w:sz w:val="14"/>
                <w:szCs w:val="14"/>
                <w:b w:val="1"/>
                <w:bCs w:val="1"/>
                <w:color w:val="auto"/>
              </w:rPr>
              <w:t>3/31/22</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392"/>
              <w:spacing w:after="0"/>
              <w:rPr>
                <w:sz w:val="20"/>
                <w:szCs w:val="20"/>
                <w:color w:val="auto"/>
              </w:rPr>
            </w:pPr>
            <w:r>
              <w:rPr>
                <w:rFonts w:ascii="Arial" w:cs="Arial" w:eastAsia="Arial" w:hAnsi="Arial"/>
                <w:sz w:val="14"/>
                <w:szCs w:val="14"/>
                <w:b w:val="1"/>
                <w:bCs w:val="1"/>
                <w:color w:val="auto"/>
              </w:rPr>
              <w:t>3/31/21</w:t>
            </w:r>
          </w:p>
        </w:tc>
      </w:tr>
      <w:tr>
        <w:trPr>
          <w:trHeight w:val="165"/>
        </w:trPr>
        <w:tc>
          <w:tcPr>
            <w:tcW w:w="4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Conventional</w:t>
            </w:r>
          </w:p>
        </w:tc>
        <w:tc>
          <w:tcPr>
            <w:tcW w:w="16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4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r>
      <w:tr>
        <w:trPr>
          <w:trHeight w:val="174"/>
        </w:trPr>
        <w:tc>
          <w:tcPr>
            <w:tcW w:w="4580" w:type="dxa"/>
            <w:vAlign w:val="bottom"/>
            <w:gridSpan w:val="2"/>
          </w:tcPr>
          <w:p>
            <w:pPr>
              <w:ind w:left="20"/>
              <w:spacing w:after="0"/>
              <w:rPr>
                <w:sz w:val="20"/>
                <w:szCs w:val="20"/>
                <w:color w:val="auto"/>
              </w:rPr>
            </w:pPr>
            <w:r>
              <w:rPr>
                <w:rFonts w:ascii="Arial" w:cs="Arial" w:eastAsia="Arial" w:hAnsi="Arial"/>
                <w:sz w:val="14"/>
                <w:szCs w:val="14"/>
                <w:color w:val="auto"/>
              </w:rPr>
              <w:t>Renewables</w:t>
            </w: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(119)</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(56)</w:t>
            </w:r>
          </w:p>
        </w:tc>
      </w:tr>
      <w:tr>
        <w:trPr>
          <w:trHeight w:val="175"/>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Thermal</w:t>
            </w: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174"/>
        </w:trPr>
        <w:tc>
          <w:tcPr>
            <w:tcW w:w="4580" w:type="dxa"/>
            <w:vAlign w:val="bottom"/>
            <w:gridSpan w:val="2"/>
          </w:tcPr>
          <w:p>
            <w:pPr>
              <w:ind w:left="20"/>
              <w:spacing w:after="0"/>
              <w:rPr>
                <w:sz w:val="20"/>
                <w:szCs w:val="20"/>
                <w:color w:val="auto"/>
              </w:rPr>
            </w:pPr>
            <w:r>
              <w:rPr>
                <w:rFonts w:ascii="Arial" w:cs="Arial" w:eastAsia="Arial" w:hAnsi="Arial"/>
                <w:sz w:val="14"/>
                <w:szCs w:val="14"/>
                <w:color w:val="auto"/>
              </w:rPr>
              <w:t>Corporate</w:t>
            </w: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(38)</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(57)</w:t>
            </w:r>
          </w:p>
        </w:tc>
      </w:tr>
      <w:tr>
        <w:trPr>
          <w:trHeight w:val="190"/>
        </w:trPr>
        <w:tc>
          <w:tcPr>
            <w:tcW w:w="4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Net Loss</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w:t>
            </w:r>
          </w:p>
        </w:tc>
      </w:tr>
      <w:tr>
        <w:trPr>
          <w:trHeight w:val="20"/>
        </w:trPr>
        <w:tc>
          <w:tcPr>
            <w:tcW w:w="44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ind w:left="11220"/>
        <w:spacing w:after="0"/>
        <w:rPr>
          <w:sz w:val="20"/>
          <w:szCs w:val="20"/>
          <w:color w:val="auto"/>
        </w:rPr>
      </w:pPr>
      <w:r>
        <w:rPr>
          <w:rFonts w:ascii="Arial" w:cs="Arial" w:eastAsia="Arial" w:hAnsi="Arial"/>
          <w:sz w:val="10"/>
          <w:szCs w:val="10"/>
          <w:color w:val="auto"/>
        </w:rPr>
        <w:t>1</w:t>
      </w:r>
    </w:p>
    <w:p>
      <w:pPr>
        <w:sectPr>
          <w:pgSz w:w="11900" w:h="16838" w:orient="portrait"/>
          <w:cols w:equalWidth="0" w:num="1">
            <w:col w:w="11280"/>
          </w:cols>
          <w:pgMar w:left="300" w:top="125" w:right="3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78"/>
        </w:trPr>
        <w:tc>
          <w:tcPr>
            <w:tcW w:w="4440" w:type="dxa"/>
            <w:vAlign w:val="bottom"/>
            <w:gridSpan w:val="2"/>
          </w:tcPr>
          <w:p>
            <w:pPr>
              <w:spacing w:after="0"/>
              <w:rPr>
                <w:sz w:val="20"/>
                <w:szCs w:val="20"/>
                <w:color w:val="auto"/>
              </w:rPr>
            </w:pPr>
            <w:r>
              <w:rPr>
                <w:rFonts w:ascii="Arial" w:cs="Arial" w:eastAsia="Arial" w:hAnsi="Arial"/>
                <w:sz w:val="14"/>
                <w:szCs w:val="14"/>
                <w:b w:val="1"/>
                <w:bCs w:val="1"/>
                <w:color w:val="auto"/>
              </w:rPr>
              <w:t>Table 2: Adjusted EBITDA</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2"/>
        </w:trPr>
        <w:tc>
          <w:tcPr>
            <w:tcW w:w="4440" w:type="dxa"/>
            <w:vAlign w:val="bottom"/>
            <w:gridSpan w:val="2"/>
          </w:tcPr>
          <w:p>
            <w:pPr>
              <w:ind w:left="20"/>
              <w:spacing w:after="0"/>
              <w:rPr>
                <w:sz w:val="20"/>
                <w:szCs w:val="20"/>
                <w:color w:val="auto"/>
              </w:rPr>
            </w:pPr>
            <w:r>
              <w:rPr>
                <w:rFonts w:ascii="Arial" w:cs="Arial" w:eastAsia="Arial" w:hAnsi="Arial"/>
                <w:sz w:val="14"/>
                <w:szCs w:val="14"/>
                <w:i w:val="1"/>
                <w:iCs w:val="1"/>
                <w:color w:val="auto"/>
              </w:rPr>
              <w:t>($ millions)</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4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r>
      <w:tr>
        <w:trPr>
          <w:trHeight w:val="178"/>
        </w:trPr>
        <w:tc>
          <w:tcPr>
            <w:tcW w:w="44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Segment</w:t>
            </w: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3/31/22</w:t>
            </w: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3/31/21</w:t>
            </w:r>
          </w:p>
        </w:tc>
        <w:tc>
          <w:tcPr>
            <w:tcW w:w="80" w:type="dxa"/>
            <w:vAlign w:val="bottom"/>
          </w:tcPr>
          <w:p>
            <w:pPr>
              <w:spacing w:after="0"/>
              <w:rPr>
                <w:sz w:val="15"/>
                <w:szCs w:val="15"/>
                <w:color w:val="auto"/>
              </w:rPr>
            </w:pPr>
          </w:p>
        </w:tc>
      </w:tr>
      <w:tr>
        <w:trPr>
          <w:trHeight w:val="165"/>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Conventional</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80" w:type="dxa"/>
            <w:vAlign w:val="bottom"/>
          </w:tcPr>
          <w:p>
            <w:pPr>
              <w:spacing w:after="0"/>
              <w:rPr>
                <w:sz w:val="14"/>
                <w:szCs w:val="14"/>
                <w:color w:val="auto"/>
              </w:rPr>
            </w:pPr>
          </w:p>
        </w:tc>
      </w:tr>
      <w:tr>
        <w:trPr>
          <w:trHeight w:val="174"/>
        </w:trPr>
        <w:tc>
          <w:tcPr>
            <w:tcW w:w="4440" w:type="dxa"/>
            <w:vAlign w:val="bottom"/>
            <w:gridSpan w:val="2"/>
          </w:tcPr>
          <w:p>
            <w:pPr>
              <w:ind w:left="20"/>
              <w:spacing w:after="0"/>
              <w:rPr>
                <w:sz w:val="20"/>
                <w:szCs w:val="20"/>
                <w:color w:val="auto"/>
              </w:rPr>
            </w:pPr>
            <w:r>
              <w:rPr>
                <w:rFonts w:ascii="Arial" w:cs="Arial" w:eastAsia="Arial" w:hAnsi="Arial"/>
                <w:sz w:val="14"/>
                <w:szCs w:val="14"/>
                <w:color w:val="auto"/>
              </w:rPr>
              <w:t>Renewables</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154</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103</w:t>
            </w:r>
          </w:p>
        </w:tc>
        <w:tc>
          <w:tcPr>
            <w:tcW w:w="80" w:type="dxa"/>
            <w:vAlign w:val="bottom"/>
          </w:tcPr>
          <w:p>
            <w:pPr>
              <w:spacing w:after="0"/>
              <w:rPr>
                <w:sz w:val="15"/>
                <w:szCs w:val="15"/>
                <w:color w:val="auto"/>
              </w:rPr>
            </w:pPr>
          </w:p>
        </w:tc>
      </w:tr>
      <w:tr>
        <w:trPr>
          <w:trHeight w:val="175"/>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Thermal</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5"/>
                <w:szCs w:val="15"/>
                <w:color w:val="auto"/>
              </w:rPr>
            </w:pPr>
          </w:p>
        </w:tc>
      </w:tr>
      <w:tr>
        <w:trPr>
          <w:trHeight w:val="174"/>
        </w:trPr>
        <w:tc>
          <w:tcPr>
            <w:tcW w:w="44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Corporate</w:t>
            </w: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ind w:left="1000"/>
              <w:spacing w:after="0"/>
              <w:rPr>
                <w:sz w:val="20"/>
                <w:szCs w:val="20"/>
                <w:color w:val="auto"/>
              </w:rPr>
            </w:pPr>
            <w:r>
              <w:rPr>
                <w:rFonts w:ascii="Arial" w:cs="Arial" w:eastAsia="Arial" w:hAnsi="Arial"/>
                <w:sz w:val="14"/>
                <w:szCs w:val="14"/>
                <w:color w:val="auto"/>
                <w:w w:val="93"/>
              </w:rPr>
              <w:t>(9)</w:t>
            </w:r>
          </w:p>
        </w:tc>
        <w:tc>
          <w:tcPr>
            <w:tcW w:w="80" w:type="dxa"/>
            <w:vAlign w:val="bottom"/>
          </w:tcPr>
          <w:p>
            <w:pPr>
              <w:spacing w:after="0"/>
              <w:rPr>
                <w:sz w:val="15"/>
                <w:szCs w:val="15"/>
                <w:color w:val="auto"/>
              </w:rPr>
            </w:pPr>
          </w:p>
        </w:tc>
      </w:tr>
      <w:tr>
        <w:trPr>
          <w:trHeight w:val="165"/>
        </w:trPr>
        <w:tc>
          <w:tcPr>
            <w:tcW w:w="44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Adjusted EBITDA</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80" w:type="dxa"/>
            <w:vAlign w:val="bottom"/>
          </w:tcPr>
          <w:p>
            <w:pPr>
              <w:spacing w:after="0"/>
              <w:rPr>
                <w:sz w:val="14"/>
                <w:szCs w:val="14"/>
                <w:color w:val="auto"/>
              </w:rPr>
            </w:pPr>
          </w:p>
        </w:tc>
      </w:tr>
      <w:tr>
        <w:trPr>
          <w:trHeight w:val="400"/>
        </w:trPr>
        <w:tc>
          <w:tcPr>
            <w:tcW w:w="6060" w:type="dxa"/>
            <w:vAlign w:val="bottom"/>
            <w:gridSpan w:val="8"/>
          </w:tcPr>
          <w:p>
            <w:pPr>
              <w:spacing w:after="0"/>
              <w:rPr>
                <w:sz w:val="20"/>
                <w:szCs w:val="20"/>
                <w:color w:val="auto"/>
              </w:rPr>
            </w:pPr>
            <w:r>
              <w:rPr>
                <w:rFonts w:ascii="Arial" w:cs="Arial" w:eastAsia="Arial" w:hAnsi="Arial"/>
                <w:sz w:val="14"/>
                <w:szCs w:val="14"/>
                <w:b w:val="1"/>
                <w:bCs w:val="1"/>
                <w:color w:val="auto"/>
              </w:rPr>
              <w:t>Table 3: Cash from Operating Activities and Cash Available for Distribution (CAFD)</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2"/>
        </w:trPr>
        <w:tc>
          <w:tcPr>
            <w:tcW w:w="4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4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r>
      <w:tr>
        <w:trPr>
          <w:trHeight w:val="178"/>
        </w:trPr>
        <w:tc>
          <w:tcPr>
            <w:tcW w:w="4440" w:type="dxa"/>
            <w:vAlign w:val="bottom"/>
            <w:gridSpan w:val="2"/>
          </w:tcPr>
          <w:p>
            <w:pPr>
              <w:ind w:left="20"/>
              <w:spacing w:after="0"/>
              <w:rPr>
                <w:sz w:val="20"/>
                <w:szCs w:val="20"/>
                <w:color w:val="auto"/>
              </w:rPr>
            </w:pPr>
            <w:r>
              <w:rPr>
                <w:rFonts w:ascii="Arial" w:cs="Arial" w:eastAsia="Arial" w:hAnsi="Arial"/>
                <w:sz w:val="14"/>
                <w:szCs w:val="14"/>
                <w:i w:val="1"/>
                <w:iCs w:val="1"/>
                <w:color w:val="auto"/>
              </w:rPr>
              <w:t>($ millions)</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ind w:right="612"/>
              <w:spacing w:after="0"/>
              <w:rPr>
                <w:sz w:val="20"/>
                <w:szCs w:val="20"/>
                <w:color w:val="auto"/>
              </w:rPr>
            </w:pPr>
            <w:r>
              <w:rPr>
                <w:rFonts w:ascii="Arial" w:cs="Arial" w:eastAsia="Arial" w:hAnsi="Arial"/>
                <w:sz w:val="14"/>
                <w:szCs w:val="14"/>
                <w:b w:val="1"/>
                <w:bCs w:val="1"/>
                <w:color w:val="auto"/>
              </w:rPr>
              <w:t>3/31/22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ind w:right="612"/>
              <w:spacing w:after="0"/>
              <w:rPr>
                <w:sz w:val="20"/>
                <w:szCs w:val="20"/>
                <w:color w:val="auto"/>
              </w:rPr>
            </w:pPr>
            <w:r>
              <w:rPr>
                <w:rFonts w:ascii="Arial" w:cs="Arial" w:eastAsia="Arial" w:hAnsi="Arial"/>
                <w:sz w:val="14"/>
                <w:szCs w:val="14"/>
                <w:b w:val="1"/>
                <w:bCs w:val="1"/>
                <w:color w:val="auto"/>
              </w:rPr>
              <w:t>3/31/21</w:t>
            </w:r>
          </w:p>
        </w:tc>
        <w:tc>
          <w:tcPr>
            <w:tcW w:w="80" w:type="dxa"/>
            <w:vAlign w:val="bottom"/>
          </w:tcPr>
          <w:p>
            <w:pPr>
              <w:spacing w:after="0"/>
              <w:rPr>
                <w:sz w:val="15"/>
                <w:szCs w:val="15"/>
                <w:color w:val="auto"/>
              </w:rPr>
            </w:pPr>
          </w:p>
        </w:tc>
      </w:tr>
      <w:tr>
        <w:trPr>
          <w:trHeight w:val="165"/>
        </w:trPr>
        <w:tc>
          <w:tcPr>
            <w:tcW w:w="4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Cash from Operating Activities</w:t>
            </w: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126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47</w:t>
            </w:r>
          </w:p>
        </w:tc>
      </w:tr>
      <w:tr>
        <w:trPr>
          <w:trHeight w:val="165"/>
        </w:trPr>
        <w:tc>
          <w:tcPr>
            <w:tcW w:w="44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Cash Available for Distribution (CAFD)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gridSpan w:val="2"/>
          </w:tcPr>
          <w:p>
            <w:pPr>
              <w:ind w:left="1020"/>
              <w:spacing w:after="0"/>
              <w:rPr>
                <w:sz w:val="20"/>
                <w:szCs w:val="20"/>
                <w:color w:val="auto"/>
              </w:rPr>
            </w:pPr>
            <w:r>
              <w:rPr>
                <w:rFonts w:ascii="Arial" w:cs="Arial" w:eastAsia="Arial" w:hAnsi="Arial"/>
                <w:sz w:val="14"/>
                <w:szCs w:val="14"/>
                <w:color w:val="auto"/>
                <w:w w:val="88"/>
              </w:rPr>
              <w:t>(15)</w:t>
            </w:r>
          </w:p>
        </w:tc>
      </w:tr>
    </w:tbl>
    <w:p>
      <w:pPr>
        <w:spacing w:after="0" w:line="200" w:lineRule="exact"/>
        <w:rPr>
          <w:sz w:val="20"/>
          <w:szCs w:val="20"/>
          <w:color w:val="auto"/>
        </w:rPr>
      </w:pPr>
    </w:p>
    <w:p>
      <w:pPr>
        <w:spacing w:after="0" w:line="210"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For the first quarter of 2022, the Company reported a Net Loss of $(97) million, Adjusted EBITDA of $260 million, Cash from Operating Activities of $93 million, and CAFD of $(2) million. Net Loss increased versus 2021 primarily due to non-cash mark-to-market losses for economic hedging activities. Adjusted EBITDA results in the first quarter of 2022 were higher than 2021 primarily due to the contribution of growth investments and the impact on results in 2021 from the severe winter weather event in Texas in February of 2021. CAFD results during the first quarter of 2022 were higher than 2021 primarily due to the severe winter weather event in Texas in February 2021.</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420" w:type="dxa"/>
            <w:vAlign w:val="bottom"/>
            <w:gridSpan w:val="3"/>
          </w:tcPr>
          <w:p>
            <w:pPr>
              <w:spacing w:after="0"/>
              <w:rPr>
                <w:sz w:val="20"/>
                <w:szCs w:val="20"/>
                <w:color w:val="auto"/>
              </w:rPr>
            </w:pPr>
            <w:r>
              <w:rPr>
                <w:rFonts w:ascii="Arial" w:cs="Arial" w:eastAsia="Arial" w:hAnsi="Arial"/>
                <w:sz w:val="14"/>
                <w:szCs w:val="14"/>
                <w:b w:val="1"/>
                <w:bCs w:val="1"/>
                <w:color w:val="auto"/>
              </w:rPr>
              <w:t>Operational Performance</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349"/>
        </w:trPr>
        <w:tc>
          <w:tcPr>
            <w:tcW w:w="5420" w:type="dxa"/>
            <w:vAlign w:val="bottom"/>
            <w:gridSpan w:val="3"/>
          </w:tcPr>
          <w:p>
            <w:pPr>
              <w:spacing w:after="0"/>
              <w:rPr>
                <w:sz w:val="20"/>
                <w:szCs w:val="20"/>
                <w:color w:val="auto"/>
              </w:rPr>
            </w:pPr>
            <w:r>
              <w:rPr>
                <w:rFonts w:ascii="Arial" w:cs="Arial" w:eastAsia="Arial" w:hAnsi="Arial"/>
                <w:sz w:val="14"/>
                <w:szCs w:val="14"/>
                <w:b w:val="1"/>
                <w:bCs w:val="1"/>
                <w:color w:val="auto"/>
              </w:rPr>
              <w:t>Table 4: Selected Operating Results</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2"/>
        </w:trPr>
        <w:tc>
          <w:tcPr>
            <w:tcW w:w="5420" w:type="dxa"/>
            <w:vAlign w:val="bottom"/>
            <w:gridSpan w:val="3"/>
          </w:tcPr>
          <w:p>
            <w:pPr>
              <w:ind w:left="20"/>
              <w:spacing w:after="0"/>
              <w:rPr>
                <w:sz w:val="20"/>
                <w:szCs w:val="20"/>
                <w:color w:val="auto"/>
              </w:rPr>
            </w:pPr>
            <w:r>
              <w:rPr>
                <w:rFonts w:ascii="Arial" w:cs="Arial" w:eastAsia="Arial" w:hAnsi="Arial"/>
                <w:sz w:val="14"/>
                <w:szCs w:val="14"/>
                <w:i w:val="1"/>
                <w:iCs w:val="1"/>
                <w:color w:val="auto"/>
              </w:rPr>
              <w:t>(MWh and MWht in thousands)</w:t>
            </w: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w w:val="89"/>
              </w:rPr>
              <w:t>Three Months Ended</w:t>
            </w:r>
          </w:p>
        </w:tc>
        <w:tc>
          <w:tcPr>
            <w:tcW w:w="1040" w:type="dxa"/>
            <w:vAlign w:val="bottom"/>
          </w:tcPr>
          <w:p>
            <w:pPr>
              <w:spacing w:after="0"/>
              <w:rPr>
                <w:sz w:val="16"/>
                <w:szCs w:val="16"/>
                <w:color w:val="auto"/>
              </w:rPr>
            </w:pPr>
          </w:p>
        </w:tc>
      </w:tr>
      <w:tr>
        <w:trPr>
          <w:trHeight w:val="178"/>
        </w:trPr>
        <w:tc>
          <w:tcPr>
            <w:tcW w:w="5420" w:type="dxa"/>
            <w:vAlign w:val="bottom"/>
            <w:gridSpan w:val="3"/>
          </w:tcPr>
          <w:p>
            <w:pPr>
              <w:ind w:left="4980"/>
              <w:spacing w:after="0"/>
              <w:rPr>
                <w:sz w:val="20"/>
                <w:szCs w:val="20"/>
                <w:color w:val="auto"/>
              </w:rPr>
            </w:pPr>
            <w:r>
              <w:rPr>
                <w:rFonts w:ascii="Arial" w:cs="Arial" w:eastAsia="Arial" w:hAnsi="Arial"/>
                <w:sz w:val="14"/>
                <w:szCs w:val="14"/>
                <w:b w:val="1"/>
                <w:bCs w:val="1"/>
                <w:color w:val="auto"/>
                <w:w w:val="89"/>
              </w:rPr>
              <w:t>3/31/22</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jc w:val="right"/>
              <w:ind w:right="532"/>
              <w:spacing w:after="0"/>
              <w:rPr>
                <w:sz w:val="20"/>
                <w:szCs w:val="20"/>
                <w:color w:val="auto"/>
              </w:rPr>
            </w:pPr>
            <w:r>
              <w:rPr>
                <w:rFonts w:ascii="Arial" w:cs="Arial" w:eastAsia="Arial" w:hAnsi="Arial"/>
                <w:sz w:val="14"/>
                <w:szCs w:val="14"/>
                <w:b w:val="1"/>
                <w:bCs w:val="1"/>
                <w:color w:val="auto"/>
                <w:w w:val="89"/>
              </w:rPr>
              <w:t>3/31/21</w:t>
            </w:r>
          </w:p>
        </w:tc>
      </w:tr>
      <w:tr>
        <w:trPr>
          <w:trHeight w:val="186"/>
        </w:trPr>
        <w:tc>
          <w:tcPr>
            <w:tcW w:w="4300" w:type="dxa"/>
            <w:vAlign w:val="bottom"/>
            <w:tcBorders>
              <w:top w:val="single" w:sz="8" w:color="auto"/>
            </w:tcBorders>
            <w:shd w:val="clear" w:color="auto" w:fill="CCEEFF"/>
          </w:tcPr>
          <w:p>
            <w:pPr>
              <w:ind w:left="20"/>
              <w:spacing w:after="0" w:line="186" w:lineRule="exact"/>
              <w:rPr>
                <w:sz w:val="20"/>
                <w:szCs w:val="20"/>
                <w:color w:val="auto"/>
              </w:rPr>
            </w:pPr>
            <w:r>
              <w:rPr>
                <w:rFonts w:ascii="Arial" w:cs="Arial" w:eastAsia="Arial" w:hAnsi="Arial"/>
                <w:sz w:val="14"/>
                <w:szCs w:val="14"/>
                <w:color w:val="auto"/>
              </w:rPr>
              <w:t>Conventional Equivalent Availability Factor</w:t>
            </w:r>
            <w:r>
              <w:rPr>
                <w:rFonts w:ascii="Arial" w:cs="Arial" w:eastAsia="Arial" w:hAnsi="Arial"/>
                <w:sz w:val="17"/>
                <w:szCs w:val="17"/>
                <w:color w:val="auto"/>
                <w:vertAlign w:val="superscript"/>
              </w:rPr>
              <w:t>1</w:t>
            </w:r>
          </w:p>
        </w:tc>
        <w:tc>
          <w:tcPr>
            <w:tcW w:w="10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95.3 %</w:t>
            </w:r>
          </w:p>
        </w:tc>
        <w:tc>
          <w:tcPr>
            <w:tcW w:w="14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83.2 %</w:t>
            </w:r>
          </w:p>
        </w:tc>
      </w:tr>
      <w:tr>
        <w:trPr>
          <w:trHeight w:val="195"/>
        </w:trPr>
        <w:tc>
          <w:tcPr>
            <w:tcW w:w="5420" w:type="dxa"/>
            <w:vAlign w:val="bottom"/>
            <w:gridSpan w:val="3"/>
          </w:tcPr>
          <w:p>
            <w:pPr>
              <w:ind w:left="20"/>
              <w:spacing w:after="0"/>
              <w:rPr>
                <w:sz w:val="20"/>
                <w:szCs w:val="20"/>
                <w:color w:val="auto"/>
              </w:rPr>
            </w:pPr>
            <w:r>
              <w:rPr>
                <w:rFonts w:ascii="Arial" w:cs="Arial" w:eastAsia="Arial" w:hAnsi="Arial"/>
                <w:sz w:val="14"/>
                <w:szCs w:val="14"/>
                <w:color w:val="auto"/>
              </w:rPr>
              <w:t>Renewables Generation Sold (MWh)</w:t>
            </w:r>
            <w:r>
              <w:rPr>
                <w:rFonts w:ascii="Arial" w:cs="Arial" w:eastAsia="Arial" w:hAnsi="Arial"/>
                <w:sz w:val="17"/>
                <w:szCs w:val="17"/>
                <w:color w:val="auto"/>
                <w:vertAlign w:val="superscript"/>
              </w:rPr>
              <w:t>2</w:t>
            </w:r>
          </w:p>
        </w:tc>
        <w:tc>
          <w:tcPr>
            <w:tcW w:w="580" w:type="dxa"/>
            <w:vAlign w:val="bottom"/>
          </w:tcPr>
          <w:p>
            <w:pPr>
              <w:jc w:val="right"/>
              <w:spacing w:after="0"/>
              <w:rPr>
                <w:sz w:val="20"/>
                <w:szCs w:val="20"/>
                <w:color w:val="auto"/>
              </w:rPr>
            </w:pPr>
            <w:r>
              <w:rPr>
                <w:rFonts w:ascii="Arial" w:cs="Arial" w:eastAsia="Arial" w:hAnsi="Arial"/>
                <w:sz w:val="14"/>
                <w:szCs w:val="14"/>
                <w:color w:val="auto"/>
              </w:rPr>
              <w:t>3,319</w:t>
            </w: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2,530</w:t>
            </w:r>
          </w:p>
        </w:tc>
      </w:tr>
      <w:tr>
        <w:trPr>
          <w:trHeight w:val="174"/>
        </w:trPr>
        <w:tc>
          <w:tcPr>
            <w:tcW w:w="4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Thermal Generation Sold (MWh/MWht)</w:t>
            </w:r>
          </w:p>
        </w:tc>
        <w:tc>
          <w:tcPr>
            <w:tcW w:w="100" w:type="dxa"/>
            <w:vAlign w:val="bottom"/>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666</w:t>
            </w:r>
          </w:p>
        </w:tc>
        <w:tc>
          <w:tcPr>
            <w:tcW w:w="14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624</w:t>
            </w:r>
          </w:p>
        </w:tc>
      </w:tr>
    </w:tbl>
    <w:p>
      <w:pPr>
        <w:spacing w:after="0" w:line="236" w:lineRule="exact"/>
        <w:rPr>
          <w:sz w:val="20"/>
          <w:szCs w:val="20"/>
          <w:color w:val="auto"/>
        </w:rPr>
      </w:pPr>
    </w:p>
    <w:p>
      <w:pPr>
        <w:spacing w:after="0" w:line="264" w:lineRule="auto"/>
        <w:rPr>
          <w:sz w:val="20"/>
          <w:szCs w:val="20"/>
          <w:color w:val="auto"/>
        </w:rPr>
      </w:pPr>
      <w:r>
        <w:rPr>
          <w:rFonts w:ascii="Arial" w:cs="Arial" w:eastAsia="Arial" w:hAnsi="Arial"/>
          <w:sz w:val="14"/>
          <w:szCs w:val="14"/>
          <w:color w:val="auto"/>
        </w:rPr>
        <w:t>In the first quarter of 2022, availability at the Conventional segment was higher than the first quarter of 2021 primarily due to the timing of spring outages from the prior year. Generation in the Renewables segment during the first quarter of 2022 was 31% higher than the first quarter of 2021 primarily due to the contribution of growth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199390</wp:posOffset>
            </wp:positionV>
            <wp:extent cx="130365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03655" cy="6350"/>
                    </a:xfrm>
                    <a:prstGeom prst="rect">
                      <a:avLst/>
                    </a:prstGeom>
                    <a:noFill/>
                  </pic:spPr>
                </pic:pic>
              </a:graphicData>
            </a:graphic>
          </wp:anchor>
        </w:drawing>
      </w:r>
    </w:p>
    <w:p>
      <w:pPr>
        <w:spacing w:after="0" w:line="274" w:lineRule="exact"/>
        <w:rPr>
          <w:sz w:val="20"/>
          <w:szCs w:val="20"/>
          <w:color w:val="auto"/>
        </w:rPr>
      </w:pPr>
    </w:p>
    <w:p>
      <w:pPr>
        <w:ind w:left="80" w:hanging="78"/>
        <w:spacing w:after="0"/>
        <w:tabs>
          <w:tab w:leader="none" w:pos="80" w:val="left"/>
        </w:tabs>
        <w:numPr>
          <w:ilvl w:val="0"/>
          <w:numId w:val="3"/>
        </w:numPr>
        <w:rPr>
          <w:rFonts w:ascii="Arial" w:cs="Arial" w:eastAsia="Arial" w:hAnsi="Arial"/>
          <w:sz w:val="18"/>
          <w:szCs w:val="18"/>
          <w:color w:val="auto"/>
          <w:vertAlign w:val="superscript"/>
        </w:rPr>
      </w:pPr>
      <w:r>
        <w:rPr>
          <w:rFonts w:ascii="Arial" w:cs="Arial" w:eastAsia="Arial" w:hAnsi="Arial"/>
          <w:sz w:val="11"/>
          <w:szCs w:val="11"/>
          <w:color w:val="auto"/>
        </w:rPr>
        <w:t>Excludes unconsolidated projects</w:t>
      </w:r>
    </w:p>
    <w:p>
      <w:pPr>
        <w:ind w:left="80" w:hanging="78"/>
        <w:spacing w:after="0" w:line="186" w:lineRule="auto"/>
        <w:tabs>
          <w:tab w:leader="none" w:pos="80" w:val="left"/>
        </w:tabs>
        <w:numPr>
          <w:ilvl w:val="0"/>
          <w:numId w:val="4"/>
        </w:numPr>
        <w:rPr>
          <w:rFonts w:ascii="Arial" w:cs="Arial" w:eastAsia="Arial" w:hAnsi="Arial"/>
          <w:sz w:val="17"/>
          <w:szCs w:val="17"/>
          <w:color w:val="auto"/>
          <w:vertAlign w:val="superscript"/>
        </w:rPr>
      </w:pPr>
      <w:r>
        <w:rPr>
          <w:rFonts w:ascii="Arial" w:cs="Arial" w:eastAsia="Arial" w:hAnsi="Arial"/>
          <w:sz w:val="10"/>
          <w:szCs w:val="10"/>
          <w:color w:val="auto"/>
        </w:rPr>
        <w:t>Generation sold excludes MWh that are reimbursable for economic curtailment; volumes do not include the MWh generated/sold by the Company's equity method investments</w:t>
      </w:r>
    </w:p>
    <w:p>
      <w:pPr>
        <w:spacing w:after="0" w:line="249" w:lineRule="exact"/>
        <w:rPr>
          <w:sz w:val="20"/>
          <w:szCs w:val="20"/>
          <w:color w:val="auto"/>
        </w:rPr>
      </w:pPr>
    </w:p>
    <w:p>
      <w:pPr>
        <w:ind w:left="11220"/>
        <w:spacing w:after="0"/>
        <w:rPr>
          <w:sz w:val="20"/>
          <w:szCs w:val="20"/>
          <w:color w:val="auto"/>
        </w:rPr>
      </w:pPr>
      <w:r>
        <w:rPr>
          <w:rFonts w:ascii="Arial" w:cs="Arial" w:eastAsia="Arial" w:hAnsi="Arial"/>
          <w:sz w:val="10"/>
          <w:szCs w:val="10"/>
          <w:color w:val="auto"/>
        </w:rPr>
        <w:t>2</w:t>
      </w:r>
    </w:p>
    <w:p>
      <w:pPr>
        <w:sectPr>
          <w:pgSz w:w="11900" w:h="16838" w:orient="portrait"/>
          <w:cols w:equalWidth="0" w:num="1">
            <w:col w:w="11280"/>
          </w:cols>
          <w:pgMar w:left="300" w:top="895" w:right="3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78"/>
        </w:trPr>
        <w:tc>
          <w:tcPr>
            <w:tcW w:w="7080" w:type="dxa"/>
            <w:vAlign w:val="bottom"/>
            <w:gridSpan w:val="2"/>
          </w:tcPr>
          <w:p>
            <w:pPr>
              <w:spacing w:after="0"/>
              <w:rPr>
                <w:sz w:val="20"/>
                <w:szCs w:val="20"/>
                <w:color w:val="auto"/>
              </w:rPr>
            </w:pPr>
            <w:r>
              <w:rPr>
                <w:rFonts w:ascii="Arial" w:cs="Arial" w:eastAsia="Arial" w:hAnsi="Arial"/>
                <w:sz w:val="14"/>
                <w:szCs w:val="14"/>
                <w:b w:val="1"/>
                <w:bCs w:val="1"/>
                <w:color w:val="auto"/>
              </w:rPr>
              <w:t>Liquidity and Capital Resources</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349"/>
        </w:trPr>
        <w:tc>
          <w:tcPr>
            <w:tcW w:w="7080" w:type="dxa"/>
            <w:vAlign w:val="bottom"/>
            <w:gridSpan w:val="2"/>
          </w:tcPr>
          <w:p>
            <w:pPr>
              <w:spacing w:after="0"/>
              <w:rPr>
                <w:sz w:val="20"/>
                <w:szCs w:val="20"/>
                <w:color w:val="auto"/>
              </w:rPr>
            </w:pPr>
            <w:r>
              <w:rPr>
                <w:rFonts w:ascii="Arial" w:cs="Arial" w:eastAsia="Arial" w:hAnsi="Arial"/>
                <w:sz w:val="14"/>
                <w:szCs w:val="14"/>
                <w:b w:val="1"/>
                <w:bCs w:val="1"/>
                <w:color w:val="auto"/>
              </w:rPr>
              <w:t>Table 5: Liquidity</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6"/>
        </w:trPr>
        <w:tc>
          <w:tcPr>
            <w:tcW w:w="7080" w:type="dxa"/>
            <w:vAlign w:val="bottom"/>
            <w:gridSpan w:val="2"/>
          </w:tcPr>
          <w:p>
            <w:pPr>
              <w:ind w:left="20"/>
              <w:spacing w:after="0"/>
              <w:rPr>
                <w:sz w:val="20"/>
                <w:szCs w:val="20"/>
                <w:color w:val="auto"/>
              </w:rPr>
            </w:pPr>
            <w:r>
              <w:rPr>
                <w:rFonts w:ascii="Arial" w:cs="Arial" w:eastAsia="Arial" w:hAnsi="Arial"/>
                <w:sz w:val="14"/>
                <w:szCs w:val="14"/>
                <w:i w:val="1"/>
                <w:iCs w:val="1"/>
                <w:color w:val="auto"/>
              </w:rPr>
              <w:t>($ millions)</w:t>
            </w:r>
          </w:p>
        </w:tc>
        <w:tc>
          <w:tcPr>
            <w:tcW w:w="260" w:type="dxa"/>
            <w:vAlign w:val="bottom"/>
          </w:tcPr>
          <w:p>
            <w:pPr>
              <w:spacing w:after="0"/>
              <w:rPr>
                <w:sz w:val="17"/>
                <w:szCs w:val="17"/>
                <w:color w:val="auto"/>
              </w:rPr>
            </w:pPr>
          </w:p>
        </w:tc>
        <w:tc>
          <w:tcPr>
            <w:tcW w:w="1140" w:type="dxa"/>
            <w:vAlign w:val="bottom"/>
          </w:tcPr>
          <w:p>
            <w:pPr>
              <w:jc w:val="right"/>
              <w:ind w:right="352"/>
              <w:spacing w:after="0"/>
              <w:rPr>
                <w:sz w:val="20"/>
                <w:szCs w:val="20"/>
                <w:color w:val="auto"/>
              </w:rPr>
            </w:pPr>
            <w:r>
              <w:rPr>
                <w:rFonts w:ascii="Arial" w:cs="Arial" w:eastAsia="Arial" w:hAnsi="Arial"/>
                <w:sz w:val="14"/>
                <w:szCs w:val="14"/>
                <w:b w:val="1"/>
                <w:bCs w:val="1"/>
                <w:color w:val="auto"/>
              </w:rPr>
              <w:t>3/31/2022</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12/31/2021</w:t>
            </w:r>
          </w:p>
        </w:tc>
      </w:tr>
      <w:tr>
        <w:trPr>
          <w:trHeight w:val="155"/>
        </w:trPr>
        <w:tc>
          <w:tcPr>
            <w:tcW w:w="6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Cash and Cash Equivalents:</w:t>
            </w:r>
          </w:p>
        </w:tc>
        <w:tc>
          <w:tcPr>
            <w:tcW w:w="1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r>
      <w:tr>
        <w:trPr>
          <w:trHeight w:val="174"/>
        </w:trPr>
        <w:tc>
          <w:tcPr>
            <w:tcW w:w="7080" w:type="dxa"/>
            <w:vAlign w:val="bottom"/>
            <w:gridSpan w:val="2"/>
          </w:tcPr>
          <w:p>
            <w:pPr>
              <w:ind w:left="160"/>
              <w:spacing w:after="0"/>
              <w:rPr>
                <w:sz w:val="20"/>
                <w:szCs w:val="20"/>
                <w:color w:val="auto"/>
              </w:rPr>
            </w:pPr>
            <w:r>
              <w:rPr>
                <w:rFonts w:ascii="Arial" w:cs="Arial" w:eastAsia="Arial" w:hAnsi="Arial"/>
                <w:sz w:val="12"/>
                <w:szCs w:val="12"/>
                <w:color w:val="auto"/>
              </w:rPr>
              <w:t>Clearway Energy, Inc. and Clearway Energy LLC, excluding subsidiaries</w:t>
            </w:r>
          </w:p>
        </w:tc>
        <w:tc>
          <w:tcPr>
            <w:tcW w:w="260" w:type="dxa"/>
            <w:vAlign w:val="bottom"/>
          </w:tcPr>
          <w:p>
            <w:pPr>
              <w:jc w:val="right"/>
              <w:ind w:right="112"/>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45</w:t>
            </w:r>
          </w:p>
        </w:tc>
        <w:tc>
          <w:tcPr>
            <w:tcW w:w="140" w:type="dxa"/>
            <w:vAlign w:val="bottom"/>
          </w:tcPr>
          <w:p>
            <w:pPr>
              <w:spacing w:after="0"/>
              <w:rPr>
                <w:sz w:val="15"/>
                <w:szCs w:val="15"/>
                <w:color w:val="auto"/>
              </w:rPr>
            </w:pPr>
          </w:p>
        </w:tc>
        <w:tc>
          <w:tcPr>
            <w:tcW w:w="320" w:type="dxa"/>
            <w:vAlign w:val="bottom"/>
          </w:tcPr>
          <w:p>
            <w:pPr>
              <w:jc w:val="right"/>
              <w:ind w:right="172"/>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175"/>
        </w:trPr>
        <w:tc>
          <w:tcPr>
            <w:tcW w:w="708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Subsidiaries</w:t>
            </w: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r>
      <w:tr>
        <w:trPr>
          <w:trHeight w:val="162"/>
        </w:trPr>
        <w:tc>
          <w:tcPr>
            <w:tcW w:w="7080" w:type="dxa"/>
            <w:vAlign w:val="bottom"/>
            <w:gridSpan w:val="2"/>
          </w:tcPr>
          <w:p>
            <w:pPr>
              <w:ind w:left="20"/>
              <w:spacing w:after="0"/>
              <w:rPr>
                <w:sz w:val="20"/>
                <w:szCs w:val="20"/>
                <w:color w:val="auto"/>
              </w:rPr>
            </w:pPr>
            <w:r>
              <w:rPr>
                <w:rFonts w:ascii="Arial" w:cs="Arial" w:eastAsia="Arial" w:hAnsi="Arial"/>
                <w:sz w:val="12"/>
                <w:szCs w:val="12"/>
                <w:b w:val="1"/>
                <w:bCs w:val="1"/>
                <w:color w:val="auto"/>
              </w:rPr>
              <w:t>Restricted Cash:</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7"/>
        </w:trPr>
        <w:tc>
          <w:tcPr>
            <w:tcW w:w="708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Operating accounts</w:t>
            </w: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w:t>
            </w:r>
          </w:p>
        </w:tc>
      </w:tr>
      <w:tr>
        <w:trPr>
          <w:trHeight w:val="174"/>
        </w:trPr>
        <w:tc>
          <w:tcPr>
            <w:tcW w:w="7080" w:type="dxa"/>
            <w:vAlign w:val="bottom"/>
            <w:tcBorders>
              <w:bottom w:val="single" w:sz="8" w:color="CCEEFF"/>
            </w:tcBorders>
            <w:gridSpan w:val="2"/>
          </w:tcPr>
          <w:p>
            <w:pPr>
              <w:ind w:left="160"/>
              <w:spacing w:after="0"/>
              <w:rPr>
                <w:sz w:val="20"/>
                <w:szCs w:val="20"/>
                <w:color w:val="auto"/>
              </w:rPr>
            </w:pPr>
            <w:r>
              <w:rPr>
                <w:rFonts w:ascii="Arial" w:cs="Arial" w:eastAsia="Arial" w:hAnsi="Arial"/>
                <w:sz w:val="12"/>
                <w:szCs w:val="12"/>
                <w:color w:val="auto"/>
              </w:rPr>
              <w:t>Reserves, including debt service, distributions, performance obligations and other reserves</w:t>
            </w: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w:t>
            </w:r>
          </w:p>
        </w:tc>
        <w:tc>
          <w:tcPr>
            <w:tcW w:w="1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w:t>
            </w:r>
          </w:p>
        </w:tc>
      </w:tr>
      <w:tr>
        <w:trPr>
          <w:trHeight w:val="165"/>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Total Cash</w:t>
            </w:r>
          </w:p>
        </w:tc>
        <w:tc>
          <w:tcPr>
            <w:tcW w:w="2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466</w:t>
            </w:r>
          </w:p>
        </w:tc>
        <w:tc>
          <w:tcPr>
            <w:tcW w:w="14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654</w:t>
            </w:r>
          </w:p>
        </w:tc>
      </w:tr>
      <w:tr>
        <w:trPr>
          <w:trHeight w:val="165"/>
        </w:trPr>
        <w:tc>
          <w:tcPr>
            <w:tcW w:w="708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Revolving credit facility availability</w:t>
            </w:r>
          </w:p>
        </w:tc>
        <w:tc>
          <w:tcPr>
            <w:tcW w:w="2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w:t>
            </w:r>
          </w:p>
        </w:tc>
        <w:tc>
          <w:tcPr>
            <w:tcW w:w="1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w:t>
            </w:r>
          </w:p>
        </w:tc>
      </w:tr>
      <w:tr>
        <w:trPr>
          <w:trHeight w:val="190"/>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Total Liquidity</w:t>
            </w:r>
          </w:p>
        </w:tc>
        <w:tc>
          <w:tcPr>
            <w:tcW w:w="2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574</w:t>
            </w:r>
          </w:p>
        </w:tc>
        <w:tc>
          <w:tcPr>
            <w:tcW w:w="1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821</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Total liquidity as of March 31, 2022 was $574 million, which was $247 million lower than as of December 31, 2021, driven by the funding of growth investments and lower restricted cash balances at project level subsidiaries.</w:t>
      </w:r>
    </w:p>
    <w:p>
      <w:pPr>
        <w:spacing w:after="0" w:line="159"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231F20"/>
        </w:rPr>
        <w:t xml:space="preserve">As of March 31, 2022, the Company's liquidity included </w:t>
      </w:r>
      <w:r>
        <w:rPr>
          <w:rFonts w:ascii="Arial" w:cs="Arial" w:eastAsia="Arial" w:hAnsi="Arial"/>
          <w:sz w:val="14"/>
          <w:szCs w:val="14"/>
          <w:color w:val="000000"/>
        </w:rPr>
        <w:t>$326 million</w:t>
      </w:r>
      <w:r>
        <w:rPr>
          <w:rFonts w:ascii="Arial" w:cs="Arial" w:eastAsia="Arial" w:hAnsi="Arial"/>
          <w:sz w:val="14"/>
          <w:szCs w:val="14"/>
          <w:color w:val="231F20"/>
        </w:rPr>
        <w:t xml:space="preserve"> of restricted cash. Restricted cash consists primarily of funds to satisfy the requirements of certain debt arrangements and funds held within the Company's projects that are restricted in their use. As </w:t>
      </w:r>
      <w:r>
        <w:rPr>
          <w:rFonts w:ascii="Arial" w:cs="Arial" w:eastAsia="Arial" w:hAnsi="Arial"/>
          <w:sz w:val="14"/>
          <w:szCs w:val="14"/>
          <w:color w:val="000000"/>
        </w:rPr>
        <w:t>of March 31, 2022, these restricted funds were comprised of $135 million designated to fund operating expenses, approximately $38 million</w:t>
      </w:r>
      <w:r>
        <w:rPr>
          <w:rFonts w:ascii="Arial" w:cs="Arial" w:eastAsia="Arial" w:hAnsi="Arial"/>
          <w:sz w:val="14"/>
          <w:szCs w:val="14"/>
          <w:color w:val="231F20"/>
        </w:rPr>
        <w:t xml:space="preserve"> </w:t>
      </w:r>
      <w:r>
        <w:rPr>
          <w:rFonts w:ascii="Arial" w:cs="Arial" w:eastAsia="Arial" w:hAnsi="Arial"/>
          <w:sz w:val="14"/>
          <w:szCs w:val="14"/>
          <w:color w:val="000000"/>
        </w:rPr>
        <w:t>designated for current debt service payments, and $135 million of reserves for debt service, performance obligations and other items including capital expenditures. The remaining $18 million is held in distribution reserve accounts.</w:t>
      </w:r>
    </w:p>
    <w:p>
      <w:pPr>
        <w:spacing w:after="0" w:line="168"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On May 3, 2022, the Company, utilizing proceeds from the sale of the Thermal Business discussed below, repaid $305 million of outstanding borrowings under its revolving credit facility and $335 million of borrowings under the Bridge Loan Agreement.</w:t>
      </w:r>
    </w:p>
    <w:p>
      <w:pPr>
        <w:spacing w:after="0" w:line="159"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Potential future sources of liquidity include excess operating cash flow, excess cash from the sale of the Thermal Business, availability under the revolving credit facility, asset dispositions, and, subject to market conditions, new corporate debt and equity financings.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Divestitures</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Disposition of the Thermal Business</w:t>
      </w:r>
    </w:p>
    <w:p>
      <w:pPr>
        <w:spacing w:after="0" w:line="188" w:lineRule="exact"/>
        <w:rPr>
          <w:sz w:val="20"/>
          <w:szCs w:val="20"/>
          <w:color w:val="auto"/>
        </w:rPr>
      </w:pPr>
    </w:p>
    <w:p>
      <w:pPr>
        <w:jc w:val="both"/>
        <w:spacing w:after="0" w:line="356" w:lineRule="auto"/>
        <w:rPr>
          <w:sz w:val="20"/>
          <w:szCs w:val="20"/>
          <w:color w:val="auto"/>
        </w:rPr>
      </w:pPr>
      <w:r>
        <w:rPr>
          <w:rFonts w:ascii="Arial" w:cs="Arial" w:eastAsia="Arial" w:hAnsi="Arial"/>
          <w:sz w:val="11"/>
          <w:szCs w:val="11"/>
          <w:color w:val="auto"/>
        </w:rPr>
        <w:t>On May 1, 2022, the Company, through its subsidiary Clearway Energy Operating LLC, closed the sale of its Thermal Business to KKR for total consideration of $1.9 billion. The Company estimates that the sale of the Thermal Business will result in a gain of approximately $1.3 billion. Following the assumption of project level debt, transaction expenses, capital expenditures that were required as part of the transaction, and the current estimate for future taxes and other obligations owed, the Company currently estimates net proceeds from the sale of the Thermal Business to be approximately $1.35 billion.</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Growth Investments</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Mililani Solar</w:t>
      </w:r>
    </w:p>
    <w:p>
      <w:pPr>
        <w:spacing w:after="0" w:line="188"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On March 25, 2022, the Company, through an indirect subsidiary, invested in the Mililani I solar project, a 39 MW solar project with 156 MWh of storage capacity that is currently under construction, located in Oahu, Hawaii, from a subsidiary of Clearway Group for cash consideration of $22 million. The project is expected to achieve commercial operations in the second half of 2022 and its expected output is backed by a 20-year power purchase agreement with an investment-grade utility. The acquisition was determined to be an asset acquisition and the Company consolidates Mililani I on a prospective basis in its financial statements.</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280"/>
          </w:cols>
          <w:pgMar w:left="300" w:top="710" w:right="319" w:bottom="1440" w:gutter="0" w:footer="0" w:header="0"/>
        </w:sectPr>
      </w:pPr>
    </w:p>
    <w:bookmarkStart w:id="6" w:name="page7"/>
    <w:bookmarkEnd w:id="6"/>
    <w:p>
      <w:pPr>
        <w:spacing w:after="0"/>
        <w:rPr>
          <w:sz w:val="20"/>
          <w:szCs w:val="20"/>
          <w:color w:val="auto"/>
        </w:rPr>
      </w:pPr>
      <w:r>
        <w:rPr>
          <w:rFonts w:ascii="Arial" w:cs="Arial" w:eastAsia="Arial" w:hAnsi="Arial"/>
          <w:sz w:val="14"/>
          <w:szCs w:val="14"/>
          <w:b w:val="1"/>
          <w:bCs w:val="1"/>
          <w:color w:val="auto"/>
        </w:rPr>
        <w:t>Financing Update</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Viento Funding II, LLC</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auto"/>
        </w:rPr>
        <w:t>On March 16, 2022, the Company, through an indirect subsidiary entered into a financing agreement which included the issuance of a $190 million term loan as well as $35 million in letters of credit, supported by the Company’s interests in the Elkhorn Ridge, Laredo Ridge, San Juan Mesa and Taloga wind projects. The term loan bears annual interest at a rate of SOFR plus an applicable margin, which is 1.35% per annum through the fourth anniversary of the term loan and 1.50% per annum thereafter through the maturity date of March 16, 2029. The proceeds from the term loan were used to pay off the existing debt in the amount of $186 million related to Laredo Ridge, Tapestry Wind LLC and Viento Funding II, LLC and to pay related financing costs.</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Bridge Loan Agreement</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On November 30, 2021, Clearway Energy Operating LLC entered into a senior secured bridge credit agreement, or the Bridge Loan Agreement, that provides for a term loan facility with an aggregate principal amount of $335 million. The borrowings under the Bridge Loan Facility were used to acquire the Utah Solar Portfolio on December 1, 2021. On May 3, 2022, the Company used proceeds from the disposition of the Thermal Business to repay the outstanding principal of $335 million.</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Quarterly Dividend</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On May 4, 2022, Clearway Energy, Inc.’s Board of Directors declared a quarterly dividend on Class A and Class C common stock of $0.3536 per share payable on June 15, 2022, to stockholders of record as of June 1, 2022.</w:t>
      </w:r>
    </w:p>
    <w:p>
      <w:pPr>
        <w:spacing w:after="0" w:line="159" w:lineRule="exact"/>
        <w:rPr>
          <w:sz w:val="20"/>
          <w:szCs w:val="20"/>
          <w:color w:val="auto"/>
        </w:rPr>
      </w:pPr>
    </w:p>
    <w:p>
      <w:pPr>
        <w:jc w:val="both"/>
        <w:spacing w:after="0" w:line="268" w:lineRule="auto"/>
        <w:rPr>
          <w:sz w:val="20"/>
          <w:szCs w:val="20"/>
          <w:color w:val="auto"/>
        </w:rPr>
      </w:pPr>
      <w:r>
        <w:rPr>
          <w:rFonts w:ascii="Arial" w:cs="Arial" w:eastAsia="Arial" w:hAnsi="Arial"/>
          <w:sz w:val="13"/>
          <w:szCs w:val="13"/>
          <w:color w:val="auto"/>
        </w:rPr>
        <w:t>For 2022, the Company anticipates that, due to the sale of the Thermal Business, it may have positive current year earnings and profits. As a result, a portion of any dividends paid to holders of Class A and Class C common stock in 2022 may be treated as taxable dividends for U.S. federal income tax purposes. Such portion of the dividends that could be treated as taxable will depend upon a number of factors, including, but not limited to, the amount of actual gain from the Thermal business sale, overall business performance, and other business activity during the year.</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Seasonality</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Clearway Energy, Inc.’s quarterly operating results are impacted by seasonal factors, as well as weather variability which can impact renewable energy resource. Most of the Company's revenues are generated from the months of May through September, as contracted pricing and renewable resources are at their highest levels in the Company’s portfolio. Factors driving the fluctuation in Net Income, Adjusted EBITDA, Cash from Operating Activities, and CAFD include the following:</w:t>
      </w:r>
    </w:p>
    <w:p>
      <w:pPr>
        <w:spacing w:after="0" w:line="166" w:lineRule="exact"/>
        <w:rPr>
          <w:sz w:val="20"/>
          <w:szCs w:val="20"/>
          <w:color w:val="auto"/>
        </w:rPr>
      </w:pPr>
    </w:p>
    <w:p>
      <w:pPr>
        <w:ind w:left="500" w:hanging="251"/>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Higher summer capacity prices from conventional assets;</w:t>
      </w:r>
    </w:p>
    <w:p>
      <w:pPr>
        <w:spacing w:after="0" w:line="12" w:lineRule="exact"/>
        <w:rPr>
          <w:rFonts w:ascii="Arial" w:cs="Arial" w:eastAsia="Arial" w:hAnsi="Arial"/>
          <w:sz w:val="14"/>
          <w:szCs w:val="14"/>
          <w:color w:val="auto"/>
        </w:rPr>
      </w:pPr>
    </w:p>
    <w:p>
      <w:pPr>
        <w:ind w:left="500" w:hanging="251"/>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Higher solar insolation during the summer months;</w:t>
      </w:r>
    </w:p>
    <w:p>
      <w:pPr>
        <w:spacing w:after="0" w:line="3" w:lineRule="exact"/>
        <w:rPr>
          <w:rFonts w:ascii="Arial" w:cs="Arial" w:eastAsia="Arial" w:hAnsi="Arial"/>
          <w:sz w:val="14"/>
          <w:szCs w:val="14"/>
          <w:color w:val="auto"/>
        </w:rPr>
      </w:pPr>
    </w:p>
    <w:p>
      <w:pPr>
        <w:ind w:left="500" w:hanging="251"/>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Higher wind resources during the spring and summer months;</w:t>
      </w:r>
    </w:p>
    <w:p>
      <w:pPr>
        <w:spacing w:after="0" w:line="3" w:lineRule="exact"/>
        <w:rPr>
          <w:rFonts w:ascii="Arial" w:cs="Arial" w:eastAsia="Arial" w:hAnsi="Arial"/>
          <w:sz w:val="14"/>
          <w:szCs w:val="14"/>
          <w:color w:val="auto"/>
        </w:rPr>
      </w:pPr>
    </w:p>
    <w:p>
      <w:pPr>
        <w:ind w:left="500" w:hanging="251"/>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Debt service payments which are made either quarterly or semi-annually;</w:t>
      </w:r>
    </w:p>
    <w:p>
      <w:pPr>
        <w:spacing w:after="0" w:line="3" w:lineRule="exact"/>
        <w:rPr>
          <w:rFonts w:ascii="Arial" w:cs="Arial" w:eastAsia="Arial" w:hAnsi="Arial"/>
          <w:sz w:val="14"/>
          <w:szCs w:val="14"/>
          <w:color w:val="auto"/>
        </w:rPr>
      </w:pPr>
    </w:p>
    <w:p>
      <w:pPr>
        <w:ind w:left="500" w:hanging="251"/>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Timing of maintenance capital expenditures and the impact of both unforced and forced outages; and</w:t>
      </w:r>
    </w:p>
    <w:p>
      <w:pPr>
        <w:spacing w:after="0" w:line="3" w:lineRule="exact"/>
        <w:rPr>
          <w:rFonts w:ascii="Arial" w:cs="Arial" w:eastAsia="Arial" w:hAnsi="Arial"/>
          <w:sz w:val="14"/>
          <w:szCs w:val="14"/>
          <w:color w:val="auto"/>
        </w:rPr>
      </w:pPr>
    </w:p>
    <w:p>
      <w:pPr>
        <w:ind w:left="500" w:hanging="251"/>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Timing of distributions from unconsolidated affiliates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The Company takes into consideration the timing of these factors to ensure sufficient funds are available for distributions and operating activities on a quarterly basis.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Guidance and Pro Forma CAFD Outlook</w:t>
      </w:r>
    </w:p>
    <w:p>
      <w:pPr>
        <w:spacing w:after="0" w:line="182" w:lineRule="exact"/>
        <w:rPr>
          <w:sz w:val="20"/>
          <w:szCs w:val="20"/>
          <w:color w:val="auto"/>
        </w:rPr>
      </w:pPr>
    </w:p>
    <w:p>
      <w:pPr>
        <w:jc w:val="both"/>
        <w:spacing w:after="0" w:line="229" w:lineRule="auto"/>
        <w:rPr>
          <w:sz w:val="20"/>
          <w:szCs w:val="20"/>
          <w:color w:val="auto"/>
        </w:rPr>
      </w:pPr>
      <w:r>
        <w:rPr>
          <w:rFonts w:ascii="Arial" w:cs="Arial" w:eastAsia="Arial" w:hAnsi="Arial"/>
          <w:sz w:val="14"/>
          <w:szCs w:val="14"/>
          <w:color w:val="auto"/>
        </w:rPr>
        <w:t>With the Thermal sale complete, the Company is updating its 2022 full year CAFD guidance to $365 million. The Company's 2022 financial guidance factors in the contribution of committed growth investments based on current expected closing timelines and the closing of Thermal disposition on May 1, 2022. 2022 CAFD guidance does not factor in the timing of when CAFD is realized from new growth investments pursuant to 5-year averages beyond 2022.</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With the effects above, the timing of CAFD realization pursuant to 5-year averages, asset CAFD across all segments being materially in-line with current profiles, the Company is reiterating its pro forma CAFD outlook expectations of approximately $385 million.</w:t>
      </w: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280"/>
          </w:cols>
          <w:pgMar w:left="300" w:top="710" w:right="319" w:bottom="1440" w:gutter="0" w:footer="0" w:header="0"/>
        </w:sectPr>
      </w:pPr>
    </w:p>
    <w:bookmarkStart w:id="7" w:name="page8"/>
    <w:bookmarkEnd w:id="7"/>
    <w:p>
      <w:pPr>
        <w:jc w:val="both"/>
        <w:spacing w:after="0" w:line="264" w:lineRule="auto"/>
        <w:rPr>
          <w:sz w:val="20"/>
          <w:szCs w:val="20"/>
          <w:color w:val="auto"/>
        </w:rPr>
      </w:pPr>
      <w:r>
        <w:rPr>
          <w:rFonts w:ascii="Arial" w:cs="Arial" w:eastAsia="Arial" w:hAnsi="Arial"/>
          <w:sz w:val="14"/>
          <w:szCs w:val="14"/>
          <w:color w:val="auto"/>
        </w:rPr>
        <w:t>Financial guidance and the pro forma CAFD outlook continue to be based on median renewable energy production estimates for the full year and do not factor in any additional CAFD related to the allocation of excess proceeds from the sale of the Thermal Business.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Earnings Conference Call</w:t>
      </w:r>
    </w:p>
    <w:p>
      <w:pPr>
        <w:spacing w:after="0" w:line="192" w:lineRule="exact"/>
        <w:rPr>
          <w:sz w:val="20"/>
          <w:szCs w:val="20"/>
          <w:color w:val="auto"/>
        </w:rPr>
      </w:pPr>
    </w:p>
    <w:p>
      <w:pPr>
        <w:jc w:val="both"/>
        <w:spacing w:after="0" w:line="401" w:lineRule="auto"/>
        <w:rPr>
          <w:sz w:val="20"/>
          <w:szCs w:val="20"/>
          <w:color w:val="auto"/>
        </w:rPr>
      </w:pPr>
      <w:r>
        <w:rPr>
          <w:rFonts w:ascii="Arial" w:cs="Arial" w:eastAsia="Arial" w:hAnsi="Arial"/>
          <w:sz w:val="11"/>
          <w:szCs w:val="11"/>
          <w:color w:val="auto"/>
        </w:rPr>
        <w:t>On May 5, 2022, Clearway Energy, Inc. will host a conference call at 8:00 a.m. Eastern to discuss these results. Investors, the news media and others may access the live webcast of the conference call and accompanying presentation materials by logging on to Clearway Energy, Inc.’s website at http://www.clearwayenergy.com and clicking on “Presentations &amp; Webcasts” under “Investor Relations.”</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Clearway Energy, Inc.</w:t>
      </w:r>
    </w:p>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auto"/>
        </w:rPr>
        <w:t>Clearway Energy, Inc. is one of the largest renewable energy owners in the US with over 5,000 net MW of installed wind and solar generation projects. The Company's over 7,500 net MW of assets also include approximately 2,500 net MW of environmentally-sound, highly efficient natural gas generation facilities. Through this environmentally-sound diversified and primarily contracted portfolio, Clearway Energy endeavors to provide its investors with stable and growing dividend income. Clearway Energy’s Class C and Class A common stock are traded on the New York Stock Exchange under the symbols CWEN and CWEN.A, respectively. Clearway Energy, Inc. is sponsored by its controlling investor, Global Infrastructure Partners.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Safe Harbor Disclosure</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3"/>
          <w:szCs w:val="13"/>
          <w:color w:val="auto"/>
        </w:rPr>
        <w:t>This news release contains forward-looking statements within the meaning of Section 27A of the Securities Act of 1933 and Section 21E of the Securities Exchange Act of 1934. Such forward-looking statements are subject to certain risks, uncertainties and assumptions, and typically can be identified by the use of words such as “expect,” “estimate,” "target," “anticipate,” “forecast,” “plan,” “outlook,” “believe” and similar terms. Such forward-looking statements include, but are not limited to, statements regarding, the Company’s dividend expectations and its operations, its facilities and its financial results, impacts related to COVID-19 (including any variant of the virus) or any other pandemic, the benefits of the relationship with Global Infrastructure Partners and Global Infrastructure Partners' expertise, the Company’s future relationship and arrangements with Global Infrastructure Partners and Clearway Energy Group, as well as the Company's Net Income, Adjusted EBITDA, Cash from Operating Activities, Cash Available for Distribution, the Company’s future revenues, income, indebtedness, capital structure, strategy, plans, expectations, objectives, projected financial performance and/or business results and other future events, and views of economic and market conditions.</w:t>
      </w:r>
    </w:p>
    <w:p>
      <w:pPr>
        <w:spacing w:after="0" w:line="147"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Although Clearway Energy, Inc. believes that the expectations are reasonable, it can give no assurance that these expectations will prove to be correct, and actual results may vary materially. Factors that could cause actual results to differ materially from those contemplated above include, among others, the Company's ability to maintain and grow its quarterly dividend, impacts related to COVID-19 (including any variant of the virus) or any other pandemic, risks relating to the Company's relationships with Global Infrastructure Partners and Clearway Energy Group, the failure to identify, execute or successfully implement acquisitions or dispositions (including receipt of third party consents and regulatory approvals), the Company's ability to acquire assets from Global Infrastructure Partners or Clearway Energy Group, the Company’s ability to raise additional capital due to its indebtedness, corporate structure, market conditions or otherwise, hazards customary in the power industry, weather conditions, including wind and solar performance, the Company’s ability to operate its businesses efficiently, manage maintenance capital expenditures and costs effectively, and generate earnings and cash flows from its asset-based businesses in relation to its debt and other obligations, the willingness and ability of counterparties to the Company’s offtake agreements to fulfill their obligations under such agreements, the Company's ability to enter into new contracts as existing contracts expire, changes in government regulations, operating and financial restrictions placed on the Company that are contained in the project-level debt facilities and other agreements of the Company and its subsidiaries, cyber terrorism and inadequate cybersecurity and the Company’s ability to borrow additional funds and access capital markets. Furthermore, any dividends are subject to available capital, market conditions, and compliance with associated laws and regulations.</w:t>
      </w:r>
    </w:p>
    <w:p>
      <w:pPr>
        <w:spacing w:after="0" w:line="290"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Clearway Energy, Inc. undertakes no obligation to update or revise any forward-looking statements, whether as a result of new information, future events or otherwise. The Adjusted EBITDA and Cash Available for Distribution are estimates as of today’s date, May 5, 2022, and are based on assumptions believed to be reasonable as of this date. Clearway Energy, Inc. expressly disclaims any current intention to update such guidance. The foregoing review of factors that could cause Clearway Energy, Inc.’s actual results to differ materially from those contemplated in the forward-looking statements included in this news release should be considered in connection with information regarding risks and uncertainties that may affect Clearway Energy, Inc.’s future results included in Clearway Energy, Inc.’s filings with the Securities and Exchange Commission at</w:t>
      </w:r>
    </w:p>
    <w:p>
      <w:pPr>
        <w:spacing w:after="0" w:line="37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280"/>
          </w:cols>
          <w:pgMar w:left="300" w:top="714" w:right="319" w:bottom="1440" w:gutter="0" w:footer="0" w:header="0"/>
        </w:sectPr>
      </w:pPr>
    </w:p>
    <w:bookmarkStart w:id="8" w:name="page9"/>
    <w:bookmarkEnd w:id="8"/>
    <w:p>
      <w:pPr>
        <w:spacing w:after="0"/>
        <w:rPr>
          <w:sz w:val="20"/>
          <w:szCs w:val="20"/>
          <w:color w:val="auto"/>
        </w:rPr>
      </w:pPr>
      <w:r>
        <w:rPr>
          <w:rFonts w:ascii="Arial" w:cs="Arial" w:eastAsia="Arial" w:hAnsi="Arial"/>
          <w:sz w:val="11"/>
          <w:szCs w:val="11"/>
          <w:color w:val="auto"/>
        </w:rPr>
        <w:t>www.sec.gov. In addition, Clearway Energy, Inc. makes available free of charge at www.clearwayenergy.com, copies of materials it files with, or furnishes to, the Securities and Exchange Commission.</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 #</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Contacts:</w:t>
      </w:r>
    </w:p>
    <w:p>
      <w:pPr>
        <w:spacing w:after="0" w:line="174" w:lineRule="exact"/>
        <w:rPr>
          <w:sz w:val="20"/>
          <w:szCs w:val="20"/>
          <w:color w:val="auto"/>
        </w:rPr>
      </w:pPr>
    </w:p>
    <w:p>
      <w:pPr>
        <w:ind w:left="500"/>
        <w:spacing w:after="0"/>
        <w:tabs>
          <w:tab w:leader="none" w:pos="1600" w:val="left"/>
        </w:tabs>
        <w:rPr>
          <w:sz w:val="20"/>
          <w:szCs w:val="20"/>
          <w:color w:val="auto"/>
        </w:rPr>
      </w:pPr>
      <w:r>
        <w:rPr>
          <w:rFonts w:ascii="Arial" w:cs="Arial" w:eastAsia="Arial" w:hAnsi="Arial"/>
          <w:sz w:val="14"/>
          <w:szCs w:val="14"/>
          <w:b w:val="1"/>
          <w:bCs w:val="1"/>
          <w:color w:val="auto"/>
        </w:rPr>
        <w:t>Investors:</w:t>
      </w:r>
      <w:r>
        <w:rPr>
          <w:sz w:val="20"/>
          <w:szCs w:val="20"/>
          <w:color w:val="auto"/>
        </w:rPr>
        <w:tab/>
      </w:r>
      <w:r>
        <w:rPr>
          <w:rFonts w:ascii="Arial" w:cs="Arial" w:eastAsia="Arial" w:hAnsi="Arial"/>
          <w:sz w:val="14"/>
          <w:szCs w:val="14"/>
          <w:b w:val="1"/>
          <w:bCs w:val="1"/>
          <w:color w:val="auto"/>
        </w:rPr>
        <w:t>Media:</w:t>
      </w:r>
    </w:p>
    <w:p>
      <w:pPr>
        <w:spacing w:after="0" w:line="17" w:lineRule="exact"/>
        <w:rPr>
          <w:sz w:val="20"/>
          <w:szCs w:val="20"/>
          <w:color w:val="auto"/>
        </w:rPr>
      </w:pPr>
    </w:p>
    <w:p>
      <w:pPr>
        <w:ind w:left="140"/>
        <w:spacing w:after="0"/>
        <w:tabs>
          <w:tab w:leader="none" w:pos="1280" w:val="left"/>
        </w:tabs>
        <w:rPr>
          <w:sz w:val="20"/>
          <w:szCs w:val="20"/>
          <w:color w:val="auto"/>
        </w:rPr>
      </w:pPr>
      <w:r>
        <w:rPr>
          <w:rFonts w:ascii="Arial" w:cs="Arial" w:eastAsia="Arial" w:hAnsi="Arial"/>
          <w:sz w:val="14"/>
          <w:szCs w:val="14"/>
          <w:color w:val="auto"/>
        </w:rPr>
        <w:t>Akil Marsh</w:t>
      </w:r>
      <w:r>
        <w:rPr>
          <w:sz w:val="20"/>
          <w:szCs w:val="20"/>
          <w:color w:val="auto"/>
        </w:rPr>
        <w:tab/>
      </w:r>
      <w:r>
        <w:rPr>
          <w:rFonts w:ascii="Arial" w:cs="Arial" w:eastAsia="Arial" w:hAnsi="Arial"/>
          <w:sz w:val="11"/>
          <w:szCs w:val="11"/>
          <w:color w:val="auto"/>
        </w:rPr>
        <w:t>Zadie Oleksiw</w:t>
      </w:r>
    </w:p>
    <w:p>
      <w:pPr>
        <w:spacing w:after="0" w:line="3" w:lineRule="exact"/>
        <w:rPr>
          <w:sz w:val="20"/>
          <w:szCs w:val="20"/>
          <w:color w:val="auto"/>
        </w:rPr>
      </w:pPr>
    </w:p>
    <w:p>
      <w:pPr>
        <w:ind w:left="140"/>
        <w:spacing w:after="0"/>
        <w:tabs>
          <w:tab w:leader="none" w:pos="2440" w:val="left"/>
        </w:tabs>
        <w:rPr>
          <w:sz w:val="20"/>
          <w:szCs w:val="20"/>
          <w:color w:val="auto"/>
        </w:rPr>
      </w:pPr>
      <w:r>
        <w:rPr>
          <w:rFonts w:ascii="Arial" w:cs="Arial" w:eastAsia="Arial" w:hAnsi="Arial"/>
          <w:sz w:val="14"/>
          <w:szCs w:val="14"/>
          <w:color w:val="auto"/>
        </w:rPr>
        <w:t>investor.relations@clearwayenergy.com</w:t>
      </w:r>
      <w:r>
        <w:rPr>
          <w:sz w:val="20"/>
          <w:szCs w:val="20"/>
          <w:color w:val="auto"/>
        </w:rPr>
        <w:tab/>
      </w:r>
      <w:r>
        <w:rPr>
          <w:rFonts w:ascii="Arial" w:cs="Arial" w:eastAsia="Arial" w:hAnsi="Arial"/>
          <w:sz w:val="11"/>
          <w:szCs w:val="11"/>
          <w:color w:val="auto"/>
        </w:rPr>
        <w:t>media@clearwayenergy.com</w:t>
      </w:r>
    </w:p>
    <w:p>
      <w:pPr>
        <w:spacing w:after="0" w:line="3" w:lineRule="exact"/>
        <w:rPr>
          <w:sz w:val="20"/>
          <w:szCs w:val="20"/>
          <w:color w:val="auto"/>
        </w:rPr>
      </w:pPr>
    </w:p>
    <w:p>
      <w:pPr>
        <w:ind w:left="140"/>
        <w:spacing w:after="0"/>
        <w:tabs>
          <w:tab w:leader="none" w:pos="1440" w:val="left"/>
        </w:tabs>
        <w:rPr>
          <w:sz w:val="20"/>
          <w:szCs w:val="20"/>
          <w:color w:val="auto"/>
        </w:rPr>
      </w:pPr>
      <w:r>
        <w:rPr>
          <w:rFonts w:ascii="Arial" w:cs="Arial" w:eastAsia="Arial" w:hAnsi="Arial"/>
          <w:sz w:val="14"/>
          <w:szCs w:val="14"/>
          <w:color w:val="auto"/>
        </w:rPr>
        <w:t>609-608-1500</w:t>
      </w:r>
      <w:r>
        <w:rPr>
          <w:sz w:val="20"/>
          <w:szCs w:val="20"/>
          <w:color w:val="auto"/>
        </w:rPr>
        <w:tab/>
      </w:r>
      <w:r>
        <w:rPr>
          <w:rFonts w:ascii="Arial" w:cs="Arial" w:eastAsia="Arial" w:hAnsi="Arial"/>
          <w:sz w:val="11"/>
          <w:szCs w:val="11"/>
          <w:color w:val="auto"/>
        </w:rPr>
        <w:t>202-836-5754</w:t>
      </w:r>
    </w:p>
    <w:p>
      <w:pPr>
        <w:spacing w:after="0" w:line="25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280"/>
          </w:cols>
          <w:pgMar w:left="300" w:top="714" w:right="319" w:bottom="1440" w:gutter="0" w:footer="0" w:header="0"/>
        </w:sectPr>
      </w:pPr>
    </w:p>
    <w:bookmarkStart w:id="9" w:name="page10"/>
    <w:bookmarkEnd w:id="9"/>
    <w:p>
      <w:pPr>
        <w:jc w:val="center"/>
        <w:spacing w:after="0"/>
        <w:rPr>
          <w:sz w:val="20"/>
          <w:szCs w:val="20"/>
          <w:color w:val="auto"/>
        </w:rPr>
      </w:pPr>
      <w:r>
        <w:rPr>
          <w:rFonts w:ascii="Arial" w:cs="Arial" w:eastAsia="Arial" w:hAnsi="Arial"/>
          <w:sz w:val="14"/>
          <w:szCs w:val="14"/>
          <w:b w:val="1"/>
          <w:bCs w:val="1"/>
          <w:color w:val="auto"/>
        </w:rPr>
        <w:t>CLEARWAY ENERGY, INC.</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1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78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1"/>
                <w:szCs w:val="11"/>
                <w:b w:val="1"/>
                <w:bCs w:val="1"/>
                <w:color w:val="auto"/>
              </w:rPr>
              <w:t>Three months ended March 31,</w:t>
            </w:r>
          </w:p>
        </w:tc>
      </w:tr>
      <w:tr>
        <w:trPr>
          <w:trHeight w:val="141"/>
        </w:trPr>
        <w:tc>
          <w:tcPr>
            <w:tcW w:w="8140" w:type="dxa"/>
            <w:vAlign w:val="bottom"/>
          </w:tcPr>
          <w:p>
            <w:pPr>
              <w:ind w:left="20"/>
              <w:spacing w:after="0"/>
              <w:rPr>
                <w:sz w:val="20"/>
                <w:szCs w:val="20"/>
                <w:color w:val="auto"/>
              </w:rPr>
            </w:pPr>
            <w:r>
              <w:rPr>
                <w:rFonts w:ascii="Arial" w:cs="Arial" w:eastAsia="Arial" w:hAnsi="Arial"/>
                <w:sz w:val="11"/>
                <w:szCs w:val="11"/>
                <w:b w:val="1"/>
                <w:bCs w:val="1"/>
                <w:color w:val="auto"/>
              </w:rPr>
              <w:t>(In millions, except per share amounts)</w:t>
            </w: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99"/>
              <w:spacing w:after="0"/>
              <w:rPr>
                <w:sz w:val="20"/>
                <w:szCs w:val="20"/>
                <w:color w:val="auto"/>
              </w:rPr>
            </w:pPr>
            <w:r>
              <w:rPr>
                <w:rFonts w:ascii="Arial" w:cs="Arial" w:eastAsia="Arial" w:hAnsi="Arial"/>
                <w:sz w:val="11"/>
                <w:szCs w:val="11"/>
                <w:b w:val="1"/>
                <w:bCs w:val="1"/>
                <w:color w:val="auto"/>
              </w:rPr>
              <w:t>2022</w:t>
            </w:r>
          </w:p>
        </w:tc>
        <w:tc>
          <w:tcPr>
            <w:tcW w:w="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79"/>
              <w:spacing w:after="0"/>
              <w:rPr>
                <w:sz w:val="20"/>
                <w:szCs w:val="20"/>
                <w:color w:val="auto"/>
              </w:rPr>
            </w:pPr>
            <w:r>
              <w:rPr>
                <w:rFonts w:ascii="Arial" w:cs="Arial" w:eastAsia="Arial" w:hAnsi="Arial"/>
                <w:sz w:val="11"/>
                <w:szCs w:val="11"/>
                <w:b w:val="1"/>
                <w:bCs w:val="1"/>
                <w:color w:val="auto"/>
              </w:rPr>
              <w:t>2021</w:t>
            </w:r>
          </w:p>
        </w:tc>
      </w:tr>
      <w:tr>
        <w:trPr>
          <w:trHeight w:val="144"/>
        </w:trPr>
        <w:tc>
          <w:tcPr>
            <w:tcW w:w="8140" w:type="dxa"/>
            <w:vAlign w:val="bottom"/>
          </w:tcPr>
          <w:p>
            <w:pPr>
              <w:ind w:left="20"/>
              <w:spacing w:after="0"/>
              <w:rPr>
                <w:sz w:val="20"/>
                <w:szCs w:val="20"/>
                <w:color w:val="auto"/>
              </w:rPr>
            </w:pPr>
            <w:r>
              <w:rPr>
                <w:rFonts w:ascii="Arial" w:cs="Arial" w:eastAsia="Arial" w:hAnsi="Arial"/>
                <w:sz w:val="12"/>
                <w:szCs w:val="12"/>
                <w:b w:val="1"/>
                <w:bCs w:val="1"/>
                <w:color w:val="auto"/>
              </w:rPr>
              <w:t>Operating Revenues</w:t>
            </w: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67"/>
        </w:trPr>
        <w:tc>
          <w:tcPr>
            <w:tcW w:w="81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Total operating revenues</w:t>
            </w:r>
          </w:p>
        </w:tc>
        <w:tc>
          <w:tcPr>
            <w:tcW w:w="360" w:type="dxa"/>
            <w:vAlign w:val="bottom"/>
            <w:tcBorders>
              <w:bottom w:val="single" w:sz="8" w:color="auto"/>
            </w:tcBorders>
            <w:shd w:val="clear" w:color="auto" w:fill="CCEEFF"/>
          </w:tcPr>
          <w:p>
            <w:pPr>
              <w:jc w:val="right"/>
              <w:ind w:right="218"/>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214</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18"/>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237</w:t>
            </w:r>
          </w:p>
        </w:tc>
      </w:tr>
      <w:tr>
        <w:trPr>
          <w:trHeight w:val="142"/>
        </w:trPr>
        <w:tc>
          <w:tcPr>
            <w:tcW w:w="8140" w:type="dxa"/>
            <w:vAlign w:val="bottom"/>
          </w:tcPr>
          <w:p>
            <w:pPr>
              <w:ind w:left="20"/>
              <w:spacing w:after="0"/>
              <w:rPr>
                <w:sz w:val="20"/>
                <w:szCs w:val="20"/>
                <w:color w:val="auto"/>
              </w:rPr>
            </w:pPr>
            <w:r>
              <w:rPr>
                <w:rFonts w:ascii="Arial" w:cs="Arial" w:eastAsia="Arial" w:hAnsi="Arial"/>
                <w:sz w:val="12"/>
                <w:szCs w:val="12"/>
                <w:b w:val="1"/>
                <w:bCs w:val="1"/>
                <w:color w:val="auto"/>
              </w:rPr>
              <w:t>Operating Costs and Expenses</w:t>
            </w: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67"/>
        </w:trPr>
        <w:tc>
          <w:tcPr>
            <w:tcW w:w="81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Cost of operations, exclusive of depreciation, amortization and accretion shown separately below</w:t>
            </w: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128</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w:t>
            </w:r>
          </w:p>
        </w:tc>
      </w:tr>
      <w:tr>
        <w:trPr>
          <w:trHeight w:val="162"/>
        </w:trPr>
        <w:tc>
          <w:tcPr>
            <w:tcW w:w="8140" w:type="dxa"/>
            <w:vAlign w:val="bottom"/>
          </w:tcPr>
          <w:p>
            <w:pPr>
              <w:ind w:left="100"/>
              <w:spacing w:after="0"/>
              <w:rPr>
                <w:sz w:val="20"/>
                <w:szCs w:val="20"/>
                <w:color w:val="auto"/>
              </w:rPr>
            </w:pPr>
            <w:r>
              <w:rPr>
                <w:rFonts w:ascii="Arial" w:cs="Arial" w:eastAsia="Arial" w:hAnsi="Arial"/>
                <w:sz w:val="12"/>
                <w:szCs w:val="12"/>
                <w:color w:val="auto"/>
              </w:rPr>
              <w:t>Depreciation, amortization and accretion</w:t>
            </w: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124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128</w:t>
            </w:r>
          </w:p>
        </w:tc>
      </w:tr>
      <w:tr>
        <w:trPr>
          <w:trHeight w:val="167"/>
        </w:trPr>
        <w:tc>
          <w:tcPr>
            <w:tcW w:w="81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General and administrative</w:t>
            </w: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r>
      <w:tr>
        <w:trPr>
          <w:trHeight w:val="162"/>
        </w:trPr>
        <w:tc>
          <w:tcPr>
            <w:tcW w:w="8140" w:type="dxa"/>
            <w:vAlign w:val="bottom"/>
          </w:tcPr>
          <w:p>
            <w:pPr>
              <w:ind w:left="100"/>
              <w:spacing w:after="0"/>
              <w:rPr>
                <w:sz w:val="20"/>
                <w:szCs w:val="20"/>
                <w:color w:val="auto"/>
              </w:rPr>
            </w:pPr>
            <w:r>
              <w:rPr>
                <w:rFonts w:ascii="Arial" w:cs="Arial" w:eastAsia="Arial" w:hAnsi="Arial"/>
                <w:sz w:val="12"/>
                <w:szCs w:val="12"/>
                <w:color w:val="auto"/>
              </w:rPr>
              <w:t>Transaction and integration costs</w:t>
            </w: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2</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2</w:t>
            </w:r>
          </w:p>
        </w:tc>
      </w:tr>
      <w:tr>
        <w:trPr>
          <w:trHeight w:val="167"/>
        </w:trPr>
        <w:tc>
          <w:tcPr>
            <w:tcW w:w="81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Development costs</w:t>
            </w: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w:t>
            </w:r>
          </w:p>
        </w:tc>
      </w:tr>
      <w:tr>
        <w:trPr>
          <w:trHeight w:val="152"/>
        </w:trPr>
        <w:tc>
          <w:tcPr>
            <w:tcW w:w="8140" w:type="dxa"/>
            <w:vAlign w:val="bottom"/>
            <w:tcBorders>
              <w:bottom w:val="single" w:sz="8" w:color="CCEEFF"/>
            </w:tcBorders>
          </w:tcPr>
          <w:p>
            <w:pPr>
              <w:ind w:left="260"/>
              <w:spacing w:after="0"/>
              <w:rPr>
                <w:sz w:val="20"/>
                <w:szCs w:val="20"/>
                <w:color w:val="auto"/>
              </w:rPr>
            </w:pPr>
            <w:r>
              <w:rPr>
                <w:rFonts w:ascii="Arial" w:cs="Arial" w:eastAsia="Arial" w:hAnsi="Arial"/>
                <w:sz w:val="12"/>
                <w:szCs w:val="12"/>
                <w:color w:val="auto"/>
              </w:rPr>
              <w:t>Total operating costs and expenses</w:t>
            </w: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267</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251</w:t>
            </w:r>
          </w:p>
        </w:tc>
      </w:tr>
      <w:tr>
        <w:trPr>
          <w:trHeight w:val="157"/>
        </w:trPr>
        <w:tc>
          <w:tcPr>
            <w:tcW w:w="81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Operating Loss</w:t>
            </w:r>
          </w:p>
        </w:tc>
        <w:tc>
          <w:tcPr>
            <w:tcW w:w="36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w:t>
            </w:r>
          </w:p>
        </w:tc>
      </w:tr>
      <w:tr>
        <w:trPr>
          <w:trHeight w:val="142"/>
        </w:trPr>
        <w:tc>
          <w:tcPr>
            <w:tcW w:w="8140" w:type="dxa"/>
            <w:vAlign w:val="bottom"/>
          </w:tcPr>
          <w:p>
            <w:pPr>
              <w:ind w:left="20"/>
              <w:spacing w:after="0"/>
              <w:rPr>
                <w:sz w:val="20"/>
                <w:szCs w:val="20"/>
                <w:color w:val="auto"/>
              </w:rPr>
            </w:pPr>
            <w:r>
              <w:rPr>
                <w:rFonts w:ascii="Arial" w:cs="Arial" w:eastAsia="Arial" w:hAnsi="Arial"/>
                <w:sz w:val="12"/>
                <w:szCs w:val="12"/>
                <w:b w:val="1"/>
                <w:bCs w:val="1"/>
                <w:color w:val="auto"/>
              </w:rPr>
              <w:t>Other Income (Expense)</w:t>
            </w: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67"/>
        </w:trPr>
        <w:tc>
          <w:tcPr>
            <w:tcW w:w="81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Equity in earnings of unconsolidated affiliates</w:t>
            </w: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r>
      <w:tr>
        <w:trPr>
          <w:trHeight w:val="162"/>
        </w:trPr>
        <w:tc>
          <w:tcPr>
            <w:tcW w:w="8140" w:type="dxa"/>
            <w:vAlign w:val="bottom"/>
          </w:tcPr>
          <w:p>
            <w:pPr>
              <w:ind w:left="100"/>
              <w:spacing w:after="0"/>
              <w:rPr>
                <w:sz w:val="20"/>
                <w:szCs w:val="20"/>
                <w:color w:val="auto"/>
              </w:rPr>
            </w:pPr>
            <w:r>
              <w:rPr>
                <w:rFonts w:ascii="Arial" w:cs="Arial" w:eastAsia="Arial" w:hAnsi="Arial"/>
                <w:sz w:val="12"/>
                <w:szCs w:val="12"/>
                <w:color w:val="auto"/>
              </w:rPr>
              <w:t>Other income, net</w:t>
            </w:r>
          </w:p>
        </w:tc>
        <w:tc>
          <w:tcPr>
            <w:tcW w:w="36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w:t>
            </w:r>
          </w:p>
        </w:tc>
      </w:tr>
      <w:tr>
        <w:trPr>
          <w:trHeight w:val="167"/>
        </w:trPr>
        <w:tc>
          <w:tcPr>
            <w:tcW w:w="81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Loss on debt extinguishment</w:t>
            </w: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w:t>
            </w:r>
          </w:p>
        </w:tc>
      </w:tr>
      <w:tr>
        <w:trPr>
          <w:trHeight w:val="162"/>
        </w:trPr>
        <w:tc>
          <w:tcPr>
            <w:tcW w:w="814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Interest expense</w:t>
            </w: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w:t>
            </w:r>
          </w:p>
        </w:tc>
      </w:tr>
      <w:tr>
        <w:trPr>
          <w:trHeight w:val="157"/>
        </w:trPr>
        <w:tc>
          <w:tcPr>
            <w:tcW w:w="81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Total other expense, net</w:t>
            </w:r>
          </w:p>
        </w:tc>
        <w:tc>
          <w:tcPr>
            <w:tcW w:w="36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(45)</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(82)</w:t>
            </w:r>
          </w:p>
        </w:tc>
      </w:tr>
      <w:tr>
        <w:trPr>
          <w:trHeight w:val="152"/>
        </w:trPr>
        <w:tc>
          <w:tcPr>
            <w:tcW w:w="8140" w:type="dxa"/>
            <w:vAlign w:val="bottom"/>
          </w:tcPr>
          <w:p>
            <w:pPr>
              <w:ind w:left="20"/>
              <w:spacing w:after="0"/>
              <w:rPr>
                <w:sz w:val="20"/>
                <w:szCs w:val="20"/>
                <w:color w:val="auto"/>
              </w:rPr>
            </w:pPr>
            <w:r>
              <w:rPr>
                <w:rFonts w:ascii="Arial" w:cs="Arial" w:eastAsia="Arial" w:hAnsi="Arial"/>
                <w:sz w:val="12"/>
                <w:szCs w:val="12"/>
                <w:b w:val="1"/>
                <w:bCs w:val="1"/>
                <w:color w:val="auto"/>
              </w:rPr>
              <w:t>Loss Before Income Taxes</w:t>
            </w: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(98)</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(96)</w:t>
            </w:r>
          </w:p>
        </w:tc>
      </w:tr>
      <w:tr>
        <w:trPr>
          <w:trHeight w:val="167"/>
        </w:trPr>
        <w:tc>
          <w:tcPr>
            <w:tcW w:w="81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Income tax benefit</w:t>
            </w: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w:t>
            </w:r>
          </w:p>
        </w:tc>
      </w:tr>
      <w:tr>
        <w:trPr>
          <w:trHeight w:val="152"/>
        </w:trPr>
        <w:tc>
          <w:tcPr>
            <w:tcW w:w="8140" w:type="dxa"/>
            <w:vAlign w:val="bottom"/>
          </w:tcPr>
          <w:p>
            <w:pPr>
              <w:ind w:left="20"/>
              <w:spacing w:after="0"/>
              <w:rPr>
                <w:sz w:val="20"/>
                <w:szCs w:val="20"/>
                <w:color w:val="auto"/>
              </w:rPr>
            </w:pPr>
            <w:r>
              <w:rPr>
                <w:rFonts w:ascii="Arial" w:cs="Arial" w:eastAsia="Arial" w:hAnsi="Arial"/>
                <w:sz w:val="12"/>
                <w:szCs w:val="12"/>
                <w:b w:val="1"/>
                <w:bCs w:val="1"/>
                <w:color w:val="auto"/>
              </w:rPr>
              <w:t>Net Loss</w:t>
            </w: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(97)</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(76)</w:t>
            </w:r>
          </w:p>
        </w:tc>
      </w:tr>
      <w:tr>
        <w:trPr>
          <w:trHeight w:val="164"/>
        </w:trPr>
        <w:tc>
          <w:tcPr>
            <w:tcW w:w="81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Less: Loss attributable to noncontrolling interests and redeemable interests</w:t>
            </w: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(65)</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(79)</w:t>
            </w:r>
          </w:p>
        </w:tc>
      </w:tr>
      <w:tr>
        <w:trPr>
          <w:trHeight w:val="157"/>
        </w:trPr>
        <w:tc>
          <w:tcPr>
            <w:tcW w:w="8140" w:type="dxa"/>
            <w:vAlign w:val="bottom"/>
          </w:tcPr>
          <w:p>
            <w:pPr>
              <w:ind w:left="20"/>
              <w:spacing w:after="0"/>
              <w:rPr>
                <w:sz w:val="20"/>
                <w:szCs w:val="20"/>
                <w:color w:val="auto"/>
              </w:rPr>
            </w:pPr>
            <w:r>
              <w:rPr>
                <w:rFonts w:ascii="Arial" w:cs="Arial" w:eastAsia="Arial" w:hAnsi="Arial"/>
                <w:sz w:val="12"/>
                <w:szCs w:val="12"/>
                <w:b w:val="1"/>
                <w:bCs w:val="1"/>
                <w:color w:val="auto"/>
              </w:rPr>
              <w:t>Net (Loss) Income Attributable to Clearway Energy, Inc.</w:t>
            </w:r>
          </w:p>
        </w:tc>
        <w:tc>
          <w:tcPr>
            <w:tcW w:w="36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w:t>
            </w:r>
          </w:p>
        </w:tc>
        <w:tc>
          <w:tcPr>
            <w:tcW w:w="80" w:type="dxa"/>
            <w:vAlign w:val="bottom"/>
          </w:tcPr>
          <w:p>
            <w:pPr>
              <w:spacing w:after="0"/>
              <w:rPr>
                <w:sz w:val="13"/>
                <w:szCs w:val="13"/>
                <w:color w:val="auto"/>
              </w:rPr>
            </w:pPr>
          </w:p>
        </w:tc>
        <w:tc>
          <w:tcPr>
            <w:tcW w:w="36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25"/>
        </w:trPr>
        <w:tc>
          <w:tcPr>
            <w:tcW w:w="8140" w:type="dxa"/>
            <w:vAlign w:val="bottom"/>
            <w:shd w:val="clear" w:color="auto" w:fill="CCEEFF"/>
          </w:tcPr>
          <w:p>
            <w:pPr>
              <w:ind w:left="20"/>
              <w:spacing w:after="0" w:line="125" w:lineRule="exact"/>
              <w:rPr>
                <w:sz w:val="20"/>
                <w:szCs w:val="20"/>
                <w:color w:val="auto"/>
              </w:rPr>
            </w:pPr>
            <w:r>
              <w:rPr>
                <w:rFonts w:ascii="Arial" w:cs="Arial" w:eastAsia="Arial" w:hAnsi="Arial"/>
                <w:sz w:val="12"/>
                <w:szCs w:val="12"/>
                <w:b w:val="1"/>
                <w:bCs w:val="1"/>
                <w:color w:val="auto"/>
              </w:rPr>
              <w:t>(Losses) Earnings Per Share Attributable to Clearway Energy, Inc. Class A and Class C Common Stockholders</w:t>
            </w:r>
          </w:p>
        </w:tc>
        <w:tc>
          <w:tcPr>
            <w:tcW w:w="3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r>
      <w:tr>
        <w:trPr>
          <w:trHeight w:val="162"/>
        </w:trPr>
        <w:tc>
          <w:tcPr>
            <w:tcW w:w="8140" w:type="dxa"/>
            <w:vAlign w:val="bottom"/>
          </w:tcPr>
          <w:p>
            <w:pPr>
              <w:ind w:left="100"/>
              <w:spacing w:after="0"/>
              <w:rPr>
                <w:sz w:val="20"/>
                <w:szCs w:val="20"/>
                <w:color w:val="auto"/>
              </w:rPr>
            </w:pPr>
            <w:r>
              <w:rPr>
                <w:rFonts w:ascii="Arial" w:cs="Arial" w:eastAsia="Arial" w:hAnsi="Arial"/>
                <w:sz w:val="12"/>
                <w:szCs w:val="12"/>
                <w:color w:val="auto"/>
              </w:rPr>
              <w:t>Weighted average number of Class A common shares outstanding - basic and diluted</w:t>
            </w: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35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35</w:t>
            </w:r>
          </w:p>
        </w:tc>
      </w:tr>
      <w:tr>
        <w:trPr>
          <w:trHeight w:val="167"/>
        </w:trPr>
        <w:tc>
          <w:tcPr>
            <w:tcW w:w="81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Weighted average number of Class C common shares outstanding - basic and diluted</w:t>
            </w: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w:t>
            </w:r>
          </w:p>
        </w:tc>
      </w:tr>
      <w:tr>
        <w:trPr>
          <w:trHeight w:val="144"/>
        </w:trPr>
        <w:tc>
          <w:tcPr>
            <w:tcW w:w="8140" w:type="dxa"/>
            <w:vAlign w:val="bottom"/>
          </w:tcPr>
          <w:p>
            <w:pPr>
              <w:ind w:left="20"/>
              <w:spacing w:after="0"/>
              <w:rPr>
                <w:sz w:val="20"/>
                <w:szCs w:val="20"/>
                <w:color w:val="auto"/>
              </w:rPr>
            </w:pPr>
            <w:r>
              <w:rPr>
                <w:rFonts w:ascii="Arial" w:cs="Arial" w:eastAsia="Arial" w:hAnsi="Arial"/>
                <w:sz w:val="12"/>
                <w:szCs w:val="12"/>
                <w:b w:val="1"/>
                <w:bCs w:val="1"/>
                <w:color w:val="auto"/>
              </w:rPr>
              <w:t>(Losses) Earnings per Weighted Average Class A and Class C Common Share - Basic and Diluted</w:t>
            </w:r>
          </w:p>
        </w:tc>
        <w:tc>
          <w:tcPr>
            <w:tcW w:w="36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(0.28)</w:t>
            </w:r>
          </w:p>
        </w:tc>
        <w:tc>
          <w:tcPr>
            <w:tcW w:w="80" w:type="dxa"/>
            <w:vAlign w:val="bottom"/>
          </w:tcPr>
          <w:p>
            <w:pPr>
              <w:spacing w:after="0"/>
              <w:rPr>
                <w:sz w:val="12"/>
                <w:szCs w:val="12"/>
                <w:color w:val="auto"/>
              </w:rPr>
            </w:pPr>
          </w:p>
        </w:tc>
        <w:tc>
          <w:tcPr>
            <w:tcW w:w="36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0.03</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7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Dividends Per Class A Common Share</w:t>
            </w:r>
          </w:p>
        </w:tc>
        <w:tc>
          <w:tcPr>
            <w:tcW w:w="360" w:type="dxa"/>
            <w:vAlign w:val="bottom"/>
            <w:tcBorders>
              <w:bottom w:val="single" w:sz="8" w:color="auto"/>
            </w:tcBorders>
            <w:shd w:val="clear" w:color="auto" w:fill="CCEEFF"/>
          </w:tcPr>
          <w:p>
            <w:pPr>
              <w:jc w:val="right"/>
              <w:ind w:right="218"/>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0.3468</w:t>
            </w: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18"/>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0.3240</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125"/>
        </w:trPr>
        <w:tc>
          <w:tcPr>
            <w:tcW w:w="8140" w:type="dxa"/>
            <w:vAlign w:val="bottom"/>
          </w:tcPr>
          <w:p>
            <w:pPr>
              <w:ind w:left="20"/>
              <w:spacing w:after="0" w:line="126" w:lineRule="exact"/>
              <w:rPr>
                <w:sz w:val="20"/>
                <w:szCs w:val="20"/>
                <w:color w:val="auto"/>
              </w:rPr>
            </w:pPr>
            <w:r>
              <w:rPr>
                <w:rFonts w:ascii="Arial" w:cs="Arial" w:eastAsia="Arial" w:hAnsi="Arial"/>
                <w:sz w:val="12"/>
                <w:szCs w:val="12"/>
                <w:b w:val="1"/>
                <w:bCs w:val="1"/>
                <w:color w:val="auto"/>
              </w:rPr>
              <w:t>Dividends Per Class C Common Share</w:t>
            </w:r>
          </w:p>
        </w:tc>
        <w:tc>
          <w:tcPr>
            <w:tcW w:w="360" w:type="dxa"/>
            <w:vAlign w:val="bottom"/>
            <w:tcBorders>
              <w:bottom w:val="single" w:sz="8" w:color="auto"/>
            </w:tcBorders>
          </w:tcPr>
          <w:p>
            <w:pPr>
              <w:jc w:val="right"/>
              <w:ind w:right="218"/>
              <w:spacing w:after="0" w:line="126" w:lineRule="exact"/>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tcPr>
          <w:p>
            <w:pPr>
              <w:jc w:val="right"/>
              <w:spacing w:after="0" w:line="126" w:lineRule="exact"/>
              <w:rPr>
                <w:sz w:val="20"/>
                <w:szCs w:val="20"/>
                <w:color w:val="auto"/>
              </w:rPr>
            </w:pPr>
            <w:r>
              <w:rPr>
                <w:rFonts w:ascii="Arial" w:cs="Arial" w:eastAsia="Arial" w:hAnsi="Arial"/>
                <w:sz w:val="12"/>
                <w:szCs w:val="12"/>
                <w:color w:val="auto"/>
              </w:rPr>
              <w:t>0.3468</w:t>
            </w:r>
          </w:p>
        </w:tc>
        <w:tc>
          <w:tcPr>
            <w:tcW w:w="80" w:type="dxa"/>
            <w:vAlign w:val="bottom"/>
          </w:tcPr>
          <w:p>
            <w:pPr>
              <w:spacing w:after="0"/>
              <w:rPr>
                <w:sz w:val="10"/>
                <w:szCs w:val="10"/>
                <w:color w:val="auto"/>
              </w:rPr>
            </w:pPr>
          </w:p>
        </w:tc>
        <w:tc>
          <w:tcPr>
            <w:tcW w:w="360" w:type="dxa"/>
            <w:vAlign w:val="bottom"/>
            <w:tcBorders>
              <w:bottom w:val="single" w:sz="8" w:color="auto"/>
            </w:tcBorders>
          </w:tcPr>
          <w:p>
            <w:pPr>
              <w:jc w:val="right"/>
              <w:ind w:right="218"/>
              <w:spacing w:after="0" w:line="126" w:lineRule="exact"/>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tcPr>
          <w:p>
            <w:pPr>
              <w:jc w:val="right"/>
              <w:spacing w:after="0" w:line="126" w:lineRule="exact"/>
              <w:rPr>
                <w:sz w:val="20"/>
                <w:szCs w:val="20"/>
                <w:color w:val="auto"/>
              </w:rPr>
            </w:pPr>
            <w:r>
              <w:rPr>
                <w:rFonts w:ascii="Arial" w:cs="Arial" w:eastAsia="Arial" w:hAnsi="Arial"/>
                <w:sz w:val="12"/>
                <w:szCs w:val="12"/>
                <w:color w:val="auto"/>
              </w:rPr>
              <w:t>0.3240</w:t>
            </w:r>
          </w:p>
        </w:tc>
      </w:tr>
      <w:tr>
        <w:trPr>
          <w:trHeight w:val="20"/>
        </w:trPr>
        <w:tc>
          <w:tcPr>
            <w:tcW w:w="8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746"/>
        </w:trPr>
        <w:tc>
          <w:tcPr>
            <w:tcW w:w="8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7</w:t>
            </w:r>
          </w:p>
        </w:tc>
      </w:tr>
    </w:tbl>
    <w:p>
      <w:pPr>
        <w:sectPr>
          <w:pgSz w:w="11900" w:h="16838" w:orient="portrait"/>
          <w:cols w:equalWidth="0" w:num="1">
            <w:col w:w="11280"/>
          </w:cols>
          <w:pgMar w:left="300" w:top="710" w:right="319" w:bottom="1440" w:gutter="0" w:footer="0" w:header="0"/>
        </w:sectPr>
      </w:pPr>
    </w:p>
    <w:bookmarkStart w:id="10" w:name="page11"/>
    <w:bookmarkEnd w:id="10"/>
    <w:p>
      <w:pPr>
        <w:jc w:val="center"/>
        <w:spacing w:after="0"/>
        <w:rPr>
          <w:sz w:val="20"/>
          <w:szCs w:val="20"/>
          <w:color w:val="auto"/>
        </w:rPr>
      </w:pPr>
      <w:r>
        <w:rPr>
          <w:rFonts w:ascii="Arial" w:cs="Arial" w:eastAsia="Arial" w:hAnsi="Arial"/>
          <w:sz w:val="14"/>
          <w:szCs w:val="14"/>
          <w:b w:val="1"/>
          <w:bCs w:val="1"/>
          <w:color w:val="auto"/>
        </w:rPr>
        <w:t>CLEARWAY ENERGY, INC.</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COMPREHENSIVE (LOSS) INCOME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5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78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1"/>
                <w:szCs w:val="11"/>
                <w:b w:val="1"/>
                <w:bCs w:val="1"/>
                <w:color w:val="auto"/>
              </w:rPr>
              <w:t>Three months ended March 31,</w:t>
            </w:r>
          </w:p>
        </w:tc>
      </w:tr>
      <w:tr>
        <w:trPr>
          <w:trHeight w:val="112"/>
        </w:trPr>
        <w:tc>
          <w:tcPr>
            <w:tcW w:w="20" w:type="dxa"/>
            <w:vAlign w:val="bottom"/>
          </w:tcPr>
          <w:p>
            <w:pPr>
              <w:spacing w:after="0"/>
              <w:rPr>
                <w:sz w:val="9"/>
                <w:szCs w:val="9"/>
                <w:color w:val="auto"/>
              </w:rPr>
            </w:pPr>
          </w:p>
        </w:tc>
        <w:tc>
          <w:tcPr>
            <w:tcW w:w="8120" w:type="dxa"/>
            <w:vAlign w:val="bottom"/>
            <w:gridSpan w:val="2"/>
          </w:tcPr>
          <w:p>
            <w:pPr>
              <w:spacing w:after="0" w:line="113" w:lineRule="exact"/>
              <w:rPr>
                <w:sz w:val="20"/>
                <w:szCs w:val="20"/>
                <w:color w:val="auto"/>
              </w:rPr>
            </w:pPr>
            <w:r>
              <w:rPr>
                <w:rFonts w:ascii="Arial" w:cs="Arial" w:eastAsia="Arial" w:hAnsi="Arial"/>
                <w:sz w:val="11"/>
                <w:szCs w:val="11"/>
                <w:b w:val="1"/>
                <w:bCs w:val="1"/>
                <w:color w:val="auto"/>
              </w:rPr>
              <w:t>(In millions)</w:t>
            </w:r>
          </w:p>
        </w:tc>
        <w:tc>
          <w:tcPr>
            <w:tcW w:w="360" w:type="dxa"/>
            <w:vAlign w:val="bottom"/>
          </w:tcPr>
          <w:p>
            <w:pPr>
              <w:spacing w:after="0"/>
              <w:rPr>
                <w:sz w:val="9"/>
                <w:szCs w:val="9"/>
                <w:color w:val="auto"/>
              </w:rPr>
            </w:pPr>
          </w:p>
        </w:tc>
        <w:tc>
          <w:tcPr>
            <w:tcW w:w="1180" w:type="dxa"/>
            <w:vAlign w:val="bottom"/>
          </w:tcPr>
          <w:p>
            <w:pPr>
              <w:jc w:val="right"/>
              <w:ind w:right="600"/>
              <w:spacing w:after="0" w:line="113" w:lineRule="exact"/>
              <w:rPr>
                <w:sz w:val="20"/>
                <w:szCs w:val="20"/>
                <w:color w:val="auto"/>
              </w:rPr>
            </w:pPr>
            <w:r>
              <w:rPr>
                <w:rFonts w:ascii="Arial" w:cs="Arial" w:eastAsia="Arial" w:hAnsi="Arial"/>
                <w:sz w:val="11"/>
                <w:szCs w:val="11"/>
                <w:b w:val="1"/>
                <w:bCs w:val="1"/>
                <w:color w:val="auto"/>
              </w:rPr>
              <w:t>2022</w:t>
            </w: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jc w:val="right"/>
              <w:ind w:right="579"/>
              <w:spacing w:after="0" w:line="113" w:lineRule="exact"/>
              <w:rPr>
                <w:sz w:val="20"/>
                <w:szCs w:val="20"/>
                <w:color w:val="auto"/>
              </w:rPr>
            </w:pPr>
            <w:r>
              <w:rPr>
                <w:rFonts w:ascii="Arial" w:cs="Arial" w:eastAsia="Arial" w:hAnsi="Arial"/>
                <w:sz w:val="11"/>
                <w:szCs w:val="11"/>
                <w:b w:val="1"/>
                <w:bCs w:val="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CCEEFF"/>
            </w:tcBorders>
          </w:tcPr>
          <w:p>
            <w:pPr>
              <w:spacing w:after="0" w:line="20" w:lineRule="exact"/>
              <w:rPr>
                <w:sz w:val="1"/>
                <w:szCs w:val="1"/>
                <w:color w:val="auto"/>
              </w:rPr>
            </w:pPr>
          </w:p>
        </w:tc>
        <w:tc>
          <w:tcPr>
            <w:tcW w:w="75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45"/>
        </w:trPr>
        <w:tc>
          <w:tcPr>
            <w:tcW w:w="20" w:type="dxa"/>
            <w:vAlign w:val="bottom"/>
            <w:shd w:val="clear" w:color="auto" w:fill="CCEEFF"/>
          </w:tcPr>
          <w:p>
            <w:pPr>
              <w:spacing w:after="0"/>
              <w:rPr>
                <w:sz w:val="12"/>
                <w:szCs w:val="12"/>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Net Loss</w:t>
            </w:r>
          </w:p>
        </w:tc>
        <w:tc>
          <w:tcPr>
            <w:tcW w:w="360" w:type="dxa"/>
            <w:vAlign w:val="bottom"/>
            <w:shd w:val="clear" w:color="auto" w:fill="CCEEFF"/>
          </w:tcPr>
          <w:p>
            <w:pPr>
              <w:jc w:val="right"/>
              <w:ind w:right="218"/>
              <w:spacing w:after="0"/>
              <w:rPr>
                <w:sz w:val="20"/>
                <w:szCs w:val="20"/>
                <w:color w:val="auto"/>
              </w:rPr>
            </w:pPr>
            <w:r>
              <w:rPr>
                <w:rFonts w:ascii="Arial" w:cs="Arial" w:eastAsia="Arial" w:hAnsi="Arial"/>
                <w:sz w:val="12"/>
                <w:szCs w:val="12"/>
                <w:color w:val="auto"/>
                <w:w w:val="89"/>
              </w:rPr>
              <w:t>$</w:t>
            </w:r>
          </w:p>
        </w:tc>
        <w:tc>
          <w:tcPr>
            <w:tcW w:w="1180" w:type="dxa"/>
            <w:vAlign w:val="bottom"/>
            <w:shd w:val="clear" w:color="auto" w:fill="CCEEFF"/>
          </w:tcPr>
          <w:p>
            <w:pPr>
              <w:jc w:val="center"/>
              <w:ind w:left="860"/>
              <w:spacing w:after="0"/>
              <w:rPr>
                <w:sz w:val="20"/>
                <w:szCs w:val="20"/>
                <w:color w:val="auto"/>
              </w:rPr>
            </w:pPr>
            <w:r>
              <w:rPr>
                <w:rFonts w:ascii="Arial" w:cs="Arial" w:eastAsia="Arial" w:hAnsi="Arial"/>
                <w:sz w:val="12"/>
                <w:szCs w:val="12"/>
                <w:color w:val="auto"/>
              </w:rPr>
              <w:t>(97)</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18"/>
              <w:spacing w:after="0"/>
              <w:rPr>
                <w:sz w:val="20"/>
                <w:szCs w:val="20"/>
                <w:color w:val="auto"/>
              </w:rPr>
            </w:pPr>
            <w:r>
              <w:rPr>
                <w:rFonts w:ascii="Arial" w:cs="Arial" w:eastAsia="Arial" w:hAnsi="Arial"/>
                <w:sz w:val="12"/>
                <w:szCs w:val="12"/>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w:t>
            </w:r>
          </w:p>
        </w:tc>
      </w:tr>
      <w:tr>
        <w:trPr>
          <w:trHeight w:val="162"/>
        </w:trPr>
        <w:tc>
          <w:tcPr>
            <w:tcW w:w="20" w:type="dxa"/>
            <w:vAlign w:val="bottom"/>
          </w:tcPr>
          <w:p>
            <w:pPr>
              <w:spacing w:after="0"/>
              <w:rPr>
                <w:sz w:val="14"/>
                <w:szCs w:val="14"/>
                <w:color w:val="auto"/>
              </w:rPr>
            </w:pPr>
          </w:p>
        </w:tc>
        <w:tc>
          <w:tcPr>
            <w:tcW w:w="8120" w:type="dxa"/>
            <w:vAlign w:val="bottom"/>
            <w:gridSpan w:val="2"/>
          </w:tcPr>
          <w:p>
            <w:pPr>
              <w:spacing w:after="0"/>
              <w:rPr>
                <w:sz w:val="20"/>
                <w:szCs w:val="20"/>
                <w:color w:val="auto"/>
              </w:rPr>
            </w:pPr>
            <w:r>
              <w:rPr>
                <w:rFonts w:ascii="Arial" w:cs="Arial" w:eastAsia="Arial" w:hAnsi="Arial"/>
                <w:sz w:val="12"/>
                <w:szCs w:val="12"/>
                <w:b w:val="1"/>
                <w:bCs w:val="1"/>
                <w:color w:val="auto"/>
              </w:rPr>
              <w:t>Other Comprehensive Income</w:t>
            </w: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0" w:type="dxa"/>
            <w:vAlign w:val="bottom"/>
            <w:shd w:val="clear" w:color="auto" w:fill="CCEEFF"/>
          </w:tcPr>
          <w:p>
            <w:pPr>
              <w:spacing w:after="0"/>
              <w:rPr>
                <w:sz w:val="14"/>
                <w:szCs w:val="14"/>
                <w:color w:val="auto"/>
              </w:rPr>
            </w:pPr>
          </w:p>
        </w:tc>
        <w:tc>
          <w:tcPr>
            <w:tcW w:w="812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Unrealized gain on derivatives, net of income tax expense of, $2 and $2</w:t>
            </w: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center"/>
              <w:ind w:left="880"/>
              <w:spacing w:after="0"/>
              <w:rPr>
                <w:sz w:val="20"/>
                <w:szCs w:val="20"/>
                <w:color w:val="auto"/>
              </w:rPr>
            </w:pPr>
            <w:r>
              <w:rPr>
                <w:rFonts w:ascii="Arial" w:cs="Arial" w:eastAsia="Arial" w:hAnsi="Arial"/>
                <w:sz w:val="12"/>
                <w:szCs w:val="12"/>
                <w:color w:val="auto"/>
                <w:w w:val="89"/>
              </w:rPr>
              <w:t>14</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w:t>
            </w:r>
          </w:p>
        </w:tc>
      </w:tr>
      <w:tr>
        <w:trPr>
          <w:trHeight w:val="152"/>
        </w:trPr>
        <w:tc>
          <w:tcPr>
            <w:tcW w:w="20" w:type="dxa"/>
            <w:vAlign w:val="bottom"/>
            <w:tcBorders>
              <w:bottom w:val="single" w:sz="8" w:color="CCEEFF"/>
            </w:tcBorders>
          </w:tcPr>
          <w:p>
            <w:pPr>
              <w:spacing w:after="0"/>
              <w:rPr>
                <w:sz w:val="13"/>
                <w:szCs w:val="13"/>
                <w:color w:val="auto"/>
              </w:rPr>
            </w:pPr>
          </w:p>
        </w:tc>
        <w:tc>
          <w:tcPr>
            <w:tcW w:w="8120" w:type="dxa"/>
            <w:vAlign w:val="bottom"/>
            <w:tcBorders>
              <w:bottom w:val="single" w:sz="8" w:color="CCEEFF"/>
            </w:tcBorders>
            <w:gridSpan w:val="2"/>
          </w:tcPr>
          <w:p>
            <w:pPr>
              <w:ind w:left="80"/>
              <w:spacing w:after="0"/>
              <w:rPr>
                <w:sz w:val="20"/>
                <w:szCs w:val="20"/>
                <w:color w:val="auto"/>
              </w:rPr>
            </w:pPr>
            <w:r>
              <w:rPr>
                <w:rFonts w:ascii="Arial" w:cs="Arial" w:eastAsia="Arial" w:hAnsi="Arial"/>
                <w:sz w:val="12"/>
                <w:szCs w:val="12"/>
                <w:color w:val="auto"/>
              </w:rPr>
              <w:t>Other comprehensive income</w:t>
            </w: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left="880"/>
              <w:spacing w:after="0"/>
              <w:rPr>
                <w:sz w:val="20"/>
                <w:szCs w:val="20"/>
                <w:color w:val="auto"/>
              </w:rPr>
            </w:pPr>
            <w:r>
              <w:rPr>
                <w:rFonts w:ascii="Arial" w:cs="Arial" w:eastAsia="Arial" w:hAnsi="Arial"/>
                <w:sz w:val="12"/>
                <w:szCs w:val="12"/>
                <w:color w:val="auto"/>
                <w:w w:val="89"/>
              </w:rPr>
              <w:t>14</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w:t>
            </w:r>
          </w:p>
        </w:tc>
      </w:tr>
      <w:tr>
        <w:trPr>
          <w:trHeight w:val="157"/>
        </w:trPr>
        <w:tc>
          <w:tcPr>
            <w:tcW w:w="20" w:type="dxa"/>
            <w:vAlign w:val="bottom"/>
            <w:shd w:val="clear" w:color="auto" w:fill="CCEEFF"/>
          </w:tcPr>
          <w:p>
            <w:pPr>
              <w:spacing w:after="0"/>
              <w:rPr>
                <w:sz w:val="13"/>
                <w:szCs w:val="13"/>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Comprehensive Loss</w:t>
            </w: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jc w:val="center"/>
              <w:ind w:left="860"/>
              <w:spacing w:after="0"/>
              <w:rPr>
                <w:sz w:val="20"/>
                <w:szCs w:val="20"/>
                <w:color w:val="auto"/>
              </w:rPr>
            </w:pPr>
            <w:r>
              <w:rPr>
                <w:rFonts w:ascii="Arial" w:cs="Arial" w:eastAsia="Arial" w:hAnsi="Arial"/>
                <w:sz w:val="12"/>
                <w:szCs w:val="12"/>
                <w:color w:val="auto"/>
              </w:rPr>
              <w:t>(83)</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w:t>
            </w:r>
          </w:p>
        </w:tc>
      </w:tr>
      <w:tr>
        <w:trPr>
          <w:trHeight w:val="162"/>
        </w:trPr>
        <w:tc>
          <w:tcPr>
            <w:tcW w:w="20" w:type="dxa"/>
            <w:vAlign w:val="bottom"/>
            <w:tcBorders>
              <w:bottom w:val="single" w:sz="8" w:color="CCEEFF"/>
            </w:tcBorders>
          </w:tcPr>
          <w:p>
            <w:pPr>
              <w:spacing w:after="0"/>
              <w:rPr>
                <w:sz w:val="14"/>
                <w:szCs w:val="14"/>
                <w:color w:val="auto"/>
              </w:rPr>
            </w:pPr>
          </w:p>
        </w:tc>
        <w:tc>
          <w:tcPr>
            <w:tcW w:w="8120" w:type="dxa"/>
            <w:vAlign w:val="bottom"/>
            <w:tcBorders>
              <w:bottom w:val="single" w:sz="8" w:color="CCEEFF"/>
            </w:tcBorders>
            <w:gridSpan w:val="2"/>
          </w:tcPr>
          <w:p>
            <w:pPr>
              <w:ind w:left="80"/>
              <w:spacing w:after="0"/>
              <w:rPr>
                <w:sz w:val="20"/>
                <w:szCs w:val="20"/>
                <w:color w:val="auto"/>
              </w:rPr>
            </w:pPr>
            <w:r>
              <w:rPr>
                <w:rFonts w:ascii="Arial" w:cs="Arial" w:eastAsia="Arial" w:hAnsi="Arial"/>
                <w:sz w:val="12"/>
                <w:szCs w:val="12"/>
                <w:color w:val="auto"/>
              </w:rPr>
              <w:t>Less: Comprehensive loss attributable to noncontrolling interests and redeemable interests</w:t>
            </w: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left="860"/>
              <w:spacing w:after="0"/>
              <w:rPr>
                <w:sz w:val="20"/>
                <w:szCs w:val="20"/>
                <w:color w:val="auto"/>
              </w:rPr>
            </w:pPr>
            <w:r>
              <w:rPr>
                <w:rFonts w:ascii="Arial" w:cs="Arial" w:eastAsia="Arial" w:hAnsi="Arial"/>
                <w:sz w:val="12"/>
                <w:szCs w:val="12"/>
                <w:color w:val="auto"/>
              </w:rPr>
              <w:t>(57)</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(72)</w:t>
            </w:r>
          </w:p>
        </w:tc>
      </w:tr>
      <w:tr>
        <w:trPr>
          <w:trHeight w:val="182"/>
        </w:trPr>
        <w:tc>
          <w:tcPr>
            <w:tcW w:w="20" w:type="dxa"/>
            <w:vAlign w:val="bottom"/>
            <w:tcBorders>
              <w:bottom w:val="single" w:sz="8" w:color="CCEEFF"/>
            </w:tcBorders>
            <w:shd w:val="clear" w:color="auto" w:fill="CCEEFF"/>
          </w:tcPr>
          <w:p>
            <w:pPr>
              <w:spacing w:after="0"/>
              <w:rPr>
                <w:sz w:val="15"/>
                <w:szCs w:val="15"/>
                <w:color w:val="auto"/>
              </w:rPr>
            </w:pPr>
          </w:p>
        </w:tc>
        <w:tc>
          <w:tcPr>
            <w:tcW w:w="8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b w:val="1"/>
                <w:bCs w:val="1"/>
                <w:color w:val="auto"/>
              </w:rPr>
              <w:t>Comprehensive (Loss) Income Attributable to Clearway Energy, Inc.</w:t>
            </w:r>
          </w:p>
        </w:tc>
        <w:tc>
          <w:tcPr>
            <w:tcW w:w="360" w:type="dxa"/>
            <w:vAlign w:val="bottom"/>
            <w:tcBorders>
              <w:bottom w:val="single" w:sz="8" w:color="auto"/>
            </w:tcBorders>
            <w:shd w:val="clear" w:color="auto" w:fill="CCEEFF"/>
          </w:tcPr>
          <w:p>
            <w:pPr>
              <w:jc w:val="right"/>
              <w:ind w:right="218"/>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shd w:val="clear" w:color="auto" w:fill="CCEEFF"/>
          </w:tcPr>
          <w:p>
            <w:pPr>
              <w:jc w:val="center"/>
              <w:ind w:left="860"/>
              <w:spacing w:after="0"/>
              <w:rPr>
                <w:sz w:val="20"/>
                <w:szCs w:val="20"/>
                <w:color w:val="auto"/>
              </w:rPr>
            </w:pPr>
            <w:r>
              <w:rPr>
                <w:rFonts w:ascii="Arial" w:cs="Arial" w:eastAsia="Arial" w:hAnsi="Arial"/>
                <w:sz w:val="12"/>
                <w:szCs w:val="12"/>
                <w:color w:val="auto"/>
              </w:rPr>
              <w:t>(26)</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8"/>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75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747"/>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8</w:t>
            </w:r>
          </w:p>
        </w:tc>
      </w:tr>
    </w:tbl>
    <w:p>
      <w:pPr>
        <w:sectPr>
          <w:pgSz w:w="11900" w:h="16838" w:orient="portrait"/>
          <w:cols w:equalWidth="0" w:num="1">
            <w:col w:w="11280"/>
          </w:cols>
          <w:pgMar w:left="300" w:top="710" w:right="319" w:bottom="1440" w:gutter="0" w:footer="0" w:header="0"/>
        </w:sectPr>
      </w:pPr>
    </w:p>
    <w:bookmarkStart w:id="11" w:name="page12"/>
    <w:bookmarkEnd w:id="11"/>
    <w:p>
      <w:pPr>
        <w:jc w:val="center"/>
        <w:spacing w:after="0"/>
        <w:rPr>
          <w:sz w:val="20"/>
          <w:szCs w:val="20"/>
          <w:color w:val="auto"/>
        </w:rPr>
      </w:pPr>
      <w:r>
        <w:rPr>
          <w:rFonts w:ascii="Arial" w:cs="Arial" w:eastAsia="Arial" w:hAnsi="Arial"/>
          <w:sz w:val="14"/>
          <w:szCs w:val="14"/>
          <w:b w:val="1"/>
          <w:bCs w:val="1"/>
          <w:color w:val="auto"/>
        </w:rPr>
        <w:t>CLEARWAY ENERGY, INC.</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920" w:type="dxa"/>
            <w:vAlign w:val="bottom"/>
          </w:tcPr>
          <w:p>
            <w:pPr>
              <w:ind w:left="20"/>
              <w:spacing w:after="0"/>
              <w:rPr>
                <w:sz w:val="20"/>
                <w:szCs w:val="20"/>
                <w:color w:val="auto"/>
              </w:rPr>
            </w:pPr>
            <w:r>
              <w:rPr>
                <w:rFonts w:ascii="Arial" w:cs="Arial" w:eastAsia="Arial" w:hAnsi="Arial"/>
                <w:sz w:val="11"/>
                <w:szCs w:val="11"/>
                <w:b w:val="1"/>
                <w:bCs w:val="1"/>
                <w:color w:val="auto"/>
              </w:rPr>
              <w:t>(In millions, except shares)</w:t>
            </w:r>
          </w:p>
        </w:tc>
        <w:tc>
          <w:tcPr>
            <w:tcW w:w="2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center"/>
              <w:ind w:right="202"/>
              <w:spacing w:after="0"/>
              <w:rPr>
                <w:sz w:val="20"/>
                <w:szCs w:val="20"/>
                <w:color w:val="auto"/>
              </w:rPr>
            </w:pPr>
            <w:r>
              <w:rPr>
                <w:rFonts w:ascii="Arial" w:cs="Arial" w:eastAsia="Arial" w:hAnsi="Arial"/>
                <w:sz w:val="11"/>
                <w:szCs w:val="11"/>
                <w:b w:val="1"/>
                <w:bCs w:val="1"/>
                <w:color w:val="auto"/>
                <w:w w:val="91"/>
              </w:rPr>
              <w:t>March 31, 2022</w:t>
            </w: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322"/>
              <w:spacing w:after="0"/>
              <w:rPr>
                <w:sz w:val="20"/>
                <w:szCs w:val="20"/>
                <w:color w:val="auto"/>
              </w:rPr>
            </w:pPr>
            <w:r>
              <w:rPr>
                <w:rFonts w:ascii="Arial" w:cs="Arial" w:eastAsia="Arial" w:hAnsi="Arial"/>
                <w:sz w:val="11"/>
                <w:szCs w:val="11"/>
                <w:b w:val="1"/>
                <w:bCs w:val="1"/>
                <w:color w:val="auto"/>
              </w:rPr>
              <w:t>December 31, 2021</w:t>
            </w:r>
          </w:p>
        </w:tc>
        <w:tc>
          <w:tcPr>
            <w:tcW w:w="0" w:type="dxa"/>
            <w:vAlign w:val="bottom"/>
          </w:tcPr>
          <w:p>
            <w:pPr>
              <w:spacing w:after="0"/>
              <w:rPr>
                <w:sz w:val="1"/>
                <w:szCs w:val="1"/>
                <w:color w:val="auto"/>
              </w:rPr>
            </w:pPr>
          </w:p>
        </w:tc>
      </w:tr>
      <w:tr>
        <w:trPr>
          <w:trHeight w:val="148"/>
        </w:trPr>
        <w:tc>
          <w:tcPr>
            <w:tcW w:w="7920" w:type="dxa"/>
            <w:vAlign w:val="bottom"/>
          </w:tcPr>
          <w:p>
            <w:pPr>
              <w:ind w:left="3740"/>
              <w:spacing w:after="0"/>
              <w:rPr>
                <w:sz w:val="20"/>
                <w:szCs w:val="20"/>
                <w:color w:val="auto"/>
              </w:rPr>
            </w:pPr>
            <w:r>
              <w:rPr>
                <w:rFonts w:ascii="Arial" w:cs="Arial" w:eastAsia="Arial" w:hAnsi="Arial"/>
                <w:sz w:val="12"/>
                <w:szCs w:val="12"/>
                <w:b w:val="1"/>
                <w:bCs w:val="1"/>
                <w:color w:val="auto"/>
              </w:rPr>
              <w:t>ASSETS</w:t>
            </w:r>
          </w:p>
        </w:tc>
        <w:tc>
          <w:tcPr>
            <w:tcW w:w="260" w:type="dxa"/>
            <w:vAlign w:val="bottom"/>
          </w:tcPr>
          <w:p>
            <w:pPr>
              <w:spacing w:after="0"/>
              <w:rPr>
                <w:sz w:val="12"/>
                <w:szCs w:val="12"/>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1"/>
              </w:rPr>
              <w:t>(Unaudited)</w:t>
            </w: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920" w:type="dxa"/>
            <w:vAlign w:val="bottom"/>
          </w:tcPr>
          <w:p>
            <w:pPr>
              <w:ind w:left="20"/>
              <w:spacing w:after="0"/>
              <w:rPr>
                <w:sz w:val="20"/>
                <w:szCs w:val="20"/>
                <w:color w:val="auto"/>
              </w:rPr>
            </w:pPr>
            <w:r>
              <w:rPr>
                <w:rFonts w:ascii="Arial" w:cs="Arial" w:eastAsia="Arial" w:hAnsi="Arial"/>
                <w:sz w:val="12"/>
                <w:szCs w:val="12"/>
                <w:b w:val="1"/>
                <w:bCs w:val="1"/>
                <w:color w:val="auto"/>
              </w:rPr>
              <w:t>Current Assets</w:t>
            </w:r>
          </w:p>
        </w:tc>
        <w:tc>
          <w:tcPr>
            <w:tcW w:w="2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9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Cash and cash equivalents</w:t>
            </w:r>
          </w:p>
        </w:tc>
        <w:tc>
          <w:tcPr>
            <w:tcW w:w="26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w w:val="89"/>
              </w:rPr>
              <w:t>$</w:t>
            </w: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140</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w w:val="89"/>
              </w:rPr>
              <w:t>$</w:t>
            </w:r>
          </w:p>
        </w:tc>
        <w:tc>
          <w:tcPr>
            <w:tcW w:w="14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179</w:t>
            </w:r>
          </w:p>
        </w:tc>
        <w:tc>
          <w:tcPr>
            <w:tcW w:w="0" w:type="dxa"/>
            <w:vAlign w:val="bottom"/>
          </w:tcPr>
          <w:p>
            <w:pPr>
              <w:spacing w:after="0"/>
              <w:rPr>
                <w:sz w:val="1"/>
                <w:szCs w:val="1"/>
                <w:color w:val="auto"/>
              </w:rPr>
            </w:pPr>
          </w:p>
        </w:tc>
      </w:tr>
      <w:tr>
        <w:trPr>
          <w:trHeight w:val="151"/>
        </w:trPr>
        <w:tc>
          <w:tcPr>
            <w:tcW w:w="7920" w:type="dxa"/>
            <w:vAlign w:val="bottom"/>
          </w:tcPr>
          <w:p>
            <w:pPr>
              <w:ind w:left="140"/>
              <w:spacing w:after="0"/>
              <w:rPr>
                <w:sz w:val="20"/>
                <w:szCs w:val="20"/>
                <w:color w:val="auto"/>
              </w:rPr>
            </w:pPr>
            <w:r>
              <w:rPr>
                <w:rFonts w:ascii="Arial" w:cs="Arial" w:eastAsia="Arial" w:hAnsi="Arial"/>
                <w:sz w:val="12"/>
                <w:szCs w:val="12"/>
                <w:color w:val="auto"/>
              </w:rPr>
              <w:t>Restricted cash</w:t>
            </w:r>
          </w:p>
        </w:tc>
        <w:tc>
          <w:tcPr>
            <w:tcW w:w="260" w:type="dxa"/>
            <w:vAlign w:val="bottom"/>
          </w:tcPr>
          <w:p>
            <w:pPr>
              <w:spacing w:after="0"/>
              <w:rPr>
                <w:sz w:val="13"/>
                <w:szCs w:val="13"/>
                <w:color w:val="auto"/>
              </w:rPr>
            </w:pPr>
          </w:p>
        </w:tc>
        <w:tc>
          <w:tcPr>
            <w:tcW w:w="1380" w:type="dxa"/>
            <w:vAlign w:val="bottom"/>
          </w:tcPr>
          <w:p>
            <w:pPr>
              <w:jc w:val="right"/>
              <w:ind w:right="2"/>
              <w:spacing w:after="0"/>
              <w:rPr>
                <w:sz w:val="20"/>
                <w:szCs w:val="20"/>
                <w:color w:val="auto"/>
              </w:rPr>
            </w:pPr>
            <w:r>
              <w:rPr>
                <w:rFonts w:ascii="Arial" w:cs="Arial" w:eastAsia="Arial" w:hAnsi="Arial"/>
                <w:sz w:val="12"/>
                <w:szCs w:val="12"/>
                <w:color w:val="auto"/>
              </w:rPr>
              <w:t>326</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jc w:val="right"/>
              <w:ind w:right="2"/>
              <w:spacing w:after="0"/>
              <w:rPr>
                <w:sz w:val="20"/>
                <w:szCs w:val="20"/>
                <w:color w:val="auto"/>
              </w:rPr>
            </w:pPr>
            <w:r>
              <w:rPr>
                <w:rFonts w:ascii="Arial" w:cs="Arial" w:eastAsia="Arial" w:hAnsi="Arial"/>
                <w:sz w:val="12"/>
                <w:szCs w:val="12"/>
                <w:color w:val="auto"/>
              </w:rPr>
              <w:t>475</w:t>
            </w:r>
          </w:p>
        </w:tc>
        <w:tc>
          <w:tcPr>
            <w:tcW w:w="0" w:type="dxa"/>
            <w:vAlign w:val="bottom"/>
          </w:tcPr>
          <w:p>
            <w:pPr>
              <w:spacing w:after="0"/>
              <w:rPr>
                <w:sz w:val="1"/>
                <w:szCs w:val="1"/>
                <w:color w:val="auto"/>
              </w:rPr>
            </w:pPr>
          </w:p>
        </w:tc>
      </w:tr>
      <w:tr>
        <w:trPr>
          <w:trHeight w:val="157"/>
        </w:trPr>
        <w:tc>
          <w:tcPr>
            <w:tcW w:w="79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Accounts receivable — trade</w:t>
            </w:r>
          </w:p>
        </w:tc>
        <w:tc>
          <w:tcPr>
            <w:tcW w:w="26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153</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144</w:t>
            </w:r>
          </w:p>
        </w:tc>
        <w:tc>
          <w:tcPr>
            <w:tcW w:w="0" w:type="dxa"/>
            <w:vAlign w:val="bottom"/>
          </w:tcPr>
          <w:p>
            <w:pPr>
              <w:spacing w:after="0"/>
              <w:rPr>
                <w:sz w:val="1"/>
                <w:szCs w:val="1"/>
                <w:color w:val="auto"/>
              </w:rPr>
            </w:pPr>
          </w:p>
        </w:tc>
      </w:tr>
      <w:tr>
        <w:trPr>
          <w:trHeight w:val="151"/>
        </w:trPr>
        <w:tc>
          <w:tcPr>
            <w:tcW w:w="7920" w:type="dxa"/>
            <w:vAlign w:val="bottom"/>
          </w:tcPr>
          <w:p>
            <w:pPr>
              <w:ind w:left="140"/>
              <w:spacing w:after="0"/>
              <w:rPr>
                <w:sz w:val="20"/>
                <w:szCs w:val="20"/>
                <w:color w:val="auto"/>
              </w:rPr>
            </w:pPr>
            <w:r>
              <w:rPr>
                <w:rFonts w:ascii="Arial" w:cs="Arial" w:eastAsia="Arial" w:hAnsi="Arial"/>
                <w:sz w:val="12"/>
                <w:szCs w:val="12"/>
                <w:color w:val="auto"/>
              </w:rPr>
              <w:t>Inventory</w:t>
            </w:r>
          </w:p>
        </w:tc>
        <w:tc>
          <w:tcPr>
            <w:tcW w:w="260" w:type="dxa"/>
            <w:vAlign w:val="bottom"/>
          </w:tcPr>
          <w:p>
            <w:pPr>
              <w:spacing w:after="0"/>
              <w:rPr>
                <w:sz w:val="13"/>
                <w:szCs w:val="13"/>
                <w:color w:val="auto"/>
              </w:rPr>
            </w:pPr>
          </w:p>
        </w:tc>
        <w:tc>
          <w:tcPr>
            <w:tcW w:w="1380" w:type="dxa"/>
            <w:vAlign w:val="bottom"/>
          </w:tcPr>
          <w:p>
            <w:pPr>
              <w:jc w:val="right"/>
              <w:ind w:right="2"/>
              <w:spacing w:after="0"/>
              <w:rPr>
                <w:sz w:val="20"/>
                <w:szCs w:val="20"/>
                <w:color w:val="auto"/>
              </w:rPr>
            </w:pPr>
            <w:r>
              <w:rPr>
                <w:rFonts w:ascii="Arial" w:cs="Arial" w:eastAsia="Arial" w:hAnsi="Arial"/>
                <w:sz w:val="12"/>
                <w:szCs w:val="12"/>
                <w:color w:val="auto"/>
              </w:rPr>
              <w:t>38</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jc w:val="right"/>
              <w:ind w:right="2"/>
              <w:spacing w:after="0"/>
              <w:rPr>
                <w:sz w:val="20"/>
                <w:szCs w:val="20"/>
                <w:color w:val="auto"/>
              </w:rPr>
            </w:pPr>
            <w:r>
              <w:rPr>
                <w:rFonts w:ascii="Arial" w:cs="Arial" w:eastAsia="Arial" w:hAnsi="Arial"/>
                <w:sz w:val="12"/>
                <w:szCs w:val="12"/>
                <w:color w:val="auto"/>
              </w:rPr>
              <w:t>37</w:t>
            </w:r>
          </w:p>
        </w:tc>
        <w:tc>
          <w:tcPr>
            <w:tcW w:w="0" w:type="dxa"/>
            <w:vAlign w:val="bottom"/>
          </w:tcPr>
          <w:p>
            <w:pPr>
              <w:spacing w:after="0"/>
              <w:rPr>
                <w:sz w:val="1"/>
                <w:szCs w:val="1"/>
                <w:color w:val="auto"/>
              </w:rPr>
            </w:pPr>
          </w:p>
        </w:tc>
      </w:tr>
      <w:tr>
        <w:trPr>
          <w:trHeight w:val="157"/>
        </w:trPr>
        <w:tc>
          <w:tcPr>
            <w:tcW w:w="79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Derivative instruments</w:t>
            </w:r>
          </w:p>
        </w:tc>
        <w:tc>
          <w:tcPr>
            <w:tcW w:w="26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7920" w:type="dxa"/>
            <w:vAlign w:val="bottom"/>
          </w:tcPr>
          <w:p>
            <w:pPr>
              <w:ind w:left="140"/>
              <w:spacing w:after="0"/>
              <w:rPr>
                <w:sz w:val="20"/>
                <w:szCs w:val="20"/>
                <w:color w:val="auto"/>
              </w:rPr>
            </w:pPr>
            <w:r>
              <w:rPr>
                <w:rFonts w:ascii="Arial" w:cs="Arial" w:eastAsia="Arial" w:hAnsi="Arial"/>
                <w:sz w:val="12"/>
                <w:szCs w:val="12"/>
                <w:color w:val="auto"/>
              </w:rPr>
              <w:t>Current assets held-for-sale</w:t>
            </w:r>
          </w:p>
        </w:tc>
        <w:tc>
          <w:tcPr>
            <w:tcW w:w="260" w:type="dxa"/>
            <w:vAlign w:val="bottom"/>
          </w:tcPr>
          <w:p>
            <w:pPr>
              <w:spacing w:after="0"/>
              <w:rPr>
                <w:sz w:val="13"/>
                <w:szCs w:val="13"/>
                <w:color w:val="auto"/>
              </w:rPr>
            </w:pPr>
          </w:p>
        </w:tc>
        <w:tc>
          <w:tcPr>
            <w:tcW w:w="1380" w:type="dxa"/>
            <w:vAlign w:val="bottom"/>
          </w:tcPr>
          <w:p>
            <w:pPr>
              <w:jc w:val="right"/>
              <w:ind w:right="2"/>
              <w:spacing w:after="0"/>
              <w:rPr>
                <w:sz w:val="20"/>
                <w:szCs w:val="20"/>
                <w:color w:val="auto"/>
              </w:rPr>
            </w:pPr>
            <w:r>
              <w:rPr>
                <w:rFonts w:ascii="Arial" w:cs="Arial" w:eastAsia="Arial" w:hAnsi="Arial"/>
                <w:sz w:val="12"/>
                <w:szCs w:val="12"/>
                <w:color w:val="auto"/>
              </w:rPr>
              <w:t>653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jc w:val="right"/>
              <w:ind w:right="2"/>
              <w:spacing w:after="0"/>
              <w:rPr>
                <w:sz w:val="20"/>
                <w:szCs w:val="20"/>
                <w:color w:val="auto"/>
              </w:rPr>
            </w:pPr>
            <w:r>
              <w:rPr>
                <w:rFonts w:ascii="Arial" w:cs="Arial" w:eastAsia="Arial" w:hAnsi="Arial"/>
                <w:sz w:val="12"/>
                <w:szCs w:val="12"/>
                <w:color w:val="auto"/>
              </w:rPr>
              <w:t>631</w:t>
            </w:r>
          </w:p>
        </w:tc>
        <w:tc>
          <w:tcPr>
            <w:tcW w:w="0" w:type="dxa"/>
            <w:vAlign w:val="bottom"/>
          </w:tcPr>
          <w:p>
            <w:pPr>
              <w:spacing w:after="0"/>
              <w:rPr>
                <w:sz w:val="1"/>
                <w:szCs w:val="1"/>
                <w:color w:val="auto"/>
              </w:rPr>
            </w:pPr>
          </w:p>
        </w:tc>
      </w:tr>
      <w:tr>
        <w:trPr>
          <w:trHeight w:val="157"/>
        </w:trPr>
        <w:tc>
          <w:tcPr>
            <w:tcW w:w="79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Prepayments and other current assets</w:t>
            </w:r>
          </w:p>
        </w:tc>
        <w:tc>
          <w:tcPr>
            <w:tcW w:w="26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61</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65</w:t>
            </w:r>
          </w:p>
        </w:tc>
        <w:tc>
          <w:tcPr>
            <w:tcW w:w="0" w:type="dxa"/>
            <w:vAlign w:val="bottom"/>
          </w:tcPr>
          <w:p>
            <w:pPr>
              <w:spacing w:after="0"/>
              <w:rPr>
                <w:sz w:val="1"/>
                <w:szCs w:val="1"/>
                <w:color w:val="auto"/>
              </w:rPr>
            </w:pPr>
          </w:p>
        </w:tc>
      </w:tr>
      <w:tr>
        <w:trPr>
          <w:trHeight w:val="141"/>
        </w:trPr>
        <w:tc>
          <w:tcPr>
            <w:tcW w:w="7920" w:type="dxa"/>
            <w:vAlign w:val="bottom"/>
            <w:tcBorders>
              <w:bottom w:val="single" w:sz="8" w:color="CCEEFF"/>
            </w:tcBorders>
          </w:tcPr>
          <w:p>
            <w:pPr>
              <w:ind w:left="260"/>
              <w:spacing w:after="0"/>
              <w:rPr>
                <w:sz w:val="20"/>
                <w:szCs w:val="20"/>
                <w:color w:val="auto"/>
              </w:rPr>
            </w:pPr>
            <w:r>
              <w:rPr>
                <w:rFonts w:ascii="Arial" w:cs="Arial" w:eastAsia="Arial" w:hAnsi="Arial"/>
                <w:sz w:val="12"/>
                <w:szCs w:val="12"/>
                <w:color w:val="auto"/>
              </w:rPr>
              <w:t>Total current assets</w:t>
            </w:r>
          </w:p>
        </w:tc>
        <w:tc>
          <w:tcPr>
            <w:tcW w:w="2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1,373</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1,531</w:t>
            </w:r>
          </w:p>
        </w:tc>
        <w:tc>
          <w:tcPr>
            <w:tcW w:w="0" w:type="dxa"/>
            <w:vAlign w:val="bottom"/>
          </w:tcPr>
          <w:p>
            <w:pPr>
              <w:spacing w:after="0"/>
              <w:rPr>
                <w:sz w:val="1"/>
                <w:szCs w:val="1"/>
                <w:color w:val="auto"/>
              </w:rPr>
            </w:pPr>
          </w:p>
        </w:tc>
      </w:tr>
      <w:tr>
        <w:trPr>
          <w:trHeight w:val="147"/>
        </w:trPr>
        <w:tc>
          <w:tcPr>
            <w:tcW w:w="79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Property, plant and equipment, net</w:t>
            </w:r>
          </w:p>
        </w:tc>
        <w:tc>
          <w:tcPr>
            <w:tcW w:w="260" w:type="dxa"/>
            <w:vAlign w:val="bottom"/>
            <w:shd w:val="clear" w:color="auto" w:fill="CCEEFF"/>
          </w:tcPr>
          <w:p>
            <w:pPr>
              <w:spacing w:after="0"/>
              <w:rPr>
                <w:sz w:val="12"/>
                <w:szCs w:val="12"/>
                <w:color w:val="auto"/>
              </w:rPr>
            </w:pP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7,661</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7,650</w:t>
            </w:r>
          </w:p>
        </w:tc>
        <w:tc>
          <w:tcPr>
            <w:tcW w:w="0" w:type="dxa"/>
            <w:vAlign w:val="bottom"/>
          </w:tcPr>
          <w:p>
            <w:pPr>
              <w:spacing w:after="0"/>
              <w:rPr>
                <w:sz w:val="1"/>
                <w:szCs w:val="1"/>
                <w:color w:val="auto"/>
              </w:rPr>
            </w:pPr>
          </w:p>
        </w:tc>
      </w:tr>
      <w:tr>
        <w:trPr>
          <w:trHeight w:val="152"/>
        </w:trPr>
        <w:tc>
          <w:tcPr>
            <w:tcW w:w="7920" w:type="dxa"/>
            <w:vAlign w:val="bottom"/>
          </w:tcPr>
          <w:p>
            <w:pPr>
              <w:ind w:left="20"/>
              <w:spacing w:after="0"/>
              <w:rPr>
                <w:sz w:val="20"/>
                <w:szCs w:val="20"/>
                <w:color w:val="auto"/>
              </w:rPr>
            </w:pPr>
            <w:r>
              <w:rPr>
                <w:rFonts w:ascii="Arial" w:cs="Arial" w:eastAsia="Arial" w:hAnsi="Arial"/>
                <w:sz w:val="12"/>
                <w:szCs w:val="12"/>
                <w:b w:val="1"/>
                <w:bCs w:val="1"/>
                <w:color w:val="auto"/>
              </w:rPr>
              <w:t>Other Assets</w:t>
            </w:r>
          </w:p>
        </w:tc>
        <w:tc>
          <w:tcPr>
            <w:tcW w:w="2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9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Equity investments in affiliates</w:t>
            </w:r>
          </w:p>
        </w:tc>
        <w:tc>
          <w:tcPr>
            <w:tcW w:w="26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374</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381</w:t>
            </w:r>
          </w:p>
        </w:tc>
        <w:tc>
          <w:tcPr>
            <w:tcW w:w="0" w:type="dxa"/>
            <w:vAlign w:val="bottom"/>
          </w:tcPr>
          <w:p>
            <w:pPr>
              <w:spacing w:after="0"/>
              <w:rPr>
                <w:sz w:val="1"/>
                <w:szCs w:val="1"/>
                <w:color w:val="auto"/>
              </w:rPr>
            </w:pPr>
          </w:p>
        </w:tc>
      </w:tr>
      <w:tr>
        <w:trPr>
          <w:trHeight w:val="151"/>
        </w:trPr>
        <w:tc>
          <w:tcPr>
            <w:tcW w:w="7920" w:type="dxa"/>
            <w:vAlign w:val="bottom"/>
          </w:tcPr>
          <w:p>
            <w:pPr>
              <w:ind w:left="140"/>
              <w:spacing w:after="0"/>
              <w:rPr>
                <w:sz w:val="20"/>
                <w:szCs w:val="20"/>
                <w:color w:val="auto"/>
              </w:rPr>
            </w:pPr>
            <w:r>
              <w:rPr>
                <w:rFonts w:ascii="Arial" w:cs="Arial" w:eastAsia="Arial" w:hAnsi="Arial"/>
                <w:sz w:val="12"/>
                <w:szCs w:val="12"/>
                <w:color w:val="auto"/>
              </w:rPr>
              <w:t>Intangible assets for power purchase agreements, net</w:t>
            </w:r>
          </w:p>
        </w:tc>
        <w:tc>
          <w:tcPr>
            <w:tcW w:w="260" w:type="dxa"/>
            <w:vAlign w:val="bottom"/>
          </w:tcPr>
          <w:p>
            <w:pPr>
              <w:spacing w:after="0"/>
              <w:rPr>
                <w:sz w:val="13"/>
                <w:szCs w:val="13"/>
                <w:color w:val="auto"/>
              </w:rPr>
            </w:pPr>
          </w:p>
        </w:tc>
        <w:tc>
          <w:tcPr>
            <w:tcW w:w="1380" w:type="dxa"/>
            <w:vAlign w:val="bottom"/>
          </w:tcPr>
          <w:p>
            <w:pPr>
              <w:jc w:val="right"/>
              <w:ind w:right="2"/>
              <w:spacing w:after="0"/>
              <w:rPr>
                <w:sz w:val="20"/>
                <w:szCs w:val="20"/>
                <w:color w:val="auto"/>
              </w:rPr>
            </w:pPr>
            <w:r>
              <w:rPr>
                <w:rFonts w:ascii="Arial" w:cs="Arial" w:eastAsia="Arial" w:hAnsi="Arial"/>
                <w:sz w:val="12"/>
                <w:szCs w:val="12"/>
                <w:color w:val="auto"/>
              </w:rPr>
              <w:t>2,379</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jc w:val="right"/>
              <w:ind w:right="2"/>
              <w:spacing w:after="0"/>
              <w:rPr>
                <w:sz w:val="20"/>
                <w:szCs w:val="20"/>
                <w:color w:val="auto"/>
              </w:rPr>
            </w:pPr>
            <w:r>
              <w:rPr>
                <w:rFonts w:ascii="Arial" w:cs="Arial" w:eastAsia="Arial" w:hAnsi="Arial"/>
                <w:sz w:val="12"/>
                <w:szCs w:val="12"/>
                <w:color w:val="auto"/>
              </w:rPr>
              <w:t>2,419</w:t>
            </w:r>
          </w:p>
        </w:tc>
        <w:tc>
          <w:tcPr>
            <w:tcW w:w="0" w:type="dxa"/>
            <w:vAlign w:val="bottom"/>
          </w:tcPr>
          <w:p>
            <w:pPr>
              <w:spacing w:after="0"/>
              <w:rPr>
                <w:sz w:val="1"/>
                <w:szCs w:val="1"/>
                <w:color w:val="auto"/>
              </w:rPr>
            </w:pPr>
          </w:p>
        </w:tc>
      </w:tr>
      <w:tr>
        <w:trPr>
          <w:trHeight w:val="157"/>
        </w:trPr>
        <w:tc>
          <w:tcPr>
            <w:tcW w:w="79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Other intangible assets, net</w:t>
            </w:r>
          </w:p>
        </w:tc>
        <w:tc>
          <w:tcPr>
            <w:tcW w:w="26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78</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80</w:t>
            </w:r>
          </w:p>
        </w:tc>
        <w:tc>
          <w:tcPr>
            <w:tcW w:w="0" w:type="dxa"/>
            <w:vAlign w:val="bottom"/>
          </w:tcPr>
          <w:p>
            <w:pPr>
              <w:spacing w:after="0"/>
              <w:rPr>
                <w:sz w:val="1"/>
                <w:szCs w:val="1"/>
                <w:color w:val="auto"/>
              </w:rPr>
            </w:pPr>
          </w:p>
        </w:tc>
      </w:tr>
      <w:tr>
        <w:trPr>
          <w:trHeight w:val="151"/>
        </w:trPr>
        <w:tc>
          <w:tcPr>
            <w:tcW w:w="7920" w:type="dxa"/>
            <w:vAlign w:val="bottom"/>
          </w:tcPr>
          <w:p>
            <w:pPr>
              <w:ind w:left="140"/>
              <w:spacing w:after="0"/>
              <w:rPr>
                <w:sz w:val="20"/>
                <w:szCs w:val="20"/>
                <w:color w:val="auto"/>
              </w:rPr>
            </w:pPr>
            <w:r>
              <w:rPr>
                <w:rFonts w:ascii="Arial" w:cs="Arial" w:eastAsia="Arial" w:hAnsi="Arial"/>
                <w:sz w:val="12"/>
                <w:szCs w:val="12"/>
                <w:color w:val="auto"/>
              </w:rPr>
              <w:t>Derivative instruments</w:t>
            </w:r>
          </w:p>
        </w:tc>
        <w:tc>
          <w:tcPr>
            <w:tcW w:w="260" w:type="dxa"/>
            <w:vAlign w:val="bottom"/>
          </w:tcPr>
          <w:p>
            <w:pPr>
              <w:spacing w:after="0"/>
              <w:rPr>
                <w:sz w:val="13"/>
                <w:szCs w:val="13"/>
                <w:color w:val="auto"/>
              </w:rPr>
            </w:pPr>
          </w:p>
        </w:tc>
        <w:tc>
          <w:tcPr>
            <w:tcW w:w="1380" w:type="dxa"/>
            <w:vAlign w:val="bottom"/>
          </w:tcPr>
          <w:p>
            <w:pPr>
              <w:jc w:val="right"/>
              <w:ind w:right="2"/>
              <w:spacing w:after="0"/>
              <w:rPr>
                <w:sz w:val="20"/>
                <w:szCs w:val="20"/>
                <w:color w:val="auto"/>
              </w:rPr>
            </w:pPr>
            <w:r>
              <w:rPr>
                <w:rFonts w:ascii="Arial" w:cs="Arial" w:eastAsia="Arial" w:hAnsi="Arial"/>
                <w:sz w:val="12"/>
                <w:szCs w:val="12"/>
                <w:color w:val="auto"/>
              </w:rPr>
              <w:t>16</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jc w:val="right"/>
              <w:ind w:right="2"/>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57"/>
        </w:trPr>
        <w:tc>
          <w:tcPr>
            <w:tcW w:w="79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Deferred income taxes</w:t>
            </w:r>
          </w:p>
        </w:tc>
        <w:tc>
          <w:tcPr>
            <w:tcW w:w="26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100</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95</w:t>
            </w:r>
          </w:p>
        </w:tc>
        <w:tc>
          <w:tcPr>
            <w:tcW w:w="0" w:type="dxa"/>
            <w:vAlign w:val="bottom"/>
          </w:tcPr>
          <w:p>
            <w:pPr>
              <w:spacing w:after="0"/>
              <w:rPr>
                <w:sz w:val="1"/>
                <w:szCs w:val="1"/>
                <w:color w:val="auto"/>
              </w:rPr>
            </w:pPr>
          </w:p>
        </w:tc>
      </w:tr>
      <w:tr>
        <w:trPr>
          <w:trHeight w:val="151"/>
        </w:trPr>
        <w:tc>
          <w:tcPr>
            <w:tcW w:w="7920" w:type="dxa"/>
            <w:vAlign w:val="bottom"/>
          </w:tcPr>
          <w:p>
            <w:pPr>
              <w:ind w:left="140"/>
              <w:spacing w:after="0"/>
              <w:rPr>
                <w:sz w:val="20"/>
                <w:szCs w:val="20"/>
                <w:color w:val="auto"/>
              </w:rPr>
            </w:pPr>
            <w:r>
              <w:rPr>
                <w:rFonts w:ascii="Arial" w:cs="Arial" w:eastAsia="Arial" w:hAnsi="Arial"/>
                <w:sz w:val="12"/>
                <w:szCs w:val="12"/>
                <w:color w:val="auto"/>
              </w:rPr>
              <w:t>Right-of-use assets, net</w:t>
            </w:r>
          </w:p>
        </w:tc>
        <w:tc>
          <w:tcPr>
            <w:tcW w:w="260" w:type="dxa"/>
            <w:vAlign w:val="bottom"/>
          </w:tcPr>
          <w:p>
            <w:pPr>
              <w:spacing w:after="0"/>
              <w:rPr>
                <w:sz w:val="13"/>
                <w:szCs w:val="13"/>
                <w:color w:val="auto"/>
              </w:rPr>
            </w:pPr>
          </w:p>
        </w:tc>
        <w:tc>
          <w:tcPr>
            <w:tcW w:w="1380" w:type="dxa"/>
            <w:vAlign w:val="bottom"/>
          </w:tcPr>
          <w:p>
            <w:pPr>
              <w:jc w:val="right"/>
              <w:ind w:right="2"/>
              <w:spacing w:after="0"/>
              <w:rPr>
                <w:sz w:val="20"/>
                <w:szCs w:val="20"/>
                <w:color w:val="auto"/>
              </w:rPr>
            </w:pPr>
            <w:r>
              <w:rPr>
                <w:rFonts w:ascii="Arial" w:cs="Arial" w:eastAsia="Arial" w:hAnsi="Arial"/>
                <w:sz w:val="12"/>
                <w:szCs w:val="12"/>
                <w:color w:val="auto"/>
              </w:rPr>
              <w:t>528</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jc w:val="right"/>
              <w:ind w:right="2"/>
              <w:spacing w:after="0"/>
              <w:rPr>
                <w:sz w:val="20"/>
                <w:szCs w:val="20"/>
                <w:color w:val="auto"/>
              </w:rPr>
            </w:pPr>
            <w:r>
              <w:rPr>
                <w:rFonts w:ascii="Arial" w:cs="Arial" w:eastAsia="Arial" w:hAnsi="Arial"/>
                <w:sz w:val="12"/>
                <w:szCs w:val="12"/>
                <w:color w:val="auto"/>
              </w:rPr>
              <w:t>550</w:t>
            </w:r>
          </w:p>
        </w:tc>
        <w:tc>
          <w:tcPr>
            <w:tcW w:w="0" w:type="dxa"/>
            <w:vAlign w:val="bottom"/>
          </w:tcPr>
          <w:p>
            <w:pPr>
              <w:spacing w:after="0"/>
              <w:rPr>
                <w:sz w:val="1"/>
                <w:szCs w:val="1"/>
                <w:color w:val="auto"/>
              </w:rPr>
            </w:pPr>
          </w:p>
        </w:tc>
      </w:tr>
      <w:tr>
        <w:trPr>
          <w:trHeight w:val="157"/>
        </w:trPr>
        <w:tc>
          <w:tcPr>
            <w:tcW w:w="79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Other non-current assets</w:t>
            </w:r>
          </w:p>
        </w:tc>
        <w:tc>
          <w:tcPr>
            <w:tcW w:w="26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119</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101</w:t>
            </w:r>
          </w:p>
        </w:tc>
        <w:tc>
          <w:tcPr>
            <w:tcW w:w="0" w:type="dxa"/>
            <w:vAlign w:val="bottom"/>
          </w:tcPr>
          <w:p>
            <w:pPr>
              <w:spacing w:after="0"/>
              <w:rPr>
                <w:sz w:val="1"/>
                <w:szCs w:val="1"/>
                <w:color w:val="auto"/>
              </w:rPr>
            </w:pPr>
          </w:p>
        </w:tc>
      </w:tr>
      <w:tr>
        <w:trPr>
          <w:trHeight w:val="141"/>
        </w:trPr>
        <w:tc>
          <w:tcPr>
            <w:tcW w:w="7920" w:type="dxa"/>
            <w:vAlign w:val="bottom"/>
            <w:tcBorders>
              <w:bottom w:val="single" w:sz="8" w:color="CCEEFF"/>
            </w:tcBorders>
          </w:tcPr>
          <w:p>
            <w:pPr>
              <w:ind w:left="260"/>
              <w:spacing w:after="0"/>
              <w:rPr>
                <w:sz w:val="20"/>
                <w:szCs w:val="20"/>
                <w:color w:val="auto"/>
              </w:rPr>
            </w:pPr>
            <w:r>
              <w:rPr>
                <w:rFonts w:ascii="Arial" w:cs="Arial" w:eastAsia="Arial" w:hAnsi="Arial"/>
                <w:sz w:val="12"/>
                <w:szCs w:val="12"/>
                <w:color w:val="auto"/>
              </w:rPr>
              <w:t>Total other assets</w:t>
            </w:r>
          </w:p>
        </w:tc>
        <w:tc>
          <w:tcPr>
            <w:tcW w:w="2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3,594</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3,632</w:t>
            </w:r>
          </w:p>
        </w:tc>
        <w:tc>
          <w:tcPr>
            <w:tcW w:w="0" w:type="dxa"/>
            <w:vAlign w:val="bottom"/>
          </w:tcPr>
          <w:p>
            <w:pPr>
              <w:spacing w:after="0"/>
              <w:rPr>
                <w:sz w:val="1"/>
                <w:szCs w:val="1"/>
                <w:color w:val="auto"/>
              </w:rPr>
            </w:pPr>
          </w:p>
        </w:tc>
      </w:tr>
      <w:tr>
        <w:trPr>
          <w:trHeight w:val="172"/>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Total Assets</w:t>
            </w:r>
          </w:p>
        </w:tc>
        <w:tc>
          <w:tcPr>
            <w:tcW w:w="26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2"/>
                <w:szCs w:val="12"/>
                <w:color w:val="auto"/>
                <w:w w:val="89"/>
              </w:rPr>
              <w:t>$</w:t>
            </w:r>
          </w:p>
        </w:tc>
        <w:tc>
          <w:tcPr>
            <w:tcW w:w="13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12,628</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2"/>
                <w:szCs w:val="12"/>
                <w:color w:val="auto"/>
                <w:w w:val="89"/>
              </w:rPr>
              <w:t>$</w:t>
            </w:r>
          </w:p>
        </w:tc>
        <w:tc>
          <w:tcPr>
            <w:tcW w:w="14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12,813</w:t>
            </w: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bottom w:val="single" w:sz="8" w:color="CCEEFF"/>
            </w:tcBorders>
            <w:vMerge w:val="restart"/>
          </w:tcPr>
          <w:p>
            <w:pPr>
              <w:ind w:left="2700"/>
              <w:spacing w:after="0" w:line="133" w:lineRule="exact"/>
              <w:rPr>
                <w:sz w:val="20"/>
                <w:szCs w:val="20"/>
                <w:color w:val="auto"/>
              </w:rPr>
            </w:pPr>
            <w:r>
              <w:rPr>
                <w:rFonts w:ascii="Arial" w:cs="Arial" w:eastAsia="Arial" w:hAnsi="Arial"/>
                <w:sz w:val="12"/>
                <w:szCs w:val="12"/>
                <w:b w:val="1"/>
                <w:bCs w:val="1"/>
                <w:color w:val="auto"/>
              </w:rPr>
              <w:t>LIABILITIES AND STOCKHOLDERS’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792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79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Current Liabilities</w:t>
            </w:r>
          </w:p>
        </w:tc>
        <w:tc>
          <w:tcPr>
            <w:tcW w:w="26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920" w:type="dxa"/>
            <w:vAlign w:val="bottom"/>
          </w:tcPr>
          <w:p>
            <w:pPr>
              <w:ind w:left="100"/>
              <w:spacing w:after="0"/>
              <w:rPr>
                <w:sz w:val="20"/>
                <w:szCs w:val="20"/>
                <w:color w:val="auto"/>
              </w:rPr>
            </w:pPr>
            <w:r>
              <w:rPr>
                <w:rFonts w:ascii="Arial" w:cs="Arial" w:eastAsia="Arial" w:hAnsi="Arial"/>
                <w:sz w:val="12"/>
                <w:szCs w:val="12"/>
                <w:color w:val="auto"/>
              </w:rPr>
              <w:t>Current portion of long-term debt</w:t>
            </w:r>
          </w:p>
        </w:tc>
        <w:tc>
          <w:tcPr>
            <w:tcW w:w="260" w:type="dxa"/>
            <w:vAlign w:val="bottom"/>
          </w:tcPr>
          <w:p>
            <w:pPr>
              <w:jc w:val="right"/>
              <w:ind w:right="122"/>
              <w:spacing w:after="0"/>
              <w:rPr>
                <w:sz w:val="20"/>
                <w:szCs w:val="20"/>
                <w:color w:val="auto"/>
              </w:rPr>
            </w:pPr>
            <w:r>
              <w:rPr>
                <w:rFonts w:ascii="Arial" w:cs="Arial" w:eastAsia="Arial" w:hAnsi="Arial"/>
                <w:sz w:val="12"/>
                <w:szCs w:val="12"/>
                <w:color w:val="auto"/>
                <w:w w:val="89"/>
              </w:rPr>
              <w:t>$</w:t>
            </w:r>
          </w:p>
        </w:tc>
        <w:tc>
          <w:tcPr>
            <w:tcW w:w="1380" w:type="dxa"/>
            <w:vAlign w:val="bottom"/>
          </w:tcPr>
          <w:p>
            <w:pPr>
              <w:jc w:val="right"/>
              <w:ind w:right="2"/>
              <w:spacing w:after="0"/>
              <w:rPr>
                <w:sz w:val="20"/>
                <w:szCs w:val="20"/>
                <w:color w:val="auto"/>
              </w:rPr>
            </w:pPr>
            <w:r>
              <w:rPr>
                <w:rFonts w:ascii="Arial" w:cs="Arial" w:eastAsia="Arial" w:hAnsi="Arial"/>
                <w:sz w:val="12"/>
                <w:szCs w:val="12"/>
                <w:color w:val="auto"/>
              </w:rPr>
              <w:t>770</w:t>
            </w:r>
          </w:p>
        </w:tc>
        <w:tc>
          <w:tcPr>
            <w:tcW w:w="80" w:type="dxa"/>
            <w:vAlign w:val="bottom"/>
          </w:tcPr>
          <w:p>
            <w:pPr>
              <w:spacing w:after="0"/>
              <w:rPr>
                <w:sz w:val="13"/>
                <w:szCs w:val="13"/>
                <w:color w:val="auto"/>
              </w:rPr>
            </w:pPr>
          </w:p>
        </w:tc>
        <w:tc>
          <w:tcPr>
            <w:tcW w:w="220" w:type="dxa"/>
            <w:vAlign w:val="bottom"/>
          </w:tcPr>
          <w:p>
            <w:pPr>
              <w:jc w:val="right"/>
              <w:ind w:right="82"/>
              <w:spacing w:after="0"/>
              <w:rPr>
                <w:sz w:val="20"/>
                <w:szCs w:val="20"/>
                <w:color w:val="auto"/>
              </w:rPr>
            </w:pPr>
            <w:r>
              <w:rPr>
                <w:rFonts w:ascii="Arial" w:cs="Arial" w:eastAsia="Arial" w:hAnsi="Arial"/>
                <w:sz w:val="12"/>
                <w:szCs w:val="12"/>
                <w:color w:val="auto"/>
                <w:w w:val="89"/>
              </w:rPr>
              <w:t>$</w:t>
            </w:r>
          </w:p>
        </w:tc>
        <w:tc>
          <w:tcPr>
            <w:tcW w:w="1420" w:type="dxa"/>
            <w:vAlign w:val="bottom"/>
          </w:tcPr>
          <w:p>
            <w:pPr>
              <w:jc w:val="right"/>
              <w:ind w:right="2"/>
              <w:spacing w:after="0"/>
              <w:rPr>
                <w:sz w:val="20"/>
                <w:szCs w:val="20"/>
                <w:color w:val="auto"/>
              </w:rPr>
            </w:pPr>
            <w:r>
              <w:rPr>
                <w:rFonts w:ascii="Arial" w:cs="Arial" w:eastAsia="Arial" w:hAnsi="Arial"/>
                <w:sz w:val="12"/>
                <w:szCs w:val="12"/>
                <w:color w:val="auto"/>
              </w:rPr>
              <w:t>772</w:t>
            </w:r>
          </w:p>
        </w:tc>
        <w:tc>
          <w:tcPr>
            <w:tcW w:w="0" w:type="dxa"/>
            <w:vAlign w:val="bottom"/>
          </w:tcPr>
          <w:p>
            <w:pPr>
              <w:spacing w:after="0"/>
              <w:rPr>
                <w:sz w:val="1"/>
                <w:szCs w:val="1"/>
                <w:color w:val="auto"/>
              </w:rPr>
            </w:pPr>
          </w:p>
        </w:tc>
      </w:tr>
      <w:tr>
        <w:trPr>
          <w:trHeight w:val="157"/>
        </w:trPr>
        <w:tc>
          <w:tcPr>
            <w:tcW w:w="79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Accounts payable — trade</w:t>
            </w:r>
          </w:p>
        </w:tc>
        <w:tc>
          <w:tcPr>
            <w:tcW w:w="26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76</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74</w:t>
            </w:r>
          </w:p>
        </w:tc>
        <w:tc>
          <w:tcPr>
            <w:tcW w:w="0" w:type="dxa"/>
            <w:vAlign w:val="bottom"/>
          </w:tcPr>
          <w:p>
            <w:pPr>
              <w:spacing w:after="0"/>
              <w:rPr>
                <w:sz w:val="1"/>
                <w:szCs w:val="1"/>
                <w:color w:val="auto"/>
              </w:rPr>
            </w:pPr>
          </w:p>
        </w:tc>
      </w:tr>
      <w:tr>
        <w:trPr>
          <w:trHeight w:val="151"/>
        </w:trPr>
        <w:tc>
          <w:tcPr>
            <w:tcW w:w="7920" w:type="dxa"/>
            <w:vAlign w:val="bottom"/>
          </w:tcPr>
          <w:p>
            <w:pPr>
              <w:ind w:left="100"/>
              <w:spacing w:after="0"/>
              <w:rPr>
                <w:sz w:val="20"/>
                <w:szCs w:val="20"/>
                <w:color w:val="auto"/>
              </w:rPr>
            </w:pPr>
            <w:r>
              <w:rPr>
                <w:rFonts w:ascii="Arial" w:cs="Arial" w:eastAsia="Arial" w:hAnsi="Arial"/>
                <w:sz w:val="12"/>
                <w:szCs w:val="12"/>
                <w:color w:val="auto"/>
              </w:rPr>
              <w:t>Accounts payable — affiliates</w:t>
            </w:r>
          </w:p>
        </w:tc>
        <w:tc>
          <w:tcPr>
            <w:tcW w:w="260" w:type="dxa"/>
            <w:vAlign w:val="bottom"/>
          </w:tcPr>
          <w:p>
            <w:pPr>
              <w:spacing w:after="0"/>
              <w:rPr>
                <w:sz w:val="13"/>
                <w:szCs w:val="13"/>
                <w:color w:val="auto"/>
              </w:rPr>
            </w:pPr>
          </w:p>
        </w:tc>
        <w:tc>
          <w:tcPr>
            <w:tcW w:w="1380" w:type="dxa"/>
            <w:vAlign w:val="bottom"/>
          </w:tcPr>
          <w:p>
            <w:pPr>
              <w:jc w:val="right"/>
              <w:ind w:right="2"/>
              <w:spacing w:after="0"/>
              <w:rPr>
                <w:sz w:val="20"/>
                <w:szCs w:val="20"/>
                <w:color w:val="auto"/>
              </w:rPr>
            </w:pPr>
            <w:r>
              <w:rPr>
                <w:rFonts w:ascii="Arial" w:cs="Arial" w:eastAsia="Arial" w:hAnsi="Arial"/>
                <w:sz w:val="12"/>
                <w:szCs w:val="12"/>
                <w:color w:val="auto"/>
              </w:rPr>
              <w:t>15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jc w:val="right"/>
              <w:ind w:right="2"/>
              <w:spacing w:after="0"/>
              <w:rPr>
                <w:sz w:val="20"/>
                <w:szCs w:val="20"/>
                <w:color w:val="auto"/>
              </w:rPr>
            </w:pPr>
            <w:r>
              <w:rPr>
                <w:rFonts w:ascii="Arial" w:cs="Arial" w:eastAsia="Arial" w:hAnsi="Arial"/>
                <w:sz w:val="12"/>
                <w:szCs w:val="12"/>
                <w:color w:val="auto"/>
              </w:rPr>
              <w:t>107</w:t>
            </w:r>
          </w:p>
        </w:tc>
        <w:tc>
          <w:tcPr>
            <w:tcW w:w="0" w:type="dxa"/>
            <w:vAlign w:val="bottom"/>
          </w:tcPr>
          <w:p>
            <w:pPr>
              <w:spacing w:after="0"/>
              <w:rPr>
                <w:sz w:val="1"/>
                <w:szCs w:val="1"/>
                <w:color w:val="auto"/>
              </w:rPr>
            </w:pPr>
          </w:p>
        </w:tc>
      </w:tr>
      <w:tr>
        <w:trPr>
          <w:trHeight w:val="157"/>
        </w:trPr>
        <w:tc>
          <w:tcPr>
            <w:tcW w:w="79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Derivative instruments</w:t>
            </w:r>
          </w:p>
        </w:tc>
        <w:tc>
          <w:tcPr>
            <w:tcW w:w="26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71</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46</w:t>
            </w:r>
          </w:p>
        </w:tc>
        <w:tc>
          <w:tcPr>
            <w:tcW w:w="0" w:type="dxa"/>
            <w:vAlign w:val="bottom"/>
          </w:tcPr>
          <w:p>
            <w:pPr>
              <w:spacing w:after="0"/>
              <w:rPr>
                <w:sz w:val="1"/>
                <w:szCs w:val="1"/>
                <w:color w:val="auto"/>
              </w:rPr>
            </w:pPr>
          </w:p>
        </w:tc>
      </w:tr>
      <w:tr>
        <w:trPr>
          <w:trHeight w:val="151"/>
        </w:trPr>
        <w:tc>
          <w:tcPr>
            <w:tcW w:w="7920" w:type="dxa"/>
            <w:vAlign w:val="bottom"/>
          </w:tcPr>
          <w:p>
            <w:pPr>
              <w:ind w:left="100"/>
              <w:spacing w:after="0"/>
              <w:rPr>
                <w:sz w:val="20"/>
                <w:szCs w:val="20"/>
                <w:color w:val="auto"/>
              </w:rPr>
            </w:pPr>
            <w:r>
              <w:rPr>
                <w:rFonts w:ascii="Arial" w:cs="Arial" w:eastAsia="Arial" w:hAnsi="Arial"/>
                <w:sz w:val="12"/>
                <w:szCs w:val="12"/>
                <w:color w:val="auto"/>
              </w:rPr>
              <w:t>Accrued interest expense</w:t>
            </w:r>
          </w:p>
        </w:tc>
        <w:tc>
          <w:tcPr>
            <w:tcW w:w="260" w:type="dxa"/>
            <w:vAlign w:val="bottom"/>
          </w:tcPr>
          <w:p>
            <w:pPr>
              <w:spacing w:after="0"/>
              <w:rPr>
                <w:sz w:val="13"/>
                <w:szCs w:val="13"/>
                <w:color w:val="auto"/>
              </w:rPr>
            </w:pPr>
          </w:p>
        </w:tc>
        <w:tc>
          <w:tcPr>
            <w:tcW w:w="1380" w:type="dxa"/>
            <w:vAlign w:val="bottom"/>
          </w:tcPr>
          <w:p>
            <w:pPr>
              <w:jc w:val="right"/>
              <w:ind w:right="2"/>
              <w:spacing w:after="0"/>
              <w:rPr>
                <w:sz w:val="20"/>
                <w:szCs w:val="20"/>
                <w:color w:val="auto"/>
              </w:rPr>
            </w:pPr>
            <w:r>
              <w:rPr>
                <w:rFonts w:ascii="Arial" w:cs="Arial" w:eastAsia="Arial" w:hAnsi="Arial"/>
                <w:sz w:val="12"/>
                <w:szCs w:val="12"/>
                <w:color w:val="auto"/>
              </w:rPr>
              <w:t>40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jc w:val="right"/>
              <w:ind w:right="2"/>
              <w:spacing w:after="0"/>
              <w:rPr>
                <w:sz w:val="20"/>
                <w:szCs w:val="20"/>
                <w:color w:val="auto"/>
              </w:rPr>
            </w:pPr>
            <w:r>
              <w:rPr>
                <w:rFonts w:ascii="Arial" w:cs="Arial" w:eastAsia="Arial" w:hAnsi="Arial"/>
                <w:sz w:val="12"/>
                <w:szCs w:val="12"/>
                <w:color w:val="auto"/>
              </w:rPr>
              <w:t>54</w:t>
            </w:r>
          </w:p>
        </w:tc>
        <w:tc>
          <w:tcPr>
            <w:tcW w:w="0" w:type="dxa"/>
            <w:vAlign w:val="bottom"/>
          </w:tcPr>
          <w:p>
            <w:pPr>
              <w:spacing w:after="0"/>
              <w:rPr>
                <w:sz w:val="1"/>
                <w:szCs w:val="1"/>
                <w:color w:val="auto"/>
              </w:rPr>
            </w:pPr>
          </w:p>
        </w:tc>
      </w:tr>
      <w:tr>
        <w:trPr>
          <w:trHeight w:val="157"/>
        </w:trPr>
        <w:tc>
          <w:tcPr>
            <w:tcW w:w="79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Current liabilities held-for-sale</w:t>
            </w:r>
          </w:p>
        </w:tc>
        <w:tc>
          <w:tcPr>
            <w:tcW w:w="26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500</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494</w:t>
            </w:r>
          </w:p>
        </w:tc>
        <w:tc>
          <w:tcPr>
            <w:tcW w:w="0" w:type="dxa"/>
            <w:vAlign w:val="bottom"/>
          </w:tcPr>
          <w:p>
            <w:pPr>
              <w:spacing w:after="0"/>
              <w:rPr>
                <w:sz w:val="1"/>
                <w:szCs w:val="1"/>
                <w:color w:val="auto"/>
              </w:rPr>
            </w:pPr>
          </w:p>
        </w:tc>
      </w:tr>
      <w:tr>
        <w:trPr>
          <w:trHeight w:val="151"/>
        </w:trPr>
        <w:tc>
          <w:tcPr>
            <w:tcW w:w="792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Accrued expenses and other current liabilities</w:t>
            </w:r>
          </w:p>
        </w:tc>
        <w:tc>
          <w:tcPr>
            <w:tcW w:w="2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55</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84</w:t>
            </w:r>
          </w:p>
        </w:tc>
        <w:tc>
          <w:tcPr>
            <w:tcW w:w="0" w:type="dxa"/>
            <w:vAlign w:val="bottom"/>
          </w:tcPr>
          <w:p>
            <w:pPr>
              <w:spacing w:after="0"/>
              <w:rPr>
                <w:sz w:val="1"/>
                <w:szCs w:val="1"/>
                <w:color w:val="auto"/>
              </w:rPr>
            </w:pPr>
          </w:p>
        </w:tc>
      </w:tr>
      <w:tr>
        <w:trPr>
          <w:trHeight w:val="147"/>
        </w:trPr>
        <w:tc>
          <w:tcPr>
            <w:tcW w:w="79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Total current liabilities</w:t>
            </w:r>
          </w:p>
        </w:tc>
        <w:tc>
          <w:tcPr>
            <w:tcW w:w="260" w:type="dxa"/>
            <w:vAlign w:val="bottom"/>
            <w:tcBorders>
              <w:bottom w:val="single" w:sz="8" w:color="auto"/>
            </w:tcBorders>
            <w:shd w:val="clear" w:color="auto" w:fill="CCEEFF"/>
          </w:tcPr>
          <w:p>
            <w:pPr>
              <w:spacing w:after="0"/>
              <w:rPr>
                <w:sz w:val="12"/>
                <w:szCs w:val="12"/>
                <w:color w:val="auto"/>
              </w:rPr>
            </w:pPr>
          </w:p>
        </w:tc>
        <w:tc>
          <w:tcPr>
            <w:tcW w:w="13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1,527</w:t>
            </w:r>
          </w:p>
        </w:tc>
        <w:tc>
          <w:tcPr>
            <w:tcW w:w="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1,631</w:t>
            </w:r>
          </w:p>
        </w:tc>
        <w:tc>
          <w:tcPr>
            <w:tcW w:w="0" w:type="dxa"/>
            <w:vAlign w:val="bottom"/>
          </w:tcPr>
          <w:p>
            <w:pPr>
              <w:spacing w:after="0"/>
              <w:rPr>
                <w:sz w:val="1"/>
                <w:szCs w:val="1"/>
                <w:color w:val="auto"/>
              </w:rPr>
            </w:pPr>
          </w:p>
        </w:tc>
      </w:tr>
      <w:tr>
        <w:trPr>
          <w:trHeight w:val="132"/>
        </w:trPr>
        <w:tc>
          <w:tcPr>
            <w:tcW w:w="79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Other Liabilities</w:t>
            </w:r>
          </w:p>
        </w:tc>
        <w:tc>
          <w:tcPr>
            <w:tcW w:w="2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79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Long-term debt</w:t>
            </w:r>
          </w:p>
        </w:tc>
        <w:tc>
          <w:tcPr>
            <w:tcW w:w="26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6,979</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6,939</w:t>
            </w:r>
          </w:p>
        </w:tc>
        <w:tc>
          <w:tcPr>
            <w:tcW w:w="0" w:type="dxa"/>
            <w:vAlign w:val="bottom"/>
          </w:tcPr>
          <w:p>
            <w:pPr>
              <w:spacing w:after="0"/>
              <w:rPr>
                <w:sz w:val="1"/>
                <w:szCs w:val="1"/>
                <w:color w:val="auto"/>
              </w:rPr>
            </w:pPr>
          </w:p>
        </w:tc>
      </w:tr>
      <w:tr>
        <w:trPr>
          <w:trHeight w:val="151"/>
        </w:trPr>
        <w:tc>
          <w:tcPr>
            <w:tcW w:w="7920" w:type="dxa"/>
            <w:vAlign w:val="bottom"/>
          </w:tcPr>
          <w:p>
            <w:pPr>
              <w:ind w:left="100"/>
              <w:spacing w:after="0"/>
              <w:rPr>
                <w:sz w:val="20"/>
                <w:szCs w:val="20"/>
                <w:color w:val="auto"/>
              </w:rPr>
            </w:pPr>
            <w:r>
              <w:rPr>
                <w:rFonts w:ascii="Arial" w:cs="Arial" w:eastAsia="Arial" w:hAnsi="Arial"/>
                <w:sz w:val="12"/>
                <w:szCs w:val="12"/>
                <w:color w:val="auto"/>
              </w:rPr>
              <w:t>Deferred income taxes</w:t>
            </w:r>
          </w:p>
        </w:tc>
        <w:tc>
          <w:tcPr>
            <w:tcW w:w="260" w:type="dxa"/>
            <w:vAlign w:val="bottom"/>
          </w:tcPr>
          <w:p>
            <w:pPr>
              <w:spacing w:after="0"/>
              <w:rPr>
                <w:sz w:val="13"/>
                <w:szCs w:val="13"/>
                <w:color w:val="auto"/>
              </w:rPr>
            </w:pPr>
          </w:p>
        </w:tc>
        <w:tc>
          <w:tcPr>
            <w:tcW w:w="1380" w:type="dxa"/>
            <w:vAlign w:val="bottom"/>
          </w:tcPr>
          <w:p>
            <w:pPr>
              <w:jc w:val="right"/>
              <w:ind w:right="2"/>
              <w:spacing w:after="0"/>
              <w:rPr>
                <w:sz w:val="20"/>
                <w:szCs w:val="20"/>
                <w:color w:val="auto"/>
              </w:rPr>
            </w:pPr>
            <w:r>
              <w:rPr>
                <w:rFonts w:ascii="Arial" w:cs="Arial" w:eastAsia="Arial" w:hAnsi="Arial"/>
                <w:sz w:val="12"/>
                <w:szCs w:val="12"/>
                <w:color w:val="auto"/>
              </w:rPr>
              <w:t>11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jc w:val="right"/>
              <w:ind w:right="2"/>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157"/>
        </w:trPr>
        <w:tc>
          <w:tcPr>
            <w:tcW w:w="79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Derivative instruments</w:t>
            </w:r>
          </w:p>
        </w:tc>
        <w:tc>
          <w:tcPr>
            <w:tcW w:w="26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252</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196</w:t>
            </w:r>
          </w:p>
        </w:tc>
        <w:tc>
          <w:tcPr>
            <w:tcW w:w="0" w:type="dxa"/>
            <w:vAlign w:val="bottom"/>
          </w:tcPr>
          <w:p>
            <w:pPr>
              <w:spacing w:after="0"/>
              <w:rPr>
                <w:sz w:val="1"/>
                <w:szCs w:val="1"/>
                <w:color w:val="auto"/>
              </w:rPr>
            </w:pPr>
          </w:p>
        </w:tc>
      </w:tr>
      <w:tr>
        <w:trPr>
          <w:trHeight w:val="151"/>
        </w:trPr>
        <w:tc>
          <w:tcPr>
            <w:tcW w:w="7920" w:type="dxa"/>
            <w:vAlign w:val="bottom"/>
          </w:tcPr>
          <w:p>
            <w:pPr>
              <w:ind w:left="100"/>
              <w:spacing w:after="0"/>
              <w:rPr>
                <w:sz w:val="20"/>
                <w:szCs w:val="20"/>
                <w:color w:val="auto"/>
              </w:rPr>
            </w:pPr>
            <w:r>
              <w:rPr>
                <w:rFonts w:ascii="Arial" w:cs="Arial" w:eastAsia="Arial" w:hAnsi="Arial"/>
                <w:sz w:val="12"/>
                <w:szCs w:val="12"/>
                <w:color w:val="auto"/>
              </w:rPr>
              <w:t>Long-term lease liabilities</w:t>
            </w:r>
          </w:p>
        </w:tc>
        <w:tc>
          <w:tcPr>
            <w:tcW w:w="260" w:type="dxa"/>
            <w:vAlign w:val="bottom"/>
          </w:tcPr>
          <w:p>
            <w:pPr>
              <w:spacing w:after="0"/>
              <w:rPr>
                <w:sz w:val="13"/>
                <w:szCs w:val="13"/>
                <w:color w:val="auto"/>
              </w:rPr>
            </w:pPr>
          </w:p>
        </w:tc>
        <w:tc>
          <w:tcPr>
            <w:tcW w:w="1380" w:type="dxa"/>
            <w:vAlign w:val="bottom"/>
          </w:tcPr>
          <w:p>
            <w:pPr>
              <w:jc w:val="right"/>
              <w:ind w:right="2"/>
              <w:spacing w:after="0"/>
              <w:rPr>
                <w:sz w:val="20"/>
                <w:szCs w:val="20"/>
                <w:color w:val="auto"/>
              </w:rPr>
            </w:pPr>
            <w:r>
              <w:rPr>
                <w:rFonts w:ascii="Arial" w:cs="Arial" w:eastAsia="Arial" w:hAnsi="Arial"/>
                <w:sz w:val="12"/>
                <w:szCs w:val="12"/>
                <w:color w:val="auto"/>
              </w:rPr>
              <w:t>541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jc w:val="right"/>
              <w:ind w:right="2"/>
              <w:spacing w:after="0"/>
              <w:rPr>
                <w:sz w:val="20"/>
                <w:szCs w:val="20"/>
                <w:color w:val="auto"/>
              </w:rPr>
            </w:pPr>
            <w:r>
              <w:rPr>
                <w:rFonts w:ascii="Arial" w:cs="Arial" w:eastAsia="Arial" w:hAnsi="Arial"/>
                <w:sz w:val="12"/>
                <w:szCs w:val="12"/>
                <w:color w:val="auto"/>
              </w:rPr>
              <w:t>561</w:t>
            </w:r>
          </w:p>
        </w:tc>
        <w:tc>
          <w:tcPr>
            <w:tcW w:w="0" w:type="dxa"/>
            <w:vAlign w:val="bottom"/>
          </w:tcPr>
          <w:p>
            <w:pPr>
              <w:spacing w:after="0"/>
              <w:rPr>
                <w:sz w:val="1"/>
                <w:szCs w:val="1"/>
                <w:color w:val="auto"/>
              </w:rPr>
            </w:pPr>
          </w:p>
        </w:tc>
      </w:tr>
      <w:tr>
        <w:trPr>
          <w:trHeight w:val="157"/>
        </w:trPr>
        <w:tc>
          <w:tcPr>
            <w:tcW w:w="79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Other non-current liabilities</w:t>
            </w:r>
          </w:p>
        </w:tc>
        <w:tc>
          <w:tcPr>
            <w:tcW w:w="26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179</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173</w:t>
            </w:r>
          </w:p>
        </w:tc>
        <w:tc>
          <w:tcPr>
            <w:tcW w:w="0" w:type="dxa"/>
            <w:vAlign w:val="bottom"/>
          </w:tcPr>
          <w:p>
            <w:pPr>
              <w:spacing w:after="0"/>
              <w:rPr>
                <w:sz w:val="1"/>
                <w:szCs w:val="1"/>
                <w:color w:val="auto"/>
              </w:rPr>
            </w:pPr>
          </w:p>
        </w:tc>
      </w:tr>
      <w:tr>
        <w:trPr>
          <w:trHeight w:val="141"/>
        </w:trPr>
        <w:tc>
          <w:tcPr>
            <w:tcW w:w="7920" w:type="dxa"/>
            <w:vAlign w:val="bottom"/>
            <w:tcBorders>
              <w:bottom w:val="single" w:sz="8" w:color="CCEEFF"/>
            </w:tcBorders>
          </w:tcPr>
          <w:p>
            <w:pPr>
              <w:ind w:left="260"/>
              <w:spacing w:after="0"/>
              <w:rPr>
                <w:sz w:val="20"/>
                <w:szCs w:val="20"/>
                <w:color w:val="auto"/>
              </w:rPr>
            </w:pPr>
            <w:r>
              <w:rPr>
                <w:rFonts w:ascii="Arial" w:cs="Arial" w:eastAsia="Arial" w:hAnsi="Arial"/>
                <w:sz w:val="12"/>
                <w:szCs w:val="12"/>
                <w:color w:val="auto"/>
              </w:rPr>
              <w:t>Total other liabilities</w:t>
            </w:r>
          </w:p>
        </w:tc>
        <w:tc>
          <w:tcPr>
            <w:tcW w:w="2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7,962</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7,882</w:t>
            </w:r>
          </w:p>
        </w:tc>
        <w:tc>
          <w:tcPr>
            <w:tcW w:w="0" w:type="dxa"/>
            <w:vAlign w:val="bottom"/>
          </w:tcPr>
          <w:p>
            <w:pPr>
              <w:spacing w:after="0"/>
              <w:rPr>
                <w:sz w:val="1"/>
                <w:szCs w:val="1"/>
                <w:color w:val="auto"/>
              </w:rPr>
            </w:pPr>
          </w:p>
        </w:tc>
      </w:tr>
      <w:tr>
        <w:trPr>
          <w:trHeight w:val="147"/>
        </w:trPr>
        <w:tc>
          <w:tcPr>
            <w:tcW w:w="79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Total Liabilities</w:t>
            </w:r>
          </w:p>
        </w:tc>
        <w:tc>
          <w:tcPr>
            <w:tcW w:w="260" w:type="dxa"/>
            <w:vAlign w:val="bottom"/>
            <w:tcBorders>
              <w:bottom w:val="single" w:sz="8" w:color="auto"/>
            </w:tcBorders>
            <w:shd w:val="clear" w:color="auto" w:fill="CCEEFF"/>
          </w:tcPr>
          <w:p>
            <w:pPr>
              <w:spacing w:after="0"/>
              <w:rPr>
                <w:sz w:val="12"/>
                <w:szCs w:val="12"/>
                <w:color w:val="auto"/>
              </w:rPr>
            </w:pPr>
          </w:p>
        </w:tc>
        <w:tc>
          <w:tcPr>
            <w:tcW w:w="13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9,489</w:t>
            </w:r>
          </w:p>
        </w:tc>
        <w:tc>
          <w:tcPr>
            <w:tcW w:w="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9,513</w:t>
            </w:r>
          </w:p>
        </w:tc>
        <w:tc>
          <w:tcPr>
            <w:tcW w:w="0" w:type="dxa"/>
            <w:vAlign w:val="bottom"/>
          </w:tcPr>
          <w:p>
            <w:pPr>
              <w:spacing w:after="0"/>
              <w:rPr>
                <w:sz w:val="1"/>
                <w:szCs w:val="1"/>
                <w:color w:val="auto"/>
              </w:rPr>
            </w:pPr>
          </w:p>
        </w:tc>
      </w:tr>
      <w:tr>
        <w:trPr>
          <w:trHeight w:val="132"/>
        </w:trPr>
        <w:tc>
          <w:tcPr>
            <w:tcW w:w="79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Commitments and Contingencies</w:t>
            </w:r>
          </w:p>
        </w:tc>
        <w:tc>
          <w:tcPr>
            <w:tcW w:w="2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79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Stockholders’ Equity</w:t>
            </w:r>
          </w:p>
        </w:tc>
        <w:tc>
          <w:tcPr>
            <w:tcW w:w="26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920" w:type="dxa"/>
            <w:vAlign w:val="bottom"/>
          </w:tcPr>
          <w:p>
            <w:pPr>
              <w:ind w:left="100"/>
              <w:spacing w:after="0"/>
              <w:rPr>
                <w:sz w:val="20"/>
                <w:szCs w:val="20"/>
                <w:color w:val="auto"/>
              </w:rPr>
            </w:pPr>
            <w:r>
              <w:rPr>
                <w:rFonts w:ascii="Arial" w:cs="Arial" w:eastAsia="Arial" w:hAnsi="Arial"/>
                <w:sz w:val="12"/>
                <w:szCs w:val="12"/>
                <w:color w:val="auto"/>
              </w:rPr>
              <w:t>Preferred stock, $0.01 par value; 10,000,000 shares authorized; none issued</w:t>
            </w:r>
          </w:p>
        </w:tc>
        <w:tc>
          <w:tcPr>
            <w:tcW w:w="260" w:type="dxa"/>
            <w:vAlign w:val="bottom"/>
          </w:tcPr>
          <w:p>
            <w:pPr>
              <w:spacing w:after="0"/>
              <w:rPr>
                <w:sz w:val="13"/>
                <w:szCs w:val="13"/>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42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6"/>
        </w:trPr>
        <w:tc>
          <w:tcPr>
            <w:tcW w:w="7920" w:type="dxa"/>
            <w:vAlign w:val="bottom"/>
            <w:shd w:val="clear" w:color="auto" w:fill="CCEEFF"/>
          </w:tcPr>
          <w:p>
            <w:pPr>
              <w:ind w:left="100"/>
              <w:spacing w:after="0" w:line="116" w:lineRule="exact"/>
              <w:rPr>
                <w:sz w:val="20"/>
                <w:szCs w:val="20"/>
                <w:color w:val="auto"/>
              </w:rPr>
            </w:pPr>
            <w:r>
              <w:rPr>
                <w:rFonts w:ascii="Arial" w:cs="Arial" w:eastAsia="Arial" w:hAnsi="Arial"/>
                <w:sz w:val="12"/>
                <w:szCs w:val="12"/>
                <w:color w:val="auto"/>
                <w:w w:val="92"/>
              </w:rPr>
              <w:t>Class A, Class B, Class C and Class D common stock, $0.01 par value; 3,000,000,000 shares authorized (Class A 500,000,000, Class B 500,000,000, Class C</w:t>
            </w:r>
          </w:p>
        </w:tc>
        <w:tc>
          <w:tcPr>
            <w:tcW w:w="26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920" w:type="dxa"/>
            <w:vAlign w:val="bottom"/>
            <w:shd w:val="clear" w:color="auto" w:fill="CCEEFF"/>
          </w:tcPr>
          <w:p>
            <w:pPr>
              <w:ind w:left="100"/>
              <w:spacing w:after="0" w:line="113" w:lineRule="exact"/>
              <w:rPr>
                <w:sz w:val="20"/>
                <w:szCs w:val="20"/>
                <w:color w:val="auto"/>
              </w:rPr>
            </w:pPr>
            <w:r>
              <w:rPr>
                <w:rFonts w:ascii="Arial" w:cs="Arial" w:eastAsia="Arial" w:hAnsi="Arial"/>
                <w:sz w:val="12"/>
                <w:szCs w:val="12"/>
                <w:color w:val="auto"/>
                <w:w w:val="93"/>
              </w:rPr>
              <w:t>1,000,000,000, Class D 1,000,000,000); 201,995,385 shares issued and outstanding (Class A 34,599,645, Class B 42,738,750, Class C 81,918,240, Class D</w:t>
            </w:r>
          </w:p>
        </w:tc>
        <w:tc>
          <w:tcPr>
            <w:tcW w:w="26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920" w:type="dxa"/>
            <w:vAlign w:val="bottom"/>
            <w:shd w:val="clear" w:color="auto" w:fill="CCEEFF"/>
          </w:tcPr>
          <w:p>
            <w:pPr>
              <w:ind w:left="100"/>
              <w:spacing w:after="0" w:line="113" w:lineRule="exact"/>
              <w:rPr>
                <w:sz w:val="20"/>
                <w:szCs w:val="20"/>
                <w:color w:val="auto"/>
              </w:rPr>
            </w:pPr>
            <w:r>
              <w:rPr>
                <w:rFonts w:ascii="Arial" w:cs="Arial" w:eastAsia="Arial" w:hAnsi="Arial"/>
                <w:sz w:val="12"/>
                <w:szCs w:val="12"/>
                <w:color w:val="auto"/>
                <w:w w:val="87"/>
              </w:rPr>
              <w:t>42,738,750) at March 31, 2022 and 201,856,166 shares issued and outstanding (Class A 34,599,645, Class B 42,738,750, Class C 81,779,021, Class D 42,738,750) at</w:t>
            </w:r>
          </w:p>
        </w:tc>
        <w:tc>
          <w:tcPr>
            <w:tcW w:w="260" w:type="dxa"/>
            <w:vAlign w:val="bottom"/>
            <w:shd w:val="clear" w:color="auto" w:fill="CCEEFF"/>
          </w:tcPr>
          <w:p>
            <w:pPr>
              <w:spacing w:after="0"/>
              <w:rPr>
                <w:sz w:val="9"/>
                <w:szCs w:val="9"/>
                <w:color w:val="auto"/>
              </w:rPr>
            </w:pPr>
          </w:p>
        </w:tc>
        <w:tc>
          <w:tcPr>
            <w:tcW w:w="138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2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54"/>
        </w:trPr>
        <w:tc>
          <w:tcPr>
            <w:tcW w:w="79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December 31, 2021</w:t>
            </w:r>
          </w:p>
        </w:tc>
        <w:tc>
          <w:tcPr>
            <w:tcW w:w="260" w:type="dxa"/>
            <w:vAlign w:val="bottom"/>
            <w:shd w:val="clear" w:color="auto" w:fill="CCEEFF"/>
          </w:tcPr>
          <w:p>
            <w:pPr>
              <w:spacing w:after="0"/>
              <w:rPr>
                <w:sz w:val="13"/>
                <w:szCs w:val="13"/>
                <w:color w:val="auto"/>
              </w:rPr>
            </w:pPr>
          </w:p>
        </w:tc>
        <w:tc>
          <w:tcPr>
            <w:tcW w:w="13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920" w:type="dxa"/>
            <w:vAlign w:val="bottom"/>
          </w:tcPr>
          <w:p>
            <w:pPr>
              <w:ind w:left="100"/>
              <w:spacing w:after="0"/>
              <w:rPr>
                <w:sz w:val="20"/>
                <w:szCs w:val="20"/>
                <w:color w:val="auto"/>
              </w:rPr>
            </w:pPr>
            <w:r>
              <w:rPr>
                <w:rFonts w:ascii="Arial" w:cs="Arial" w:eastAsia="Arial" w:hAnsi="Arial"/>
                <w:sz w:val="12"/>
                <w:szCs w:val="12"/>
                <w:color w:val="auto"/>
              </w:rPr>
              <w:t>Additional paid-in capital</w:t>
            </w:r>
          </w:p>
        </w:tc>
        <w:tc>
          <w:tcPr>
            <w:tcW w:w="260" w:type="dxa"/>
            <w:vAlign w:val="bottom"/>
          </w:tcPr>
          <w:p>
            <w:pPr>
              <w:spacing w:after="0"/>
              <w:rPr>
                <w:sz w:val="13"/>
                <w:szCs w:val="13"/>
                <w:color w:val="auto"/>
              </w:rPr>
            </w:pPr>
          </w:p>
        </w:tc>
        <w:tc>
          <w:tcPr>
            <w:tcW w:w="1380" w:type="dxa"/>
            <w:vAlign w:val="bottom"/>
          </w:tcPr>
          <w:p>
            <w:pPr>
              <w:jc w:val="right"/>
              <w:ind w:right="2"/>
              <w:spacing w:after="0"/>
              <w:rPr>
                <w:sz w:val="20"/>
                <w:szCs w:val="20"/>
                <w:color w:val="auto"/>
              </w:rPr>
            </w:pPr>
            <w:r>
              <w:rPr>
                <w:rFonts w:ascii="Arial" w:cs="Arial" w:eastAsia="Arial" w:hAnsi="Arial"/>
                <w:sz w:val="12"/>
                <w:szCs w:val="12"/>
                <w:color w:val="auto"/>
              </w:rPr>
              <w:t>1,826</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jc w:val="right"/>
              <w:ind w:right="2"/>
              <w:spacing w:after="0"/>
              <w:rPr>
                <w:sz w:val="20"/>
                <w:szCs w:val="20"/>
                <w:color w:val="auto"/>
              </w:rPr>
            </w:pPr>
            <w:r>
              <w:rPr>
                <w:rFonts w:ascii="Arial" w:cs="Arial" w:eastAsia="Arial" w:hAnsi="Arial"/>
                <w:sz w:val="12"/>
                <w:szCs w:val="12"/>
                <w:color w:val="auto"/>
              </w:rPr>
              <w:t>1,872</w:t>
            </w:r>
          </w:p>
        </w:tc>
        <w:tc>
          <w:tcPr>
            <w:tcW w:w="0" w:type="dxa"/>
            <w:vAlign w:val="bottom"/>
          </w:tcPr>
          <w:p>
            <w:pPr>
              <w:spacing w:after="0"/>
              <w:rPr>
                <w:sz w:val="1"/>
                <w:szCs w:val="1"/>
                <w:color w:val="auto"/>
              </w:rPr>
            </w:pPr>
          </w:p>
        </w:tc>
      </w:tr>
      <w:tr>
        <w:trPr>
          <w:trHeight w:val="157"/>
        </w:trPr>
        <w:tc>
          <w:tcPr>
            <w:tcW w:w="79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Accumulated deficit</w:t>
            </w:r>
          </w:p>
        </w:tc>
        <w:tc>
          <w:tcPr>
            <w:tcW w:w="26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w:t>
            </w:r>
          </w:p>
        </w:tc>
        <w:tc>
          <w:tcPr>
            <w:tcW w:w="0" w:type="dxa"/>
            <w:vAlign w:val="bottom"/>
          </w:tcPr>
          <w:p>
            <w:pPr>
              <w:spacing w:after="0"/>
              <w:rPr>
                <w:sz w:val="1"/>
                <w:szCs w:val="1"/>
                <w:color w:val="auto"/>
              </w:rPr>
            </w:pPr>
          </w:p>
        </w:tc>
      </w:tr>
      <w:tr>
        <w:trPr>
          <w:trHeight w:val="151"/>
        </w:trPr>
        <w:tc>
          <w:tcPr>
            <w:tcW w:w="7920" w:type="dxa"/>
            <w:vAlign w:val="bottom"/>
          </w:tcPr>
          <w:p>
            <w:pPr>
              <w:ind w:left="100"/>
              <w:spacing w:after="0"/>
              <w:rPr>
                <w:sz w:val="20"/>
                <w:szCs w:val="20"/>
                <w:color w:val="auto"/>
              </w:rPr>
            </w:pPr>
            <w:r>
              <w:rPr>
                <w:rFonts w:ascii="Arial" w:cs="Arial" w:eastAsia="Arial" w:hAnsi="Arial"/>
                <w:sz w:val="12"/>
                <w:szCs w:val="12"/>
                <w:color w:val="auto"/>
              </w:rPr>
              <w:t>Accumulated other comprehensive loss</w:t>
            </w:r>
          </w:p>
        </w:tc>
        <w:tc>
          <w:tcPr>
            <w:tcW w:w="260" w:type="dxa"/>
            <w:vAlign w:val="bottom"/>
          </w:tcPr>
          <w:p>
            <w:pPr>
              <w:spacing w:after="0"/>
              <w:rPr>
                <w:sz w:val="13"/>
                <w:szCs w:val="13"/>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57"/>
        </w:trPr>
        <w:tc>
          <w:tcPr>
            <w:tcW w:w="79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Noncontrolling interest</w:t>
            </w:r>
          </w:p>
        </w:tc>
        <w:tc>
          <w:tcPr>
            <w:tcW w:w="26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1,377</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1,466</w:t>
            </w:r>
          </w:p>
        </w:tc>
        <w:tc>
          <w:tcPr>
            <w:tcW w:w="0" w:type="dxa"/>
            <w:vAlign w:val="bottom"/>
          </w:tcPr>
          <w:p>
            <w:pPr>
              <w:spacing w:after="0"/>
              <w:rPr>
                <w:sz w:val="1"/>
                <w:szCs w:val="1"/>
                <w:color w:val="auto"/>
              </w:rPr>
            </w:pPr>
          </w:p>
        </w:tc>
      </w:tr>
      <w:tr>
        <w:trPr>
          <w:trHeight w:val="141"/>
        </w:trPr>
        <w:tc>
          <w:tcPr>
            <w:tcW w:w="792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Total Stockholders’ Equity</w:t>
            </w:r>
          </w:p>
        </w:tc>
        <w:tc>
          <w:tcPr>
            <w:tcW w:w="2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3,139</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3,300</w:t>
            </w:r>
          </w:p>
        </w:tc>
        <w:tc>
          <w:tcPr>
            <w:tcW w:w="0" w:type="dxa"/>
            <w:vAlign w:val="bottom"/>
          </w:tcPr>
          <w:p>
            <w:pPr>
              <w:spacing w:after="0"/>
              <w:rPr>
                <w:sz w:val="1"/>
                <w:szCs w:val="1"/>
                <w:color w:val="auto"/>
              </w:rPr>
            </w:pPr>
          </w:p>
        </w:tc>
      </w:tr>
      <w:tr>
        <w:trPr>
          <w:trHeight w:val="172"/>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Total Liabilities and Stockholders’ Equity</w:t>
            </w:r>
          </w:p>
        </w:tc>
        <w:tc>
          <w:tcPr>
            <w:tcW w:w="26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2"/>
                <w:szCs w:val="12"/>
                <w:color w:val="auto"/>
                <w:w w:val="89"/>
              </w:rPr>
              <w:t>$</w:t>
            </w:r>
          </w:p>
        </w:tc>
        <w:tc>
          <w:tcPr>
            <w:tcW w:w="13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12,628</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2"/>
                <w:szCs w:val="12"/>
                <w:color w:val="auto"/>
                <w:w w:val="89"/>
              </w:rPr>
              <w:t>$</w:t>
            </w:r>
          </w:p>
        </w:tc>
        <w:tc>
          <w:tcPr>
            <w:tcW w:w="14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12,813</w:t>
            </w: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2"/>
        </w:trPr>
        <w:tc>
          <w:tcPr>
            <w:tcW w:w="7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bl>
    <w:p>
      <w:pPr>
        <w:sectPr>
          <w:pgSz w:w="11900" w:h="16838" w:orient="portrait"/>
          <w:cols w:equalWidth="0" w:num="1">
            <w:col w:w="11280"/>
          </w:cols>
          <w:pgMar w:left="300" w:top="710" w:right="319" w:bottom="1440" w:gutter="0" w:footer="0" w:header="0"/>
        </w:sectPr>
      </w:pPr>
    </w:p>
    <w:bookmarkStart w:id="12" w:name="page13"/>
    <w:bookmarkEnd w:id="12"/>
    <w:p>
      <w:pPr>
        <w:jc w:val="center"/>
        <w:ind w:right="580"/>
        <w:spacing w:after="0"/>
        <w:rPr>
          <w:sz w:val="20"/>
          <w:szCs w:val="20"/>
          <w:color w:val="auto"/>
        </w:rPr>
      </w:pPr>
      <w:r>
        <w:rPr>
          <w:rFonts w:ascii="Arial" w:cs="Arial" w:eastAsia="Arial" w:hAnsi="Arial"/>
          <w:sz w:val="14"/>
          <w:szCs w:val="14"/>
          <w:b w:val="1"/>
          <w:bCs w:val="1"/>
          <w:color w:val="auto"/>
        </w:rPr>
        <w:t>CLEARWAY ENERGY, INC.</w:t>
      </w:r>
    </w:p>
    <w:p>
      <w:pPr>
        <w:spacing w:after="0" w:line="44" w:lineRule="exact"/>
        <w:rPr>
          <w:sz w:val="20"/>
          <w:szCs w:val="20"/>
          <w:color w:val="auto"/>
        </w:rPr>
      </w:pPr>
    </w:p>
    <w:p>
      <w:pPr>
        <w:jc w:val="center"/>
        <w:ind w:right="580"/>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44" w:lineRule="exact"/>
        <w:rPr>
          <w:sz w:val="20"/>
          <w:szCs w:val="20"/>
          <w:color w:val="auto"/>
        </w:rPr>
      </w:pPr>
    </w:p>
    <w:p>
      <w:pPr>
        <w:jc w:val="center"/>
        <w:ind w:right="580"/>
        <w:spacing w:after="0"/>
        <w:rPr>
          <w:sz w:val="20"/>
          <w:szCs w:val="20"/>
          <w:color w:val="auto"/>
        </w:rPr>
      </w:pPr>
      <w:r>
        <w:rPr>
          <w:rFonts w:ascii="Arial" w:cs="Arial" w:eastAsia="Arial" w:hAnsi="Arial"/>
          <w:sz w:val="14"/>
          <w:szCs w:val="14"/>
          <w:b w:val="1"/>
          <w:bCs w:val="1"/>
          <w:color w:val="auto"/>
        </w:rPr>
        <w:t>(Unaudited)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6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22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1"/>
                <w:szCs w:val="11"/>
                <w:b w:val="1"/>
                <w:bCs w:val="1"/>
                <w:color w:val="auto"/>
              </w:rPr>
              <w:t>Three months ended March 31,</w:t>
            </w:r>
          </w:p>
        </w:tc>
      </w:tr>
      <w:tr>
        <w:trPr>
          <w:trHeight w:val="141"/>
        </w:trPr>
        <w:tc>
          <w:tcPr>
            <w:tcW w:w="7640" w:type="dxa"/>
            <w:vAlign w:val="bottom"/>
          </w:tcPr>
          <w:p>
            <w:pPr>
              <w:ind w:left="20"/>
              <w:spacing w:after="0"/>
              <w:rPr>
                <w:sz w:val="20"/>
                <w:szCs w:val="20"/>
                <w:color w:val="auto"/>
              </w:rPr>
            </w:pPr>
            <w:r>
              <w:rPr>
                <w:rFonts w:ascii="Arial" w:cs="Arial" w:eastAsia="Arial" w:hAnsi="Arial"/>
                <w:sz w:val="11"/>
                <w:szCs w:val="11"/>
                <w:b w:val="1"/>
                <w:bCs w:val="1"/>
                <w:color w:val="auto"/>
              </w:rPr>
              <w:t>(In millions)</w:t>
            </w: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39"/>
              <w:spacing w:after="0"/>
              <w:rPr>
                <w:sz w:val="20"/>
                <w:szCs w:val="20"/>
                <w:color w:val="auto"/>
              </w:rPr>
            </w:pPr>
            <w:r>
              <w:rPr>
                <w:rFonts w:ascii="Arial" w:cs="Arial" w:eastAsia="Arial" w:hAnsi="Arial"/>
                <w:sz w:val="11"/>
                <w:szCs w:val="11"/>
                <w:b w:val="1"/>
                <w:bCs w:val="1"/>
                <w:color w:val="auto"/>
              </w:rPr>
              <w:t>2022</w:t>
            </w:r>
          </w:p>
        </w:tc>
        <w:tc>
          <w:tcPr>
            <w:tcW w:w="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39"/>
              <w:spacing w:after="0"/>
              <w:rPr>
                <w:sz w:val="20"/>
                <w:szCs w:val="20"/>
                <w:color w:val="auto"/>
              </w:rPr>
            </w:pPr>
            <w:r>
              <w:rPr>
                <w:rFonts w:ascii="Arial" w:cs="Arial" w:eastAsia="Arial" w:hAnsi="Arial"/>
                <w:sz w:val="11"/>
                <w:szCs w:val="11"/>
                <w:b w:val="1"/>
                <w:bCs w:val="1"/>
                <w:color w:val="auto"/>
              </w:rPr>
              <w:t>2021</w:t>
            </w:r>
          </w:p>
        </w:tc>
      </w:tr>
      <w:tr>
        <w:trPr>
          <w:trHeight w:val="144"/>
        </w:trPr>
        <w:tc>
          <w:tcPr>
            <w:tcW w:w="7640" w:type="dxa"/>
            <w:vAlign w:val="bottom"/>
          </w:tcPr>
          <w:p>
            <w:pPr>
              <w:ind w:left="20"/>
              <w:spacing w:after="0"/>
              <w:rPr>
                <w:sz w:val="20"/>
                <w:szCs w:val="20"/>
                <w:color w:val="auto"/>
              </w:rPr>
            </w:pPr>
            <w:r>
              <w:rPr>
                <w:rFonts w:ascii="Arial" w:cs="Arial" w:eastAsia="Arial" w:hAnsi="Arial"/>
                <w:sz w:val="12"/>
                <w:szCs w:val="12"/>
                <w:b w:val="1"/>
                <w:bCs w:val="1"/>
                <w:color w:val="auto"/>
              </w:rPr>
              <w:t>Cash Flows from Operating Activities</w:t>
            </w: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67"/>
        </w:trPr>
        <w:tc>
          <w:tcPr>
            <w:tcW w:w="7640" w:type="dxa"/>
            <w:vAlign w:val="bottom"/>
            <w:shd w:val="clear" w:color="auto" w:fill="CCEEFF"/>
          </w:tcPr>
          <w:p>
            <w:pPr>
              <w:ind w:left="100"/>
              <w:spacing w:after="0"/>
              <w:rPr>
                <w:sz w:val="20"/>
                <w:szCs w:val="20"/>
                <w:color w:val="auto"/>
              </w:rPr>
            </w:pPr>
            <w:r>
              <w:rPr>
                <w:rFonts w:ascii="Arial" w:cs="Arial" w:eastAsia="Arial" w:hAnsi="Arial"/>
                <w:sz w:val="12"/>
                <w:szCs w:val="12"/>
                <w:b w:val="1"/>
                <w:bCs w:val="1"/>
                <w:color w:val="auto"/>
              </w:rPr>
              <w:t>Net Loss</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8"/>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w:t>
            </w:r>
          </w:p>
        </w:tc>
      </w:tr>
      <w:tr>
        <w:trPr>
          <w:trHeight w:val="162"/>
        </w:trPr>
        <w:tc>
          <w:tcPr>
            <w:tcW w:w="7640" w:type="dxa"/>
            <w:vAlign w:val="bottom"/>
          </w:tcPr>
          <w:p>
            <w:pPr>
              <w:ind w:left="180"/>
              <w:spacing w:after="0"/>
              <w:rPr>
                <w:sz w:val="20"/>
                <w:szCs w:val="20"/>
                <w:color w:val="auto"/>
              </w:rPr>
            </w:pPr>
            <w:r>
              <w:rPr>
                <w:rFonts w:ascii="Arial" w:cs="Arial" w:eastAsia="Arial" w:hAnsi="Arial"/>
                <w:sz w:val="12"/>
                <w:szCs w:val="12"/>
                <w:color w:val="auto"/>
              </w:rPr>
              <w:t>Adjustments to reconcile net loss to net cash provided by operating activities:</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76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Equity in earnings of unconsolidated affiliates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r>
      <w:tr>
        <w:trPr>
          <w:trHeight w:val="162"/>
        </w:trPr>
        <w:tc>
          <w:tcPr>
            <w:tcW w:w="7640" w:type="dxa"/>
            <w:vAlign w:val="bottom"/>
          </w:tcPr>
          <w:p>
            <w:pPr>
              <w:ind w:left="260"/>
              <w:spacing w:after="0"/>
              <w:rPr>
                <w:sz w:val="20"/>
                <w:szCs w:val="20"/>
                <w:color w:val="auto"/>
              </w:rPr>
            </w:pPr>
            <w:r>
              <w:rPr>
                <w:rFonts w:ascii="Arial" w:cs="Arial" w:eastAsia="Arial" w:hAnsi="Arial"/>
                <w:sz w:val="12"/>
                <w:szCs w:val="12"/>
                <w:color w:val="auto"/>
              </w:rPr>
              <w:t>Distributions from unconsolidated affiliates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13</w:t>
            </w:r>
          </w:p>
        </w:tc>
      </w:tr>
      <w:tr>
        <w:trPr>
          <w:trHeight w:val="167"/>
        </w:trPr>
        <w:tc>
          <w:tcPr>
            <w:tcW w:w="76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Depreciation, amortization and accretion</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128</w:t>
            </w:r>
          </w:p>
        </w:tc>
      </w:tr>
      <w:tr>
        <w:trPr>
          <w:trHeight w:val="162"/>
        </w:trPr>
        <w:tc>
          <w:tcPr>
            <w:tcW w:w="7640" w:type="dxa"/>
            <w:vAlign w:val="bottom"/>
          </w:tcPr>
          <w:p>
            <w:pPr>
              <w:ind w:left="260"/>
              <w:spacing w:after="0"/>
              <w:rPr>
                <w:sz w:val="20"/>
                <w:szCs w:val="20"/>
                <w:color w:val="auto"/>
              </w:rPr>
            </w:pPr>
            <w:r>
              <w:rPr>
                <w:rFonts w:ascii="Arial" w:cs="Arial" w:eastAsia="Arial" w:hAnsi="Arial"/>
                <w:sz w:val="12"/>
                <w:szCs w:val="12"/>
                <w:color w:val="auto"/>
              </w:rPr>
              <w:t>Amortization of financing costs and debt discounts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4</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4</w:t>
            </w:r>
          </w:p>
        </w:tc>
      </w:tr>
      <w:tr>
        <w:trPr>
          <w:trHeight w:val="167"/>
        </w:trPr>
        <w:tc>
          <w:tcPr>
            <w:tcW w:w="76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Amortization of intangibles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w:t>
            </w:r>
          </w:p>
        </w:tc>
      </w:tr>
      <w:tr>
        <w:trPr>
          <w:trHeight w:val="162"/>
        </w:trPr>
        <w:tc>
          <w:tcPr>
            <w:tcW w:w="7640" w:type="dxa"/>
            <w:vAlign w:val="bottom"/>
          </w:tcPr>
          <w:p>
            <w:pPr>
              <w:ind w:left="260"/>
              <w:spacing w:after="0"/>
              <w:rPr>
                <w:sz w:val="20"/>
                <w:szCs w:val="20"/>
                <w:color w:val="auto"/>
              </w:rPr>
            </w:pPr>
            <w:r>
              <w:rPr>
                <w:rFonts w:ascii="Arial" w:cs="Arial" w:eastAsia="Arial" w:hAnsi="Arial"/>
                <w:sz w:val="12"/>
                <w:szCs w:val="12"/>
                <w:color w:val="auto"/>
              </w:rPr>
              <w:t>Loss on debt extinguishment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42</w:t>
            </w:r>
          </w:p>
        </w:tc>
      </w:tr>
      <w:tr>
        <w:trPr>
          <w:trHeight w:val="167"/>
        </w:trPr>
        <w:tc>
          <w:tcPr>
            <w:tcW w:w="76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Reduction in carrying amount of right-of-use assets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r>
      <w:tr>
        <w:trPr>
          <w:trHeight w:val="162"/>
        </w:trPr>
        <w:tc>
          <w:tcPr>
            <w:tcW w:w="7640" w:type="dxa"/>
            <w:vAlign w:val="bottom"/>
          </w:tcPr>
          <w:p>
            <w:pPr>
              <w:ind w:left="260"/>
              <w:spacing w:after="0"/>
              <w:rPr>
                <w:sz w:val="20"/>
                <w:szCs w:val="20"/>
                <w:color w:val="auto"/>
              </w:rPr>
            </w:pPr>
            <w:r>
              <w:rPr>
                <w:rFonts w:ascii="Arial" w:cs="Arial" w:eastAsia="Arial" w:hAnsi="Arial"/>
                <w:sz w:val="12"/>
                <w:szCs w:val="12"/>
                <w:color w:val="auto"/>
              </w:rPr>
              <w:t>Changes in deferred income taxes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(20)</w:t>
            </w:r>
          </w:p>
        </w:tc>
      </w:tr>
      <w:tr>
        <w:trPr>
          <w:trHeight w:val="167"/>
        </w:trPr>
        <w:tc>
          <w:tcPr>
            <w:tcW w:w="76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Changes in derivative instruments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w:t>
            </w:r>
          </w:p>
        </w:tc>
      </w:tr>
      <w:tr>
        <w:trPr>
          <w:trHeight w:val="162"/>
        </w:trPr>
        <w:tc>
          <w:tcPr>
            <w:tcW w:w="7640" w:type="dxa"/>
            <w:vAlign w:val="bottom"/>
          </w:tcPr>
          <w:p>
            <w:pPr>
              <w:ind w:left="180"/>
              <w:spacing w:after="0"/>
              <w:rPr>
                <w:sz w:val="20"/>
                <w:szCs w:val="20"/>
                <w:color w:val="auto"/>
              </w:rPr>
            </w:pPr>
            <w:r>
              <w:rPr>
                <w:rFonts w:ascii="Arial" w:cs="Arial" w:eastAsia="Arial" w:hAnsi="Arial"/>
                <w:sz w:val="12"/>
                <w:szCs w:val="12"/>
                <w:color w:val="auto"/>
              </w:rPr>
              <w:t>Cash used in changes in other working capital</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76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Changes in prepaid and accrued liabilities for tolling agreements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w:t>
            </w:r>
          </w:p>
        </w:tc>
      </w:tr>
      <w:tr>
        <w:trPr>
          <w:trHeight w:val="162"/>
        </w:trPr>
        <w:tc>
          <w:tcPr>
            <w:tcW w:w="7640" w:type="dxa"/>
            <w:vAlign w:val="bottom"/>
            <w:tcBorders>
              <w:bottom w:val="single" w:sz="8" w:color="CCEEFF"/>
            </w:tcBorders>
          </w:tcPr>
          <w:p>
            <w:pPr>
              <w:ind w:left="260"/>
              <w:spacing w:after="0"/>
              <w:rPr>
                <w:sz w:val="20"/>
                <w:szCs w:val="20"/>
                <w:color w:val="auto"/>
              </w:rPr>
            </w:pPr>
            <w:r>
              <w:rPr>
                <w:rFonts w:ascii="Arial" w:cs="Arial" w:eastAsia="Arial" w:hAnsi="Arial"/>
                <w:sz w:val="12"/>
                <w:szCs w:val="12"/>
                <w:color w:val="auto"/>
              </w:rPr>
              <w:t>Changes in other working capital</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w:t>
            </w:r>
          </w:p>
        </w:tc>
      </w:tr>
      <w:tr>
        <w:trPr>
          <w:trHeight w:val="157"/>
        </w:trPr>
        <w:tc>
          <w:tcPr>
            <w:tcW w:w="76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Net Cash Provided by Operating Activities</w:t>
            </w:r>
          </w:p>
        </w:tc>
        <w:tc>
          <w:tcPr>
            <w:tcW w:w="2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93</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47</w:t>
            </w:r>
          </w:p>
        </w:tc>
      </w:tr>
      <w:tr>
        <w:trPr>
          <w:trHeight w:val="142"/>
        </w:trPr>
        <w:tc>
          <w:tcPr>
            <w:tcW w:w="7640" w:type="dxa"/>
            <w:vAlign w:val="bottom"/>
          </w:tcPr>
          <w:p>
            <w:pPr>
              <w:ind w:left="20"/>
              <w:spacing w:after="0"/>
              <w:rPr>
                <w:sz w:val="20"/>
                <w:szCs w:val="20"/>
                <w:color w:val="auto"/>
              </w:rPr>
            </w:pPr>
            <w:r>
              <w:rPr>
                <w:rFonts w:ascii="Arial" w:cs="Arial" w:eastAsia="Arial" w:hAnsi="Arial"/>
                <w:sz w:val="12"/>
                <w:szCs w:val="12"/>
                <w:b w:val="1"/>
                <w:bCs w:val="1"/>
                <w:color w:val="auto"/>
              </w:rPr>
              <w:t>Cash Flows from Investing Activities</w:t>
            </w: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67"/>
        </w:trPr>
        <w:tc>
          <w:tcPr>
            <w:tcW w:w="76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Acquisitions, net of cash acquired</w:t>
            </w:r>
          </w:p>
        </w:tc>
        <w:tc>
          <w:tcPr>
            <w:tcW w:w="2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(111)</w:t>
            </w:r>
          </w:p>
        </w:tc>
      </w:tr>
      <w:tr>
        <w:trPr>
          <w:trHeight w:val="162"/>
        </w:trPr>
        <w:tc>
          <w:tcPr>
            <w:tcW w:w="7640" w:type="dxa"/>
            <w:vAlign w:val="bottom"/>
          </w:tcPr>
          <w:p>
            <w:pPr>
              <w:ind w:left="260"/>
              <w:spacing w:after="0"/>
              <w:rPr>
                <w:sz w:val="20"/>
                <w:szCs w:val="20"/>
                <w:color w:val="auto"/>
              </w:rPr>
            </w:pPr>
            <w:r>
              <w:rPr>
                <w:rFonts w:ascii="Arial" w:cs="Arial" w:eastAsia="Arial" w:hAnsi="Arial"/>
                <w:sz w:val="12"/>
                <w:szCs w:val="12"/>
                <w:color w:val="auto"/>
              </w:rPr>
              <w:t>Acquisition of Drop Down Assets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(51)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(132)</w:t>
            </w:r>
          </w:p>
        </w:tc>
      </w:tr>
      <w:tr>
        <w:trPr>
          <w:trHeight w:val="167"/>
        </w:trPr>
        <w:tc>
          <w:tcPr>
            <w:tcW w:w="76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Capital expenditures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w:t>
            </w:r>
          </w:p>
        </w:tc>
      </w:tr>
      <w:tr>
        <w:trPr>
          <w:trHeight w:val="162"/>
        </w:trPr>
        <w:tc>
          <w:tcPr>
            <w:tcW w:w="7640" w:type="dxa"/>
            <w:vAlign w:val="bottom"/>
          </w:tcPr>
          <w:p>
            <w:pPr>
              <w:ind w:left="260"/>
              <w:spacing w:after="0"/>
              <w:rPr>
                <w:sz w:val="20"/>
                <w:szCs w:val="20"/>
                <w:color w:val="auto"/>
              </w:rPr>
            </w:pPr>
            <w:r>
              <w:rPr>
                <w:rFonts w:ascii="Arial" w:cs="Arial" w:eastAsia="Arial" w:hAnsi="Arial"/>
                <w:sz w:val="12"/>
                <w:szCs w:val="12"/>
                <w:color w:val="auto"/>
              </w:rPr>
              <w:t>Asset purchase from affiliate</w:t>
            </w:r>
          </w:p>
        </w:tc>
        <w:tc>
          <w:tcPr>
            <w:tcW w:w="28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(21)</w:t>
            </w:r>
          </w:p>
        </w:tc>
      </w:tr>
      <w:tr>
        <w:trPr>
          <w:trHeight w:val="167"/>
        </w:trPr>
        <w:tc>
          <w:tcPr>
            <w:tcW w:w="76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Return of investment from unconsolidated affiliates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w:t>
            </w:r>
          </w:p>
        </w:tc>
      </w:tr>
      <w:tr>
        <w:trPr>
          <w:trHeight w:val="162"/>
        </w:trPr>
        <w:tc>
          <w:tcPr>
            <w:tcW w:w="7640" w:type="dxa"/>
            <w:vAlign w:val="bottom"/>
            <w:tcBorders>
              <w:bottom w:val="single" w:sz="8" w:color="CCEEFF"/>
            </w:tcBorders>
          </w:tcPr>
          <w:p>
            <w:pPr>
              <w:ind w:left="260"/>
              <w:spacing w:after="0"/>
              <w:rPr>
                <w:sz w:val="20"/>
                <w:szCs w:val="20"/>
                <w:color w:val="auto"/>
              </w:rPr>
            </w:pPr>
            <w:r>
              <w:rPr>
                <w:rFonts w:ascii="Arial" w:cs="Arial" w:eastAsia="Arial" w:hAnsi="Arial"/>
                <w:sz w:val="12"/>
                <w:szCs w:val="12"/>
                <w:color w:val="auto"/>
              </w:rPr>
              <w:t>Other</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57"/>
        </w:trPr>
        <w:tc>
          <w:tcPr>
            <w:tcW w:w="76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Net Cash Used in Investing Activities</w:t>
            </w:r>
          </w:p>
        </w:tc>
        <w:tc>
          <w:tcPr>
            <w:tcW w:w="2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(92)</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(314)</w:t>
            </w:r>
          </w:p>
        </w:tc>
      </w:tr>
      <w:tr>
        <w:trPr>
          <w:trHeight w:val="142"/>
        </w:trPr>
        <w:tc>
          <w:tcPr>
            <w:tcW w:w="7640" w:type="dxa"/>
            <w:vAlign w:val="bottom"/>
          </w:tcPr>
          <w:p>
            <w:pPr>
              <w:ind w:left="20"/>
              <w:spacing w:after="0"/>
              <w:rPr>
                <w:sz w:val="20"/>
                <w:szCs w:val="20"/>
                <w:color w:val="auto"/>
              </w:rPr>
            </w:pPr>
            <w:r>
              <w:rPr>
                <w:rFonts w:ascii="Arial" w:cs="Arial" w:eastAsia="Arial" w:hAnsi="Arial"/>
                <w:sz w:val="12"/>
                <w:szCs w:val="12"/>
                <w:b w:val="1"/>
                <w:bCs w:val="1"/>
                <w:color w:val="auto"/>
              </w:rPr>
              <w:t>Cash Flows from Financing Activities</w:t>
            </w: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67"/>
        </w:trPr>
        <w:tc>
          <w:tcPr>
            <w:tcW w:w="76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Contributions from noncontrolling interests, net of distributions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229</w:t>
            </w:r>
          </w:p>
        </w:tc>
      </w:tr>
      <w:tr>
        <w:trPr>
          <w:trHeight w:val="162"/>
        </w:trPr>
        <w:tc>
          <w:tcPr>
            <w:tcW w:w="7640" w:type="dxa"/>
            <w:vAlign w:val="bottom"/>
          </w:tcPr>
          <w:p>
            <w:pPr>
              <w:ind w:left="260"/>
              <w:spacing w:after="0"/>
              <w:rPr>
                <w:sz w:val="20"/>
                <w:szCs w:val="20"/>
                <w:color w:val="auto"/>
              </w:rPr>
            </w:pPr>
            <w:r>
              <w:rPr>
                <w:rFonts w:ascii="Arial" w:cs="Arial" w:eastAsia="Arial" w:hAnsi="Arial"/>
                <w:sz w:val="12"/>
                <w:szCs w:val="12"/>
                <w:color w:val="auto"/>
              </w:rPr>
              <w:t>Payments of dividends and distributions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(70)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(66)</w:t>
            </w:r>
          </w:p>
        </w:tc>
      </w:tr>
      <w:tr>
        <w:trPr>
          <w:trHeight w:val="167"/>
        </w:trPr>
        <w:tc>
          <w:tcPr>
            <w:tcW w:w="76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Distributions to CEG of escrowed amounts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62"/>
        </w:trPr>
        <w:tc>
          <w:tcPr>
            <w:tcW w:w="7640" w:type="dxa"/>
            <w:vAlign w:val="bottom"/>
          </w:tcPr>
          <w:p>
            <w:pPr>
              <w:ind w:left="260"/>
              <w:spacing w:after="0"/>
              <w:rPr>
                <w:sz w:val="20"/>
                <w:szCs w:val="20"/>
                <w:color w:val="auto"/>
              </w:rPr>
            </w:pPr>
            <w:r>
              <w:rPr>
                <w:rFonts w:ascii="Arial" w:cs="Arial" w:eastAsia="Arial" w:hAnsi="Arial"/>
                <w:sz w:val="12"/>
                <w:szCs w:val="12"/>
                <w:color w:val="auto"/>
              </w:rPr>
              <w:t>Proceeds from the revolving credit facility</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80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195</w:t>
            </w:r>
          </w:p>
        </w:tc>
      </w:tr>
      <w:tr>
        <w:trPr>
          <w:trHeight w:val="167"/>
        </w:trPr>
        <w:tc>
          <w:tcPr>
            <w:tcW w:w="76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Payments for the revolving credit facility</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(170)</w:t>
            </w:r>
          </w:p>
        </w:tc>
      </w:tr>
      <w:tr>
        <w:trPr>
          <w:trHeight w:val="162"/>
        </w:trPr>
        <w:tc>
          <w:tcPr>
            <w:tcW w:w="7640" w:type="dxa"/>
            <w:vAlign w:val="bottom"/>
          </w:tcPr>
          <w:p>
            <w:pPr>
              <w:ind w:left="260"/>
              <w:spacing w:after="0"/>
              <w:rPr>
                <w:sz w:val="20"/>
                <w:szCs w:val="20"/>
                <w:color w:val="auto"/>
              </w:rPr>
            </w:pPr>
            <w:r>
              <w:rPr>
                <w:rFonts w:ascii="Arial" w:cs="Arial" w:eastAsia="Arial" w:hAnsi="Arial"/>
                <w:sz w:val="12"/>
                <w:szCs w:val="12"/>
                <w:color w:val="auto"/>
              </w:rPr>
              <w:t>Proceeds from the issuance of long-term debt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194</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1,004</w:t>
            </w:r>
          </w:p>
        </w:tc>
      </w:tr>
      <w:tr>
        <w:trPr>
          <w:trHeight w:val="167"/>
        </w:trPr>
        <w:tc>
          <w:tcPr>
            <w:tcW w:w="76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Payments of debt issuance costs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w:t>
            </w:r>
          </w:p>
        </w:tc>
      </w:tr>
      <w:tr>
        <w:trPr>
          <w:trHeight w:val="162"/>
        </w:trPr>
        <w:tc>
          <w:tcPr>
            <w:tcW w:w="7640" w:type="dxa"/>
            <w:vAlign w:val="bottom"/>
          </w:tcPr>
          <w:p>
            <w:pPr>
              <w:ind w:left="260"/>
              <w:spacing w:after="0"/>
              <w:rPr>
                <w:sz w:val="20"/>
                <w:szCs w:val="20"/>
                <w:color w:val="auto"/>
              </w:rPr>
            </w:pPr>
            <w:r>
              <w:rPr>
                <w:rFonts w:ascii="Arial" w:cs="Arial" w:eastAsia="Arial" w:hAnsi="Arial"/>
                <w:sz w:val="12"/>
                <w:szCs w:val="12"/>
                <w:color w:val="auto"/>
              </w:rPr>
              <w:t>Payments for long-term debt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(317)</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(957)</w:t>
            </w:r>
          </w:p>
        </w:tc>
      </w:tr>
      <w:tr>
        <w:trPr>
          <w:trHeight w:val="167"/>
        </w:trPr>
        <w:tc>
          <w:tcPr>
            <w:tcW w:w="76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Other</w:t>
            </w: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w:t>
            </w:r>
          </w:p>
        </w:tc>
      </w:tr>
      <w:tr>
        <w:trPr>
          <w:trHeight w:val="152"/>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Net Cash (Used in) Provided by Financing Activities</w:t>
            </w: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(184)</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233</w:t>
            </w:r>
          </w:p>
        </w:tc>
      </w:tr>
      <w:tr>
        <w:trPr>
          <w:trHeight w:val="157"/>
        </w:trPr>
        <w:tc>
          <w:tcPr>
            <w:tcW w:w="76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Reclassification of Cash to Assets Held-for-Sale</w:t>
            </w: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bl>
    <w:p>
      <w:pPr>
        <w:spacing w:after="0" w:line="1" w:lineRule="exact"/>
        <w:rPr>
          <w:sz w:val="20"/>
          <w:szCs w:val="20"/>
          <w:color w:val="auto"/>
        </w:rPr>
      </w:pPr>
    </w:p>
    <w:p>
      <w:pPr>
        <w:sectPr>
          <w:pgSz w:w="11900" w:h="16838" w:orient="portrait"/>
          <w:cols w:equalWidth="0" w:num="1">
            <w:col w:w="10700"/>
          </w:cols>
          <w:pgMar w:left="880" w:top="618" w:right="319" w:bottom="1440" w:gutter="0" w:footer="0" w:header="0"/>
        </w:sectPr>
      </w:pPr>
    </w:p>
    <w:p>
      <w:pPr>
        <w:ind w:left="20"/>
        <w:spacing w:after="0"/>
        <w:rPr>
          <w:sz w:val="20"/>
          <w:szCs w:val="20"/>
          <w:color w:val="auto"/>
        </w:rPr>
      </w:pPr>
      <w:r>
        <w:rPr>
          <w:rFonts w:ascii="Arial" w:cs="Arial" w:eastAsia="Arial" w:hAnsi="Arial"/>
          <w:sz w:val="12"/>
          <w:szCs w:val="12"/>
          <w:b w:val="1"/>
          <w:bCs w:val="1"/>
          <w:color w:val="auto"/>
        </w:rPr>
        <w:t>Net Decrease in Cash, Cash Equivalents and Restricted Cash</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Cash, Cash Equivalents and Restricted Cash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6428740" cy="1041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28740" cy="104140"/>
                    </a:xfrm>
                    <a:prstGeom prst="rect">
                      <a:avLst/>
                    </a:prstGeom>
                    <a:noFill/>
                  </pic:spPr>
                </pic:pic>
              </a:graphicData>
            </a:graphic>
          </wp:anchor>
        </w:drawing>
      </w:r>
    </w:p>
    <w:p>
      <w:pPr>
        <w:spacing w:after="0" w:line="49"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Cash, Cash Equivalents and Restricted Cash at end of period</w:t>
      </w:r>
    </w:p>
    <w:p>
      <w:pPr>
        <w:spacing w:after="0" w:line="20" w:lineRule="exact"/>
        <w:rPr>
          <w:sz w:val="20"/>
          <w:szCs w:val="20"/>
          <w:color w:val="auto"/>
        </w:rPr>
      </w:pPr>
      <w:r>
        <w:rPr>
          <w:sz w:val="20"/>
          <w:szCs w:val="20"/>
          <w:color w:val="auto"/>
        </w:rPr>
        <w:br w:type="column"/>
      </w:r>
    </w:p>
    <w:p>
      <w:pPr>
        <w:ind w:left="2260" w:hanging="1355"/>
        <w:spacing w:after="0"/>
        <w:tabs>
          <w:tab w:leader="none" w:pos="2260" w:val="left"/>
        </w:tabs>
        <w:numPr>
          <w:ilvl w:val="0"/>
          <w:numId w:val="6"/>
        </w:numPr>
        <w:rPr>
          <w:rFonts w:ascii="Arial" w:cs="Arial" w:eastAsia="Arial" w:hAnsi="Arial"/>
          <w:sz w:val="11"/>
          <w:szCs w:val="11"/>
          <w:color w:val="auto"/>
        </w:rPr>
      </w:pPr>
      <w:r>
        <w:rPr>
          <w:rFonts w:ascii="Arial" w:cs="Arial" w:eastAsia="Arial" w:hAnsi="Arial"/>
          <w:sz w:val="11"/>
          <w:szCs w:val="11"/>
          <w:color w:val="auto"/>
        </w:rPr>
        <w:t>(34)</w:t>
      </w:r>
    </w:p>
    <w:p>
      <w:pPr>
        <w:spacing w:after="0" w:line="38" w:lineRule="exact"/>
        <w:rPr>
          <w:sz w:val="20"/>
          <w:szCs w:val="20"/>
          <w:color w:val="auto"/>
        </w:rPr>
      </w:pPr>
    </w:p>
    <w:p>
      <w:pPr>
        <w:ind w:left="960"/>
        <w:spacing w:after="0"/>
        <w:tabs>
          <w:tab w:leader="none" w:pos="2220" w:val="left"/>
        </w:tabs>
        <w:rPr>
          <w:sz w:val="20"/>
          <w:szCs w:val="20"/>
          <w:color w:val="auto"/>
        </w:rPr>
      </w:pPr>
      <w:r>
        <w:rPr>
          <w:rFonts w:ascii="Arial" w:cs="Arial" w:eastAsia="Arial" w:hAnsi="Arial"/>
          <w:sz w:val="12"/>
          <w:szCs w:val="12"/>
          <w:color w:val="auto"/>
        </w:rPr>
        <w:t>654</w:t>
      </w:r>
      <w:r>
        <w:rPr>
          <w:sz w:val="20"/>
          <w:szCs w:val="20"/>
          <w:color w:val="auto"/>
        </w:rPr>
        <w:tab/>
      </w:r>
      <w:r>
        <w:rPr>
          <w:rFonts w:ascii="Arial" w:cs="Arial" w:eastAsia="Arial" w:hAnsi="Arial"/>
          <w:sz w:val="12"/>
          <w:szCs w:val="12"/>
          <w:color w:val="auto"/>
        </w:rPr>
        <w:t>465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1584325"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84325" cy="6350"/>
                    </a:xfrm>
                    <a:prstGeom prst="rect">
                      <a:avLst/>
                    </a:prstGeom>
                    <a:noFill/>
                  </pic:spPr>
                </pic:pic>
              </a:graphicData>
            </a:graphic>
          </wp:anchor>
        </w:drawing>
      </w:r>
    </w:p>
    <w:p>
      <w:pPr>
        <w:spacing w:after="0" w:line="17" w:lineRule="exact"/>
        <w:rPr>
          <w:sz w:val="20"/>
          <w:szCs w:val="20"/>
          <w:color w:val="auto"/>
        </w:rPr>
      </w:pPr>
    </w:p>
    <w:p>
      <w:pPr>
        <w:spacing w:after="0"/>
        <w:tabs>
          <w:tab w:leader="none" w:pos="940" w:val="left"/>
          <w:tab w:leader="none" w:pos="1280" w:val="left"/>
          <w:tab w:leader="none" w:pos="2220" w:val="left"/>
        </w:tabs>
        <w:rPr>
          <w:sz w:val="20"/>
          <w:szCs w:val="20"/>
          <w:color w:val="auto"/>
        </w:rPr>
      </w:pP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466</w:t>
        <w:tab/>
        <w:t>$</w:t>
      </w:r>
      <w:r>
        <w:rPr>
          <w:sz w:val="20"/>
          <w:szCs w:val="20"/>
          <w:color w:val="auto"/>
        </w:rPr>
        <w:tab/>
      </w:r>
      <w:r>
        <w:rPr>
          <w:rFonts w:ascii="Arial" w:cs="Arial" w:eastAsia="Arial" w:hAnsi="Arial"/>
          <w:sz w:val="11"/>
          <w:szCs w:val="11"/>
          <w:color w:val="auto"/>
        </w:rPr>
        <w:t>431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158432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84325" cy="26035"/>
                    </a:xfrm>
                    <a:prstGeom prst="rect">
                      <a:avLst/>
                    </a:prstGeom>
                    <a:noFill/>
                  </pic:spPr>
                </pic:pic>
              </a:graphicData>
            </a:graphic>
          </wp:anchor>
        </w:drawing>
      </w:r>
    </w:p>
    <w:p>
      <w:pPr>
        <w:spacing w:after="0" w:line="216" w:lineRule="exact"/>
        <w:rPr>
          <w:sz w:val="20"/>
          <w:szCs w:val="20"/>
          <w:color w:val="auto"/>
        </w:rPr>
      </w:pPr>
    </w:p>
    <w:p>
      <w:pPr>
        <w:sectPr>
          <w:pgSz w:w="11900" w:h="16838" w:orient="portrait"/>
          <w:cols w:equalWidth="0" w:num="2">
            <w:col w:w="6920" w:space="720"/>
            <w:col w:w="3060"/>
          </w:cols>
          <w:pgMar w:left="880" w:top="618" w:right="319" w:bottom="1440" w:gutter="0" w:footer="0" w:header="0"/>
          <w:type w:val="continuous"/>
        </w:sectPr>
      </w:pPr>
    </w:p>
    <w:p>
      <w:pPr>
        <w:spacing w:after="0" w:line="262" w:lineRule="exact"/>
        <w:rPr>
          <w:sz w:val="20"/>
          <w:szCs w:val="20"/>
          <w:color w:val="auto"/>
        </w:rPr>
      </w:pPr>
    </w:p>
    <w:p>
      <w:pPr>
        <w:ind w:left="10580"/>
        <w:spacing w:after="0"/>
        <w:rPr>
          <w:sz w:val="20"/>
          <w:szCs w:val="20"/>
          <w:color w:val="auto"/>
        </w:rPr>
      </w:pPr>
      <w:r>
        <w:rPr>
          <w:rFonts w:ascii="Arial" w:cs="Arial" w:eastAsia="Arial" w:hAnsi="Arial"/>
          <w:sz w:val="10"/>
          <w:szCs w:val="10"/>
          <w:color w:val="auto"/>
        </w:rPr>
        <w:t>10</w:t>
      </w:r>
    </w:p>
    <w:p>
      <w:pPr>
        <w:sectPr>
          <w:pgSz w:w="11900" w:h="16838" w:orient="portrait"/>
          <w:cols w:equalWidth="0" w:num="1">
            <w:col w:w="10700"/>
          </w:cols>
          <w:pgMar w:left="880" w:top="618" w:right="319" w:bottom="1440" w:gutter="0" w:footer="0" w:header="0"/>
          <w:type w:val="continuous"/>
        </w:sectPr>
      </w:pPr>
    </w:p>
    <w:bookmarkStart w:id="13" w:name="page14"/>
    <w:bookmarkEnd w:id="13"/>
    <w:p>
      <w:pPr>
        <w:jc w:val="center"/>
        <w:ind w:right="440"/>
        <w:spacing w:after="0"/>
        <w:rPr>
          <w:sz w:val="20"/>
          <w:szCs w:val="20"/>
          <w:color w:val="auto"/>
        </w:rPr>
      </w:pPr>
      <w:r>
        <w:rPr>
          <w:rFonts w:ascii="Arial" w:cs="Arial" w:eastAsia="Arial" w:hAnsi="Arial"/>
          <w:sz w:val="14"/>
          <w:szCs w:val="14"/>
          <w:b w:val="1"/>
          <w:bCs w:val="1"/>
          <w:color w:val="auto"/>
        </w:rPr>
        <w:t>CLEARWAY ENERGY, INC.</w:t>
      </w:r>
    </w:p>
    <w:p>
      <w:pPr>
        <w:spacing w:after="0" w:line="126" w:lineRule="exact"/>
        <w:rPr>
          <w:sz w:val="20"/>
          <w:szCs w:val="20"/>
          <w:color w:val="auto"/>
        </w:rPr>
      </w:pPr>
    </w:p>
    <w:p>
      <w:pPr>
        <w:jc w:val="center"/>
        <w:ind w:right="440"/>
        <w:spacing w:after="0"/>
        <w:rPr>
          <w:sz w:val="20"/>
          <w:szCs w:val="20"/>
          <w:color w:val="auto"/>
        </w:rPr>
      </w:pPr>
      <w:r>
        <w:rPr>
          <w:rFonts w:ascii="Arial" w:cs="Arial" w:eastAsia="Arial" w:hAnsi="Arial"/>
          <w:sz w:val="14"/>
          <w:szCs w:val="14"/>
          <w:b w:val="1"/>
          <w:bCs w:val="1"/>
          <w:color w:val="auto"/>
        </w:rPr>
        <w:t>CONSOLIDATED STATEMENTS OF STOCKHOLDERS' EQUITY</w:t>
      </w:r>
    </w:p>
    <w:p>
      <w:pPr>
        <w:spacing w:after="0" w:line="126" w:lineRule="exact"/>
        <w:rPr>
          <w:sz w:val="20"/>
          <w:szCs w:val="20"/>
          <w:color w:val="auto"/>
        </w:rPr>
      </w:pPr>
    </w:p>
    <w:p>
      <w:pPr>
        <w:jc w:val="center"/>
        <w:ind w:right="440"/>
        <w:spacing w:after="0"/>
        <w:rPr>
          <w:sz w:val="20"/>
          <w:szCs w:val="20"/>
          <w:color w:val="auto"/>
        </w:rPr>
      </w:pPr>
      <w:r>
        <w:rPr>
          <w:rFonts w:ascii="Arial" w:cs="Arial" w:eastAsia="Arial" w:hAnsi="Arial"/>
          <w:sz w:val="14"/>
          <w:szCs w:val="14"/>
          <w:b w:val="1"/>
          <w:bCs w:val="1"/>
          <w:color w:val="auto"/>
        </w:rPr>
        <w:t>For the Three Months Ended March 31, 2022</w:t>
      </w:r>
    </w:p>
    <w:p>
      <w:pPr>
        <w:spacing w:after="0" w:line="126" w:lineRule="exact"/>
        <w:rPr>
          <w:sz w:val="20"/>
          <w:szCs w:val="20"/>
          <w:color w:val="auto"/>
        </w:rPr>
      </w:pPr>
    </w:p>
    <w:p>
      <w:pPr>
        <w:jc w:val="center"/>
        <w:ind w:right="440"/>
        <w:spacing w:after="0"/>
        <w:rPr>
          <w:sz w:val="20"/>
          <w:szCs w:val="20"/>
          <w:color w:val="auto"/>
        </w:rPr>
      </w:pPr>
      <w:r>
        <w:rPr>
          <w:rFonts w:ascii="Arial" w:cs="Arial" w:eastAsia="Arial" w:hAnsi="Arial"/>
          <w:sz w:val="14"/>
          <w:szCs w:val="14"/>
          <w:b w:val="1"/>
          <w:bCs w:val="1"/>
          <w:color w:val="auto"/>
        </w:rPr>
        <w:t>(Unaudited)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20" w:type="dxa"/>
            <w:vAlign w:val="bottom"/>
            <w:gridSpan w:val="4"/>
          </w:tcPr>
          <w:p>
            <w:pPr>
              <w:ind w:left="80"/>
              <w:spacing w:after="0"/>
              <w:rPr>
                <w:sz w:val="20"/>
                <w:szCs w:val="20"/>
                <w:color w:val="auto"/>
              </w:rPr>
            </w:pPr>
            <w:r>
              <w:rPr>
                <w:rFonts w:ascii="Arial" w:cs="Arial" w:eastAsia="Arial" w:hAnsi="Arial"/>
                <w:sz w:val="10"/>
                <w:szCs w:val="10"/>
                <w:b w:val="1"/>
                <w:bCs w:val="1"/>
                <w:color w:val="auto"/>
              </w:rPr>
              <w:t>Additional</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4"/>
            <w:vMerge w:val="restart"/>
          </w:tcPr>
          <w:p>
            <w:pPr>
              <w:ind w:left="400"/>
              <w:spacing w:after="0"/>
              <w:rPr>
                <w:sz w:val="20"/>
                <w:szCs w:val="20"/>
                <w:color w:val="auto"/>
              </w:rPr>
            </w:pPr>
            <w:r>
              <w:rPr>
                <w:rFonts w:ascii="Arial" w:cs="Arial" w:eastAsia="Arial" w:hAnsi="Arial"/>
                <w:sz w:val="10"/>
                <w:szCs w:val="10"/>
                <w:b w:val="1"/>
                <w:bCs w:val="1"/>
                <w:color w:val="auto"/>
              </w:rPr>
              <w:t>Accumulated</w:t>
            </w: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5"/>
          </w:tcPr>
          <w:p>
            <w:pPr>
              <w:spacing w:after="0"/>
              <w:rPr>
                <w:sz w:val="20"/>
                <w:szCs w:val="20"/>
                <w:color w:val="auto"/>
              </w:rPr>
            </w:pPr>
            <w:r>
              <w:rPr>
                <w:rFonts w:ascii="Arial" w:cs="Arial" w:eastAsia="Arial" w:hAnsi="Arial"/>
                <w:sz w:val="10"/>
                <w:szCs w:val="10"/>
                <w:b w:val="1"/>
                <w:bCs w:val="1"/>
                <w:color w:val="auto"/>
              </w:rPr>
              <w:t>Accumulated</w:t>
            </w:r>
          </w:p>
        </w:tc>
        <w:tc>
          <w:tcPr>
            <w:tcW w:w="180" w:type="dxa"/>
            <w:vAlign w:val="bottom"/>
          </w:tcPr>
          <w:p>
            <w:pPr>
              <w:spacing w:after="0"/>
              <w:rPr>
                <w:sz w:val="10"/>
                <w:szCs w:val="10"/>
                <w:color w:val="auto"/>
              </w:rPr>
            </w:pPr>
          </w:p>
        </w:tc>
        <w:tc>
          <w:tcPr>
            <w:tcW w:w="880" w:type="dxa"/>
            <w:vAlign w:val="bottom"/>
            <w:gridSpan w:val="3"/>
            <w:vMerge w:val="restart"/>
          </w:tcPr>
          <w:p>
            <w:pPr>
              <w:ind w:left="60"/>
              <w:spacing w:after="0"/>
              <w:rPr>
                <w:sz w:val="20"/>
                <w:szCs w:val="20"/>
                <w:color w:val="auto"/>
              </w:rPr>
            </w:pPr>
            <w:r>
              <w:rPr>
                <w:rFonts w:ascii="Arial" w:cs="Arial" w:eastAsia="Arial" w:hAnsi="Arial"/>
                <w:sz w:val="10"/>
                <w:szCs w:val="10"/>
                <w:b w:val="1"/>
                <w:bCs w:val="1"/>
                <w:color w:val="auto"/>
              </w:rPr>
              <w:t>Noncontrolling</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ind w:left="680"/>
              <w:spacing w:after="0"/>
              <w:rPr>
                <w:sz w:val="20"/>
                <w:szCs w:val="20"/>
                <w:color w:val="auto"/>
              </w:rPr>
            </w:pPr>
            <w:r>
              <w:rPr>
                <w:rFonts w:ascii="Arial" w:cs="Arial" w:eastAsia="Arial" w:hAnsi="Arial"/>
                <w:sz w:val="10"/>
                <w:szCs w:val="10"/>
                <w:b w:val="1"/>
                <w:bCs w:val="1"/>
                <w:color w:val="auto"/>
                <w:w w:val="83"/>
              </w:rPr>
              <w:t>Total</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(In millions)</w:t>
            </w:r>
          </w:p>
        </w:tc>
        <w:tc>
          <w:tcPr>
            <w:tcW w:w="440" w:type="dxa"/>
            <w:vAlign w:val="bottom"/>
            <w:vMerge w:val="restart"/>
          </w:tcPr>
          <w:p>
            <w:pPr>
              <w:spacing w:after="0"/>
              <w:rPr>
                <w:sz w:val="8"/>
                <w:szCs w:val="8"/>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0"/>
                <w:szCs w:val="10"/>
                <w:b w:val="1"/>
                <w:bCs w:val="1"/>
                <w:color w:val="auto"/>
                <w:w w:val="96"/>
              </w:rPr>
              <w:t>Preferred Stock</w:t>
            </w:r>
          </w:p>
        </w:tc>
        <w:tc>
          <w:tcPr>
            <w:tcW w:w="60" w:type="dxa"/>
            <w:vAlign w:val="bottom"/>
            <w:vMerge w:val="restart"/>
          </w:tcPr>
          <w:p>
            <w:pPr>
              <w:spacing w:after="0"/>
              <w:rPr>
                <w:sz w:val="8"/>
                <w:szCs w:val="8"/>
                <w:color w:val="auto"/>
              </w:rPr>
            </w:pPr>
          </w:p>
        </w:tc>
        <w:tc>
          <w:tcPr>
            <w:tcW w:w="1180" w:type="dxa"/>
            <w:vAlign w:val="bottom"/>
            <w:gridSpan w:val="3"/>
            <w:vMerge w:val="restart"/>
          </w:tcPr>
          <w:p>
            <w:pPr>
              <w:ind w:left="520"/>
              <w:spacing w:after="0"/>
              <w:rPr>
                <w:sz w:val="20"/>
                <w:szCs w:val="20"/>
                <w:color w:val="auto"/>
              </w:rPr>
            </w:pPr>
            <w:r>
              <w:rPr>
                <w:rFonts w:ascii="Arial" w:cs="Arial" w:eastAsia="Arial" w:hAnsi="Arial"/>
                <w:sz w:val="10"/>
                <w:szCs w:val="10"/>
                <w:b w:val="1"/>
                <w:bCs w:val="1"/>
                <w:color w:val="auto"/>
                <w:w w:val="87"/>
              </w:rPr>
              <w:t>Common Stock</w:t>
            </w:r>
          </w:p>
        </w:tc>
        <w:tc>
          <w:tcPr>
            <w:tcW w:w="60" w:type="dxa"/>
            <w:vAlign w:val="bottom"/>
            <w:vMerge w:val="restart"/>
          </w:tcPr>
          <w:p>
            <w:pPr>
              <w:spacing w:after="0"/>
              <w:rPr>
                <w:sz w:val="8"/>
                <w:szCs w:val="8"/>
                <w:color w:val="auto"/>
              </w:rPr>
            </w:pPr>
          </w:p>
        </w:tc>
        <w:tc>
          <w:tcPr>
            <w:tcW w:w="860" w:type="dxa"/>
            <w:vAlign w:val="bottom"/>
            <w:gridSpan w:val="3"/>
          </w:tcPr>
          <w:p>
            <w:pPr>
              <w:ind w:left="540"/>
              <w:spacing w:after="0" w:line="92" w:lineRule="exact"/>
              <w:rPr>
                <w:sz w:val="20"/>
                <w:szCs w:val="20"/>
                <w:color w:val="auto"/>
              </w:rPr>
            </w:pPr>
            <w:r>
              <w:rPr>
                <w:rFonts w:ascii="Arial" w:cs="Arial" w:eastAsia="Arial" w:hAnsi="Arial"/>
                <w:sz w:val="10"/>
                <w:szCs w:val="10"/>
                <w:b w:val="1"/>
                <w:bCs w:val="1"/>
                <w:color w:val="auto"/>
                <w:w w:val="89"/>
              </w:rPr>
              <w:t>Paid-In</w:t>
            </w: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gridSpan w:val="4"/>
            <w:vMerge w:val="continue"/>
          </w:tcPr>
          <w:p>
            <w:pPr>
              <w:spacing w:after="0"/>
              <w:rPr>
                <w:sz w:val="8"/>
                <w:szCs w:val="8"/>
                <w:color w:val="auto"/>
              </w:rPr>
            </w:pPr>
          </w:p>
        </w:tc>
        <w:tc>
          <w:tcPr>
            <w:tcW w:w="500" w:type="dxa"/>
            <w:vAlign w:val="bottom"/>
          </w:tcPr>
          <w:p>
            <w:pPr>
              <w:spacing w:after="0"/>
              <w:rPr>
                <w:sz w:val="8"/>
                <w:szCs w:val="8"/>
                <w:color w:val="auto"/>
              </w:rPr>
            </w:pPr>
          </w:p>
        </w:tc>
        <w:tc>
          <w:tcPr>
            <w:tcW w:w="1220" w:type="dxa"/>
            <w:vAlign w:val="bottom"/>
            <w:gridSpan w:val="7"/>
          </w:tcPr>
          <w:p>
            <w:pPr>
              <w:jc w:val="center"/>
              <w:ind w:right="960"/>
              <w:spacing w:after="0" w:line="92" w:lineRule="exact"/>
              <w:rPr>
                <w:sz w:val="20"/>
                <w:szCs w:val="20"/>
                <w:color w:val="auto"/>
              </w:rPr>
            </w:pPr>
            <w:r>
              <w:rPr>
                <w:rFonts w:ascii="Arial" w:cs="Arial" w:eastAsia="Arial" w:hAnsi="Arial"/>
                <w:sz w:val="10"/>
                <w:szCs w:val="10"/>
                <w:b w:val="1"/>
                <w:bCs w:val="1"/>
                <w:color w:val="auto"/>
                <w:w w:val="97"/>
              </w:rPr>
              <w:t>Other</w:t>
            </w:r>
          </w:p>
        </w:tc>
        <w:tc>
          <w:tcPr>
            <w:tcW w:w="180" w:type="dxa"/>
            <w:vAlign w:val="bottom"/>
          </w:tcPr>
          <w:p>
            <w:pPr>
              <w:spacing w:after="0"/>
              <w:rPr>
                <w:sz w:val="8"/>
                <w:szCs w:val="8"/>
                <w:color w:val="auto"/>
              </w:rPr>
            </w:pPr>
          </w:p>
        </w:tc>
        <w:tc>
          <w:tcPr>
            <w:tcW w:w="88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gridSpan w:val="2"/>
          </w:tcPr>
          <w:p>
            <w:pPr>
              <w:jc w:val="center"/>
              <w:ind w:left="103"/>
              <w:spacing w:after="0" w:line="92" w:lineRule="exact"/>
              <w:rPr>
                <w:sz w:val="20"/>
                <w:szCs w:val="20"/>
                <w:color w:val="auto"/>
              </w:rPr>
            </w:pPr>
            <w:r>
              <w:rPr>
                <w:rFonts w:ascii="Arial" w:cs="Arial" w:eastAsia="Arial" w:hAnsi="Arial"/>
                <w:sz w:val="10"/>
                <w:szCs w:val="10"/>
                <w:b w:val="1"/>
                <w:bCs w:val="1"/>
                <w:color w:val="auto"/>
                <w:w w:val="82"/>
              </w:rPr>
              <w:t>Stockholders'</w:t>
            </w: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140" w:type="dxa"/>
            <w:vAlign w:val="bottom"/>
          </w:tcPr>
          <w:p>
            <w:pPr>
              <w:spacing w:after="0"/>
              <w:rPr>
                <w:sz w:val="11"/>
                <w:szCs w:val="11"/>
                <w:color w:val="auto"/>
              </w:rPr>
            </w:pPr>
          </w:p>
        </w:tc>
        <w:tc>
          <w:tcPr>
            <w:tcW w:w="360" w:type="dxa"/>
            <w:vAlign w:val="bottom"/>
            <w:tcBorders>
              <w:bottom w:val="single" w:sz="8" w:color="CCEEFF"/>
            </w:tcBorders>
          </w:tcPr>
          <w:p>
            <w:pPr>
              <w:spacing w:after="0"/>
              <w:rPr>
                <w:sz w:val="11"/>
                <w:szCs w:val="11"/>
                <w:color w:val="auto"/>
              </w:rPr>
            </w:pPr>
          </w:p>
        </w:tc>
        <w:tc>
          <w:tcPr>
            <w:tcW w:w="1000" w:type="dxa"/>
            <w:vAlign w:val="bottom"/>
            <w:tcBorders>
              <w:bottom w:val="single" w:sz="8" w:color="CCEEFF"/>
            </w:tcBorders>
            <w:vMerge w:val="continue"/>
          </w:tcPr>
          <w:p>
            <w:pPr>
              <w:spacing w:after="0"/>
              <w:rPr>
                <w:sz w:val="11"/>
                <w:szCs w:val="11"/>
                <w:color w:val="auto"/>
              </w:rPr>
            </w:pPr>
          </w:p>
        </w:tc>
        <w:tc>
          <w:tcPr>
            <w:tcW w:w="440" w:type="dxa"/>
            <w:vAlign w:val="bottom"/>
            <w:tcBorders>
              <w:bottom w:val="single" w:sz="8" w:color="auto"/>
            </w:tcBorders>
            <w:vMerge w:val="continue"/>
          </w:tcPr>
          <w:p>
            <w:pPr>
              <w:spacing w:after="0"/>
              <w:rPr>
                <w:sz w:val="11"/>
                <w:szCs w:val="11"/>
                <w:color w:val="auto"/>
              </w:rPr>
            </w:pPr>
          </w:p>
        </w:tc>
        <w:tc>
          <w:tcPr>
            <w:tcW w:w="800" w:type="dxa"/>
            <w:vAlign w:val="bottom"/>
            <w:tcBorders>
              <w:bottom w:val="single" w:sz="8" w:color="auto"/>
            </w:tcBorders>
            <w:gridSpan w:val="2"/>
            <w:vMerge w:val="continue"/>
          </w:tcPr>
          <w:p>
            <w:pPr>
              <w:spacing w:after="0"/>
              <w:rPr>
                <w:sz w:val="11"/>
                <w:szCs w:val="11"/>
                <w:color w:val="auto"/>
              </w:rPr>
            </w:pPr>
          </w:p>
        </w:tc>
        <w:tc>
          <w:tcPr>
            <w:tcW w:w="60" w:type="dxa"/>
            <w:vAlign w:val="bottom"/>
            <w:tcBorders>
              <w:bottom w:val="single" w:sz="8" w:color="CCEEFF"/>
            </w:tcBorders>
            <w:vMerge w:val="continue"/>
          </w:tcPr>
          <w:p>
            <w:pPr>
              <w:spacing w:after="0"/>
              <w:rPr>
                <w:sz w:val="11"/>
                <w:szCs w:val="11"/>
                <w:color w:val="auto"/>
              </w:rPr>
            </w:pPr>
          </w:p>
        </w:tc>
        <w:tc>
          <w:tcPr>
            <w:tcW w:w="1180" w:type="dxa"/>
            <w:vAlign w:val="bottom"/>
            <w:tcBorders>
              <w:bottom w:val="single" w:sz="8" w:color="auto"/>
            </w:tcBorders>
            <w:gridSpan w:val="3"/>
            <w:vMerge w:val="continue"/>
          </w:tcPr>
          <w:p>
            <w:pPr>
              <w:spacing w:after="0"/>
              <w:rPr>
                <w:sz w:val="11"/>
                <w:szCs w:val="11"/>
                <w:color w:val="auto"/>
              </w:rPr>
            </w:pPr>
          </w:p>
        </w:tc>
        <w:tc>
          <w:tcPr>
            <w:tcW w:w="60" w:type="dxa"/>
            <w:vAlign w:val="bottom"/>
            <w:tcBorders>
              <w:bottom w:val="single" w:sz="8" w:color="CCEEFF"/>
            </w:tcBorders>
            <w:vMerge w:val="continue"/>
          </w:tcPr>
          <w:p>
            <w:pPr>
              <w:spacing w:after="0"/>
              <w:rPr>
                <w:sz w:val="11"/>
                <w:szCs w:val="11"/>
                <w:color w:val="auto"/>
              </w:rPr>
            </w:pPr>
          </w:p>
        </w:tc>
        <w:tc>
          <w:tcPr>
            <w:tcW w:w="860" w:type="dxa"/>
            <w:vAlign w:val="bottom"/>
            <w:tcBorders>
              <w:bottom w:val="single" w:sz="8" w:color="auto"/>
            </w:tcBorders>
            <w:gridSpan w:val="3"/>
          </w:tcPr>
          <w:p>
            <w:pPr>
              <w:ind w:left="540"/>
              <w:spacing w:after="0"/>
              <w:rPr>
                <w:sz w:val="20"/>
                <w:szCs w:val="20"/>
                <w:color w:val="auto"/>
              </w:rPr>
            </w:pPr>
            <w:r>
              <w:rPr>
                <w:rFonts w:ascii="Arial" w:cs="Arial" w:eastAsia="Arial" w:hAnsi="Arial"/>
                <w:sz w:val="10"/>
                <w:szCs w:val="10"/>
                <w:b w:val="1"/>
                <w:bCs w:val="1"/>
                <w:color w:val="auto"/>
                <w:w w:val="89"/>
              </w:rPr>
              <w:t>Capital</w:t>
            </w:r>
          </w:p>
        </w:tc>
        <w:tc>
          <w:tcPr>
            <w:tcW w:w="54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gridSpan w:val="2"/>
          </w:tcPr>
          <w:p>
            <w:pPr>
              <w:ind w:left="280"/>
              <w:spacing w:after="0"/>
              <w:rPr>
                <w:sz w:val="20"/>
                <w:szCs w:val="20"/>
                <w:color w:val="auto"/>
              </w:rPr>
            </w:pPr>
            <w:r>
              <w:rPr>
                <w:rFonts w:ascii="Arial" w:cs="Arial" w:eastAsia="Arial" w:hAnsi="Arial"/>
                <w:sz w:val="10"/>
                <w:szCs w:val="10"/>
                <w:b w:val="1"/>
                <w:bCs w:val="1"/>
                <w:color w:val="auto"/>
              </w:rPr>
              <w:t>Deficit</w:t>
            </w:r>
          </w:p>
        </w:tc>
        <w:tc>
          <w:tcPr>
            <w:tcW w:w="30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260" w:type="dxa"/>
            <w:vAlign w:val="bottom"/>
            <w:tcBorders>
              <w:bottom w:val="single" w:sz="8" w:color="auto"/>
            </w:tcBorders>
            <w:gridSpan w:val="5"/>
          </w:tcPr>
          <w:p>
            <w:pPr>
              <w:jc w:val="center"/>
              <w:spacing w:after="0"/>
              <w:rPr>
                <w:sz w:val="20"/>
                <w:szCs w:val="20"/>
                <w:color w:val="auto"/>
              </w:rPr>
            </w:pPr>
            <w:r>
              <w:rPr>
                <w:rFonts w:ascii="Arial" w:cs="Arial" w:eastAsia="Arial" w:hAnsi="Arial"/>
                <w:sz w:val="10"/>
                <w:szCs w:val="10"/>
                <w:b w:val="1"/>
                <w:bCs w:val="1"/>
                <w:color w:val="auto"/>
                <w:w w:val="84"/>
              </w:rPr>
              <w:t>Comprehensive Loss</w:t>
            </w:r>
          </w:p>
        </w:tc>
        <w:tc>
          <w:tcPr>
            <w:tcW w:w="6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gridSpan w:val="2"/>
          </w:tcPr>
          <w:p>
            <w:pPr>
              <w:spacing w:after="0"/>
              <w:rPr>
                <w:sz w:val="11"/>
                <w:szCs w:val="11"/>
                <w:color w:val="auto"/>
              </w:rPr>
            </w:pPr>
          </w:p>
        </w:tc>
        <w:tc>
          <w:tcPr>
            <w:tcW w:w="100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0"/>
                <w:szCs w:val="10"/>
                <w:b w:val="1"/>
                <w:bCs w:val="1"/>
                <w:color w:val="auto"/>
              </w:rPr>
              <w:t>Interest</w:t>
            </w:r>
          </w:p>
        </w:tc>
        <w:tc>
          <w:tcPr>
            <w:tcW w:w="60" w:type="dxa"/>
            <w:vAlign w:val="bottom"/>
            <w:tcBorders>
              <w:bottom w:val="single" w:sz="8" w:color="CCEEFF"/>
            </w:tcBorders>
            <w:gridSpan w:val="2"/>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2"/>
          </w:tcPr>
          <w:p>
            <w:pPr>
              <w:jc w:val="center"/>
              <w:ind w:left="103"/>
              <w:spacing w:after="0"/>
              <w:rPr>
                <w:sz w:val="20"/>
                <w:szCs w:val="20"/>
                <w:color w:val="auto"/>
              </w:rPr>
            </w:pPr>
            <w:r>
              <w:rPr>
                <w:rFonts w:ascii="Arial" w:cs="Arial" w:eastAsia="Arial" w:hAnsi="Arial"/>
                <w:sz w:val="10"/>
                <w:szCs w:val="10"/>
                <w:b w:val="1"/>
                <w:bCs w:val="1"/>
                <w:color w:val="auto"/>
                <w:w w:val="84"/>
              </w:rPr>
              <w:t>Equity</w:t>
            </w:r>
          </w:p>
        </w:tc>
        <w:tc>
          <w:tcPr>
            <w:tcW w:w="3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40" w:type="dxa"/>
            <w:vAlign w:val="bottom"/>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0" w:type="dxa"/>
            <w:vAlign w:val="bottom"/>
            <w:shd w:val="clear" w:color="auto" w:fill="CCEEFF"/>
          </w:tcPr>
          <w:p>
            <w:pPr>
              <w:ind w:left="140"/>
              <w:spacing w:after="0" w:line="104" w:lineRule="exact"/>
              <w:rPr>
                <w:sz w:val="20"/>
                <w:szCs w:val="20"/>
                <w:color w:val="auto"/>
              </w:rPr>
            </w:pPr>
            <w:r>
              <w:rPr>
                <w:rFonts w:ascii="Arial" w:cs="Arial" w:eastAsia="Arial" w:hAnsi="Arial"/>
                <w:sz w:val="12"/>
                <w:szCs w:val="12"/>
                <w:b w:val="1"/>
                <w:bCs w:val="1"/>
                <w:color w:val="auto"/>
              </w:rPr>
              <w:t>Balances at</w:t>
            </w:r>
          </w:p>
        </w:tc>
        <w:tc>
          <w:tcPr>
            <w:tcW w:w="44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ind w:right="343"/>
              <w:spacing w:after="0"/>
              <w:rPr>
                <w:sz w:val="20"/>
                <w:szCs w:val="20"/>
                <w:color w:val="auto"/>
              </w:rPr>
            </w:pPr>
            <w:r>
              <w:rPr>
                <w:rFonts w:ascii="Arial" w:cs="Arial" w:eastAsia="Arial" w:hAnsi="Arial"/>
                <w:sz w:val="12"/>
                <w:szCs w:val="12"/>
                <w:color w:val="auto"/>
              </w:rPr>
              <w:t>$</w:t>
            </w:r>
          </w:p>
        </w:tc>
        <w:tc>
          <w:tcPr>
            <w:tcW w:w="3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vMerge w:val="restart"/>
            <w:shd w:val="clear" w:color="auto" w:fill="CCEEFF"/>
          </w:tcPr>
          <w:p>
            <w:pPr>
              <w:ind w:left="500"/>
              <w:spacing w:after="0"/>
              <w:rPr>
                <w:sz w:val="20"/>
                <w:szCs w:val="20"/>
                <w:color w:val="auto"/>
              </w:rPr>
            </w:pPr>
            <w:r>
              <w:rPr>
                <w:rFonts w:ascii="Arial" w:cs="Arial" w:eastAsia="Arial" w:hAnsi="Arial"/>
                <w:sz w:val="12"/>
                <w:szCs w:val="12"/>
                <w:color w:val="auto"/>
              </w:rPr>
              <w:t>$</w:t>
            </w:r>
          </w:p>
        </w:tc>
        <w:tc>
          <w:tcPr>
            <w:tcW w:w="300" w:type="dxa"/>
            <w:vAlign w:val="bottom"/>
            <w:gridSpan w:val="2"/>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1</w:t>
            </w:r>
          </w:p>
        </w:tc>
        <w:tc>
          <w:tcPr>
            <w:tcW w:w="6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1,872</w:t>
            </w: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282"/>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9"/>
                <w:szCs w:val="9"/>
                <w:color w:val="auto"/>
              </w:rPr>
            </w:pPr>
          </w:p>
        </w:tc>
        <w:tc>
          <w:tcPr>
            <w:tcW w:w="30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93"/>
              </w:rPr>
              <w:t>(33)</w:t>
            </w: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1,466</w:t>
            </w: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343"/>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9"/>
                <w:szCs w:val="9"/>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6"/>
              </w:rPr>
              <w:t>3,300</w:t>
            </w:r>
          </w:p>
        </w:tc>
        <w:tc>
          <w:tcPr>
            <w:tcW w:w="0" w:type="dxa"/>
            <w:vAlign w:val="bottom"/>
          </w:tcPr>
          <w:p>
            <w:pPr>
              <w:spacing w:after="0"/>
              <w:rPr>
                <w:sz w:val="1"/>
                <w:szCs w:val="1"/>
                <w:color w:val="auto"/>
              </w:rPr>
            </w:pPr>
          </w:p>
        </w:tc>
      </w:tr>
      <w:tr>
        <w:trPr>
          <w:trHeight w:val="164"/>
        </w:trPr>
        <w:tc>
          <w:tcPr>
            <w:tcW w:w="140" w:type="dxa"/>
            <w:vAlign w:val="bottom"/>
          </w:tcPr>
          <w:p>
            <w:pPr>
              <w:spacing w:after="0"/>
              <w:rPr>
                <w:sz w:val="14"/>
                <w:szCs w:val="14"/>
                <w:color w:val="auto"/>
              </w:rPr>
            </w:pPr>
          </w:p>
        </w:tc>
        <w:tc>
          <w:tcPr>
            <w:tcW w:w="1800" w:type="dxa"/>
            <w:vAlign w:val="bottom"/>
            <w:gridSpan w:val="3"/>
            <w:shd w:val="clear" w:color="auto" w:fill="CCEEFF"/>
          </w:tcPr>
          <w:p>
            <w:pPr>
              <w:spacing w:after="0"/>
              <w:rPr>
                <w:sz w:val="20"/>
                <w:szCs w:val="20"/>
                <w:color w:val="auto"/>
              </w:rPr>
            </w:pPr>
            <w:r>
              <w:rPr>
                <w:rFonts w:ascii="Arial" w:cs="Arial" w:eastAsia="Arial" w:hAnsi="Arial"/>
                <w:sz w:val="12"/>
                <w:szCs w:val="12"/>
                <w:b w:val="1"/>
                <w:bCs w:val="1"/>
                <w:color w:val="auto"/>
              </w:rPr>
              <w:t>December 31, 2021</w:t>
            </w:r>
          </w:p>
        </w:tc>
        <w:tc>
          <w:tcPr>
            <w:tcW w:w="520" w:type="dxa"/>
            <w:vAlign w:val="bottom"/>
            <w:vMerge w:val="continue"/>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1800" w:type="dxa"/>
            <w:vAlign w:val="bottom"/>
            <w:gridSpan w:val="3"/>
          </w:tcPr>
          <w:p>
            <w:pPr>
              <w:ind w:left="180"/>
              <w:spacing w:after="0"/>
              <w:rPr>
                <w:sz w:val="20"/>
                <w:szCs w:val="20"/>
                <w:color w:val="auto"/>
              </w:rPr>
            </w:pPr>
            <w:r>
              <w:rPr>
                <w:rFonts w:ascii="Arial" w:cs="Arial" w:eastAsia="Arial" w:hAnsi="Arial"/>
                <w:sz w:val="12"/>
                <w:szCs w:val="12"/>
                <w:color w:val="auto"/>
              </w:rPr>
              <w:t>Net loss</w:t>
            </w:r>
          </w:p>
        </w:tc>
        <w:tc>
          <w:tcPr>
            <w:tcW w:w="520" w:type="dxa"/>
            <w:vAlign w:val="bottom"/>
          </w:tcPr>
          <w:p>
            <w:pPr>
              <w:spacing w:after="0"/>
              <w:rPr>
                <w:sz w:val="14"/>
                <w:szCs w:val="14"/>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tcPr>
          <w:p>
            <w:pPr>
              <w:spacing w:after="0"/>
              <w:rPr>
                <w:sz w:val="14"/>
                <w:szCs w:val="14"/>
                <w:color w:val="auto"/>
              </w:rPr>
            </w:pPr>
          </w:p>
        </w:tc>
        <w:tc>
          <w:tcPr>
            <w:tcW w:w="3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jc w:val="center"/>
              <w:spacing w:after="0"/>
              <w:rPr>
                <w:sz w:val="20"/>
                <w:szCs w:val="20"/>
                <w:color w:val="auto"/>
              </w:rPr>
            </w:pPr>
            <w:r>
              <w:rPr>
                <w:rFonts w:ascii="Arial" w:cs="Arial" w:eastAsia="Arial" w:hAnsi="Arial"/>
                <w:sz w:val="12"/>
                <w:szCs w:val="12"/>
                <w:color w:val="auto"/>
                <w:w w:val="93"/>
              </w:rPr>
              <w:t>(32)</w:t>
            </w: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4"/>
          </w:tcPr>
          <w:p>
            <w:pPr>
              <w:jc w:val="right"/>
              <w:ind w:right="5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(67)</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(99)</w:t>
            </w:r>
          </w:p>
        </w:tc>
        <w:tc>
          <w:tcPr>
            <w:tcW w:w="0" w:type="dxa"/>
            <w:vAlign w:val="bottom"/>
          </w:tcPr>
          <w:p>
            <w:pPr>
              <w:spacing w:after="0"/>
              <w:rPr>
                <w:sz w:val="1"/>
                <w:szCs w:val="1"/>
                <w:color w:val="auto"/>
              </w:rPr>
            </w:pPr>
          </w:p>
        </w:tc>
      </w:tr>
      <w:tr>
        <w:trPr>
          <w:trHeight w:val="129"/>
        </w:trPr>
        <w:tc>
          <w:tcPr>
            <w:tcW w:w="140" w:type="dxa"/>
            <w:vAlign w:val="bottom"/>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40" w:type="dxa"/>
            <w:vAlign w:val="bottom"/>
            <w:gridSpan w:val="2"/>
            <w:shd w:val="clear" w:color="auto" w:fill="CCEEFF"/>
          </w:tcPr>
          <w:p>
            <w:pPr>
              <w:ind w:left="280"/>
              <w:spacing w:after="0" w:line="129" w:lineRule="exact"/>
              <w:rPr>
                <w:sz w:val="20"/>
                <w:szCs w:val="20"/>
                <w:color w:val="auto"/>
              </w:rPr>
            </w:pPr>
            <w:r>
              <w:rPr>
                <w:rFonts w:ascii="Arial" w:cs="Arial" w:eastAsia="Arial" w:hAnsi="Arial"/>
                <w:sz w:val="12"/>
                <w:szCs w:val="12"/>
                <w:color w:val="auto"/>
              </w:rPr>
              <w:t>Unrealized</w:t>
            </w: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140" w:type="dxa"/>
            <w:vAlign w:val="bottom"/>
          </w:tcPr>
          <w:p>
            <w:pPr>
              <w:spacing w:after="0"/>
              <w:rPr>
                <w:sz w:val="10"/>
                <w:szCs w:val="10"/>
                <w:color w:val="auto"/>
              </w:rPr>
            </w:pPr>
          </w:p>
        </w:tc>
        <w:tc>
          <w:tcPr>
            <w:tcW w:w="1800" w:type="dxa"/>
            <w:vAlign w:val="bottom"/>
            <w:gridSpan w:val="3"/>
            <w:shd w:val="clear" w:color="auto" w:fill="CCEEFF"/>
          </w:tcPr>
          <w:p>
            <w:pPr>
              <w:ind w:left="160"/>
              <w:spacing w:after="0" w:line="124" w:lineRule="exact"/>
              <w:rPr>
                <w:sz w:val="20"/>
                <w:szCs w:val="20"/>
                <w:color w:val="auto"/>
              </w:rPr>
            </w:pPr>
            <w:r>
              <w:rPr>
                <w:rFonts w:ascii="Arial" w:cs="Arial" w:eastAsia="Arial" w:hAnsi="Arial"/>
                <w:sz w:val="12"/>
                <w:szCs w:val="12"/>
                <w:color w:val="auto"/>
              </w:rPr>
              <w:t>gain on derivatives, net</w:t>
            </w:r>
          </w:p>
        </w:tc>
        <w:tc>
          <w:tcPr>
            <w:tcW w:w="520" w:type="dxa"/>
            <w:vAlign w:val="bottom"/>
            <w:shd w:val="clear" w:color="auto" w:fill="CCEEFF"/>
          </w:tcPr>
          <w:p>
            <w:pPr>
              <w:spacing w:after="0"/>
              <w:rPr>
                <w:sz w:val="10"/>
                <w:szCs w:val="10"/>
                <w:color w:val="auto"/>
              </w:rPr>
            </w:pPr>
          </w:p>
        </w:tc>
        <w:tc>
          <w:tcPr>
            <w:tcW w:w="3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spacing w:after="0"/>
              <w:rPr>
                <w:sz w:val="10"/>
                <w:szCs w:val="10"/>
                <w:color w:val="auto"/>
              </w:rPr>
            </w:pPr>
          </w:p>
        </w:tc>
        <w:tc>
          <w:tcPr>
            <w:tcW w:w="36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gridSpan w:val="2"/>
            <w:vMerge w:val="restart"/>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6</w:t>
            </w: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8</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0" w:type="dxa"/>
            <w:vAlign w:val="bottom"/>
          </w:tcPr>
          <w:p>
            <w:pPr>
              <w:spacing w:after="0"/>
              <w:rPr>
                <w:sz w:val="1"/>
                <w:szCs w:val="1"/>
                <w:color w:val="auto"/>
              </w:rPr>
            </w:pPr>
          </w:p>
        </w:tc>
      </w:tr>
      <w:tr>
        <w:trPr>
          <w:trHeight w:val="161"/>
        </w:trPr>
        <w:tc>
          <w:tcPr>
            <w:tcW w:w="140" w:type="dxa"/>
            <w:vAlign w:val="bottom"/>
          </w:tcPr>
          <w:p>
            <w:pPr>
              <w:spacing w:after="0"/>
              <w:rPr>
                <w:sz w:val="13"/>
                <w:szCs w:val="13"/>
                <w:color w:val="auto"/>
              </w:rPr>
            </w:pPr>
          </w:p>
        </w:tc>
        <w:tc>
          <w:tcPr>
            <w:tcW w:w="180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of tax</w:t>
            </w:r>
          </w:p>
        </w:tc>
        <w:tc>
          <w:tcPr>
            <w:tcW w:w="520" w:type="dxa"/>
            <w:vAlign w:val="bottom"/>
            <w:shd w:val="clear" w:color="auto" w:fill="CCEEFF"/>
          </w:tcPr>
          <w:p>
            <w:pPr>
              <w:spacing w:after="0"/>
              <w:rPr>
                <w:sz w:val="13"/>
                <w:szCs w:val="13"/>
                <w:color w:val="auto"/>
              </w:rPr>
            </w:pPr>
          </w:p>
        </w:tc>
        <w:tc>
          <w:tcPr>
            <w:tcW w:w="340" w:type="dxa"/>
            <w:vAlign w:val="bottom"/>
            <w:gridSpan w:val="2"/>
            <w:vMerge w:val="continue"/>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60" w:type="dxa"/>
            <w:vAlign w:val="bottom"/>
            <w:gridSpan w:val="3"/>
            <w:vMerge w:val="continue"/>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gridSpan w:val="2"/>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gridSpan w:val="2"/>
            <w:vMerge w:val="continue"/>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40" w:type="dxa"/>
            <w:vAlign w:val="bottom"/>
            <w:gridSpan w:val="2"/>
          </w:tcPr>
          <w:p>
            <w:pPr>
              <w:ind w:left="280"/>
              <w:spacing w:after="0" w:line="127" w:lineRule="exact"/>
              <w:rPr>
                <w:sz w:val="20"/>
                <w:szCs w:val="20"/>
                <w:color w:val="auto"/>
              </w:rPr>
            </w:pPr>
            <w:r>
              <w:rPr>
                <w:rFonts w:ascii="Arial" w:cs="Arial" w:eastAsia="Arial" w:hAnsi="Arial"/>
                <w:sz w:val="12"/>
                <w:szCs w:val="12"/>
                <w:color w:val="auto"/>
              </w:rPr>
              <w:t>Distributions</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140" w:type="dxa"/>
            <w:vAlign w:val="bottom"/>
          </w:tcPr>
          <w:p>
            <w:pPr>
              <w:spacing w:after="0"/>
              <w:rPr>
                <w:sz w:val="10"/>
                <w:szCs w:val="10"/>
                <w:color w:val="auto"/>
              </w:rPr>
            </w:pPr>
          </w:p>
        </w:tc>
        <w:tc>
          <w:tcPr>
            <w:tcW w:w="1800" w:type="dxa"/>
            <w:vAlign w:val="bottom"/>
            <w:gridSpan w:val="3"/>
          </w:tcPr>
          <w:p>
            <w:pPr>
              <w:ind w:left="160"/>
              <w:spacing w:after="0" w:line="124" w:lineRule="exact"/>
              <w:rPr>
                <w:sz w:val="20"/>
                <w:szCs w:val="20"/>
                <w:color w:val="auto"/>
              </w:rPr>
            </w:pPr>
            <w:r>
              <w:rPr>
                <w:rFonts w:ascii="Arial" w:cs="Arial" w:eastAsia="Arial" w:hAnsi="Arial"/>
                <w:sz w:val="12"/>
                <w:szCs w:val="12"/>
                <w:color w:val="auto"/>
              </w:rPr>
              <w:t>to CEG, net of</w:t>
            </w:r>
          </w:p>
        </w:tc>
        <w:tc>
          <w:tcPr>
            <w:tcW w:w="520" w:type="dxa"/>
            <w:vAlign w:val="bottom"/>
          </w:tcPr>
          <w:p>
            <w:pPr>
              <w:spacing w:after="0"/>
              <w:rPr>
                <w:sz w:val="10"/>
                <w:szCs w:val="10"/>
                <w:color w:val="auto"/>
              </w:rPr>
            </w:pPr>
          </w:p>
        </w:tc>
        <w:tc>
          <w:tcPr>
            <w:tcW w:w="34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tcPr>
          <w:p>
            <w:pPr>
              <w:spacing w:after="0"/>
              <w:rPr>
                <w:sz w:val="10"/>
                <w:szCs w:val="10"/>
                <w:color w:val="auto"/>
              </w:rPr>
            </w:pPr>
          </w:p>
        </w:tc>
        <w:tc>
          <w:tcPr>
            <w:tcW w:w="360" w:type="dxa"/>
            <w:vAlign w:val="bottom"/>
            <w:gridSpan w:val="3"/>
            <w:vMerge w:val="restart"/>
          </w:tcPr>
          <w:p>
            <w:pPr>
              <w:jc w:val="right"/>
              <w:ind w:right="12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gridSpan w:val="2"/>
            <w:vMerge w:val="restart"/>
          </w:tcPr>
          <w:p>
            <w:pPr>
              <w:jc w:val="center"/>
              <w:spacing w:after="0"/>
              <w:rPr>
                <w:sz w:val="20"/>
                <w:szCs w:val="20"/>
                <w:color w:val="auto"/>
              </w:rPr>
            </w:pPr>
            <w:r>
              <w:rPr>
                <w:rFonts w:ascii="Arial" w:cs="Arial" w:eastAsia="Arial" w:hAnsi="Arial"/>
                <w:sz w:val="12"/>
                <w:szCs w:val="12"/>
                <w:color w:val="auto"/>
                <w:w w:val="99"/>
              </w:rPr>
              <w:t>—</w:t>
            </w: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4"/>
            <w:vMerge w:val="restart"/>
          </w:tcPr>
          <w:p>
            <w:pPr>
              <w:jc w:val="right"/>
              <w:ind w:right="5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2"/>
                <w:szCs w:val="12"/>
                <w:color w:val="auto"/>
              </w:rPr>
              <w:t>(3)</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58"/>
        </w:trPr>
        <w:tc>
          <w:tcPr>
            <w:tcW w:w="140" w:type="dxa"/>
            <w:vAlign w:val="bottom"/>
          </w:tcPr>
          <w:p>
            <w:pPr>
              <w:spacing w:after="0"/>
              <w:rPr>
                <w:sz w:val="13"/>
                <w:szCs w:val="13"/>
                <w:color w:val="auto"/>
              </w:rPr>
            </w:pPr>
          </w:p>
        </w:tc>
        <w:tc>
          <w:tcPr>
            <w:tcW w:w="1800" w:type="dxa"/>
            <w:vAlign w:val="bottom"/>
            <w:gridSpan w:val="3"/>
          </w:tcPr>
          <w:p>
            <w:pPr>
              <w:ind w:left="160"/>
              <w:spacing w:after="0"/>
              <w:rPr>
                <w:sz w:val="20"/>
                <w:szCs w:val="20"/>
                <w:color w:val="auto"/>
              </w:rPr>
            </w:pPr>
            <w:r>
              <w:rPr>
                <w:rFonts w:ascii="Arial" w:cs="Arial" w:eastAsia="Arial" w:hAnsi="Arial"/>
                <w:sz w:val="12"/>
                <w:szCs w:val="12"/>
                <w:color w:val="auto"/>
              </w:rPr>
              <w:t>contributions, cash</w:t>
            </w:r>
          </w:p>
        </w:tc>
        <w:tc>
          <w:tcPr>
            <w:tcW w:w="520" w:type="dxa"/>
            <w:vAlign w:val="bottom"/>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880" w:type="dxa"/>
            <w:vAlign w:val="bottom"/>
          </w:tcPr>
          <w:p>
            <w:pPr>
              <w:spacing w:after="0"/>
              <w:rPr>
                <w:sz w:val="13"/>
                <w:szCs w:val="13"/>
                <w:color w:val="auto"/>
              </w:rPr>
            </w:pPr>
          </w:p>
        </w:tc>
        <w:tc>
          <w:tcPr>
            <w:tcW w:w="360" w:type="dxa"/>
            <w:vAlign w:val="bottom"/>
            <w:gridSpan w:val="3"/>
            <w:vMerge w:val="continue"/>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4"/>
            <w:vMerge w:val="continue"/>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40" w:type="dxa"/>
            <w:vAlign w:val="bottom"/>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40" w:type="dxa"/>
            <w:vAlign w:val="bottom"/>
            <w:gridSpan w:val="2"/>
            <w:shd w:val="clear" w:color="auto" w:fill="CCEEFF"/>
          </w:tcPr>
          <w:p>
            <w:pPr>
              <w:ind w:left="280"/>
              <w:spacing w:after="0" w:line="129" w:lineRule="exact"/>
              <w:rPr>
                <w:sz w:val="20"/>
                <w:szCs w:val="20"/>
                <w:color w:val="auto"/>
              </w:rPr>
            </w:pPr>
            <w:r>
              <w:rPr>
                <w:rFonts w:ascii="Arial" w:cs="Arial" w:eastAsia="Arial" w:hAnsi="Arial"/>
                <w:sz w:val="12"/>
                <w:szCs w:val="12"/>
                <w:color w:val="auto"/>
              </w:rPr>
              <w:t>Contributions</w:t>
            </w: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140" w:type="dxa"/>
            <w:vAlign w:val="bottom"/>
          </w:tcPr>
          <w:p>
            <w:pPr>
              <w:spacing w:after="0"/>
              <w:rPr>
                <w:sz w:val="10"/>
                <w:szCs w:val="10"/>
                <w:color w:val="auto"/>
              </w:rPr>
            </w:pPr>
          </w:p>
        </w:tc>
        <w:tc>
          <w:tcPr>
            <w:tcW w:w="1800" w:type="dxa"/>
            <w:vAlign w:val="bottom"/>
            <w:gridSpan w:val="3"/>
            <w:shd w:val="clear" w:color="auto" w:fill="CCEEFF"/>
          </w:tcPr>
          <w:p>
            <w:pPr>
              <w:ind w:left="160"/>
              <w:spacing w:after="0" w:line="124" w:lineRule="exact"/>
              <w:rPr>
                <w:sz w:val="20"/>
                <w:szCs w:val="20"/>
                <w:color w:val="auto"/>
              </w:rPr>
            </w:pPr>
            <w:r>
              <w:rPr>
                <w:rFonts w:ascii="Arial" w:cs="Arial" w:eastAsia="Arial" w:hAnsi="Arial"/>
                <w:sz w:val="12"/>
                <w:szCs w:val="12"/>
                <w:color w:val="auto"/>
              </w:rPr>
              <w:t>from noncontrolling</w:t>
            </w:r>
          </w:p>
        </w:tc>
        <w:tc>
          <w:tcPr>
            <w:tcW w:w="5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40" w:type="dxa"/>
            <w:vAlign w:val="bottom"/>
          </w:tcPr>
          <w:p>
            <w:pPr>
              <w:spacing w:after="0"/>
              <w:rPr>
                <w:sz w:val="10"/>
                <w:szCs w:val="10"/>
                <w:color w:val="auto"/>
              </w:rPr>
            </w:pPr>
          </w:p>
        </w:tc>
        <w:tc>
          <w:tcPr>
            <w:tcW w:w="1800" w:type="dxa"/>
            <w:vAlign w:val="bottom"/>
            <w:gridSpan w:val="3"/>
            <w:shd w:val="clear" w:color="auto" w:fill="CCEEFF"/>
          </w:tcPr>
          <w:p>
            <w:pPr>
              <w:ind w:left="160"/>
              <w:spacing w:after="0" w:line="124" w:lineRule="exact"/>
              <w:rPr>
                <w:sz w:val="20"/>
                <w:szCs w:val="20"/>
                <w:color w:val="auto"/>
              </w:rPr>
            </w:pPr>
            <w:r>
              <w:rPr>
                <w:rFonts w:ascii="Arial" w:cs="Arial" w:eastAsia="Arial" w:hAnsi="Arial"/>
                <w:sz w:val="12"/>
                <w:szCs w:val="12"/>
                <w:color w:val="auto"/>
              </w:rPr>
              <w:t>interests, net of</w:t>
            </w:r>
          </w:p>
        </w:tc>
        <w:tc>
          <w:tcPr>
            <w:tcW w:w="520" w:type="dxa"/>
            <w:vAlign w:val="bottom"/>
            <w:shd w:val="clear" w:color="auto" w:fill="CCEEFF"/>
          </w:tcPr>
          <w:p>
            <w:pPr>
              <w:spacing w:after="0"/>
              <w:rPr>
                <w:sz w:val="10"/>
                <w:szCs w:val="10"/>
                <w:color w:val="auto"/>
              </w:rPr>
            </w:pPr>
          </w:p>
        </w:tc>
        <w:tc>
          <w:tcPr>
            <w:tcW w:w="3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spacing w:after="0"/>
              <w:rPr>
                <w:sz w:val="10"/>
                <w:szCs w:val="10"/>
                <w:color w:val="auto"/>
              </w:rPr>
            </w:pPr>
          </w:p>
        </w:tc>
        <w:tc>
          <w:tcPr>
            <w:tcW w:w="36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gridSpan w:val="2"/>
            <w:vMerge w:val="restart"/>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gridSpan w:val="4"/>
            <w:vMerge w:val="restart"/>
            <w:shd w:val="clear" w:color="auto" w:fill="CCEEFF"/>
          </w:tcPr>
          <w:p>
            <w:pPr>
              <w:jc w:val="right"/>
              <w:ind w:right="5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28</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28</w:t>
            </w:r>
          </w:p>
        </w:tc>
        <w:tc>
          <w:tcPr>
            <w:tcW w:w="0" w:type="dxa"/>
            <w:vAlign w:val="bottom"/>
          </w:tcPr>
          <w:p>
            <w:pPr>
              <w:spacing w:after="0"/>
              <w:rPr>
                <w:sz w:val="1"/>
                <w:szCs w:val="1"/>
                <w:color w:val="auto"/>
              </w:rPr>
            </w:pPr>
          </w:p>
        </w:tc>
      </w:tr>
      <w:tr>
        <w:trPr>
          <w:trHeight w:val="161"/>
        </w:trPr>
        <w:tc>
          <w:tcPr>
            <w:tcW w:w="140" w:type="dxa"/>
            <w:vAlign w:val="bottom"/>
          </w:tcPr>
          <w:p>
            <w:pPr>
              <w:spacing w:after="0"/>
              <w:rPr>
                <w:sz w:val="13"/>
                <w:szCs w:val="13"/>
                <w:color w:val="auto"/>
              </w:rPr>
            </w:pPr>
          </w:p>
        </w:tc>
        <w:tc>
          <w:tcPr>
            <w:tcW w:w="180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distributions, cash</w:t>
            </w:r>
          </w:p>
        </w:tc>
        <w:tc>
          <w:tcPr>
            <w:tcW w:w="520" w:type="dxa"/>
            <w:vAlign w:val="bottom"/>
            <w:shd w:val="clear" w:color="auto" w:fill="CCEEFF"/>
          </w:tcPr>
          <w:p>
            <w:pPr>
              <w:spacing w:after="0"/>
              <w:rPr>
                <w:sz w:val="13"/>
                <w:szCs w:val="13"/>
                <w:color w:val="auto"/>
              </w:rPr>
            </w:pPr>
          </w:p>
        </w:tc>
        <w:tc>
          <w:tcPr>
            <w:tcW w:w="340" w:type="dxa"/>
            <w:vAlign w:val="bottom"/>
            <w:gridSpan w:val="2"/>
            <w:vMerge w:val="continue"/>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60" w:type="dxa"/>
            <w:vAlign w:val="bottom"/>
            <w:gridSpan w:val="3"/>
            <w:vMerge w:val="continue"/>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gridSpan w:val="2"/>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gridSpan w:val="2"/>
            <w:vMerge w:val="continue"/>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4"/>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40" w:type="dxa"/>
            <w:vAlign w:val="bottom"/>
            <w:gridSpan w:val="2"/>
          </w:tcPr>
          <w:p>
            <w:pPr>
              <w:ind w:left="280"/>
              <w:spacing w:after="0" w:line="127" w:lineRule="exact"/>
              <w:rPr>
                <w:sz w:val="20"/>
                <w:szCs w:val="20"/>
                <w:color w:val="auto"/>
              </w:rPr>
            </w:pPr>
            <w:r>
              <w:rPr>
                <w:rFonts w:ascii="Arial" w:cs="Arial" w:eastAsia="Arial" w:hAnsi="Arial"/>
                <w:sz w:val="12"/>
                <w:szCs w:val="12"/>
                <w:color w:val="auto"/>
              </w:rPr>
              <w:t>Mesquite Sky</w:t>
            </w:r>
          </w:p>
        </w:tc>
        <w:tc>
          <w:tcPr>
            <w:tcW w:w="520" w:type="dxa"/>
            <w:vAlign w:val="bottom"/>
          </w:tcPr>
          <w:p>
            <w:pPr>
              <w:spacing w:after="0"/>
              <w:rPr>
                <w:sz w:val="11"/>
                <w:szCs w:val="11"/>
                <w:color w:val="auto"/>
              </w:rPr>
            </w:pPr>
          </w:p>
        </w:tc>
        <w:tc>
          <w:tcPr>
            <w:tcW w:w="34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tcPr>
          <w:p>
            <w:pPr>
              <w:spacing w:after="0"/>
              <w:rPr>
                <w:sz w:val="11"/>
                <w:szCs w:val="11"/>
                <w:color w:val="auto"/>
              </w:rPr>
            </w:pPr>
          </w:p>
        </w:tc>
        <w:tc>
          <w:tcPr>
            <w:tcW w:w="360" w:type="dxa"/>
            <w:vAlign w:val="bottom"/>
            <w:gridSpan w:val="3"/>
            <w:vMerge w:val="restart"/>
          </w:tcPr>
          <w:p>
            <w:pPr>
              <w:jc w:val="right"/>
              <w:ind w:right="12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2"/>
                <w:szCs w:val="12"/>
                <w:color w:val="auto"/>
              </w:rPr>
              <w:t>(1)</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gridSpan w:val="2"/>
            <w:vMerge w:val="restart"/>
          </w:tcPr>
          <w:p>
            <w:pPr>
              <w:jc w:val="center"/>
              <w:spacing w:after="0"/>
              <w:rPr>
                <w:sz w:val="20"/>
                <w:szCs w:val="20"/>
                <w:color w:val="auto"/>
              </w:rPr>
            </w:pPr>
            <w:r>
              <w:rPr>
                <w:rFonts w:ascii="Arial" w:cs="Arial" w:eastAsia="Arial" w:hAnsi="Arial"/>
                <w:sz w:val="12"/>
                <w:szCs w:val="12"/>
                <w:color w:val="auto"/>
                <w:w w:val="99"/>
              </w:rPr>
              <w:t>—</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4"/>
            <w:vMerge w:val="restart"/>
          </w:tcPr>
          <w:p>
            <w:pPr>
              <w:jc w:val="right"/>
              <w:ind w:right="5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2"/>
                <w:szCs w:val="12"/>
                <w:color w:val="auto"/>
              </w:rPr>
              <w:t>(7)</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58"/>
        </w:trPr>
        <w:tc>
          <w:tcPr>
            <w:tcW w:w="140" w:type="dxa"/>
            <w:vAlign w:val="bottom"/>
          </w:tcPr>
          <w:p>
            <w:pPr>
              <w:spacing w:after="0"/>
              <w:rPr>
                <w:sz w:val="13"/>
                <w:szCs w:val="13"/>
                <w:color w:val="auto"/>
              </w:rPr>
            </w:pPr>
          </w:p>
        </w:tc>
        <w:tc>
          <w:tcPr>
            <w:tcW w:w="1800" w:type="dxa"/>
            <w:vAlign w:val="bottom"/>
            <w:gridSpan w:val="3"/>
          </w:tcPr>
          <w:p>
            <w:pPr>
              <w:ind w:left="160"/>
              <w:spacing w:after="0"/>
              <w:rPr>
                <w:sz w:val="20"/>
                <w:szCs w:val="20"/>
                <w:color w:val="auto"/>
              </w:rPr>
            </w:pPr>
            <w:r>
              <w:rPr>
                <w:rFonts w:ascii="Arial" w:cs="Arial" w:eastAsia="Arial" w:hAnsi="Arial"/>
                <w:sz w:val="12"/>
                <w:szCs w:val="12"/>
                <w:color w:val="auto"/>
              </w:rPr>
              <w:t>Drop Down</w:t>
            </w:r>
          </w:p>
        </w:tc>
        <w:tc>
          <w:tcPr>
            <w:tcW w:w="520" w:type="dxa"/>
            <w:vAlign w:val="bottom"/>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880" w:type="dxa"/>
            <w:vAlign w:val="bottom"/>
          </w:tcPr>
          <w:p>
            <w:pPr>
              <w:spacing w:after="0"/>
              <w:rPr>
                <w:sz w:val="13"/>
                <w:szCs w:val="13"/>
                <w:color w:val="auto"/>
              </w:rPr>
            </w:pPr>
          </w:p>
        </w:tc>
        <w:tc>
          <w:tcPr>
            <w:tcW w:w="360" w:type="dxa"/>
            <w:vAlign w:val="bottom"/>
            <w:gridSpan w:val="3"/>
            <w:vMerge w:val="continue"/>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4"/>
            <w:vMerge w:val="continue"/>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40" w:type="dxa"/>
            <w:vAlign w:val="bottom"/>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40" w:type="dxa"/>
            <w:vAlign w:val="bottom"/>
            <w:gridSpan w:val="2"/>
            <w:shd w:val="clear" w:color="auto" w:fill="CCEEFF"/>
          </w:tcPr>
          <w:p>
            <w:pPr>
              <w:ind w:left="280"/>
              <w:spacing w:after="0" w:line="129" w:lineRule="exact"/>
              <w:rPr>
                <w:sz w:val="20"/>
                <w:szCs w:val="20"/>
                <w:color w:val="auto"/>
              </w:rPr>
            </w:pPr>
            <w:r>
              <w:rPr>
                <w:rFonts w:ascii="Arial" w:cs="Arial" w:eastAsia="Arial" w:hAnsi="Arial"/>
                <w:sz w:val="12"/>
                <w:szCs w:val="12"/>
                <w:color w:val="auto"/>
              </w:rPr>
              <w:t>Black Rock</w:t>
            </w:r>
          </w:p>
        </w:tc>
        <w:tc>
          <w:tcPr>
            <w:tcW w:w="52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spacing w:after="0"/>
              <w:rPr>
                <w:sz w:val="11"/>
                <w:szCs w:val="11"/>
                <w:color w:val="auto"/>
              </w:rPr>
            </w:pPr>
          </w:p>
        </w:tc>
        <w:tc>
          <w:tcPr>
            <w:tcW w:w="36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gridSpan w:val="4"/>
            <w:vMerge w:val="restart"/>
            <w:shd w:val="clear" w:color="auto" w:fill="CCEEFF"/>
          </w:tcPr>
          <w:p>
            <w:pPr>
              <w:jc w:val="right"/>
              <w:ind w:right="5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61"/>
        </w:trPr>
        <w:tc>
          <w:tcPr>
            <w:tcW w:w="140" w:type="dxa"/>
            <w:vAlign w:val="bottom"/>
          </w:tcPr>
          <w:p>
            <w:pPr>
              <w:spacing w:after="0"/>
              <w:rPr>
                <w:sz w:val="13"/>
                <w:szCs w:val="13"/>
                <w:color w:val="auto"/>
              </w:rPr>
            </w:pPr>
          </w:p>
        </w:tc>
        <w:tc>
          <w:tcPr>
            <w:tcW w:w="180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Drop Down</w:t>
            </w:r>
          </w:p>
        </w:tc>
        <w:tc>
          <w:tcPr>
            <w:tcW w:w="520" w:type="dxa"/>
            <w:vAlign w:val="bottom"/>
            <w:shd w:val="clear" w:color="auto" w:fill="CCEEFF"/>
          </w:tcPr>
          <w:p>
            <w:pPr>
              <w:spacing w:after="0"/>
              <w:rPr>
                <w:sz w:val="13"/>
                <w:szCs w:val="13"/>
                <w:color w:val="auto"/>
              </w:rPr>
            </w:pPr>
          </w:p>
        </w:tc>
        <w:tc>
          <w:tcPr>
            <w:tcW w:w="340" w:type="dxa"/>
            <w:vAlign w:val="bottom"/>
            <w:gridSpan w:val="2"/>
            <w:vMerge w:val="continue"/>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60" w:type="dxa"/>
            <w:vAlign w:val="bottom"/>
            <w:gridSpan w:val="3"/>
            <w:vMerge w:val="continue"/>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gridSpan w:val="2"/>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gridSpan w:val="2"/>
            <w:vMerge w:val="continue"/>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4"/>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40" w:type="dxa"/>
            <w:vAlign w:val="bottom"/>
            <w:gridSpan w:val="2"/>
          </w:tcPr>
          <w:p>
            <w:pPr>
              <w:ind w:left="280"/>
              <w:spacing w:after="0" w:line="127" w:lineRule="exact"/>
              <w:rPr>
                <w:sz w:val="20"/>
                <w:szCs w:val="20"/>
                <w:color w:val="auto"/>
              </w:rPr>
            </w:pPr>
            <w:r>
              <w:rPr>
                <w:rFonts w:ascii="Arial" w:cs="Arial" w:eastAsia="Arial" w:hAnsi="Arial"/>
                <w:sz w:val="12"/>
                <w:szCs w:val="12"/>
                <w:color w:val="auto"/>
              </w:rPr>
              <w:t>Mililani I</w:t>
            </w:r>
          </w:p>
        </w:tc>
        <w:tc>
          <w:tcPr>
            <w:tcW w:w="520" w:type="dxa"/>
            <w:vAlign w:val="bottom"/>
          </w:tcPr>
          <w:p>
            <w:pPr>
              <w:spacing w:after="0"/>
              <w:rPr>
                <w:sz w:val="11"/>
                <w:szCs w:val="11"/>
                <w:color w:val="auto"/>
              </w:rPr>
            </w:pPr>
          </w:p>
        </w:tc>
        <w:tc>
          <w:tcPr>
            <w:tcW w:w="34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tcPr>
          <w:p>
            <w:pPr>
              <w:spacing w:after="0"/>
              <w:rPr>
                <w:sz w:val="11"/>
                <w:szCs w:val="11"/>
                <w:color w:val="auto"/>
              </w:rPr>
            </w:pPr>
          </w:p>
        </w:tc>
        <w:tc>
          <w:tcPr>
            <w:tcW w:w="360" w:type="dxa"/>
            <w:vAlign w:val="bottom"/>
            <w:gridSpan w:val="3"/>
            <w:vMerge w:val="restart"/>
          </w:tcPr>
          <w:p>
            <w:pPr>
              <w:jc w:val="right"/>
              <w:ind w:right="12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2"/>
                <w:szCs w:val="12"/>
                <w:color w:val="auto"/>
              </w:rPr>
              <w:t>(11)</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gridSpan w:val="2"/>
            <w:vMerge w:val="restart"/>
          </w:tcPr>
          <w:p>
            <w:pPr>
              <w:jc w:val="center"/>
              <w:spacing w:after="0"/>
              <w:rPr>
                <w:sz w:val="20"/>
                <w:szCs w:val="20"/>
                <w:color w:val="auto"/>
              </w:rPr>
            </w:pPr>
            <w:r>
              <w:rPr>
                <w:rFonts w:ascii="Arial" w:cs="Arial" w:eastAsia="Arial" w:hAnsi="Arial"/>
                <w:sz w:val="12"/>
                <w:szCs w:val="12"/>
                <w:color w:val="auto"/>
                <w:w w:val="99"/>
              </w:rPr>
              <w:t>—</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4"/>
            <w:vMerge w:val="restart"/>
          </w:tcPr>
          <w:p>
            <w:pPr>
              <w:jc w:val="right"/>
              <w:ind w:right="5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2"/>
                <w:szCs w:val="12"/>
                <w:color w:val="auto"/>
              </w:rPr>
              <w:t>(19)</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(30)</w:t>
            </w:r>
          </w:p>
        </w:tc>
        <w:tc>
          <w:tcPr>
            <w:tcW w:w="0" w:type="dxa"/>
            <w:vAlign w:val="bottom"/>
          </w:tcPr>
          <w:p>
            <w:pPr>
              <w:spacing w:after="0"/>
              <w:rPr>
                <w:sz w:val="1"/>
                <w:szCs w:val="1"/>
                <w:color w:val="auto"/>
              </w:rPr>
            </w:pPr>
          </w:p>
        </w:tc>
      </w:tr>
      <w:tr>
        <w:trPr>
          <w:trHeight w:val="158"/>
        </w:trPr>
        <w:tc>
          <w:tcPr>
            <w:tcW w:w="140" w:type="dxa"/>
            <w:vAlign w:val="bottom"/>
          </w:tcPr>
          <w:p>
            <w:pPr>
              <w:spacing w:after="0"/>
              <w:rPr>
                <w:sz w:val="13"/>
                <w:szCs w:val="13"/>
                <w:color w:val="auto"/>
              </w:rPr>
            </w:pPr>
          </w:p>
        </w:tc>
        <w:tc>
          <w:tcPr>
            <w:tcW w:w="1800" w:type="dxa"/>
            <w:vAlign w:val="bottom"/>
            <w:gridSpan w:val="3"/>
          </w:tcPr>
          <w:p>
            <w:pPr>
              <w:ind w:left="160"/>
              <w:spacing w:after="0"/>
              <w:rPr>
                <w:sz w:val="20"/>
                <w:szCs w:val="20"/>
                <w:color w:val="auto"/>
              </w:rPr>
            </w:pPr>
            <w:r>
              <w:rPr>
                <w:rFonts w:ascii="Arial" w:cs="Arial" w:eastAsia="Arial" w:hAnsi="Arial"/>
                <w:sz w:val="12"/>
                <w:szCs w:val="12"/>
                <w:color w:val="auto"/>
              </w:rPr>
              <w:t>Drop Down</w:t>
            </w:r>
          </w:p>
        </w:tc>
        <w:tc>
          <w:tcPr>
            <w:tcW w:w="520" w:type="dxa"/>
            <w:vAlign w:val="bottom"/>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880" w:type="dxa"/>
            <w:vAlign w:val="bottom"/>
          </w:tcPr>
          <w:p>
            <w:pPr>
              <w:spacing w:after="0"/>
              <w:rPr>
                <w:sz w:val="13"/>
                <w:szCs w:val="13"/>
                <w:color w:val="auto"/>
              </w:rPr>
            </w:pPr>
          </w:p>
        </w:tc>
        <w:tc>
          <w:tcPr>
            <w:tcW w:w="360" w:type="dxa"/>
            <w:vAlign w:val="bottom"/>
            <w:gridSpan w:val="3"/>
            <w:vMerge w:val="continue"/>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4"/>
            <w:vMerge w:val="continue"/>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40" w:type="dxa"/>
            <w:vAlign w:val="bottom"/>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40" w:type="dxa"/>
            <w:vAlign w:val="bottom"/>
            <w:gridSpan w:val="2"/>
            <w:shd w:val="clear" w:color="auto" w:fill="CCEEFF"/>
          </w:tcPr>
          <w:p>
            <w:pPr>
              <w:ind w:left="280"/>
              <w:spacing w:after="0" w:line="129" w:lineRule="exact"/>
              <w:rPr>
                <w:sz w:val="20"/>
                <w:szCs w:val="20"/>
                <w:color w:val="auto"/>
              </w:rPr>
            </w:pPr>
            <w:r>
              <w:rPr>
                <w:rFonts w:ascii="Arial" w:cs="Arial" w:eastAsia="Arial" w:hAnsi="Arial"/>
                <w:sz w:val="12"/>
                <w:szCs w:val="12"/>
                <w:color w:val="auto"/>
              </w:rPr>
              <w:t>Non-cash</w:t>
            </w: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140" w:type="dxa"/>
            <w:vAlign w:val="bottom"/>
          </w:tcPr>
          <w:p>
            <w:pPr>
              <w:spacing w:after="0"/>
              <w:rPr>
                <w:sz w:val="10"/>
                <w:szCs w:val="10"/>
                <w:color w:val="auto"/>
              </w:rPr>
            </w:pPr>
          </w:p>
        </w:tc>
        <w:tc>
          <w:tcPr>
            <w:tcW w:w="1800" w:type="dxa"/>
            <w:vAlign w:val="bottom"/>
            <w:gridSpan w:val="3"/>
            <w:shd w:val="clear" w:color="auto" w:fill="CCEEFF"/>
          </w:tcPr>
          <w:p>
            <w:pPr>
              <w:ind w:left="160"/>
              <w:spacing w:after="0" w:line="124" w:lineRule="exact"/>
              <w:rPr>
                <w:sz w:val="20"/>
                <w:szCs w:val="20"/>
                <w:color w:val="auto"/>
              </w:rPr>
            </w:pPr>
            <w:r>
              <w:rPr>
                <w:rFonts w:ascii="Arial" w:cs="Arial" w:eastAsia="Arial" w:hAnsi="Arial"/>
                <w:sz w:val="12"/>
                <w:szCs w:val="12"/>
                <w:color w:val="auto"/>
              </w:rPr>
              <w:t>adjustments for change</w:t>
            </w:r>
          </w:p>
        </w:tc>
        <w:tc>
          <w:tcPr>
            <w:tcW w:w="520" w:type="dxa"/>
            <w:vAlign w:val="bottom"/>
            <w:shd w:val="clear" w:color="auto" w:fill="CCEEFF"/>
          </w:tcPr>
          <w:p>
            <w:pPr>
              <w:spacing w:after="0"/>
              <w:rPr>
                <w:sz w:val="10"/>
                <w:szCs w:val="10"/>
                <w:color w:val="auto"/>
              </w:rPr>
            </w:pPr>
          </w:p>
        </w:tc>
        <w:tc>
          <w:tcPr>
            <w:tcW w:w="3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spacing w:after="0"/>
              <w:rPr>
                <w:sz w:val="10"/>
                <w:szCs w:val="10"/>
                <w:color w:val="auto"/>
              </w:rPr>
            </w:pPr>
          </w:p>
        </w:tc>
        <w:tc>
          <w:tcPr>
            <w:tcW w:w="36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8</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gridSpan w:val="2"/>
            <w:vMerge w:val="restart"/>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gridSpan w:val="4"/>
            <w:vMerge w:val="restart"/>
            <w:shd w:val="clear" w:color="auto" w:fill="CCEEFF"/>
          </w:tcPr>
          <w:p>
            <w:pPr>
              <w:jc w:val="right"/>
              <w:ind w:right="5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0"/>
                <w:szCs w:val="10"/>
                <w:color w:val="auto"/>
              </w:rPr>
            </w:pPr>
          </w:p>
        </w:tc>
        <w:tc>
          <w:tcPr>
            <w:tcW w:w="88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61"/>
        </w:trPr>
        <w:tc>
          <w:tcPr>
            <w:tcW w:w="140" w:type="dxa"/>
            <w:vAlign w:val="bottom"/>
          </w:tcPr>
          <w:p>
            <w:pPr>
              <w:spacing w:after="0"/>
              <w:rPr>
                <w:sz w:val="13"/>
                <w:szCs w:val="13"/>
                <w:color w:val="auto"/>
              </w:rPr>
            </w:pPr>
          </w:p>
        </w:tc>
        <w:tc>
          <w:tcPr>
            <w:tcW w:w="180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in tax basis</w:t>
            </w:r>
          </w:p>
        </w:tc>
        <w:tc>
          <w:tcPr>
            <w:tcW w:w="520" w:type="dxa"/>
            <w:vAlign w:val="bottom"/>
            <w:shd w:val="clear" w:color="auto" w:fill="CCEEFF"/>
          </w:tcPr>
          <w:p>
            <w:pPr>
              <w:spacing w:after="0"/>
              <w:rPr>
                <w:sz w:val="13"/>
                <w:szCs w:val="13"/>
                <w:color w:val="auto"/>
              </w:rPr>
            </w:pPr>
          </w:p>
        </w:tc>
        <w:tc>
          <w:tcPr>
            <w:tcW w:w="340" w:type="dxa"/>
            <w:vAlign w:val="bottom"/>
            <w:gridSpan w:val="2"/>
            <w:vMerge w:val="continue"/>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60" w:type="dxa"/>
            <w:vAlign w:val="bottom"/>
            <w:gridSpan w:val="3"/>
            <w:vMerge w:val="continue"/>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gridSpan w:val="2"/>
            <w:vMerge w:val="continue"/>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4"/>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gridSpan w:val="3"/>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40" w:type="dxa"/>
            <w:vAlign w:val="bottom"/>
            <w:gridSpan w:val="2"/>
          </w:tcPr>
          <w:p>
            <w:pPr>
              <w:ind w:left="280"/>
              <w:spacing w:after="0" w:line="127" w:lineRule="exact"/>
              <w:rPr>
                <w:sz w:val="20"/>
                <w:szCs w:val="20"/>
                <w:color w:val="auto"/>
              </w:rPr>
            </w:pPr>
            <w:r>
              <w:rPr>
                <w:rFonts w:ascii="Arial" w:cs="Arial" w:eastAsia="Arial" w:hAnsi="Arial"/>
                <w:sz w:val="12"/>
                <w:szCs w:val="12"/>
                <w:color w:val="auto"/>
              </w:rPr>
              <w:t>Stock based</w:t>
            </w:r>
          </w:p>
        </w:tc>
        <w:tc>
          <w:tcPr>
            <w:tcW w:w="520" w:type="dxa"/>
            <w:vAlign w:val="bottom"/>
          </w:tcPr>
          <w:p>
            <w:pPr>
              <w:spacing w:after="0"/>
              <w:rPr>
                <w:sz w:val="11"/>
                <w:szCs w:val="11"/>
                <w:color w:val="auto"/>
              </w:rPr>
            </w:pPr>
          </w:p>
        </w:tc>
        <w:tc>
          <w:tcPr>
            <w:tcW w:w="34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tcPr>
          <w:p>
            <w:pPr>
              <w:spacing w:after="0"/>
              <w:rPr>
                <w:sz w:val="11"/>
                <w:szCs w:val="11"/>
                <w:color w:val="auto"/>
              </w:rPr>
            </w:pPr>
          </w:p>
        </w:tc>
        <w:tc>
          <w:tcPr>
            <w:tcW w:w="360" w:type="dxa"/>
            <w:vAlign w:val="bottom"/>
            <w:gridSpan w:val="3"/>
            <w:vMerge w:val="restart"/>
          </w:tcPr>
          <w:p>
            <w:pPr>
              <w:jc w:val="right"/>
              <w:ind w:right="12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2"/>
                <w:szCs w:val="12"/>
                <w:color w:val="auto"/>
              </w:rPr>
              <w:t>(2)</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gridSpan w:val="2"/>
            <w:vMerge w:val="restart"/>
          </w:tcPr>
          <w:p>
            <w:pPr>
              <w:jc w:val="center"/>
              <w:spacing w:after="0"/>
              <w:rPr>
                <w:sz w:val="20"/>
                <w:szCs w:val="20"/>
                <w:color w:val="auto"/>
              </w:rPr>
            </w:pPr>
            <w:r>
              <w:rPr>
                <w:rFonts w:ascii="Arial" w:cs="Arial" w:eastAsia="Arial" w:hAnsi="Arial"/>
                <w:sz w:val="12"/>
                <w:szCs w:val="12"/>
                <w:color w:val="auto"/>
                <w:w w:val="99"/>
              </w:rPr>
              <w:t>—</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4"/>
            <w:vMerge w:val="restart"/>
          </w:tcPr>
          <w:p>
            <w:pPr>
              <w:jc w:val="right"/>
              <w:ind w:right="5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880" w:type="dxa"/>
            <w:vAlign w:val="bottom"/>
            <w:gridSpan w:val="3"/>
            <w:vMerge w:val="restart"/>
          </w:tcPr>
          <w:p>
            <w:pPr>
              <w:jc w:val="right"/>
              <w:ind w:right="12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58"/>
        </w:trPr>
        <w:tc>
          <w:tcPr>
            <w:tcW w:w="140" w:type="dxa"/>
            <w:vAlign w:val="bottom"/>
          </w:tcPr>
          <w:p>
            <w:pPr>
              <w:spacing w:after="0"/>
              <w:rPr>
                <w:sz w:val="13"/>
                <w:szCs w:val="13"/>
                <w:color w:val="auto"/>
              </w:rPr>
            </w:pPr>
          </w:p>
        </w:tc>
        <w:tc>
          <w:tcPr>
            <w:tcW w:w="1800" w:type="dxa"/>
            <w:vAlign w:val="bottom"/>
            <w:gridSpan w:val="3"/>
          </w:tcPr>
          <w:p>
            <w:pPr>
              <w:ind w:left="160"/>
              <w:spacing w:after="0"/>
              <w:rPr>
                <w:sz w:val="20"/>
                <w:szCs w:val="20"/>
                <w:color w:val="auto"/>
              </w:rPr>
            </w:pPr>
            <w:r>
              <w:rPr>
                <w:rFonts w:ascii="Arial" w:cs="Arial" w:eastAsia="Arial" w:hAnsi="Arial"/>
                <w:sz w:val="12"/>
                <w:szCs w:val="12"/>
                <w:color w:val="auto"/>
              </w:rPr>
              <w:t>compensation</w:t>
            </w:r>
          </w:p>
        </w:tc>
        <w:tc>
          <w:tcPr>
            <w:tcW w:w="520" w:type="dxa"/>
            <w:vAlign w:val="bottom"/>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880" w:type="dxa"/>
            <w:vAlign w:val="bottom"/>
          </w:tcPr>
          <w:p>
            <w:pPr>
              <w:spacing w:after="0"/>
              <w:rPr>
                <w:sz w:val="13"/>
                <w:szCs w:val="13"/>
                <w:color w:val="auto"/>
              </w:rPr>
            </w:pPr>
          </w:p>
        </w:tc>
        <w:tc>
          <w:tcPr>
            <w:tcW w:w="360" w:type="dxa"/>
            <w:vAlign w:val="bottom"/>
            <w:gridSpan w:val="3"/>
            <w:vMerge w:val="continue"/>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4"/>
            <w:vMerge w:val="continue"/>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40" w:type="dxa"/>
            <w:vAlign w:val="bottom"/>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40" w:type="dxa"/>
            <w:vAlign w:val="bottom"/>
            <w:gridSpan w:val="2"/>
            <w:shd w:val="clear" w:color="auto" w:fill="CCEEFF"/>
          </w:tcPr>
          <w:p>
            <w:pPr>
              <w:ind w:left="280"/>
              <w:spacing w:after="0" w:line="129" w:lineRule="exact"/>
              <w:rPr>
                <w:sz w:val="20"/>
                <w:szCs w:val="20"/>
                <w:color w:val="auto"/>
              </w:rPr>
            </w:pPr>
            <w:r>
              <w:rPr>
                <w:rFonts w:ascii="Arial" w:cs="Arial" w:eastAsia="Arial" w:hAnsi="Arial"/>
                <w:sz w:val="12"/>
                <w:szCs w:val="12"/>
                <w:color w:val="auto"/>
              </w:rPr>
              <w:t>Common</w:t>
            </w: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140" w:type="dxa"/>
            <w:vAlign w:val="bottom"/>
          </w:tcPr>
          <w:p>
            <w:pPr>
              <w:spacing w:after="0"/>
              <w:rPr>
                <w:sz w:val="10"/>
                <w:szCs w:val="10"/>
                <w:color w:val="auto"/>
              </w:rPr>
            </w:pPr>
          </w:p>
        </w:tc>
        <w:tc>
          <w:tcPr>
            <w:tcW w:w="1800" w:type="dxa"/>
            <w:vAlign w:val="bottom"/>
            <w:gridSpan w:val="3"/>
            <w:shd w:val="clear" w:color="auto" w:fill="CCEEFF"/>
          </w:tcPr>
          <w:p>
            <w:pPr>
              <w:ind w:left="160"/>
              <w:spacing w:after="0" w:line="124" w:lineRule="exact"/>
              <w:rPr>
                <w:sz w:val="20"/>
                <w:szCs w:val="20"/>
                <w:color w:val="auto"/>
              </w:rPr>
            </w:pPr>
            <w:r>
              <w:rPr>
                <w:rFonts w:ascii="Arial" w:cs="Arial" w:eastAsia="Arial" w:hAnsi="Arial"/>
                <w:sz w:val="12"/>
                <w:szCs w:val="12"/>
                <w:color w:val="auto"/>
              </w:rPr>
              <w:t>stock dividends and</w:t>
            </w:r>
          </w:p>
        </w:tc>
        <w:tc>
          <w:tcPr>
            <w:tcW w:w="5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40" w:type="dxa"/>
            <w:vAlign w:val="bottom"/>
          </w:tcPr>
          <w:p>
            <w:pPr>
              <w:spacing w:after="0"/>
              <w:rPr>
                <w:sz w:val="10"/>
                <w:szCs w:val="10"/>
                <w:color w:val="auto"/>
              </w:rPr>
            </w:pPr>
          </w:p>
        </w:tc>
        <w:tc>
          <w:tcPr>
            <w:tcW w:w="1800" w:type="dxa"/>
            <w:vAlign w:val="bottom"/>
            <w:gridSpan w:val="3"/>
            <w:shd w:val="clear" w:color="auto" w:fill="CCEEFF"/>
          </w:tcPr>
          <w:p>
            <w:pPr>
              <w:ind w:left="160"/>
              <w:spacing w:after="0" w:line="124" w:lineRule="exact"/>
              <w:rPr>
                <w:sz w:val="20"/>
                <w:szCs w:val="20"/>
                <w:color w:val="auto"/>
              </w:rPr>
            </w:pPr>
            <w:r>
              <w:rPr>
                <w:rFonts w:ascii="Arial" w:cs="Arial" w:eastAsia="Arial" w:hAnsi="Arial"/>
                <w:sz w:val="12"/>
                <w:szCs w:val="12"/>
                <w:color w:val="auto"/>
              </w:rPr>
              <w:t>distributions to CEG</w:t>
            </w:r>
          </w:p>
        </w:tc>
        <w:tc>
          <w:tcPr>
            <w:tcW w:w="520" w:type="dxa"/>
            <w:vAlign w:val="bottom"/>
            <w:shd w:val="clear" w:color="auto" w:fill="CCEEFF"/>
          </w:tcPr>
          <w:p>
            <w:pPr>
              <w:spacing w:after="0"/>
              <w:rPr>
                <w:sz w:val="10"/>
                <w:szCs w:val="10"/>
                <w:color w:val="auto"/>
              </w:rPr>
            </w:pP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vMerge w:val="restart"/>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300" w:type="dxa"/>
            <w:vAlign w:val="bottom"/>
            <w:gridSpan w:val="2"/>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60" w:type="dxa"/>
            <w:vAlign w:val="bottom"/>
            <w:vMerge w:val="restart"/>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(40)</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vMerge w:val="restart"/>
            <w:shd w:val="clear" w:color="auto" w:fill="CCEEFF"/>
          </w:tcPr>
          <w:p>
            <w:pPr>
              <w:jc w:val="center"/>
              <w:ind w:left="39"/>
              <w:spacing w:after="0"/>
              <w:rPr>
                <w:sz w:val="20"/>
                <w:szCs w:val="20"/>
                <w:color w:val="auto"/>
              </w:rPr>
            </w:pPr>
            <w:r>
              <w:rPr>
                <w:rFonts w:ascii="Arial" w:cs="Arial" w:eastAsia="Arial" w:hAnsi="Arial"/>
                <w:sz w:val="12"/>
                <w:szCs w:val="12"/>
                <w:color w:val="auto"/>
                <w:w w:val="99"/>
              </w:rPr>
              <w:t>—</w:t>
            </w:r>
          </w:p>
        </w:tc>
        <w:tc>
          <w:tcPr>
            <w:tcW w:w="60" w:type="dxa"/>
            <w:vAlign w:val="bottom"/>
            <w:vMerge w:val="restart"/>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vMerge w:val="restart"/>
            <w:shd w:val="clear" w:color="auto" w:fill="CCEEFF"/>
          </w:tcPr>
          <w:p>
            <w:pPr>
              <w:spacing w:after="0"/>
              <w:rPr>
                <w:sz w:val="10"/>
                <w:szCs w:val="10"/>
                <w:color w:val="auto"/>
              </w:rPr>
            </w:pPr>
          </w:p>
        </w:tc>
        <w:tc>
          <w:tcPr>
            <w:tcW w:w="400" w:type="dxa"/>
            <w:vAlign w:val="bottom"/>
            <w:gridSpan w:val="2"/>
            <w:vMerge w:val="restart"/>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(70)</w:t>
            </w:r>
          </w:p>
        </w:tc>
        <w:tc>
          <w:tcPr>
            <w:tcW w:w="0" w:type="dxa"/>
            <w:vAlign w:val="bottom"/>
          </w:tcPr>
          <w:p>
            <w:pPr>
              <w:spacing w:after="0"/>
              <w:rPr>
                <w:sz w:val="1"/>
                <w:szCs w:val="1"/>
                <w:color w:val="auto"/>
              </w:rPr>
            </w:pPr>
          </w:p>
        </w:tc>
      </w:tr>
      <w:tr>
        <w:trPr>
          <w:trHeight w:val="161"/>
        </w:trPr>
        <w:tc>
          <w:tcPr>
            <w:tcW w:w="140" w:type="dxa"/>
            <w:vAlign w:val="bottom"/>
          </w:tcPr>
          <w:p>
            <w:pPr>
              <w:spacing w:after="0"/>
              <w:rPr>
                <w:sz w:val="13"/>
                <w:szCs w:val="13"/>
                <w:color w:val="auto"/>
              </w:rPr>
            </w:pPr>
          </w:p>
        </w:tc>
        <w:tc>
          <w:tcPr>
            <w:tcW w:w="136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unit holders</w:t>
            </w:r>
          </w:p>
        </w:tc>
        <w:tc>
          <w:tcPr>
            <w:tcW w:w="44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vMerge w:val="continue"/>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gridSpan w:val="2"/>
            <w:vMerge w:val="continue"/>
            <w:shd w:val="clear" w:color="auto" w:fill="CCEEFF"/>
          </w:tcPr>
          <w:p>
            <w:pPr>
              <w:spacing w:after="0"/>
              <w:rPr>
                <w:sz w:val="13"/>
                <w:szCs w:val="13"/>
                <w:color w:val="auto"/>
              </w:rPr>
            </w:pPr>
          </w:p>
        </w:tc>
        <w:tc>
          <w:tcPr>
            <w:tcW w:w="60" w:type="dxa"/>
            <w:vAlign w:val="bottom"/>
            <w:vMerge w:val="continue"/>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vMerge w:val="continue"/>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vMerge w:val="continue"/>
            <w:shd w:val="clear" w:color="auto" w:fill="CCEEFF"/>
          </w:tcPr>
          <w:p>
            <w:pPr>
              <w:spacing w:after="0"/>
              <w:rPr>
                <w:sz w:val="13"/>
                <w:szCs w:val="13"/>
                <w:color w:val="auto"/>
              </w:rPr>
            </w:pPr>
          </w:p>
        </w:tc>
        <w:tc>
          <w:tcPr>
            <w:tcW w:w="400" w:type="dxa"/>
            <w:vAlign w:val="bottom"/>
            <w:tcBorders>
              <w:bottom w:val="single" w:sz="8" w:color="auto"/>
            </w:tcBorders>
            <w:gridSpan w:val="2"/>
            <w:vMerge w:val="continue"/>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0" w:type="dxa"/>
            <w:vAlign w:val="bottom"/>
          </w:tcPr>
          <w:p>
            <w:pPr>
              <w:ind w:left="140"/>
              <w:spacing w:after="0" w:line="103" w:lineRule="exact"/>
              <w:rPr>
                <w:sz w:val="20"/>
                <w:szCs w:val="20"/>
                <w:color w:val="auto"/>
              </w:rPr>
            </w:pPr>
            <w:r>
              <w:rPr>
                <w:rFonts w:ascii="Arial" w:cs="Arial" w:eastAsia="Arial" w:hAnsi="Arial"/>
                <w:sz w:val="11"/>
                <w:szCs w:val="11"/>
                <w:b w:val="1"/>
                <w:bCs w:val="1"/>
                <w:color w:val="auto"/>
              </w:rPr>
              <w:t>Balances at</w:t>
            </w:r>
          </w:p>
        </w:tc>
        <w:tc>
          <w:tcPr>
            <w:tcW w:w="440" w:type="dxa"/>
            <w:vAlign w:val="bottom"/>
          </w:tcPr>
          <w:p>
            <w:pPr>
              <w:spacing w:after="0"/>
              <w:rPr>
                <w:sz w:val="8"/>
                <w:szCs w:val="8"/>
                <w:color w:val="auto"/>
              </w:rPr>
            </w:pPr>
          </w:p>
        </w:tc>
        <w:tc>
          <w:tcPr>
            <w:tcW w:w="520" w:type="dxa"/>
            <w:vAlign w:val="bottom"/>
            <w:vMerge w:val="restart"/>
          </w:tcPr>
          <w:p>
            <w:pPr>
              <w:jc w:val="right"/>
              <w:ind w:right="343"/>
              <w:spacing w:after="0"/>
              <w:rPr>
                <w:sz w:val="20"/>
                <w:szCs w:val="20"/>
                <w:color w:val="auto"/>
              </w:rPr>
            </w:pPr>
            <w:r>
              <w:rPr>
                <w:rFonts w:ascii="Arial" w:cs="Arial" w:eastAsia="Arial" w:hAnsi="Arial"/>
                <w:sz w:val="12"/>
                <w:szCs w:val="12"/>
                <w:color w:val="auto"/>
              </w:rPr>
              <w:t>$</w:t>
            </w:r>
          </w:p>
        </w:tc>
        <w:tc>
          <w:tcPr>
            <w:tcW w:w="34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vMerge w:val="restart"/>
          </w:tcPr>
          <w:p>
            <w:pPr>
              <w:ind w:left="500"/>
              <w:spacing w:after="0"/>
              <w:rPr>
                <w:sz w:val="20"/>
                <w:szCs w:val="20"/>
                <w:color w:val="auto"/>
              </w:rPr>
            </w:pPr>
            <w:r>
              <w:rPr>
                <w:rFonts w:ascii="Arial" w:cs="Arial" w:eastAsia="Arial" w:hAnsi="Arial"/>
                <w:sz w:val="12"/>
                <w:szCs w:val="12"/>
                <w:color w:val="auto"/>
              </w:rPr>
              <w:t>$</w:t>
            </w:r>
          </w:p>
        </w:tc>
        <w:tc>
          <w:tcPr>
            <w:tcW w:w="300" w:type="dxa"/>
            <w:vAlign w:val="bottom"/>
            <w:gridSpan w:val="2"/>
            <w:vMerge w:val="restart"/>
          </w:tcPr>
          <w:p>
            <w:pPr>
              <w:jc w:val="right"/>
              <w:ind w:right="2"/>
              <w:spacing w:after="0"/>
              <w:rPr>
                <w:sz w:val="20"/>
                <w:szCs w:val="20"/>
                <w:color w:val="auto"/>
              </w:rPr>
            </w:pPr>
            <w:r>
              <w:rPr>
                <w:rFonts w:ascii="Arial" w:cs="Arial" w:eastAsia="Arial" w:hAnsi="Arial"/>
                <w:sz w:val="12"/>
                <w:szCs w:val="12"/>
                <w:color w:val="auto"/>
              </w:rPr>
              <w:t>1</w:t>
            </w:r>
          </w:p>
        </w:tc>
        <w:tc>
          <w:tcPr>
            <w:tcW w:w="60" w:type="dxa"/>
            <w:vAlign w:val="bottom"/>
          </w:tcPr>
          <w:p>
            <w:pPr>
              <w:spacing w:after="0"/>
              <w:rPr>
                <w:sz w:val="8"/>
                <w:szCs w:val="8"/>
                <w:color w:val="auto"/>
              </w:rPr>
            </w:pPr>
          </w:p>
        </w:tc>
        <w:tc>
          <w:tcPr>
            <w:tcW w:w="640" w:type="dxa"/>
            <w:vAlign w:val="bottom"/>
            <w:vMerge w:val="restart"/>
          </w:tcPr>
          <w:p>
            <w:pPr>
              <w:jc w:val="right"/>
              <w:ind w:right="22"/>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Arial" w:cs="Arial" w:eastAsia="Arial" w:hAnsi="Arial"/>
                <w:sz w:val="12"/>
                <w:szCs w:val="12"/>
                <w:color w:val="auto"/>
              </w:rPr>
              <w:t>1,826</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vMerge w:val="restart"/>
          </w:tcPr>
          <w:p>
            <w:pPr>
              <w:jc w:val="right"/>
              <w:ind w:right="282"/>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8"/>
                <w:szCs w:val="8"/>
                <w:color w:val="auto"/>
              </w:rPr>
            </w:pPr>
          </w:p>
        </w:tc>
        <w:tc>
          <w:tcPr>
            <w:tcW w:w="300" w:type="dxa"/>
            <w:vAlign w:val="bottom"/>
            <w:vMerge w:val="restart"/>
          </w:tcPr>
          <w:p>
            <w:pPr>
              <w:jc w:val="center"/>
              <w:spacing w:after="0"/>
              <w:rPr>
                <w:sz w:val="20"/>
                <w:szCs w:val="20"/>
                <w:color w:val="auto"/>
              </w:rPr>
            </w:pPr>
            <w:r>
              <w:rPr>
                <w:rFonts w:ascii="Arial" w:cs="Arial" w:eastAsia="Arial" w:hAnsi="Arial"/>
                <w:sz w:val="12"/>
                <w:szCs w:val="12"/>
                <w:color w:val="auto"/>
                <w:w w:val="93"/>
              </w:rPr>
              <w:t>(65)</w:t>
            </w: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gridSpan w:val="2"/>
            <w:vMerge w:val="restart"/>
          </w:tcPr>
          <w:p>
            <w:pPr>
              <w:jc w:val="right"/>
              <w:ind w:right="20"/>
              <w:spacing w:after="0"/>
              <w:rPr>
                <w:sz w:val="20"/>
                <w:szCs w:val="20"/>
                <w:color w:val="auto"/>
              </w:rPr>
            </w:pPr>
            <w:r>
              <w:rPr>
                <w:rFonts w:ascii="Arial" w:cs="Arial" w:eastAsia="Arial" w:hAnsi="Arial"/>
                <w:sz w:val="12"/>
                <w:szCs w:val="12"/>
                <w:color w:val="auto"/>
                <w:w w:val="89"/>
              </w:rPr>
              <w:t>$</w:t>
            </w:r>
          </w:p>
        </w:tc>
        <w:tc>
          <w:tcPr>
            <w:tcW w:w="80" w:type="dxa"/>
            <w:vAlign w:val="bottom"/>
          </w:tcPr>
          <w:p>
            <w:pPr>
              <w:spacing w:after="0"/>
              <w:rPr>
                <w:sz w:val="8"/>
                <w:szCs w:val="8"/>
                <w:color w:val="auto"/>
              </w:rPr>
            </w:pPr>
          </w:p>
        </w:tc>
        <w:tc>
          <w:tcPr>
            <w:tcW w:w="1040" w:type="dxa"/>
            <w:vAlign w:val="bottom"/>
            <w:gridSpan w:val="4"/>
            <w:vMerge w:val="restart"/>
          </w:tcPr>
          <w:p>
            <w:pPr>
              <w:jc w:val="right"/>
              <w:ind w:right="520"/>
              <w:spacing w:after="0"/>
              <w:rPr>
                <w:sz w:val="20"/>
                <w:szCs w:val="20"/>
                <w:color w:val="auto"/>
              </w:rPr>
            </w:pPr>
            <w:r>
              <w:rPr>
                <w:rFonts w:ascii="Arial" w:cs="Arial" w:eastAsia="Arial" w:hAnsi="Arial"/>
                <w:sz w:val="12"/>
                <w:szCs w:val="12"/>
                <w:color w:val="auto"/>
              </w:rPr>
              <w:t>—</w:t>
            </w:r>
          </w:p>
        </w:tc>
        <w:tc>
          <w:tcPr>
            <w:tcW w:w="1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20" w:type="dxa"/>
            <w:vAlign w:val="bottom"/>
            <w:vMerge w:val="restart"/>
          </w:tcPr>
          <w:p>
            <w:pPr>
              <w:jc w:val="right"/>
              <w:spacing w:after="0"/>
              <w:rPr>
                <w:sz w:val="20"/>
                <w:szCs w:val="20"/>
                <w:color w:val="auto"/>
              </w:rPr>
            </w:pPr>
            <w:r>
              <w:rPr>
                <w:rFonts w:ascii="Arial" w:cs="Arial" w:eastAsia="Arial" w:hAnsi="Arial"/>
                <w:sz w:val="12"/>
                <w:szCs w:val="12"/>
                <w:color w:val="auto"/>
              </w:rPr>
              <w:t>1,377</w:t>
            </w: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vMerge w:val="restart"/>
          </w:tcPr>
          <w:p>
            <w:pPr>
              <w:jc w:val="right"/>
              <w:ind w:right="343"/>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8"/>
                <w:szCs w:val="8"/>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w w:val="86"/>
              </w:rPr>
              <w:t>3,139</w:t>
            </w:r>
          </w:p>
        </w:tc>
        <w:tc>
          <w:tcPr>
            <w:tcW w:w="0" w:type="dxa"/>
            <w:vAlign w:val="bottom"/>
          </w:tcPr>
          <w:p>
            <w:pPr>
              <w:spacing w:after="0"/>
              <w:rPr>
                <w:sz w:val="1"/>
                <w:szCs w:val="1"/>
                <w:color w:val="auto"/>
              </w:rPr>
            </w:pPr>
          </w:p>
        </w:tc>
      </w:tr>
      <w:tr>
        <w:trPr>
          <w:trHeight w:val="160"/>
        </w:trPr>
        <w:tc>
          <w:tcPr>
            <w:tcW w:w="140" w:type="dxa"/>
            <w:vAlign w:val="bottom"/>
          </w:tcPr>
          <w:p>
            <w:pPr>
              <w:spacing w:after="0"/>
              <w:rPr>
                <w:sz w:val="13"/>
                <w:szCs w:val="13"/>
                <w:color w:val="auto"/>
              </w:rPr>
            </w:pPr>
          </w:p>
        </w:tc>
        <w:tc>
          <w:tcPr>
            <w:tcW w:w="1800" w:type="dxa"/>
            <w:vAlign w:val="bottom"/>
            <w:gridSpan w:val="3"/>
          </w:tcPr>
          <w:p>
            <w:pPr>
              <w:spacing w:after="0"/>
              <w:rPr>
                <w:sz w:val="20"/>
                <w:szCs w:val="20"/>
                <w:color w:val="auto"/>
              </w:rPr>
            </w:pPr>
            <w:r>
              <w:rPr>
                <w:rFonts w:ascii="Arial" w:cs="Arial" w:eastAsia="Arial" w:hAnsi="Arial"/>
                <w:sz w:val="12"/>
                <w:szCs w:val="12"/>
                <w:b w:val="1"/>
                <w:bCs w:val="1"/>
                <w:color w:val="auto"/>
              </w:rPr>
              <w:t>March 31, 2022</w:t>
            </w:r>
          </w:p>
        </w:tc>
        <w:tc>
          <w:tcPr>
            <w:tcW w:w="520" w:type="dxa"/>
            <w:vAlign w:val="bottom"/>
            <w:vMerge w:val="continue"/>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3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4"/>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48"/>
        </w:trPr>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40" w:type="dxa"/>
            <w:vAlign w:val="bottom"/>
            <w:gridSpan w:val="10"/>
          </w:tcPr>
          <w:p>
            <w:pPr>
              <w:jc w:val="center"/>
              <w:ind w:left="2"/>
              <w:spacing w:after="0"/>
              <w:rPr>
                <w:sz w:val="20"/>
                <w:szCs w:val="20"/>
                <w:color w:val="auto"/>
              </w:rPr>
            </w:pPr>
            <w:r>
              <w:rPr>
                <w:rFonts w:ascii="Arial" w:cs="Arial" w:eastAsia="Arial" w:hAnsi="Arial"/>
                <w:sz w:val="14"/>
                <w:szCs w:val="14"/>
                <w:b w:val="1"/>
                <w:bCs w:val="1"/>
                <w:color w:val="auto"/>
                <w:w w:val="96"/>
              </w:rPr>
              <w:t>CLEARWAY ENERGY, INC.</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540" w:type="dxa"/>
            <w:vAlign w:val="bottom"/>
            <w:gridSpan w:val="17"/>
          </w:tcPr>
          <w:p>
            <w:pPr>
              <w:jc w:val="center"/>
              <w:ind w:left="380"/>
              <w:spacing w:after="0"/>
              <w:rPr>
                <w:sz w:val="20"/>
                <w:szCs w:val="20"/>
                <w:color w:val="auto"/>
              </w:rPr>
            </w:pPr>
            <w:r>
              <w:rPr>
                <w:rFonts w:ascii="Arial" w:cs="Arial" w:eastAsia="Arial" w:hAnsi="Arial"/>
                <w:sz w:val="14"/>
                <w:szCs w:val="14"/>
                <w:b w:val="1"/>
                <w:bCs w:val="1"/>
                <w:color w:val="auto"/>
                <w:w w:val="97"/>
              </w:rPr>
              <w:t>CONSOLIDATED STATEMENTS OF STOCKHOLDERS' EQUITY</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20" w:type="dxa"/>
            <w:vAlign w:val="bottom"/>
            <w:gridSpan w:val="14"/>
          </w:tcPr>
          <w:p>
            <w:pPr>
              <w:jc w:val="center"/>
              <w:ind w:right="200"/>
              <w:spacing w:after="0"/>
              <w:rPr>
                <w:sz w:val="20"/>
                <w:szCs w:val="20"/>
                <w:color w:val="auto"/>
              </w:rPr>
            </w:pPr>
            <w:r>
              <w:rPr>
                <w:rFonts w:ascii="Arial" w:cs="Arial" w:eastAsia="Arial" w:hAnsi="Arial"/>
                <w:sz w:val="14"/>
                <w:szCs w:val="14"/>
                <w:b w:val="1"/>
                <w:bCs w:val="1"/>
                <w:color w:val="auto"/>
                <w:w w:val="89"/>
              </w:rPr>
              <w:t>For the Three Months Ended March 31, 2021</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89"/>
              </w:rPr>
              <w:t>(Unaudited)</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89"/>
              </w:rPr>
              <w:t>Additional</w:t>
            </w: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gridSpan w:val="4"/>
          </w:tcPr>
          <w:p>
            <w:pPr>
              <w:jc w:val="center"/>
              <w:ind w:right="160"/>
              <w:spacing w:after="0"/>
              <w:rPr>
                <w:sz w:val="20"/>
                <w:szCs w:val="20"/>
                <w:color w:val="auto"/>
              </w:rPr>
            </w:pPr>
            <w:r>
              <w:rPr>
                <w:rFonts w:ascii="Arial" w:cs="Arial" w:eastAsia="Arial" w:hAnsi="Arial"/>
                <w:sz w:val="10"/>
                <w:szCs w:val="10"/>
                <w:b w:val="1"/>
                <w:bCs w:val="1"/>
                <w:color w:val="auto"/>
                <w:w w:val="89"/>
              </w:rPr>
              <w:t>Accumulated</w:t>
            </w:r>
          </w:p>
        </w:tc>
        <w:tc>
          <w:tcPr>
            <w:tcW w:w="180" w:type="dxa"/>
            <w:vAlign w:val="bottom"/>
          </w:tcPr>
          <w:p>
            <w:pPr>
              <w:spacing w:after="0"/>
              <w:rPr>
                <w:sz w:val="9"/>
                <w:szCs w:val="9"/>
                <w:color w:val="auto"/>
              </w:rPr>
            </w:pPr>
          </w:p>
        </w:tc>
        <w:tc>
          <w:tcPr>
            <w:tcW w:w="880" w:type="dxa"/>
            <w:vAlign w:val="bottom"/>
            <w:gridSpan w:val="3"/>
            <w:vMerge w:val="restart"/>
          </w:tcPr>
          <w:p>
            <w:pPr>
              <w:jc w:val="center"/>
              <w:ind w:right="220"/>
              <w:spacing w:after="0"/>
              <w:rPr>
                <w:sz w:val="20"/>
                <w:szCs w:val="20"/>
                <w:color w:val="auto"/>
              </w:rPr>
            </w:pPr>
            <w:r>
              <w:rPr>
                <w:rFonts w:ascii="Arial" w:cs="Arial" w:eastAsia="Arial" w:hAnsi="Arial"/>
                <w:sz w:val="10"/>
                <w:szCs w:val="10"/>
                <w:b w:val="1"/>
                <w:bCs w:val="1"/>
                <w:color w:val="auto"/>
                <w:w w:val="88"/>
              </w:rPr>
              <w:t>Non-controlling</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3"/>
              </w:rPr>
              <w:t>Total</w:t>
            </w: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1940" w:type="dxa"/>
            <w:vAlign w:val="bottom"/>
            <w:gridSpan w:val="4"/>
            <w:vMerge w:val="restart"/>
          </w:tcPr>
          <w:p>
            <w:pPr>
              <w:spacing w:after="0"/>
              <w:rPr>
                <w:sz w:val="20"/>
                <w:szCs w:val="20"/>
                <w:color w:val="auto"/>
              </w:rPr>
            </w:pPr>
            <w:r>
              <w:rPr>
                <w:rFonts w:ascii="Arial" w:cs="Arial" w:eastAsia="Arial" w:hAnsi="Arial"/>
                <w:sz w:val="10"/>
                <w:szCs w:val="10"/>
                <w:b w:val="1"/>
                <w:bCs w:val="1"/>
                <w:color w:val="auto"/>
              </w:rPr>
              <w:t>(In millions)</w:t>
            </w: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gridSpan w:val="3"/>
            <w:vMerge w:val="restart"/>
          </w:tcPr>
          <w:p>
            <w:pPr>
              <w:jc w:val="right"/>
              <w:ind w:right="2"/>
              <w:spacing w:after="0"/>
              <w:rPr>
                <w:sz w:val="20"/>
                <w:szCs w:val="20"/>
                <w:color w:val="auto"/>
              </w:rPr>
            </w:pPr>
            <w:r>
              <w:rPr>
                <w:rFonts w:ascii="Arial" w:cs="Arial" w:eastAsia="Arial" w:hAnsi="Arial"/>
                <w:sz w:val="10"/>
                <w:szCs w:val="10"/>
                <w:b w:val="1"/>
                <w:bCs w:val="1"/>
                <w:color w:val="auto"/>
                <w:w w:val="91"/>
              </w:rPr>
              <w:t>Preferred Stock</w:t>
            </w:r>
          </w:p>
        </w:tc>
        <w:tc>
          <w:tcPr>
            <w:tcW w:w="80" w:type="dxa"/>
            <w:vAlign w:val="bottom"/>
          </w:tcPr>
          <w:p>
            <w:pPr>
              <w:spacing w:after="0"/>
              <w:rPr>
                <w:sz w:val="8"/>
                <w:szCs w:val="8"/>
                <w:color w:val="auto"/>
              </w:rPr>
            </w:pPr>
          </w:p>
        </w:tc>
        <w:tc>
          <w:tcPr>
            <w:tcW w:w="740" w:type="dxa"/>
            <w:vAlign w:val="bottom"/>
            <w:gridSpan w:val="3"/>
            <w:vMerge w:val="restart"/>
          </w:tcPr>
          <w:p>
            <w:pPr>
              <w:jc w:val="right"/>
              <w:ind w:right="40"/>
              <w:spacing w:after="0"/>
              <w:rPr>
                <w:sz w:val="20"/>
                <w:szCs w:val="20"/>
                <w:color w:val="auto"/>
              </w:rPr>
            </w:pPr>
            <w:r>
              <w:rPr>
                <w:rFonts w:ascii="Arial" w:cs="Arial" w:eastAsia="Arial" w:hAnsi="Arial"/>
                <w:sz w:val="10"/>
                <w:szCs w:val="10"/>
                <w:b w:val="1"/>
                <w:bCs w:val="1"/>
                <w:color w:val="auto"/>
                <w:w w:val="92"/>
              </w:rPr>
              <w:t>Common Stock</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gridSpan w:val="2"/>
          </w:tcPr>
          <w:p>
            <w:pPr>
              <w:jc w:val="center"/>
              <w:ind w:right="220"/>
              <w:spacing w:after="0" w:line="92" w:lineRule="exact"/>
              <w:rPr>
                <w:sz w:val="20"/>
                <w:szCs w:val="20"/>
                <w:color w:val="auto"/>
              </w:rPr>
            </w:pPr>
            <w:r>
              <w:rPr>
                <w:rFonts w:ascii="Arial" w:cs="Arial" w:eastAsia="Arial" w:hAnsi="Arial"/>
                <w:sz w:val="10"/>
                <w:szCs w:val="10"/>
                <w:b w:val="1"/>
                <w:bCs w:val="1"/>
                <w:color w:val="auto"/>
                <w:w w:val="89"/>
              </w:rPr>
              <w:t>Paid-In</w:t>
            </w:r>
          </w:p>
        </w:tc>
        <w:tc>
          <w:tcPr>
            <w:tcW w:w="860" w:type="dxa"/>
            <w:vAlign w:val="bottom"/>
            <w:gridSpan w:val="3"/>
            <w:vMerge w:val="restart"/>
          </w:tcPr>
          <w:p>
            <w:pPr>
              <w:jc w:val="right"/>
              <w:spacing w:after="0"/>
              <w:rPr>
                <w:sz w:val="20"/>
                <w:szCs w:val="20"/>
                <w:color w:val="auto"/>
              </w:rPr>
            </w:pPr>
            <w:r>
              <w:rPr>
                <w:rFonts w:ascii="Arial" w:cs="Arial" w:eastAsia="Arial" w:hAnsi="Arial"/>
                <w:sz w:val="10"/>
                <w:szCs w:val="10"/>
                <w:b w:val="1"/>
                <w:bCs w:val="1"/>
                <w:color w:val="auto"/>
                <w:w w:val="87"/>
              </w:rPr>
              <w:t>Accumulated Deficit</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gridSpan w:val="4"/>
          </w:tcPr>
          <w:p>
            <w:pPr>
              <w:jc w:val="center"/>
              <w:ind w:right="160"/>
              <w:spacing w:after="0" w:line="92" w:lineRule="exact"/>
              <w:rPr>
                <w:sz w:val="20"/>
                <w:szCs w:val="20"/>
                <w:color w:val="auto"/>
              </w:rPr>
            </w:pPr>
            <w:r>
              <w:rPr>
                <w:rFonts w:ascii="Arial" w:cs="Arial" w:eastAsia="Arial" w:hAnsi="Arial"/>
                <w:sz w:val="10"/>
                <w:szCs w:val="10"/>
                <w:b w:val="1"/>
                <w:bCs w:val="1"/>
                <w:color w:val="auto"/>
                <w:w w:val="89"/>
              </w:rPr>
              <w:t>Other</w:t>
            </w:r>
          </w:p>
        </w:tc>
        <w:tc>
          <w:tcPr>
            <w:tcW w:w="180" w:type="dxa"/>
            <w:vAlign w:val="bottom"/>
          </w:tcPr>
          <w:p>
            <w:pPr>
              <w:spacing w:after="0"/>
              <w:rPr>
                <w:sz w:val="8"/>
                <w:szCs w:val="8"/>
                <w:color w:val="auto"/>
              </w:rPr>
            </w:pPr>
          </w:p>
        </w:tc>
        <w:tc>
          <w:tcPr>
            <w:tcW w:w="88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gridSpan w:val="2"/>
          </w:tcPr>
          <w:p>
            <w:pPr>
              <w:jc w:val="center"/>
              <w:ind w:right="220"/>
              <w:spacing w:after="0" w:line="92" w:lineRule="exact"/>
              <w:rPr>
                <w:sz w:val="20"/>
                <w:szCs w:val="20"/>
                <w:color w:val="auto"/>
              </w:rPr>
            </w:pPr>
            <w:r>
              <w:rPr>
                <w:rFonts w:ascii="Arial" w:cs="Arial" w:eastAsia="Arial" w:hAnsi="Arial"/>
                <w:sz w:val="10"/>
                <w:szCs w:val="10"/>
                <w:b w:val="1"/>
                <w:bCs w:val="1"/>
                <w:color w:val="auto"/>
                <w:w w:val="85"/>
              </w:rPr>
              <w:t>Stockholders'</w:t>
            </w: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940" w:type="dxa"/>
            <w:vAlign w:val="bottom"/>
            <w:gridSpan w:val="4"/>
            <w:vMerge w:val="continue"/>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gridSpan w:val="2"/>
          </w:tcPr>
          <w:p>
            <w:pPr>
              <w:jc w:val="center"/>
              <w:ind w:right="220"/>
              <w:spacing w:after="0" w:line="103" w:lineRule="exact"/>
              <w:rPr>
                <w:sz w:val="20"/>
                <w:szCs w:val="20"/>
                <w:color w:val="auto"/>
              </w:rPr>
            </w:pPr>
            <w:r>
              <w:rPr>
                <w:rFonts w:ascii="Arial" w:cs="Arial" w:eastAsia="Arial" w:hAnsi="Arial"/>
                <w:sz w:val="10"/>
                <w:szCs w:val="10"/>
                <w:b w:val="1"/>
                <w:bCs w:val="1"/>
                <w:color w:val="auto"/>
                <w:w w:val="89"/>
              </w:rPr>
              <w:t>Capital</w:t>
            </w:r>
          </w:p>
        </w:tc>
        <w:tc>
          <w:tcPr>
            <w:tcW w:w="86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gridSpan w:val="4"/>
          </w:tcPr>
          <w:p>
            <w:pPr>
              <w:jc w:val="center"/>
              <w:ind w:right="160"/>
              <w:spacing w:after="0" w:line="103" w:lineRule="exact"/>
              <w:rPr>
                <w:sz w:val="20"/>
                <w:szCs w:val="20"/>
                <w:color w:val="auto"/>
              </w:rPr>
            </w:pPr>
            <w:r>
              <w:rPr>
                <w:rFonts w:ascii="Arial" w:cs="Arial" w:eastAsia="Arial" w:hAnsi="Arial"/>
                <w:sz w:val="10"/>
                <w:szCs w:val="10"/>
                <w:b w:val="1"/>
                <w:bCs w:val="1"/>
                <w:color w:val="auto"/>
                <w:w w:val="83"/>
              </w:rPr>
              <w:t>Comprehensive Loss</w:t>
            </w:r>
          </w:p>
        </w:tc>
        <w:tc>
          <w:tcPr>
            <w:tcW w:w="180" w:type="dxa"/>
            <w:vAlign w:val="bottom"/>
          </w:tcPr>
          <w:p>
            <w:pPr>
              <w:spacing w:after="0"/>
              <w:rPr>
                <w:sz w:val="8"/>
                <w:szCs w:val="8"/>
                <w:color w:val="auto"/>
              </w:rPr>
            </w:pPr>
          </w:p>
        </w:tc>
        <w:tc>
          <w:tcPr>
            <w:tcW w:w="880" w:type="dxa"/>
            <w:vAlign w:val="bottom"/>
            <w:gridSpan w:val="3"/>
          </w:tcPr>
          <w:p>
            <w:pPr>
              <w:jc w:val="center"/>
              <w:ind w:right="240"/>
              <w:spacing w:after="0" w:line="103" w:lineRule="exact"/>
              <w:rPr>
                <w:sz w:val="20"/>
                <w:szCs w:val="20"/>
                <w:color w:val="auto"/>
              </w:rPr>
            </w:pPr>
            <w:r>
              <w:rPr>
                <w:rFonts w:ascii="Arial" w:cs="Arial" w:eastAsia="Arial" w:hAnsi="Arial"/>
                <w:sz w:val="10"/>
                <w:szCs w:val="10"/>
                <w:b w:val="1"/>
                <w:bCs w:val="1"/>
                <w:color w:val="auto"/>
                <w:w w:val="88"/>
              </w:rPr>
              <w:t>Interest</w:t>
            </w: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gridSpan w:val="2"/>
          </w:tcPr>
          <w:p>
            <w:pPr>
              <w:jc w:val="center"/>
              <w:ind w:right="220"/>
              <w:spacing w:after="0" w:line="103" w:lineRule="exact"/>
              <w:rPr>
                <w:sz w:val="20"/>
                <w:szCs w:val="20"/>
                <w:color w:val="auto"/>
              </w:rPr>
            </w:pPr>
            <w:r>
              <w:rPr>
                <w:rFonts w:ascii="Arial" w:cs="Arial" w:eastAsia="Arial" w:hAnsi="Arial"/>
                <w:sz w:val="10"/>
                <w:szCs w:val="10"/>
                <w:b w:val="1"/>
                <w:bCs w:val="1"/>
                <w:color w:val="auto"/>
                <w:w w:val="91"/>
              </w:rPr>
              <w:t>Equity</w:t>
            </w: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40" w:type="dxa"/>
            <w:vAlign w:val="bottom"/>
            <w:tcBorders>
              <w:top w:val="single" w:sz="8" w:color="auto"/>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1940" w:type="dxa"/>
            <w:vAlign w:val="bottom"/>
            <w:gridSpan w:val="4"/>
            <w:shd w:val="clear" w:color="auto" w:fill="CCEEFF"/>
          </w:tcPr>
          <w:p>
            <w:pPr>
              <w:spacing w:after="0"/>
              <w:rPr>
                <w:sz w:val="20"/>
                <w:szCs w:val="20"/>
                <w:color w:val="auto"/>
              </w:rPr>
            </w:pPr>
            <w:r>
              <w:rPr>
                <w:rFonts w:ascii="Arial" w:cs="Arial" w:eastAsia="Arial" w:hAnsi="Arial"/>
                <w:sz w:val="12"/>
                <w:szCs w:val="12"/>
                <w:b w:val="1"/>
                <w:bCs w:val="1"/>
                <w:color w:val="auto"/>
              </w:rPr>
              <w:t>Balances at December 31, 2020</w:t>
            </w: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w:t>
            </w:r>
          </w:p>
        </w:tc>
        <w:tc>
          <w:tcPr>
            <w:tcW w:w="22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1,922</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59"/>
              <w:spacing w:after="0"/>
              <w:rPr>
                <w:sz w:val="20"/>
                <w:szCs w:val="20"/>
                <w:color w:val="auto"/>
              </w:rPr>
            </w:pPr>
            <w:r>
              <w:rPr>
                <w:rFonts w:ascii="Arial" w:cs="Arial" w:eastAsia="Arial" w:hAnsi="Arial"/>
                <w:sz w:val="12"/>
                <w:szCs w:val="12"/>
                <w:color w:val="auto"/>
                <w:w w:val="89"/>
              </w:rPr>
              <w:t>$</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w:t>
            </w:r>
          </w:p>
        </w:tc>
        <w:tc>
          <w:tcPr>
            <w:tcW w:w="180" w:type="dxa"/>
            <w:vAlign w:val="bottom"/>
            <w:gridSpan w:val="3"/>
            <w:shd w:val="clear" w:color="auto" w:fill="CCEEFF"/>
          </w:tcPr>
          <w:p>
            <w:pPr>
              <w:jc w:val="center"/>
              <w:ind w:left="61"/>
              <w:spacing w:after="0"/>
              <w:rPr>
                <w:sz w:val="20"/>
                <w:szCs w:val="20"/>
                <w:color w:val="auto"/>
              </w:rPr>
            </w:pPr>
            <w:r>
              <w:rPr>
                <w:rFonts w:ascii="Arial" w:cs="Arial" w:eastAsia="Arial" w:hAnsi="Arial"/>
                <w:sz w:val="12"/>
                <w:szCs w:val="12"/>
                <w:color w:val="auto"/>
                <w:w w:val="89"/>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5"/>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890</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2,715</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1800" w:type="dxa"/>
            <w:vAlign w:val="bottom"/>
            <w:gridSpan w:val="3"/>
          </w:tcPr>
          <w:p>
            <w:pPr>
              <w:ind w:left="20"/>
              <w:spacing w:after="0"/>
              <w:rPr>
                <w:sz w:val="20"/>
                <w:szCs w:val="20"/>
                <w:color w:val="auto"/>
              </w:rPr>
            </w:pPr>
            <w:r>
              <w:rPr>
                <w:rFonts w:ascii="Arial" w:cs="Arial" w:eastAsia="Arial" w:hAnsi="Arial"/>
                <w:sz w:val="12"/>
                <w:szCs w:val="12"/>
                <w:color w:val="auto"/>
              </w:rPr>
              <w:t>Net income (loss)</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2"/>
                <w:szCs w:val="12"/>
                <w:color w:val="auto"/>
              </w:rPr>
              <w:t>(81)</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(78)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40" w:type="dxa"/>
            <w:vAlign w:val="bottom"/>
            <w:shd w:val="clear" w:color="auto" w:fill="CCEEFF"/>
          </w:tcPr>
          <w:p>
            <w:pPr>
              <w:spacing w:after="0"/>
              <w:rPr>
                <w:sz w:val="14"/>
                <w:szCs w:val="14"/>
                <w:color w:val="auto"/>
              </w:rPr>
            </w:pPr>
          </w:p>
        </w:tc>
        <w:tc>
          <w:tcPr>
            <w:tcW w:w="232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Unrealized gain on derivatives, net of tax</w:t>
            </w: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1800" w:type="dxa"/>
            <w:vAlign w:val="bottom"/>
            <w:gridSpan w:val="3"/>
          </w:tcPr>
          <w:p>
            <w:pPr>
              <w:spacing w:after="0"/>
              <w:rPr>
                <w:sz w:val="20"/>
                <w:szCs w:val="20"/>
                <w:color w:val="auto"/>
              </w:rPr>
            </w:pPr>
            <w:r>
              <w:rPr>
                <w:rFonts w:ascii="Arial" w:cs="Arial" w:eastAsia="Arial" w:hAnsi="Arial"/>
                <w:sz w:val="12"/>
                <w:szCs w:val="12"/>
                <w:color w:val="auto"/>
                <w:w w:val="97"/>
              </w:rPr>
              <w:t>Contributions from CEG, non-cash</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27</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3"/>
              <w:spacing w:after="0"/>
              <w:rPr>
                <w:sz w:val="20"/>
                <w:szCs w:val="20"/>
                <w:color w:val="auto"/>
              </w:rPr>
            </w:pPr>
            <w:r>
              <w:rPr>
                <w:rFonts w:ascii="Arial" w:cs="Arial" w:eastAsia="Arial" w:hAnsi="Arial"/>
                <w:sz w:val="12"/>
                <w:szCs w:val="12"/>
                <w:color w:val="auto"/>
              </w:rPr>
              <w:t>27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40" w:type="dxa"/>
            <w:vAlign w:val="bottom"/>
            <w:shd w:val="clear" w:color="auto" w:fill="CCEEFF"/>
          </w:tcPr>
          <w:p>
            <w:pPr>
              <w:spacing w:after="0"/>
              <w:rPr>
                <w:sz w:val="14"/>
                <w:szCs w:val="14"/>
                <w:color w:val="auto"/>
              </w:rPr>
            </w:pPr>
          </w:p>
        </w:tc>
        <w:tc>
          <w:tcPr>
            <w:tcW w:w="18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Contributions from CEG, cash</w:t>
            </w:r>
          </w:p>
        </w:tc>
        <w:tc>
          <w:tcPr>
            <w:tcW w:w="5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103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3540" w:type="dxa"/>
            <w:vAlign w:val="bottom"/>
            <w:gridSpan w:val="7"/>
          </w:tcPr>
          <w:p>
            <w:pPr>
              <w:spacing w:after="0"/>
              <w:rPr>
                <w:sz w:val="20"/>
                <w:szCs w:val="20"/>
                <w:color w:val="auto"/>
              </w:rPr>
            </w:pPr>
            <w:r>
              <w:rPr>
                <w:rFonts w:ascii="Arial" w:cs="Arial" w:eastAsia="Arial" w:hAnsi="Arial"/>
                <w:sz w:val="12"/>
                <w:szCs w:val="12"/>
                <w:color w:val="auto"/>
                <w:w w:val="97"/>
              </w:rPr>
              <w:t>Contributions from noncontrolling interests, net of distributions, cash</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126</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3"/>
              <w:spacing w:after="0"/>
              <w:rPr>
                <w:sz w:val="20"/>
                <w:szCs w:val="20"/>
                <w:color w:val="auto"/>
              </w:rPr>
            </w:pPr>
            <w:r>
              <w:rPr>
                <w:rFonts w:ascii="Arial" w:cs="Arial" w:eastAsia="Arial" w:hAnsi="Arial"/>
                <w:sz w:val="12"/>
                <w:szCs w:val="12"/>
                <w:color w:val="auto"/>
              </w:rPr>
              <w:t>126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40" w:type="dxa"/>
            <w:vAlign w:val="bottom"/>
            <w:shd w:val="clear" w:color="auto" w:fill="CCEEFF"/>
          </w:tcPr>
          <w:p>
            <w:pPr>
              <w:spacing w:after="0"/>
              <w:rPr>
                <w:sz w:val="14"/>
                <w:szCs w:val="14"/>
                <w:color w:val="auto"/>
              </w:rPr>
            </w:pPr>
          </w:p>
        </w:tc>
        <w:tc>
          <w:tcPr>
            <w:tcW w:w="18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Agua Caliente acquisition</w:t>
            </w:r>
          </w:p>
        </w:tc>
        <w:tc>
          <w:tcPr>
            <w:tcW w:w="5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273</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273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1800" w:type="dxa"/>
            <w:vAlign w:val="bottom"/>
            <w:gridSpan w:val="3"/>
          </w:tcPr>
          <w:p>
            <w:pPr>
              <w:spacing w:after="0"/>
              <w:rPr>
                <w:sz w:val="20"/>
                <w:szCs w:val="20"/>
                <w:color w:val="auto"/>
              </w:rPr>
            </w:pPr>
            <w:r>
              <w:rPr>
                <w:rFonts w:ascii="Arial" w:cs="Arial" w:eastAsia="Arial" w:hAnsi="Arial"/>
                <w:sz w:val="12"/>
                <w:szCs w:val="12"/>
                <w:color w:val="auto"/>
              </w:rPr>
              <w:t>Rattlesnake Drop Down</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2"/>
                <w:szCs w:val="12"/>
                <w:color w:val="auto"/>
              </w:rPr>
              <w:t>(118)</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(118)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40" w:type="dxa"/>
            <w:vAlign w:val="bottom"/>
            <w:shd w:val="clear" w:color="auto" w:fill="CCEEFF"/>
          </w:tcPr>
          <w:p>
            <w:pPr>
              <w:spacing w:after="0"/>
              <w:rPr>
                <w:sz w:val="14"/>
                <w:szCs w:val="14"/>
                <w:color w:val="auto"/>
              </w:rPr>
            </w:pPr>
          </w:p>
        </w:tc>
        <w:tc>
          <w:tcPr>
            <w:tcW w:w="2320" w:type="dxa"/>
            <w:vAlign w:val="bottom"/>
            <w:gridSpan w:val="4"/>
            <w:shd w:val="clear" w:color="auto" w:fill="CCEEFF"/>
          </w:tcPr>
          <w:p>
            <w:pPr>
              <w:spacing w:after="0"/>
              <w:rPr>
                <w:sz w:val="20"/>
                <w:szCs w:val="20"/>
                <w:color w:val="auto"/>
              </w:rPr>
            </w:pPr>
            <w:r>
              <w:rPr>
                <w:rFonts w:ascii="Arial" w:cs="Arial" w:eastAsia="Arial" w:hAnsi="Arial"/>
                <w:sz w:val="12"/>
                <w:szCs w:val="12"/>
                <w:color w:val="auto"/>
                <w:w w:val="94"/>
              </w:rPr>
              <w:t>Non-cash adjustments for change in tax basis</w:t>
            </w: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tcBorders>
              <w:bottom w:val="single" w:sz="8" w:color="CCEEFF"/>
            </w:tcBorders>
          </w:tcPr>
          <w:p>
            <w:pPr>
              <w:spacing w:after="0"/>
              <w:rPr>
                <w:sz w:val="14"/>
                <w:szCs w:val="14"/>
                <w:color w:val="auto"/>
              </w:rPr>
            </w:pPr>
          </w:p>
        </w:tc>
        <w:tc>
          <w:tcPr>
            <w:tcW w:w="3540" w:type="dxa"/>
            <w:vAlign w:val="bottom"/>
            <w:tcBorders>
              <w:bottom w:val="single" w:sz="8" w:color="CCEEFF"/>
            </w:tcBorders>
            <w:gridSpan w:val="7"/>
          </w:tcPr>
          <w:p>
            <w:pPr>
              <w:spacing w:after="0"/>
              <w:rPr>
                <w:sz w:val="20"/>
                <w:szCs w:val="20"/>
                <w:color w:val="auto"/>
              </w:rPr>
            </w:pPr>
            <w:r>
              <w:rPr>
                <w:rFonts w:ascii="Arial" w:cs="Arial" w:eastAsia="Arial" w:hAnsi="Arial"/>
                <w:sz w:val="12"/>
                <w:szCs w:val="12"/>
                <w:color w:val="auto"/>
              </w:rPr>
              <w:t>Common stock dividends and distributions to CEG unit holders</w:t>
            </w:r>
          </w:p>
        </w:tc>
        <w:tc>
          <w:tcPr>
            <w:tcW w:w="2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(28)</w:t>
            </w: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940" w:type="dxa"/>
            <w:vAlign w:val="bottom"/>
            <w:gridSpan w:val="4"/>
            <w:shd w:val="clear" w:color="auto" w:fill="CCEEFF"/>
          </w:tcPr>
          <w:p>
            <w:pPr>
              <w:spacing w:after="0"/>
              <w:rPr>
                <w:sz w:val="20"/>
                <w:szCs w:val="20"/>
                <w:color w:val="auto"/>
              </w:rPr>
            </w:pPr>
            <w:r>
              <w:rPr>
                <w:rFonts w:ascii="Arial" w:cs="Arial" w:eastAsia="Arial" w:hAnsi="Arial"/>
                <w:sz w:val="12"/>
                <w:szCs w:val="12"/>
                <w:b w:val="1"/>
                <w:bCs w:val="1"/>
                <w:color w:val="auto"/>
              </w:rPr>
              <w:t>Balances at March 31, 2021</w:t>
            </w:r>
          </w:p>
        </w:tc>
        <w:tc>
          <w:tcPr>
            <w:tcW w:w="5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w:t>
            </w:r>
          </w:p>
        </w:tc>
        <w:tc>
          <w:tcPr>
            <w:tcW w:w="22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1,886</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9"/>
              <w:spacing w:after="0"/>
              <w:rPr>
                <w:sz w:val="20"/>
                <w:szCs w:val="20"/>
                <w:color w:val="auto"/>
              </w:rPr>
            </w:pPr>
            <w:r>
              <w:rPr>
                <w:rFonts w:ascii="Arial" w:cs="Arial" w:eastAsia="Arial" w:hAnsi="Arial"/>
                <w:sz w:val="12"/>
                <w:szCs w:val="12"/>
                <w:color w:val="auto"/>
                <w:w w:val="89"/>
              </w:rPr>
              <w:t>$</w:t>
            </w: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w:t>
            </w:r>
          </w:p>
        </w:tc>
        <w:tc>
          <w:tcPr>
            <w:tcW w:w="180" w:type="dxa"/>
            <w:vAlign w:val="bottom"/>
            <w:gridSpan w:val="3"/>
            <w:shd w:val="clear" w:color="auto" w:fill="CCEEFF"/>
          </w:tcPr>
          <w:p>
            <w:pPr>
              <w:jc w:val="center"/>
              <w:ind w:left="61"/>
              <w:spacing w:after="0"/>
              <w:rPr>
                <w:sz w:val="20"/>
                <w:szCs w:val="20"/>
                <w:color w:val="auto"/>
              </w:rPr>
            </w:pPr>
            <w:r>
              <w:rPr>
                <w:rFonts w:ascii="Arial" w:cs="Arial" w:eastAsia="Arial" w:hAnsi="Arial"/>
                <w:sz w:val="12"/>
                <w:szCs w:val="12"/>
                <w:color w:val="auto"/>
                <w:w w:val="89"/>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5"/>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1,199</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2,995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vMerge w:val="restart"/>
          </w:tcPr>
          <w:p>
            <w:pPr>
              <w:jc w:val="right"/>
              <w:ind w:right="18"/>
              <w:spacing w:after="0"/>
              <w:rPr>
                <w:sz w:val="20"/>
                <w:szCs w:val="20"/>
                <w:color w:val="auto"/>
              </w:rPr>
            </w:pPr>
            <w:r>
              <w:rPr>
                <w:rFonts w:ascii="Arial" w:cs="Arial" w:eastAsia="Arial" w:hAnsi="Arial"/>
                <w:sz w:val="12"/>
                <w:szCs w:val="12"/>
                <w:color w:val="auto"/>
              </w:rPr>
              <w:t>11</w:t>
            </w:r>
          </w:p>
        </w:tc>
        <w:tc>
          <w:tcPr>
            <w:tcW w:w="0" w:type="dxa"/>
            <w:vAlign w:val="bottom"/>
          </w:tcPr>
          <w:p>
            <w:pPr>
              <w:spacing w:after="0" w:line="20" w:lineRule="exact"/>
              <w:rPr>
                <w:sz w:val="1"/>
                <w:szCs w:val="1"/>
                <w:color w:val="auto"/>
              </w:rPr>
            </w:pPr>
          </w:p>
        </w:tc>
      </w:tr>
      <w:tr>
        <w:trPr>
          <w:trHeight w:val="587"/>
        </w:trPr>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660" w:top="618" w:right="239" w:bottom="1440" w:gutter="0" w:footer="0" w:header="0"/>
        </w:sectPr>
      </w:pPr>
    </w:p>
    <w:bookmarkStart w:id="14" w:name="page15"/>
    <w:bookmarkEnd w:id="14"/>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2897505</wp:posOffset>
            </wp:positionH>
            <wp:positionV relativeFrom="page">
              <wp:posOffset>440690</wp:posOffset>
            </wp:positionV>
            <wp:extent cx="4276725"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276725" cy="6350"/>
                    </a:xfrm>
                    <a:prstGeom prst="rect">
                      <a:avLst/>
                    </a:prstGeom>
                    <a:noFill/>
                  </pic:spPr>
                </pic:pic>
              </a:graphicData>
            </a:graphic>
          </wp:anchor>
        </w:drawing>
        <w:t>Appendix Table A-1: Three Months Ended March 31, 2022, Segment Adjusted EBITDA Reconciliation</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the calculation of Adjusted EBITDA and provides a reconciliation to Net Income/(Loss):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41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Conventional</w:t>
            </w:r>
          </w:p>
        </w:tc>
        <w:tc>
          <w:tcPr>
            <w:tcW w:w="260" w:type="dxa"/>
            <w:vAlign w:val="bottom"/>
            <w:tcBorders>
              <w:top w:val="single" w:sz="8" w:color="auto"/>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Renewables</w:t>
            </w:r>
          </w:p>
        </w:tc>
        <w:tc>
          <w:tcPr>
            <w:tcW w:w="340" w:type="dxa"/>
            <w:vAlign w:val="bottom"/>
            <w:tcBorders>
              <w:top w:val="single" w:sz="8" w:color="auto"/>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1"/>
                <w:szCs w:val="11"/>
                <w:b w:val="1"/>
                <w:bCs w:val="1"/>
                <w:color w:val="auto"/>
              </w:rPr>
              <w:t>Thermal</w:t>
            </w:r>
          </w:p>
        </w:tc>
        <w:tc>
          <w:tcPr>
            <w:tcW w:w="300" w:type="dxa"/>
            <w:vAlign w:val="bottom"/>
            <w:tcBorders>
              <w:top w:val="single" w:sz="8" w:color="auto"/>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Corporate</w:t>
            </w:r>
          </w:p>
        </w:tc>
        <w:tc>
          <w:tcPr>
            <w:tcW w:w="320" w:type="dxa"/>
            <w:vAlign w:val="bottom"/>
            <w:tcBorders>
              <w:top w:val="single" w:sz="8" w:color="auto"/>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75"/>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w:t>
            </w:r>
          </w:p>
        </w:tc>
        <w:tc>
          <w:tcPr>
            <w:tcW w:w="1000" w:type="dxa"/>
            <w:vAlign w:val="bottom"/>
            <w:shd w:val="clear" w:color="auto" w:fill="CCEEFF"/>
          </w:tcPr>
          <w:p>
            <w:pPr>
              <w:jc w:val="right"/>
              <w:ind w:right="856"/>
              <w:spacing w:after="0"/>
              <w:rPr>
                <w:sz w:val="20"/>
                <w:szCs w:val="20"/>
                <w:color w:val="auto"/>
              </w:rPr>
            </w:pPr>
            <w:r>
              <w:rPr>
                <w:rFonts w:ascii="Arial" w:cs="Arial" w:eastAsia="Arial" w:hAnsi="Arial"/>
                <w:sz w:val="14"/>
                <w:szCs w:val="14"/>
                <w:color w:val="auto"/>
                <w:w w:val="76"/>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776"/>
              <w:spacing w:after="0"/>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(119)</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96"/>
              <w:spacing w:after="0"/>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76"/>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65"/>
        </w:trPr>
        <w:tc>
          <w:tcPr>
            <w:tcW w:w="41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Plus:</w:t>
            </w:r>
          </w:p>
        </w:tc>
        <w:tc>
          <w:tcPr>
            <w:tcW w:w="12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2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Income Tax Benefit</w:t>
            </w:r>
          </w:p>
        </w:tc>
        <w:tc>
          <w:tcPr>
            <w:tcW w:w="100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74"/>
        </w:trPr>
        <w:tc>
          <w:tcPr>
            <w:tcW w:w="4240" w:type="dxa"/>
            <w:vAlign w:val="bottom"/>
            <w:gridSpan w:val="2"/>
          </w:tcPr>
          <w:p>
            <w:pPr>
              <w:ind w:left="140"/>
              <w:spacing w:after="0"/>
              <w:rPr>
                <w:sz w:val="20"/>
                <w:szCs w:val="20"/>
                <w:color w:val="auto"/>
              </w:rPr>
            </w:pPr>
            <w:r>
              <w:rPr>
                <w:rFonts w:ascii="Arial" w:cs="Arial" w:eastAsia="Arial" w:hAnsi="Arial"/>
                <w:sz w:val="14"/>
                <w:szCs w:val="14"/>
                <w:color w:val="auto"/>
              </w:rPr>
              <w:t>Interest Expense, net</w:t>
            </w:r>
          </w:p>
        </w:tc>
        <w:tc>
          <w:tcPr>
            <w:tcW w:w="10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75"/>
        </w:trPr>
        <w:tc>
          <w:tcPr>
            <w:tcW w:w="42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Depreciation, Amortization, and ARO</w:t>
            </w:r>
          </w:p>
        </w:tc>
        <w:tc>
          <w:tcPr>
            <w:tcW w:w="100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174"/>
        </w:trPr>
        <w:tc>
          <w:tcPr>
            <w:tcW w:w="4240" w:type="dxa"/>
            <w:vAlign w:val="bottom"/>
            <w:gridSpan w:val="2"/>
          </w:tcPr>
          <w:p>
            <w:pPr>
              <w:ind w:left="140"/>
              <w:spacing w:after="0"/>
              <w:rPr>
                <w:sz w:val="20"/>
                <w:szCs w:val="20"/>
                <w:color w:val="auto"/>
              </w:rPr>
            </w:pPr>
            <w:r>
              <w:rPr>
                <w:rFonts w:ascii="Arial" w:cs="Arial" w:eastAsia="Arial" w:hAnsi="Arial"/>
                <w:sz w:val="14"/>
                <w:szCs w:val="14"/>
                <w:color w:val="auto"/>
              </w:rPr>
              <w:t>Contract Amortization</w:t>
            </w:r>
          </w:p>
        </w:tc>
        <w:tc>
          <w:tcPr>
            <w:tcW w:w="10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5"/>
                <w:szCs w:val="15"/>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75"/>
        </w:trPr>
        <w:tc>
          <w:tcPr>
            <w:tcW w:w="42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Loss on Debt Extinguishment</w:t>
            </w:r>
          </w:p>
        </w:tc>
        <w:tc>
          <w:tcPr>
            <w:tcW w:w="100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4"/>
        </w:trPr>
        <w:tc>
          <w:tcPr>
            <w:tcW w:w="4240" w:type="dxa"/>
            <w:vAlign w:val="bottom"/>
            <w:gridSpan w:val="2"/>
          </w:tcPr>
          <w:p>
            <w:pPr>
              <w:ind w:left="140"/>
              <w:spacing w:after="0"/>
              <w:rPr>
                <w:sz w:val="20"/>
                <w:szCs w:val="20"/>
                <w:color w:val="auto"/>
              </w:rPr>
            </w:pPr>
            <w:r>
              <w:rPr>
                <w:rFonts w:ascii="Arial" w:cs="Arial" w:eastAsia="Arial" w:hAnsi="Arial"/>
                <w:sz w:val="14"/>
                <w:szCs w:val="14"/>
                <w:color w:val="auto"/>
              </w:rPr>
              <w:t>Mark to Market (MtM) Losses on Economic Hedges</w:t>
            </w:r>
          </w:p>
        </w:tc>
        <w:tc>
          <w:tcPr>
            <w:tcW w:w="1000" w:type="dxa"/>
            <w:vAlign w:val="bottom"/>
          </w:tcPr>
          <w:p>
            <w:pPr>
              <w:spacing w:after="0"/>
              <w:rPr>
                <w:sz w:val="15"/>
                <w:szCs w:val="15"/>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126</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5"/>
                <w:szCs w:val="15"/>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175"/>
        </w:trPr>
        <w:tc>
          <w:tcPr>
            <w:tcW w:w="42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Transaction and Integration costs</w:t>
            </w:r>
          </w:p>
        </w:tc>
        <w:tc>
          <w:tcPr>
            <w:tcW w:w="100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4"/>
        </w:trPr>
        <w:tc>
          <w:tcPr>
            <w:tcW w:w="4240" w:type="dxa"/>
            <w:vAlign w:val="bottom"/>
            <w:gridSpan w:val="2"/>
          </w:tcPr>
          <w:p>
            <w:pPr>
              <w:ind w:left="140"/>
              <w:spacing w:after="0"/>
              <w:rPr>
                <w:sz w:val="20"/>
                <w:szCs w:val="20"/>
                <w:color w:val="auto"/>
              </w:rPr>
            </w:pPr>
            <w:r>
              <w:rPr>
                <w:rFonts w:ascii="Arial" w:cs="Arial" w:eastAsia="Arial" w:hAnsi="Arial"/>
                <w:sz w:val="14"/>
                <w:szCs w:val="14"/>
                <w:color w:val="auto"/>
              </w:rPr>
              <w:t>Other Non-recurring Charges</w:t>
            </w:r>
          </w:p>
        </w:tc>
        <w:tc>
          <w:tcPr>
            <w:tcW w:w="10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5"/>
                <w:szCs w:val="15"/>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5"/>
                <w:szCs w:val="15"/>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34"/>
        </w:trPr>
        <w:tc>
          <w:tcPr>
            <w:tcW w:w="4240" w:type="dxa"/>
            <w:vAlign w:val="bottom"/>
            <w:gridSpan w:val="2"/>
            <w:shd w:val="clear" w:color="auto" w:fill="CCEEFF"/>
          </w:tcPr>
          <w:p>
            <w:pPr>
              <w:ind w:left="140"/>
              <w:spacing w:after="0" w:line="134" w:lineRule="exact"/>
              <w:rPr>
                <w:sz w:val="20"/>
                <w:szCs w:val="20"/>
                <w:color w:val="auto"/>
              </w:rPr>
            </w:pPr>
            <w:r>
              <w:rPr>
                <w:rFonts w:ascii="Arial" w:cs="Arial" w:eastAsia="Arial" w:hAnsi="Arial"/>
                <w:sz w:val="14"/>
                <w:szCs w:val="14"/>
                <w:color w:val="auto"/>
                <w:w w:val="99"/>
              </w:rPr>
              <w:t>Adjustments to reflect CWEN’s pro-rata share of Adjusted EBITDA</w:t>
            </w:r>
          </w:p>
        </w:tc>
        <w:tc>
          <w:tcPr>
            <w:tcW w:w="1000" w:type="dxa"/>
            <w:vAlign w:val="bottom"/>
            <w:shd w:val="clear" w:color="auto" w:fill="CCEEFF"/>
          </w:tcPr>
          <w:p>
            <w:pPr>
              <w:spacing w:after="0"/>
              <w:rPr>
                <w:sz w:val="11"/>
                <w:szCs w:val="11"/>
                <w:color w:val="auto"/>
              </w:rPr>
            </w:pP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11"/>
                <w:szCs w:val="11"/>
                <w:color w:val="auto"/>
              </w:rPr>
            </w:pPr>
          </w:p>
        </w:tc>
        <w:tc>
          <w:tcPr>
            <w:tcW w:w="4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75"/>
        </w:trPr>
        <w:tc>
          <w:tcPr>
            <w:tcW w:w="42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from Unconsolidated Affiliates</w:t>
            </w:r>
          </w:p>
        </w:tc>
        <w:tc>
          <w:tcPr>
            <w:tcW w:w="1000" w:type="dxa"/>
            <w:vAlign w:val="bottom"/>
            <w:shd w:val="clear" w:color="auto" w:fill="CCEEFF"/>
          </w:tcPr>
          <w:p>
            <w:pPr>
              <w:spacing w:after="0"/>
              <w:rPr>
                <w:sz w:val="15"/>
                <w:szCs w:val="15"/>
                <w:color w:val="auto"/>
              </w:rPr>
            </w:pPr>
          </w:p>
        </w:tc>
        <w:tc>
          <w:tcPr>
            <w:tcW w:w="2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20" w:type="dxa"/>
            <w:vAlign w:val="bottom"/>
            <w:gridSpan w:val="2"/>
            <w:vMerge w:val="continue"/>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40" w:type="dxa"/>
            <w:vAlign w:val="bottom"/>
            <w:gridSpan w:val="2"/>
            <w:vMerge w:val="continue"/>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240" w:type="dxa"/>
            <w:vAlign w:val="bottom"/>
            <w:gridSpan w:val="2"/>
          </w:tcPr>
          <w:p>
            <w:pPr>
              <w:ind w:left="140"/>
              <w:spacing w:after="0"/>
              <w:rPr>
                <w:sz w:val="20"/>
                <w:szCs w:val="20"/>
                <w:color w:val="auto"/>
              </w:rPr>
            </w:pPr>
            <w:r>
              <w:rPr>
                <w:rFonts w:ascii="Arial" w:cs="Arial" w:eastAsia="Arial" w:hAnsi="Arial"/>
                <w:sz w:val="14"/>
                <w:szCs w:val="14"/>
                <w:color w:val="auto"/>
              </w:rPr>
              <w:t>Non-Cash Equity Compensation</w:t>
            </w:r>
          </w:p>
        </w:tc>
        <w:tc>
          <w:tcPr>
            <w:tcW w:w="1000" w:type="dxa"/>
            <w:vAlign w:val="bottom"/>
          </w:tcPr>
          <w:p>
            <w:pPr>
              <w:spacing w:after="0"/>
              <w:rPr>
                <w:sz w:val="15"/>
                <w:szCs w:val="15"/>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5"/>
                <w:szCs w:val="15"/>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5"/>
                <w:szCs w:val="15"/>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0"/>
        </w:trPr>
        <w:tc>
          <w:tcPr>
            <w:tcW w:w="4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 EBITDA</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ind w:right="856"/>
              <w:spacing w:after="0"/>
              <w:rPr>
                <w:sz w:val="20"/>
                <w:szCs w:val="20"/>
                <w:color w:val="auto"/>
              </w:rPr>
            </w:pPr>
            <w:r>
              <w:rPr>
                <w:rFonts w:ascii="Arial" w:cs="Arial" w:eastAsia="Arial" w:hAnsi="Arial"/>
                <w:sz w:val="14"/>
                <w:szCs w:val="14"/>
                <w:b w:val="1"/>
                <w:bCs w:val="1"/>
                <w:color w:val="auto"/>
                <w:w w:val="76"/>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98</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ind w:right="776"/>
              <w:spacing w:after="0"/>
              <w:rPr>
                <w:sz w:val="20"/>
                <w:szCs w:val="20"/>
                <w:color w:val="auto"/>
              </w:rPr>
            </w:pPr>
            <w:r>
              <w:rPr>
                <w:rFonts w:ascii="Arial" w:cs="Arial" w:eastAsia="Arial" w:hAnsi="Arial"/>
                <w:sz w:val="14"/>
                <w:szCs w:val="14"/>
                <w:b w:val="1"/>
                <w:bCs w:val="1"/>
                <w:color w:val="auto"/>
                <w:w w:val="76"/>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154</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ind w:right="796"/>
              <w:spacing w:after="0"/>
              <w:rPr>
                <w:sz w:val="20"/>
                <w:szCs w:val="20"/>
                <w:color w:val="auto"/>
              </w:rPr>
            </w:pPr>
            <w:r>
              <w:rPr>
                <w:rFonts w:ascii="Arial" w:cs="Arial" w:eastAsia="Arial" w:hAnsi="Arial"/>
                <w:sz w:val="14"/>
                <w:szCs w:val="14"/>
                <w:b w:val="1"/>
                <w:bCs w:val="1"/>
                <w:color w:val="auto"/>
                <w:w w:val="76"/>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ind w:right="776"/>
              <w:spacing w:after="0"/>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260</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Appendix Table A-2: Three Months Ended March 31, 2021, Segment Adjusted EBITDA Reconciliation</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the calculation of Adjusted EBITDA and provides a reconciliation to Net Income/(Loss):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41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Conventional</w:t>
            </w:r>
          </w:p>
        </w:tc>
        <w:tc>
          <w:tcPr>
            <w:tcW w:w="260" w:type="dxa"/>
            <w:vAlign w:val="bottom"/>
            <w:tcBorders>
              <w:top w:val="single" w:sz="8" w:color="auto"/>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Renewables</w:t>
            </w:r>
          </w:p>
        </w:tc>
        <w:tc>
          <w:tcPr>
            <w:tcW w:w="320" w:type="dxa"/>
            <w:vAlign w:val="bottom"/>
            <w:tcBorders>
              <w:top w:val="single" w:sz="8" w:color="auto"/>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1"/>
                <w:szCs w:val="11"/>
                <w:b w:val="1"/>
                <w:bCs w:val="1"/>
                <w:color w:val="auto"/>
              </w:rPr>
              <w:t>Thermal</w:t>
            </w:r>
          </w:p>
        </w:tc>
        <w:tc>
          <w:tcPr>
            <w:tcW w:w="300" w:type="dxa"/>
            <w:vAlign w:val="bottom"/>
            <w:tcBorders>
              <w:top w:val="single" w:sz="8" w:color="auto"/>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Corporate</w:t>
            </w:r>
          </w:p>
        </w:tc>
        <w:tc>
          <w:tcPr>
            <w:tcW w:w="320" w:type="dxa"/>
            <w:vAlign w:val="bottom"/>
            <w:tcBorders>
              <w:top w:val="single" w:sz="8" w:color="auto"/>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75"/>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w:t>
            </w:r>
          </w:p>
        </w:tc>
        <w:tc>
          <w:tcPr>
            <w:tcW w:w="1000" w:type="dxa"/>
            <w:vAlign w:val="bottom"/>
            <w:shd w:val="clear" w:color="auto" w:fill="CCEEFF"/>
          </w:tcPr>
          <w:p>
            <w:pPr>
              <w:jc w:val="right"/>
              <w:ind w:right="856"/>
              <w:spacing w:after="0"/>
              <w:rPr>
                <w:sz w:val="20"/>
                <w:szCs w:val="20"/>
                <w:color w:val="auto"/>
              </w:rPr>
            </w:pPr>
            <w:r>
              <w:rPr>
                <w:rFonts w:ascii="Arial" w:cs="Arial" w:eastAsia="Arial" w:hAnsi="Arial"/>
                <w:sz w:val="14"/>
                <w:szCs w:val="14"/>
                <w:color w:val="auto"/>
                <w:w w:val="76"/>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96"/>
              <w:spacing w:after="0"/>
              <w:rPr>
                <w:sz w:val="20"/>
                <w:szCs w:val="20"/>
                <w:color w:val="auto"/>
              </w:rPr>
            </w:pPr>
            <w:r>
              <w:rPr>
                <w:rFonts w:ascii="Arial" w:cs="Arial" w:eastAsia="Arial" w:hAnsi="Arial"/>
                <w:sz w:val="14"/>
                <w:szCs w:val="14"/>
                <w:color w:val="auto"/>
                <w:w w:val="76"/>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96"/>
              <w:spacing w:after="0"/>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76"/>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65"/>
        </w:trPr>
        <w:tc>
          <w:tcPr>
            <w:tcW w:w="41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Plus:</w:t>
            </w:r>
          </w:p>
        </w:tc>
        <w:tc>
          <w:tcPr>
            <w:tcW w:w="12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2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Income Tax Benefit</w:t>
            </w:r>
          </w:p>
        </w:tc>
        <w:tc>
          <w:tcPr>
            <w:tcW w:w="100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74"/>
        </w:trPr>
        <w:tc>
          <w:tcPr>
            <w:tcW w:w="4240" w:type="dxa"/>
            <w:vAlign w:val="bottom"/>
            <w:gridSpan w:val="2"/>
          </w:tcPr>
          <w:p>
            <w:pPr>
              <w:ind w:left="140"/>
              <w:spacing w:after="0"/>
              <w:rPr>
                <w:sz w:val="20"/>
                <w:szCs w:val="20"/>
                <w:color w:val="auto"/>
              </w:rPr>
            </w:pPr>
            <w:r>
              <w:rPr>
                <w:rFonts w:ascii="Arial" w:cs="Arial" w:eastAsia="Arial" w:hAnsi="Arial"/>
                <w:sz w:val="14"/>
                <w:szCs w:val="14"/>
                <w:color w:val="auto"/>
              </w:rPr>
              <w:t>Interest Expense, net</w:t>
            </w:r>
          </w:p>
        </w:tc>
        <w:tc>
          <w:tcPr>
            <w:tcW w:w="10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75"/>
        </w:trPr>
        <w:tc>
          <w:tcPr>
            <w:tcW w:w="42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Depreciation, Amortization, and ARO</w:t>
            </w:r>
          </w:p>
        </w:tc>
        <w:tc>
          <w:tcPr>
            <w:tcW w:w="100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74"/>
        </w:trPr>
        <w:tc>
          <w:tcPr>
            <w:tcW w:w="4240" w:type="dxa"/>
            <w:vAlign w:val="bottom"/>
            <w:gridSpan w:val="2"/>
          </w:tcPr>
          <w:p>
            <w:pPr>
              <w:ind w:left="140"/>
              <w:spacing w:after="0"/>
              <w:rPr>
                <w:sz w:val="20"/>
                <w:szCs w:val="20"/>
                <w:color w:val="auto"/>
              </w:rPr>
            </w:pPr>
            <w:r>
              <w:rPr>
                <w:rFonts w:ascii="Arial" w:cs="Arial" w:eastAsia="Arial" w:hAnsi="Arial"/>
                <w:sz w:val="14"/>
                <w:szCs w:val="14"/>
                <w:color w:val="auto"/>
              </w:rPr>
              <w:t>Contract Amortization</w:t>
            </w:r>
          </w:p>
        </w:tc>
        <w:tc>
          <w:tcPr>
            <w:tcW w:w="10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75"/>
        </w:trPr>
        <w:tc>
          <w:tcPr>
            <w:tcW w:w="42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Loss on Debt Extinguishment</w:t>
            </w:r>
          </w:p>
        </w:tc>
        <w:tc>
          <w:tcPr>
            <w:tcW w:w="100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74"/>
        </w:trPr>
        <w:tc>
          <w:tcPr>
            <w:tcW w:w="4240" w:type="dxa"/>
            <w:vAlign w:val="bottom"/>
            <w:gridSpan w:val="2"/>
          </w:tcPr>
          <w:p>
            <w:pPr>
              <w:ind w:left="140"/>
              <w:spacing w:after="0"/>
              <w:rPr>
                <w:sz w:val="20"/>
                <w:szCs w:val="20"/>
                <w:color w:val="auto"/>
              </w:rPr>
            </w:pPr>
            <w:r>
              <w:rPr>
                <w:rFonts w:ascii="Arial" w:cs="Arial" w:eastAsia="Arial" w:hAnsi="Arial"/>
                <w:sz w:val="14"/>
                <w:szCs w:val="14"/>
                <w:color w:val="auto"/>
              </w:rPr>
              <w:t>Transaction and Integration costs</w:t>
            </w:r>
          </w:p>
        </w:tc>
        <w:tc>
          <w:tcPr>
            <w:tcW w:w="1000" w:type="dxa"/>
            <w:vAlign w:val="bottom"/>
          </w:tcPr>
          <w:p>
            <w:pPr>
              <w:spacing w:after="0"/>
              <w:rPr>
                <w:sz w:val="15"/>
                <w:szCs w:val="15"/>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5"/>
                <w:szCs w:val="15"/>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5"/>
                <w:szCs w:val="15"/>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34"/>
        </w:trPr>
        <w:tc>
          <w:tcPr>
            <w:tcW w:w="4240" w:type="dxa"/>
            <w:vAlign w:val="bottom"/>
            <w:gridSpan w:val="2"/>
            <w:shd w:val="clear" w:color="auto" w:fill="CCEEFF"/>
          </w:tcPr>
          <w:p>
            <w:pPr>
              <w:ind w:left="140"/>
              <w:spacing w:after="0" w:line="134" w:lineRule="exact"/>
              <w:rPr>
                <w:sz w:val="20"/>
                <w:szCs w:val="20"/>
                <w:color w:val="auto"/>
              </w:rPr>
            </w:pPr>
            <w:r>
              <w:rPr>
                <w:rFonts w:ascii="Arial" w:cs="Arial" w:eastAsia="Arial" w:hAnsi="Arial"/>
                <w:sz w:val="14"/>
                <w:szCs w:val="14"/>
                <w:color w:val="auto"/>
                <w:w w:val="99"/>
              </w:rPr>
              <w:t>Adjustments to reflect CWEN’s pro-rata share of Adjusted EBITDA</w:t>
            </w:r>
          </w:p>
        </w:tc>
        <w:tc>
          <w:tcPr>
            <w:tcW w:w="1000" w:type="dxa"/>
            <w:vAlign w:val="bottom"/>
            <w:shd w:val="clear" w:color="auto" w:fill="CCEEFF"/>
          </w:tcPr>
          <w:p>
            <w:pPr>
              <w:spacing w:after="0"/>
              <w:rPr>
                <w:sz w:val="11"/>
                <w:szCs w:val="11"/>
                <w:color w:val="auto"/>
              </w:rPr>
            </w:pP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11"/>
                <w:szCs w:val="11"/>
                <w:color w:val="auto"/>
              </w:rPr>
            </w:pPr>
          </w:p>
        </w:tc>
        <w:tc>
          <w:tcPr>
            <w:tcW w:w="4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75"/>
        </w:trPr>
        <w:tc>
          <w:tcPr>
            <w:tcW w:w="42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from Unconsolidated Affiliates</w:t>
            </w:r>
          </w:p>
        </w:tc>
        <w:tc>
          <w:tcPr>
            <w:tcW w:w="1000" w:type="dxa"/>
            <w:vAlign w:val="bottom"/>
            <w:shd w:val="clear" w:color="auto" w:fill="CCEEFF"/>
          </w:tcPr>
          <w:p>
            <w:pPr>
              <w:spacing w:after="0"/>
              <w:rPr>
                <w:sz w:val="15"/>
                <w:szCs w:val="15"/>
                <w:color w:val="auto"/>
              </w:rPr>
            </w:pPr>
          </w:p>
        </w:tc>
        <w:tc>
          <w:tcPr>
            <w:tcW w:w="2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20" w:type="dxa"/>
            <w:vAlign w:val="bottom"/>
            <w:gridSpan w:val="2"/>
            <w:vMerge w:val="continue"/>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40" w:type="dxa"/>
            <w:vAlign w:val="bottom"/>
            <w:gridSpan w:val="2"/>
            <w:vMerge w:val="continue"/>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4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Adjusted EBITDA</w:t>
            </w:r>
          </w:p>
        </w:tc>
        <w:tc>
          <w:tcPr>
            <w:tcW w:w="12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ind w:right="856"/>
              <w:spacing w:after="0"/>
              <w:rPr>
                <w:sz w:val="20"/>
                <w:szCs w:val="20"/>
                <w:color w:val="auto"/>
              </w:rPr>
            </w:pPr>
            <w:r>
              <w:rPr>
                <w:rFonts w:ascii="Arial" w:cs="Arial" w:eastAsia="Arial" w:hAnsi="Arial"/>
                <w:sz w:val="14"/>
                <w:szCs w:val="14"/>
                <w:b w:val="1"/>
                <w:bCs w:val="1"/>
                <w:color w:val="auto"/>
                <w:w w:val="76"/>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87</w:t>
            </w:r>
          </w:p>
        </w:tc>
        <w:tc>
          <w:tcPr>
            <w:tcW w:w="120" w:type="dxa"/>
            <w:vAlign w:val="bottom"/>
          </w:tcPr>
          <w:p>
            <w:pPr>
              <w:spacing w:after="0"/>
              <w:rPr>
                <w:sz w:val="14"/>
                <w:szCs w:val="14"/>
                <w:color w:val="auto"/>
              </w:rPr>
            </w:pPr>
          </w:p>
        </w:tc>
        <w:tc>
          <w:tcPr>
            <w:tcW w:w="94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4"/>
                <w:szCs w:val="14"/>
                <w:b w:val="1"/>
                <w:bCs w:val="1"/>
                <w:color w:val="auto"/>
                <w:w w:val="76"/>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103</w:t>
            </w:r>
          </w:p>
        </w:tc>
        <w:tc>
          <w:tcPr>
            <w:tcW w:w="120" w:type="dxa"/>
            <w:vAlign w:val="bottom"/>
          </w:tcPr>
          <w:p>
            <w:pPr>
              <w:spacing w:after="0"/>
              <w:rPr>
                <w:sz w:val="14"/>
                <w:szCs w:val="14"/>
                <w:color w:val="auto"/>
              </w:rPr>
            </w:pPr>
          </w:p>
        </w:tc>
        <w:tc>
          <w:tcPr>
            <w:tcW w:w="94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4"/>
                <w:szCs w:val="14"/>
                <w:b w:val="1"/>
                <w:bCs w:val="1"/>
                <w:color w:val="auto"/>
                <w:w w:val="76"/>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w:t>
            </w:r>
          </w:p>
        </w:tc>
        <w:tc>
          <w:tcPr>
            <w:tcW w:w="120" w:type="dxa"/>
            <w:vAlign w:val="bottom"/>
          </w:tcPr>
          <w:p>
            <w:pPr>
              <w:spacing w:after="0"/>
              <w:rPr>
                <w:sz w:val="14"/>
                <w:szCs w:val="14"/>
                <w:color w:val="auto"/>
              </w:rPr>
            </w:pPr>
          </w:p>
        </w:tc>
        <w:tc>
          <w:tcPr>
            <w:tcW w:w="940" w:type="dxa"/>
            <w:vAlign w:val="bottom"/>
            <w:tcBorders>
              <w:top w:val="single" w:sz="8" w:color="auto"/>
              <w:bottom w:val="single" w:sz="8" w:color="auto"/>
            </w:tcBorders>
          </w:tcPr>
          <w:p>
            <w:pPr>
              <w:jc w:val="right"/>
              <w:ind w:right="776"/>
              <w:spacing w:after="0"/>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w:t>
            </w:r>
          </w:p>
        </w:tc>
        <w:tc>
          <w:tcPr>
            <w:tcW w:w="12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198</w:t>
            </w:r>
          </w:p>
        </w:tc>
        <w:tc>
          <w:tcPr>
            <w:tcW w:w="0" w:type="dxa"/>
            <w:vAlign w:val="bottom"/>
          </w:tcPr>
          <w:p>
            <w:pPr>
              <w:spacing w:after="0"/>
              <w:rPr>
                <w:sz w:val="1"/>
                <w:szCs w:val="1"/>
                <w:color w:val="auto"/>
              </w:rPr>
            </w:pPr>
          </w:p>
        </w:tc>
      </w:tr>
      <w:tr>
        <w:trPr>
          <w:trHeight w:val="20"/>
        </w:trPr>
        <w:tc>
          <w:tcPr>
            <w:tcW w:w="4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1280"/>
          </w:cols>
          <w:pgMar w:left="300" w:top="872" w:right="319" w:bottom="1440" w:gutter="0" w:footer="0" w:header="0"/>
        </w:sectPr>
      </w:pPr>
    </w:p>
    <w:bookmarkStart w:id="15" w:name="page16"/>
    <w:bookmarkEnd w:id="15"/>
    <w:p>
      <w:pPr>
        <w:spacing w:after="0"/>
        <w:rPr>
          <w:sz w:val="20"/>
          <w:szCs w:val="20"/>
          <w:color w:val="auto"/>
        </w:rPr>
      </w:pPr>
      <w:r>
        <w:rPr>
          <w:rFonts w:ascii="Arial" w:cs="Arial" w:eastAsia="Arial" w:hAnsi="Arial"/>
          <w:sz w:val="15"/>
          <w:szCs w:val="15"/>
          <w:b w:val="1"/>
          <w:bCs w:val="1"/>
          <w:color w:val="auto"/>
        </w:rPr>
        <w:t>Appendix Table A-3: Cash Available for Distribution Reconciliation</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the calculation of Cash Available for Distribution and provides a reconciliation to Cash from Operating Activities: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12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Three Months Ended</w:t>
            </w:r>
          </w:p>
        </w:tc>
      </w:tr>
      <w:tr>
        <w:trPr>
          <w:trHeight w:val="178"/>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 in millions)</w:t>
            </w:r>
          </w:p>
        </w:tc>
        <w:tc>
          <w:tcPr>
            <w:tcW w:w="8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3/31/22</w:t>
            </w:r>
          </w:p>
        </w:tc>
        <w:tc>
          <w:tcPr>
            <w:tcW w:w="1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3/31/21</w:t>
            </w:r>
          </w:p>
        </w:tc>
      </w:tr>
      <w:tr>
        <w:trPr>
          <w:trHeight w:val="165"/>
        </w:trPr>
        <w:tc>
          <w:tcPr>
            <w:tcW w:w="4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 EBITDA</w:t>
            </w:r>
          </w:p>
        </w:tc>
        <w:tc>
          <w:tcPr>
            <w:tcW w:w="8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260</w:t>
            </w:r>
          </w:p>
        </w:tc>
        <w:tc>
          <w:tcPr>
            <w:tcW w:w="14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b w:val="1"/>
                <w:bCs w:val="1"/>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198</w:t>
            </w:r>
          </w:p>
        </w:tc>
      </w:tr>
      <w:tr>
        <w:trPr>
          <w:trHeight w:val="165"/>
        </w:trPr>
        <w:tc>
          <w:tcPr>
            <w:tcW w:w="4720" w:type="dxa"/>
            <w:vAlign w:val="bottom"/>
          </w:tcPr>
          <w:p>
            <w:pPr>
              <w:ind w:left="140"/>
              <w:spacing w:after="0"/>
              <w:rPr>
                <w:sz w:val="20"/>
                <w:szCs w:val="20"/>
                <w:color w:val="auto"/>
              </w:rPr>
            </w:pPr>
            <w:r>
              <w:rPr>
                <w:rFonts w:ascii="Arial" w:cs="Arial" w:eastAsia="Arial" w:hAnsi="Arial"/>
                <w:sz w:val="14"/>
                <w:szCs w:val="14"/>
                <w:color w:val="auto"/>
              </w:rPr>
              <w:t>Cash interest paid</w:t>
            </w:r>
          </w:p>
        </w:tc>
        <w:tc>
          <w:tcPr>
            <w:tcW w:w="8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(97)</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(93)</w:t>
            </w:r>
          </w:p>
        </w:tc>
      </w:tr>
      <w:tr>
        <w:trPr>
          <w:trHeight w:val="175"/>
        </w:trPr>
        <w:tc>
          <w:tcPr>
            <w:tcW w:w="4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Changes in prepaid and accrued liabilities for tolling agreements</w:t>
            </w:r>
          </w:p>
        </w:tc>
        <w:tc>
          <w:tcPr>
            <w:tcW w:w="8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r>
      <w:tr>
        <w:trPr>
          <w:trHeight w:val="174"/>
        </w:trPr>
        <w:tc>
          <w:tcPr>
            <w:tcW w:w="4720" w:type="dxa"/>
            <w:vAlign w:val="bottom"/>
          </w:tcPr>
          <w:p>
            <w:pPr>
              <w:ind w:left="140"/>
              <w:spacing w:after="0"/>
              <w:rPr>
                <w:sz w:val="20"/>
                <w:szCs w:val="20"/>
                <w:color w:val="auto"/>
              </w:rPr>
            </w:pPr>
            <w:r>
              <w:rPr>
                <w:rFonts w:ascii="Arial" w:cs="Arial" w:eastAsia="Arial" w:hAnsi="Arial"/>
                <w:sz w:val="14"/>
                <w:szCs w:val="14"/>
                <w:color w:val="auto"/>
              </w:rPr>
              <w:t>Adjustments to reflect sale-type leases and payments for lease expenses</w:t>
            </w:r>
          </w:p>
        </w:tc>
        <w:tc>
          <w:tcPr>
            <w:tcW w:w="8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5"/>
        </w:trPr>
        <w:tc>
          <w:tcPr>
            <w:tcW w:w="4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Pro-rata Adjusted EBITDA from unconsolidated affiliates</w:t>
            </w:r>
          </w:p>
        </w:tc>
        <w:tc>
          <w:tcPr>
            <w:tcW w:w="8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r>
      <w:tr>
        <w:trPr>
          <w:trHeight w:val="174"/>
        </w:trPr>
        <w:tc>
          <w:tcPr>
            <w:tcW w:w="4720" w:type="dxa"/>
            <w:vAlign w:val="bottom"/>
          </w:tcPr>
          <w:p>
            <w:pPr>
              <w:ind w:left="140"/>
              <w:spacing w:after="0"/>
              <w:rPr>
                <w:sz w:val="20"/>
                <w:szCs w:val="20"/>
                <w:color w:val="auto"/>
              </w:rPr>
            </w:pPr>
            <w:r>
              <w:rPr>
                <w:rFonts w:ascii="Arial" w:cs="Arial" w:eastAsia="Arial" w:hAnsi="Arial"/>
                <w:sz w:val="14"/>
                <w:szCs w:val="14"/>
                <w:color w:val="auto"/>
              </w:rPr>
              <w:t>Distributions from unconsolidated affiliates</w:t>
            </w:r>
          </w:p>
        </w:tc>
        <w:tc>
          <w:tcPr>
            <w:tcW w:w="8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175"/>
        </w:trPr>
        <w:tc>
          <w:tcPr>
            <w:tcW w:w="47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Changes in working capital and other</w:t>
            </w:r>
          </w:p>
        </w:tc>
        <w:tc>
          <w:tcPr>
            <w:tcW w:w="8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4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65"/>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Cash from Operating Activities</w:t>
            </w:r>
          </w:p>
        </w:tc>
        <w:tc>
          <w:tcPr>
            <w:tcW w:w="8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93</w:t>
            </w:r>
          </w:p>
        </w:tc>
        <w:tc>
          <w:tcPr>
            <w:tcW w:w="1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47</w:t>
            </w:r>
          </w:p>
        </w:tc>
      </w:tr>
      <w:tr>
        <w:trPr>
          <w:trHeight w:val="165"/>
        </w:trPr>
        <w:tc>
          <w:tcPr>
            <w:tcW w:w="4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Changes in working capital and other</w:t>
            </w:r>
          </w:p>
        </w:tc>
        <w:tc>
          <w:tcPr>
            <w:tcW w:w="8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95"/>
        </w:trPr>
        <w:tc>
          <w:tcPr>
            <w:tcW w:w="4720" w:type="dxa"/>
            <w:vAlign w:val="bottom"/>
          </w:tcPr>
          <w:p>
            <w:pPr>
              <w:ind w:left="140"/>
              <w:spacing w:after="0"/>
              <w:rPr>
                <w:sz w:val="20"/>
                <w:szCs w:val="20"/>
                <w:color w:val="auto"/>
              </w:rPr>
            </w:pPr>
            <w:r>
              <w:rPr>
                <w:rFonts w:ascii="Arial" w:cs="Arial" w:eastAsia="Arial" w:hAnsi="Arial"/>
                <w:sz w:val="14"/>
                <w:szCs w:val="14"/>
                <w:color w:val="auto"/>
              </w:rPr>
              <w:t>Development Expenses</w:t>
            </w:r>
            <w:r>
              <w:rPr>
                <w:rFonts w:ascii="Arial" w:cs="Arial" w:eastAsia="Arial" w:hAnsi="Arial"/>
                <w:sz w:val="17"/>
                <w:szCs w:val="17"/>
                <w:color w:val="auto"/>
                <w:vertAlign w:val="superscript"/>
              </w:rPr>
              <w:t>3</w:t>
            </w:r>
          </w:p>
        </w:tc>
        <w:tc>
          <w:tcPr>
            <w:tcW w:w="8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75"/>
        </w:trPr>
        <w:tc>
          <w:tcPr>
            <w:tcW w:w="4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Return of investment from unconsolidated affiliates</w:t>
            </w:r>
          </w:p>
        </w:tc>
        <w:tc>
          <w:tcPr>
            <w:tcW w:w="8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r>
      <w:tr>
        <w:trPr>
          <w:trHeight w:val="195"/>
        </w:trPr>
        <w:tc>
          <w:tcPr>
            <w:tcW w:w="4720" w:type="dxa"/>
            <w:vAlign w:val="bottom"/>
          </w:tcPr>
          <w:p>
            <w:pPr>
              <w:ind w:left="140"/>
              <w:spacing w:after="0"/>
              <w:rPr>
                <w:sz w:val="20"/>
                <w:szCs w:val="20"/>
                <w:color w:val="auto"/>
              </w:rPr>
            </w:pPr>
            <w:r>
              <w:rPr>
                <w:rFonts w:ascii="Arial" w:cs="Arial" w:eastAsia="Arial" w:hAnsi="Arial"/>
                <w:sz w:val="14"/>
                <w:szCs w:val="14"/>
                <w:color w:val="auto"/>
              </w:rPr>
              <w:t>Net contributions (to)/from non-controlling interest</w:t>
            </w:r>
            <w:r>
              <w:rPr>
                <w:rFonts w:ascii="Arial" w:cs="Arial" w:eastAsia="Arial" w:hAnsi="Arial"/>
                <w:sz w:val="17"/>
                <w:szCs w:val="17"/>
                <w:color w:val="auto"/>
                <w:vertAlign w:val="superscript"/>
              </w:rPr>
              <w:t>4</w:t>
            </w:r>
          </w:p>
        </w:tc>
        <w:tc>
          <w:tcPr>
            <w:tcW w:w="8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175"/>
        </w:trPr>
        <w:tc>
          <w:tcPr>
            <w:tcW w:w="4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Maintenance capital expenditures</w:t>
            </w:r>
          </w:p>
        </w:tc>
        <w:tc>
          <w:tcPr>
            <w:tcW w:w="8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195"/>
        </w:trPr>
        <w:tc>
          <w:tcPr>
            <w:tcW w:w="47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Principal amortization of indebtedness</w:t>
            </w:r>
            <w:r>
              <w:rPr>
                <w:rFonts w:ascii="Arial" w:cs="Arial" w:eastAsia="Arial" w:hAnsi="Arial"/>
                <w:sz w:val="17"/>
                <w:szCs w:val="17"/>
                <w:color w:val="auto"/>
                <w:vertAlign w:val="superscript"/>
              </w:rPr>
              <w:t>5</w:t>
            </w:r>
          </w:p>
        </w:tc>
        <w:tc>
          <w:tcPr>
            <w:tcW w:w="8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w:t>
            </w: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w:t>
            </w:r>
          </w:p>
        </w:tc>
      </w:tr>
      <w:tr>
        <w:trPr>
          <w:trHeight w:val="165"/>
        </w:trPr>
        <w:tc>
          <w:tcPr>
            <w:tcW w:w="4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Available for Distribution</w:t>
            </w:r>
          </w:p>
        </w:tc>
        <w:tc>
          <w:tcPr>
            <w:tcW w:w="8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w:t>
            </w:r>
          </w:p>
        </w:tc>
        <w:tc>
          <w:tcPr>
            <w:tcW w:w="14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b w:val="1"/>
                <w:bCs w:val="1"/>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241300</wp:posOffset>
            </wp:positionV>
            <wp:extent cx="1303655"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03655" cy="6350"/>
                    </a:xfrm>
                    <a:prstGeom prst="rect">
                      <a:avLst/>
                    </a:prstGeom>
                    <a:noFill/>
                  </pic:spPr>
                </pic:pic>
              </a:graphicData>
            </a:graphic>
          </wp:anchor>
        </w:drawing>
      </w:r>
    </w:p>
    <w:p>
      <w:pPr>
        <w:spacing w:after="0" w:line="361" w:lineRule="exact"/>
        <w:rPr>
          <w:sz w:val="20"/>
          <w:szCs w:val="20"/>
          <w:color w:val="auto"/>
        </w:rPr>
      </w:pPr>
    </w:p>
    <w:p>
      <w:pPr>
        <w:ind w:left="80" w:hanging="78"/>
        <w:spacing w:after="0"/>
        <w:tabs>
          <w:tab w:leader="none" w:pos="80" w:val="left"/>
        </w:tabs>
        <w:numPr>
          <w:ilvl w:val="0"/>
          <w:numId w:val="7"/>
        </w:numPr>
        <w:rPr>
          <w:rFonts w:ascii="Arial" w:cs="Arial" w:eastAsia="Arial" w:hAnsi="Arial"/>
          <w:sz w:val="18"/>
          <w:szCs w:val="18"/>
          <w:color w:val="auto"/>
          <w:vertAlign w:val="superscript"/>
        </w:rPr>
      </w:pPr>
      <w:r>
        <w:rPr>
          <w:rFonts w:ascii="Arial" w:cs="Arial" w:eastAsia="Arial" w:hAnsi="Arial"/>
          <w:sz w:val="11"/>
          <w:szCs w:val="11"/>
          <w:color w:val="auto"/>
        </w:rPr>
        <w:t>Primarily relates to Thermal Development Expenses</w:t>
      </w:r>
    </w:p>
    <w:p>
      <w:pPr>
        <w:ind w:left="80" w:hanging="78"/>
        <w:spacing w:after="0" w:line="187" w:lineRule="auto"/>
        <w:tabs>
          <w:tab w:leader="none" w:pos="80" w:val="left"/>
        </w:tabs>
        <w:numPr>
          <w:ilvl w:val="0"/>
          <w:numId w:val="8"/>
        </w:numPr>
        <w:rPr>
          <w:rFonts w:ascii="Arial" w:cs="Arial" w:eastAsia="Arial" w:hAnsi="Arial"/>
          <w:sz w:val="16"/>
          <w:szCs w:val="16"/>
          <w:color w:val="auto"/>
          <w:vertAlign w:val="superscript"/>
        </w:rPr>
      </w:pPr>
      <w:r>
        <w:rPr>
          <w:rFonts w:ascii="Arial" w:cs="Arial" w:eastAsia="Arial" w:hAnsi="Arial"/>
          <w:sz w:val="10"/>
          <w:szCs w:val="10"/>
          <w:color w:val="auto"/>
        </w:rPr>
        <w:t>2022 excludes $50 million of contributions related to the funding of Mesquite Sky, Black Rock, and Mililani; 2021 excludes $107 million of contributions related to funding of Rattlesnake</w:t>
      </w:r>
    </w:p>
    <w:p>
      <w:pPr>
        <w:spacing w:after="0" w:line="25" w:lineRule="exact"/>
        <w:rPr>
          <w:sz w:val="20"/>
          <w:szCs w:val="20"/>
          <w:color w:val="auto"/>
        </w:rPr>
      </w:pPr>
    </w:p>
    <w:p>
      <w:pPr>
        <w:ind w:right="180" w:firstLine="2"/>
        <w:spacing w:after="0" w:line="187" w:lineRule="auto"/>
        <w:tabs>
          <w:tab w:leader="none" w:pos="79" w:val="left"/>
        </w:tabs>
        <w:numPr>
          <w:ilvl w:val="0"/>
          <w:numId w:val="9"/>
        </w:numPr>
        <w:rPr>
          <w:rFonts w:ascii="Arial" w:cs="Arial" w:eastAsia="Arial" w:hAnsi="Arial"/>
          <w:sz w:val="18"/>
          <w:szCs w:val="18"/>
          <w:color w:val="auto"/>
          <w:vertAlign w:val="superscript"/>
        </w:rPr>
      </w:pPr>
      <w:r>
        <w:rPr>
          <w:rFonts w:ascii="Arial" w:cs="Arial" w:eastAsia="Arial" w:hAnsi="Arial"/>
          <w:sz w:val="11"/>
          <w:szCs w:val="11"/>
          <w:color w:val="auto"/>
        </w:rPr>
        <w:t>2022 excludes $186 million for the refinancing of Tapestry Wind, Laredo Ridge, and Viento, and $27 million for the repayment of bridge loans in connection with Mililani; 2021 excludes $805 million total consideration for the redemption of Corporate Notes and revolver payments and $52 million in connection with Pinnacle repowering</w:t>
      </w:r>
    </w:p>
    <w:p>
      <w:pPr>
        <w:spacing w:after="0" w:line="14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1280"/>
          </w:cols>
          <w:pgMar w:left="300" w:top="801" w:right="319" w:bottom="1440" w:gutter="0" w:footer="0" w:header="0"/>
        </w:sectPr>
      </w:pPr>
    </w:p>
    <w:bookmarkStart w:id="16" w:name="page17"/>
    <w:bookmarkEnd w:id="16"/>
    <w:p>
      <w:pPr>
        <w:spacing w:after="0" w:line="272" w:lineRule="auto"/>
        <w:rPr>
          <w:sz w:val="20"/>
          <w:szCs w:val="20"/>
          <w:color w:val="auto"/>
        </w:rPr>
      </w:pPr>
      <w:r>
        <w:rPr>
          <w:rFonts w:ascii="Arial" w:cs="Arial" w:eastAsia="Arial" w:hAnsi="Arial"/>
          <w:sz w:val="15"/>
          <w:szCs w:val="15"/>
          <w:b w:val="1"/>
          <w:bCs w:val="1"/>
          <w:color w:val="auto"/>
        </w:rPr>
        <w:t xml:space="preserve">Appendix Table A-4: Three Months Ended March 31, 2022, Sources and Uses of Liquidity </w:t>
      </w:r>
      <w:r>
        <w:rPr>
          <w:rFonts w:ascii="Arial" w:cs="Arial" w:eastAsia="Arial" w:hAnsi="Arial"/>
          <w:sz w:val="15"/>
          <w:szCs w:val="15"/>
          <w:color w:val="auto"/>
        </w:rPr>
        <w:t>The following table summarizes the sources and uses of liquidity in 2022:</w:t>
      </w:r>
    </w:p>
    <w:p>
      <w:pPr>
        <w:spacing w:after="0" w:line="354"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wp:posOffset>
            </wp:positionV>
            <wp:extent cx="4922520" cy="1111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22520" cy="111125"/>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Sources:</w:t>
      </w:r>
    </w:p>
    <w:p>
      <w:pPr>
        <w:spacing w:after="0" w:line="41" w:lineRule="exact"/>
        <w:rPr>
          <w:sz w:val="20"/>
          <w:szCs w:val="20"/>
          <w:color w:val="auto"/>
        </w:rPr>
      </w:pPr>
    </w:p>
    <w:p>
      <w:pPr>
        <w:ind w:left="140"/>
        <w:spacing w:after="0"/>
        <w:rPr>
          <w:sz w:val="20"/>
          <w:szCs w:val="20"/>
          <w:color w:val="auto"/>
        </w:rPr>
      </w:pPr>
      <w:r>
        <w:rPr>
          <w:rFonts w:ascii="Arial" w:cs="Arial" w:eastAsia="Arial" w:hAnsi="Arial"/>
          <w:sz w:val="12"/>
          <w:szCs w:val="12"/>
          <w:color w:val="auto"/>
        </w:rPr>
        <w:t>Proceeds from issuance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4922520" cy="1111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22520" cy="111125"/>
                    </a:xfrm>
                    <a:prstGeom prst="rect">
                      <a:avLst/>
                    </a:prstGeom>
                    <a:noFill/>
                  </pic:spPr>
                </pic:pic>
              </a:graphicData>
            </a:graphic>
          </wp:anchor>
        </w:drawing>
      </w:r>
    </w:p>
    <w:p>
      <w:pPr>
        <w:spacing w:after="0" w:line="17" w:lineRule="exact"/>
        <w:rPr>
          <w:sz w:val="20"/>
          <w:szCs w:val="20"/>
          <w:color w:val="auto"/>
        </w:rPr>
      </w:pPr>
    </w:p>
    <w:p>
      <w:pPr>
        <w:ind w:left="140"/>
        <w:spacing w:after="0"/>
        <w:rPr>
          <w:sz w:val="20"/>
          <w:szCs w:val="20"/>
          <w:color w:val="auto"/>
        </w:rPr>
      </w:pPr>
      <w:r>
        <w:rPr>
          <w:rFonts w:ascii="Arial" w:cs="Arial" w:eastAsia="Arial" w:hAnsi="Arial"/>
          <w:sz w:val="12"/>
          <w:szCs w:val="12"/>
          <w:color w:val="auto"/>
        </w:rPr>
        <w:t>Net cash provided by operating activities</w:t>
      </w:r>
    </w:p>
    <w:p>
      <w:pPr>
        <w:spacing w:after="0" w:line="37" w:lineRule="exact"/>
        <w:rPr>
          <w:sz w:val="20"/>
          <w:szCs w:val="20"/>
          <w:color w:val="auto"/>
        </w:rPr>
      </w:pPr>
    </w:p>
    <w:p>
      <w:pPr>
        <w:ind w:left="140"/>
        <w:spacing w:after="0"/>
        <w:rPr>
          <w:sz w:val="20"/>
          <w:szCs w:val="20"/>
          <w:color w:val="auto"/>
        </w:rPr>
      </w:pPr>
      <w:r>
        <w:rPr>
          <w:rFonts w:ascii="Arial" w:cs="Arial" w:eastAsia="Arial" w:hAnsi="Arial"/>
          <w:sz w:val="12"/>
          <w:szCs w:val="12"/>
          <w:color w:val="auto"/>
        </w:rPr>
        <w:t>Proceeds from the revolving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4922520" cy="1111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22520" cy="111125"/>
                    </a:xfrm>
                    <a:prstGeom prst="rect">
                      <a:avLst/>
                    </a:prstGeom>
                    <a:noFill/>
                  </pic:spPr>
                </pic:pic>
              </a:graphicData>
            </a:graphic>
          </wp:anchor>
        </w:drawing>
      </w:r>
    </w:p>
    <w:p>
      <w:pPr>
        <w:spacing w:after="0" w:line="17" w:lineRule="exact"/>
        <w:rPr>
          <w:sz w:val="20"/>
          <w:szCs w:val="20"/>
          <w:color w:val="auto"/>
        </w:rPr>
      </w:pPr>
    </w:p>
    <w:p>
      <w:pPr>
        <w:ind w:left="140"/>
        <w:spacing w:after="0"/>
        <w:rPr>
          <w:sz w:val="20"/>
          <w:szCs w:val="20"/>
          <w:color w:val="auto"/>
        </w:rPr>
      </w:pPr>
      <w:r>
        <w:rPr>
          <w:rFonts w:ascii="Arial" w:cs="Arial" w:eastAsia="Arial" w:hAnsi="Arial"/>
          <w:sz w:val="12"/>
          <w:szCs w:val="12"/>
          <w:color w:val="auto"/>
        </w:rPr>
        <w:t>Contributions from noncontrolling interests, net of distributions</w:t>
      </w:r>
    </w:p>
    <w:p>
      <w:pPr>
        <w:spacing w:after="0" w:line="37" w:lineRule="exact"/>
        <w:rPr>
          <w:sz w:val="20"/>
          <w:szCs w:val="20"/>
          <w:color w:val="auto"/>
        </w:rPr>
      </w:pPr>
    </w:p>
    <w:p>
      <w:pPr>
        <w:ind w:left="140"/>
        <w:spacing w:after="0"/>
        <w:rPr>
          <w:sz w:val="20"/>
          <w:szCs w:val="20"/>
          <w:color w:val="auto"/>
        </w:rPr>
      </w:pPr>
      <w:r>
        <w:rPr>
          <w:rFonts w:ascii="Arial" w:cs="Arial" w:eastAsia="Arial" w:hAnsi="Arial"/>
          <w:sz w:val="12"/>
          <w:szCs w:val="12"/>
          <w:color w:val="auto"/>
        </w:rPr>
        <w:t>Return of investment from unconsolidated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4922520" cy="1111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22520" cy="111125"/>
                    </a:xfrm>
                    <a:prstGeom prst="rect">
                      <a:avLst/>
                    </a:prstGeom>
                    <a:noFill/>
                  </pic:spPr>
                </pic:pic>
              </a:graphicData>
            </a:graphic>
          </wp:anchor>
        </w:drawing>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17145</wp:posOffset>
            </wp:positionV>
            <wp:extent cx="4922520" cy="1111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22520" cy="111125"/>
                    </a:xfrm>
                    <a:prstGeom prst="rect">
                      <a:avLst/>
                    </a:prstGeom>
                    <a:noFill/>
                  </pic:spPr>
                </pic:pic>
              </a:graphicData>
            </a:graphic>
          </wp:anchor>
        </w:drawing>
      </w:r>
    </w:p>
    <w:p>
      <w:pPr>
        <w:spacing w:after="0" w:line="21" w:lineRule="exact"/>
        <w:rPr>
          <w:sz w:val="20"/>
          <w:szCs w:val="20"/>
          <w:color w:val="auto"/>
        </w:rPr>
      </w:pPr>
    </w:p>
    <w:p>
      <w:pPr>
        <w:ind w:left="140"/>
        <w:spacing w:after="0"/>
        <w:rPr>
          <w:sz w:val="20"/>
          <w:szCs w:val="20"/>
          <w:color w:val="auto"/>
        </w:rPr>
      </w:pPr>
      <w:r>
        <w:rPr>
          <w:rFonts w:ascii="Arial" w:cs="Arial" w:eastAsia="Arial" w:hAnsi="Arial"/>
          <w:sz w:val="12"/>
          <w:szCs w:val="12"/>
          <w:color w:val="auto"/>
        </w:rPr>
        <w:t>Payments for long-term debt</w:t>
      </w:r>
    </w:p>
    <w:p>
      <w:pPr>
        <w:spacing w:after="0" w:line="37" w:lineRule="exact"/>
        <w:rPr>
          <w:sz w:val="20"/>
          <w:szCs w:val="20"/>
          <w:color w:val="auto"/>
        </w:rPr>
      </w:pPr>
    </w:p>
    <w:p>
      <w:pPr>
        <w:ind w:left="140"/>
        <w:spacing w:after="0"/>
        <w:rPr>
          <w:sz w:val="20"/>
          <w:szCs w:val="20"/>
          <w:color w:val="auto"/>
        </w:rPr>
      </w:pPr>
      <w:r>
        <w:rPr>
          <w:rFonts w:ascii="Arial" w:cs="Arial" w:eastAsia="Arial" w:hAnsi="Arial"/>
          <w:sz w:val="12"/>
          <w:szCs w:val="12"/>
          <w:color w:val="auto"/>
        </w:rPr>
        <w:t>Payments of dividends and 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4922520" cy="1111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22520" cy="111125"/>
                    </a:xfrm>
                    <a:prstGeom prst="rect">
                      <a:avLst/>
                    </a:prstGeom>
                    <a:noFill/>
                  </pic:spPr>
                </pic:pic>
              </a:graphicData>
            </a:graphic>
          </wp:anchor>
        </w:drawing>
      </w:r>
    </w:p>
    <w:p>
      <w:pPr>
        <w:spacing w:after="0" w:line="17" w:lineRule="exact"/>
        <w:rPr>
          <w:sz w:val="20"/>
          <w:szCs w:val="20"/>
          <w:color w:val="auto"/>
        </w:rPr>
      </w:pPr>
    </w:p>
    <w:p>
      <w:pPr>
        <w:ind w:left="140"/>
        <w:spacing w:after="0"/>
        <w:rPr>
          <w:sz w:val="20"/>
          <w:szCs w:val="20"/>
          <w:color w:val="auto"/>
        </w:rPr>
      </w:pPr>
      <w:r>
        <w:rPr>
          <w:rFonts w:ascii="Arial" w:cs="Arial" w:eastAsia="Arial" w:hAnsi="Arial"/>
          <w:sz w:val="12"/>
          <w:szCs w:val="12"/>
          <w:color w:val="auto"/>
        </w:rPr>
        <w:t>Distributions to CEG of escrowed amounts</w:t>
      </w:r>
    </w:p>
    <w:p>
      <w:pPr>
        <w:spacing w:after="0" w:line="37" w:lineRule="exact"/>
        <w:rPr>
          <w:sz w:val="20"/>
          <w:szCs w:val="20"/>
          <w:color w:val="auto"/>
        </w:rPr>
      </w:pPr>
    </w:p>
    <w:p>
      <w:pPr>
        <w:ind w:left="140"/>
        <w:spacing w:after="0"/>
        <w:rPr>
          <w:sz w:val="20"/>
          <w:szCs w:val="20"/>
          <w:color w:val="auto"/>
        </w:rPr>
      </w:pPr>
      <w:r>
        <w:rPr>
          <w:rFonts w:ascii="Arial" w:cs="Arial" w:eastAsia="Arial" w:hAnsi="Arial"/>
          <w:sz w:val="12"/>
          <w:szCs w:val="12"/>
          <w:color w:val="auto"/>
        </w:rPr>
        <w:t>Acquisition of Drop Down Assets, net of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4922520" cy="1111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22520" cy="111125"/>
                    </a:xfrm>
                    <a:prstGeom prst="rect">
                      <a:avLst/>
                    </a:prstGeom>
                    <a:noFill/>
                  </pic:spPr>
                </pic:pic>
              </a:graphicData>
            </a:graphic>
          </wp:anchor>
        </w:drawing>
      </w:r>
    </w:p>
    <w:p>
      <w:pPr>
        <w:spacing w:after="0" w:line="17" w:lineRule="exact"/>
        <w:rPr>
          <w:sz w:val="20"/>
          <w:szCs w:val="20"/>
          <w:color w:val="auto"/>
        </w:rPr>
      </w:pPr>
    </w:p>
    <w:p>
      <w:pPr>
        <w:ind w:left="140"/>
        <w:spacing w:after="0"/>
        <w:rPr>
          <w:sz w:val="20"/>
          <w:szCs w:val="20"/>
          <w:color w:val="auto"/>
        </w:rPr>
      </w:pPr>
      <w:r>
        <w:rPr>
          <w:rFonts w:ascii="Arial" w:cs="Arial" w:eastAsia="Arial" w:hAnsi="Arial"/>
          <w:sz w:val="12"/>
          <w:szCs w:val="12"/>
          <w:color w:val="auto"/>
        </w:rPr>
        <w:t>Capital expenditures</w:t>
      </w:r>
    </w:p>
    <w:p>
      <w:pPr>
        <w:spacing w:after="0" w:line="37" w:lineRule="exact"/>
        <w:rPr>
          <w:sz w:val="20"/>
          <w:szCs w:val="20"/>
          <w:color w:val="auto"/>
        </w:rPr>
      </w:pPr>
    </w:p>
    <w:p>
      <w:pPr>
        <w:ind w:left="140"/>
        <w:spacing w:after="0"/>
        <w:rPr>
          <w:sz w:val="20"/>
          <w:szCs w:val="20"/>
          <w:color w:val="auto"/>
        </w:rPr>
      </w:pPr>
      <w:r>
        <w:rPr>
          <w:rFonts w:ascii="Arial" w:cs="Arial" w:eastAsia="Arial" w:hAnsi="Arial"/>
          <w:sz w:val="12"/>
          <w:szCs w:val="12"/>
          <w:color w:val="auto"/>
        </w:rPr>
        <w:t>Payments for the revolving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4922520" cy="1111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22520" cy="111125"/>
                    </a:xfrm>
                    <a:prstGeom prst="rect">
                      <a:avLst/>
                    </a:prstGeom>
                    <a:noFill/>
                  </pic:spPr>
                </pic:pic>
              </a:graphicData>
            </a:graphic>
          </wp:anchor>
        </w:drawing>
      </w:r>
    </w:p>
    <w:p>
      <w:pPr>
        <w:spacing w:after="0" w:line="17" w:lineRule="exact"/>
        <w:rPr>
          <w:sz w:val="20"/>
          <w:szCs w:val="20"/>
          <w:color w:val="auto"/>
        </w:rPr>
      </w:pPr>
    </w:p>
    <w:p>
      <w:pPr>
        <w:ind w:left="140"/>
        <w:spacing w:after="0"/>
        <w:rPr>
          <w:sz w:val="20"/>
          <w:szCs w:val="20"/>
          <w:color w:val="auto"/>
        </w:rPr>
      </w:pPr>
      <w:r>
        <w:rPr>
          <w:rFonts w:ascii="Arial" w:cs="Arial" w:eastAsia="Arial" w:hAnsi="Arial"/>
          <w:sz w:val="12"/>
          <w:szCs w:val="12"/>
          <w:color w:val="auto"/>
        </w:rPr>
        <w:t>Other net cash outflows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132080</wp:posOffset>
            </wp:positionV>
            <wp:extent cx="4922520" cy="1174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22520" cy="117475"/>
                    </a:xfrm>
                    <a:prstGeom prst="rect">
                      <a:avLst/>
                    </a:prstGeom>
                    <a:noFill/>
                  </pic:spPr>
                </pic:pic>
              </a:graphicData>
            </a:graphic>
          </wp:anchor>
        </w:drawing>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Change in total cash, cash equivalents, and restricted cash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jc w:val="center"/>
        <w:ind w:right="3540"/>
        <w:spacing w:after="0"/>
        <w:rPr>
          <w:sz w:val="20"/>
          <w:szCs w:val="20"/>
          <w:color w:val="auto"/>
        </w:rPr>
      </w:pPr>
      <w:r>
        <w:rPr>
          <w:rFonts w:ascii="Arial" w:cs="Arial" w:eastAsia="Arial" w:hAnsi="Arial"/>
          <w:sz w:val="13"/>
          <w:szCs w:val="13"/>
          <w:b w:val="1"/>
          <w:bCs w:val="1"/>
          <w:color w:val="auto"/>
        </w:rPr>
        <w:t>Three Months Ended</w:t>
      </w:r>
    </w:p>
    <w:p>
      <w:pPr>
        <w:spacing w:after="0" w:line="28" w:lineRule="exact"/>
        <w:rPr>
          <w:sz w:val="20"/>
          <w:szCs w:val="20"/>
          <w:color w:val="auto"/>
        </w:rPr>
      </w:pPr>
    </w:p>
    <w:p>
      <w:pPr>
        <w:jc w:val="center"/>
        <w:ind w:right="3540"/>
        <w:spacing w:after="0"/>
        <w:rPr>
          <w:sz w:val="20"/>
          <w:szCs w:val="20"/>
          <w:color w:val="auto"/>
        </w:rPr>
      </w:pPr>
      <w:r>
        <w:rPr>
          <w:rFonts w:ascii="Arial" w:cs="Arial" w:eastAsia="Arial" w:hAnsi="Arial"/>
          <w:sz w:val="14"/>
          <w:szCs w:val="14"/>
          <w:b w:val="1"/>
          <w:bCs w:val="1"/>
          <w:color w:val="auto"/>
        </w:rPr>
        <w:t>3/31/22</w:t>
      </w:r>
    </w:p>
    <w:p>
      <w:pPr>
        <w:spacing w:after="0" w:line="189" w:lineRule="exact"/>
        <w:rPr>
          <w:sz w:val="20"/>
          <w:szCs w:val="20"/>
          <w:color w:val="auto"/>
        </w:rPr>
      </w:pPr>
    </w:p>
    <w:p>
      <w:pPr>
        <w:jc w:val="right"/>
        <w:ind w:right="3580"/>
        <w:spacing w:after="0"/>
        <w:rPr>
          <w:sz w:val="20"/>
          <w:szCs w:val="20"/>
          <w:color w:val="auto"/>
        </w:rPr>
      </w:pPr>
      <w:r>
        <w:rPr>
          <w:rFonts w:ascii="Arial" w:cs="Arial" w:eastAsia="Arial" w:hAnsi="Arial"/>
          <w:sz w:val="14"/>
          <w:szCs w:val="14"/>
          <w:color w:val="auto"/>
        </w:rPr>
        <w:t>194</w:t>
      </w:r>
    </w:p>
    <w:p>
      <w:pPr>
        <w:spacing w:after="0" w:line="14" w:lineRule="exact"/>
        <w:rPr>
          <w:sz w:val="20"/>
          <w:szCs w:val="20"/>
          <w:color w:val="auto"/>
        </w:rPr>
      </w:pPr>
    </w:p>
    <w:p>
      <w:pPr>
        <w:jc w:val="right"/>
        <w:ind w:right="3580"/>
        <w:spacing w:after="0"/>
        <w:rPr>
          <w:sz w:val="20"/>
          <w:szCs w:val="20"/>
          <w:color w:val="auto"/>
        </w:rPr>
      </w:pPr>
      <w:r>
        <w:rPr>
          <w:rFonts w:ascii="Arial" w:cs="Arial" w:eastAsia="Arial" w:hAnsi="Arial"/>
          <w:sz w:val="14"/>
          <w:szCs w:val="14"/>
          <w:color w:val="auto"/>
        </w:rPr>
        <w:t>93</w:t>
      </w:r>
    </w:p>
    <w:p>
      <w:pPr>
        <w:spacing w:after="0" w:line="14" w:lineRule="exact"/>
        <w:rPr>
          <w:sz w:val="20"/>
          <w:szCs w:val="20"/>
          <w:color w:val="auto"/>
        </w:rPr>
      </w:pPr>
    </w:p>
    <w:p>
      <w:pPr>
        <w:jc w:val="right"/>
        <w:ind w:right="3580"/>
        <w:spacing w:after="0"/>
        <w:rPr>
          <w:sz w:val="20"/>
          <w:szCs w:val="20"/>
          <w:color w:val="auto"/>
        </w:rPr>
      </w:pPr>
      <w:r>
        <w:rPr>
          <w:rFonts w:ascii="Arial" w:cs="Arial" w:eastAsia="Arial" w:hAnsi="Arial"/>
          <w:sz w:val="14"/>
          <w:szCs w:val="14"/>
          <w:color w:val="auto"/>
        </w:rPr>
        <w:t>80</w:t>
      </w:r>
    </w:p>
    <w:p>
      <w:pPr>
        <w:spacing w:after="0" w:line="14" w:lineRule="exact"/>
        <w:rPr>
          <w:sz w:val="20"/>
          <w:szCs w:val="20"/>
          <w:color w:val="auto"/>
        </w:rPr>
      </w:pPr>
    </w:p>
    <w:p>
      <w:pPr>
        <w:jc w:val="right"/>
        <w:ind w:right="3580"/>
        <w:spacing w:after="0"/>
        <w:rPr>
          <w:sz w:val="20"/>
          <w:szCs w:val="20"/>
          <w:color w:val="auto"/>
        </w:rPr>
      </w:pPr>
      <w:r>
        <w:rPr>
          <w:rFonts w:ascii="Arial" w:cs="Arial" w:eastAsia="Arial" w:hAnsi="Arial"/>
          <w:sz w:val="14"/>
          <w:szCs w:val="14"/>
          <w:color w:val="auto"/>
        </w:rPr>
        <w:t>23</w:t>
      </w:r>
    </w:p>
    <w:p>
      <w:pPr>
        <w:spacing w:after="0" w:line="14" w:lineRule="exact"/>
        <w:rPr>
          <w:sz w:val="20"/>
          <w:szCs w:val="20"/>
          <w:color w:val="auto"/>
        </w:rPr>
      </w:pPr>
    </w:p>
    <w:p>
      <w:pPr>
        <w:jc w:val="right"/>
        <w:ind w:right="3580"/>
        <w:spacing w:after="0"/>
        <w:rPr>
          <w:sz w:val="20"/>
          <w:szCs w:val="20"/>
          <w:color w:val="auto"/>
        </w:rPr>
      </w:pPr>
      <w:r>
        <w:rPr>
          <w:rFonts w:ascii="Arial" w:cs="Arial" w:eastAsia="Arial" w:hAnsi="Arial"/>
          <w:sz w:val="14"/>
          <w:szCs w:val="14"/>
          <w:color w:val="auto"/>
        </w:rPr>
        <w:t>3</w:t>
      </w:r>
    </w:p>
    <w:p>
      <w:pPr>
        <w:spacing w:after="0" w:line="352" w:lineRule="exact"/>
        <w:rPr>
          <w:sz w:val="20"/>
          <w:szCs w:val="20"/>
          <w:color w:val="auto"/>
        </w:rPr>
      </w:pPr>
    </w:p>
    <w:p>
      <w:pPr>
        <w:jc w:val="right"/>
        <w:ind w:right="3540"/>
        <w:spacing w:after="0"/>
        <w:rPr>
          <w:sz w:val="20"/>
          <w:szCs w:val="20"/>
          <w:color w:val="auto"/>
        </w:rPr>
      </w:pPr>
      <w:r>
        <w:rPr>
          <w:rFonts w:ascii="Arial" w:cs="Arial" w:eastAsia="Arial" w:hAnsi="Arial"/>
          <w:sz w:val="14"/>
          <w:szCs w:val="14"/>
          <w:color w:val="auto"/>
        </w:rPr>
        <w:t>(317)</w:t>
      </w:r>
    </w:p>
    <w:p>
      <w:pPr>
        <w:spacing w:after="0" w:line="14" w:lineRule="exact"/>
        <w:rPr>
          <w:sz w:val="20"/>
          <w:szCs w:val="20"/>
          <w:color w:val="auto"/>
        </w:rPr>
      </w:pPr>
    </w:p>
    <w:p>
      <w:pPr>
        <w:jc w:val="right"/>
        <w:ind w:right="3540"/>
        <w:spacing w:after="0"/>
        <w:rPr>
          <w:sz w:val="20"/>
          <w:szCs w:val="20"/>
          <w:color w:val="auto"/>
        </w:rPr>
      </w:pPr>
      <w:r>
        <w:rPr>
          <w:rFonts w:ascii="Arial" w:cs="Arial" w:eastAsia="Arial" w:hAnsi="Arial"/>
          <w:sz w:val="14"/>
          <w:szCs w:val="14"/>
          <w:color w:val="auto"/>
        </w:rPr>
        <w:t>(70)</w:t>
      </w:r>
    </w:p>
    <w:p>
      <w:pPr>
        <w:spacing w:after="0" w:line="14" w:lineRule="exact"/>
        <w:rPr>
          <w:sz w:val="20"/>
          <w:szCs w:val="20"/>
          <w:color w:val="auto"/>
        </w:rPr>
      </w:pPr>
    </w:p>
    <w:p>
      <w:pPr>
        <w:jc w:val="right"/>
        <w:ind w:right="3540"/>
        <w:spacing w:after="0"/>
        <w:rPr>
          <w:sz w:val="20"/>
          <w:szCs w:val="20"/>
          <w:color w:val="auto"/>
        </w:rPr>
      </w:pPr>
      <w:r>
        <w:rPr>
          <w:rFonts w:ascii="Arial" w:cs="Arial" w:eastAsia="Arial" w:hAnsi="Arial"/>
          <w:sz w:val="14"/>
          <w:szCs w:val="14"/>
          <w:color w:val="auto"/>
        </w:rPr>
        <w:t>(64)</w:t>
      </w:r>
    </w:p>
    <w:p>
      <w:pPr>
        <w:spacing w:after="0" w:line="14" w:lineRule="exact"/>
        <w:rPr>
          <w:sz w:val="20"/>
          <w:szCs w:val="20"/>
          <w:color w:val="auto"/>
        </w:rPr>
      </w:pPr>
    </w:p>
    <w:p>
      <w:pPr>
        <w:jc w:val="right"/>
        <w:ind w:right="3540"/>
        <w:spacing w:after="0"/>
        <w:rPr>
          <w:sz w:val="20"/>
          <w:szCs w:val="20"/>
          <w:color w:val="auto"/>
        </w:rPr>
      </w:pPr>
      <w:r>
        <w:rPr>
          <w:rFonts w:ascii="Arial" w:cs="Arial" w:eastAsia="Arial" w:hAnsi="Arial"/>
          <w:sz w:val="14"/>
          <w:szCs w:val="14"/>
          <w:color w:val="auto"/>
        </w:rPr>
        <w:t>(51)</w:t>
      </w:r>
    </w:p>
    <w:p>
      <w:pPr>
        <w:spacing w:after="0" w:line="14" w:lineRule="exact"/>
        <w:rPr>
          <w:sz w:val="20"/>
          <w:szCs w:val="20"/>
          <w:color w:val="auto"/>
        </w:rPr>
      </w:pPr>
    </w:p>
    <w:p>
      <w:pPr>
        <w:jc w:val="right"/>
        <w:ind w:right="3540"/>
        <w:spacing w:after="0"/>
        <w:rPr>
          <w:sz w:val="20"/>
          <w:szCs w:val="20"/>
          <w:color w:val="auto"/>
        </w:rPr>
      </w:pPr>
      <w:r>
        <w:rPr>
          <w:rFonts w:ascii="Arial" w:cs="Arial" w:eastAsia="Arial" w:hAnsi="Arial"/>
          <w:sz w:val="14"/>
          <w:szCs w:val="14"/>
          <w:color w:val="auto"/>
        </w:rPr>
        <w:t>(47)</w:t>
      </w:r>
    </w:p>
    <w:p>
      <w:pPr>
        <w:spacing w:after="0" w:line="14" w:lineRule="exact"/>
        <w:rPr>
          <w:sz w:val="20"/>
          <w:szCs w:val="20"/>
          <w:color w:val="auto"/>
        </w:rPr>
      </w:pPr>
    </w:p>
    <w:p>
      <w:pPr>
        <w:jc w:val="right"/>
        <w:ind w:right="3540"/>
        <w:spacing w:after="0"/>
        <w:rPr>
          <w:sz w:val="20"/>
          <w:szCs w:val="20"/>
          <w:color w:val="auto"/>
        </w:rPr>
      </w:pPr>
      <w:r>
        <w:rPr>
          <w:rFonts w:ascii="Arial" w:cs="Arial" w:eastAsia="Arial" w:hAnsi="Arial"/>
          <w:sz w:val="14"/>
          <w:szCs w:val="14"/>
          <w:color w:val="auto"/>
        </w:rPr>
        <w:t>(20)</w:t>
      </w:r>
    </w:p>
    <w:p>
      <w:pPr>
        <w:spacing w:after="0" w:line="14" w:lineRule="exact"/>
        <w:rPr>
          <w:sz w:val="20"/>
          <w:szCs w:val="20"/>
          <w:color w:val="auto"/>
        </w:rPr>
      </w:pPr>
    </w:p>
    <w:p>
      <w:pPr>
        <w:jc w:val="right"/>
        <w:ind w:right="3540"/>
        <w:spacing w:after="0"/>
        <w:rPr>
          <w:sz w:val="20"/>
          <w:szCs w:val="20"/>
          <w:color w:val="auto"/>
        </w:rPr>
      </w:pPr>
      <w:r>
        <w:rPr>
          <w:rFonts w:ascii="Arial" w:cs="Arial" w:eastAsia="Arial" w:hAnsi="Arial"/>
          <w:sz w:val="14"/>
          <w:szCs w:val="14"/>
          <w:color w:val="auto"/>
        </w:rPr>
        <w:t>(12)</w:t>
      </w:r>
    </w:p>
    <w:p>
      <w:pPr>
        <w:spacing w:after="0" w:line="219" w:lineRule="exact"/>
        <w:rPr>
          <w:sz w:val="20"/>
          <w:szCs w:val="20"/>
          <w:color w:val="auto"/>
        </w:rPr>
      </w:pPr>
    </w:p>
    <w:p>
      <w:pPr>
        <w:ind w:left="1080" w:hanging="1079"/>
        <w:spacing w:after="0"/>
        <w:tabs>
          <w:tab w:leader="none" w:pos="1080" w:val="left"/>
        </w:tabs>
        <w:numPr>
          <w:ilvl w:val="0"/>
          <w:numId w:val="10"/>
        </w:numPr>
        <w:rPr>
          <w:rFonts w:ascii="Arial" w:cs="Arial" w:eastAsia="Arial" w:hAnsi="Arial"/>
          <w:sz w:val="11"/>
          <w:szCs w:val="11"/>
          <w:b w:val="1"/>
          <w:bCs w:val="1"/>
          <w:color w:val="auto"/>
        </w:rPr>
      </w:pPr>
      <w:r>
        <w:rPr>
          <w:rFonts w:ascii="Arial" w:cs="Arial" w:eastAsia="Arial" w:hAnsi="Arial"/>
          <w:sz w:val="11"/>
          <w:szCs w:val="11"/>
          <w:b w:val="1"/>
          <w:bCs w:val="1"/>
          <w:color w:val="auto"/>
        </w:rPr>
        <w:t>(188)</w:t>
      </w:r>
    </w:p>
    <w:p>
      <w:pPr>
        <w:spacing w:after="0" w:line="211" w:lineRule="exact"/>
        <w:rPr>
          <w:sz w:val="20"/>
          <w:szCs w:val="20"/>
          <w:color w:val="auto"/>
        </w:rPr>
      </w:pPr>
    </w:p>
    <w:p>
      <w:pPr>
        <w:sectPr>
          <w:pgSz w:w="11900" w:h="16838" w:orient="portrait"/>
          <w:cols w:equalWidth="0" w:num="2">
            <w:col w:w="5780" w:space="600"/>
            <w:col w:w="4900"/>
          </w:cols>
          <w:pgMar w:left="300" w:top="801" w:right="319" w:bottom="1440" w:gutter="0" w:footer="0" w:header="0"/>
        </w:sectPr>
      </w:pPr>
    </w:p>
    <w:p>
      <w:pPr>
        <w:spacing w:after="0" w:line="241" w:lineRule="exact"/>
        <w:rPr>
          <w:sz w:val="20"/>
          <w:szCs w:val="20"/>
          <w:color w:val="auto"/>
        </w:rPr>
      </w:pPr>
    </w:p>
    <w:p>
      <w:pPr>
        <w:ind w:left="11160"/>
        <w:spacing w:after="0"/>
        <w:rPr>
          <w:sz w:val="20"/>
          <w:szCs w:val="20"/>
          <w:color w:val="auto"/>
        </w:rPr>
      </w:pPr>
      <w:r>
        <w:rPr>
          <w:rFonts w:ascii="Arial" w:cs="Arial" w:eastAsia="Arial" w:hAnsi="Arial"/>
          <w:sz w:val="10"/>
          <w:szCs w:val="10"/>
          <w:color w:val="auto"/>
        </w:rPr>
        <w:t>14</w:t>
      </w:r>
    </w:p>
    <w:p>
      <w:pPr>
        <w:sectPr>
          <w:pgSz w:w="11900" w:h="16838" w:orient="portrait"/>
          <w:cols w:equalWidth="0" w:num="1">
            <w:col w:w="11280"/>
          </w:cols>
          <w:pgMar w:left="300" w:top="801" w:right="31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5"/>
          <w:szCs w:val="15"/>
          <w:b w:val="1"/>
          <w:bCs w:val="1"/>
          <w:color w:val="auto"/>
        </w:rPr>
        <w:t>Appendix Table A-5: Adjusted EBITDA and Cash Available for Distribution Guidance and Pro Forma Outlook</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 in millions)</w:t>
            </w:r>
          </w:p>
        </w:tc>
        <w:tc>
          <w:tcPr>
            <w:tcW w:w="14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2022 Full Year</w:t>
            </w:r>
          </w:p>
        </w:tc>
        <w:tc>
          <w:tcPr>
            <w:tcW w:w="80" w:type="dxa"/>
            <w:vAlign w:val="bottom"/>
          </w:tcPr>
          <w:p>
            <w:pPr>
              <w:spacing w:after="0"/>
              <w:rPr>
                <w:sz w:val="14"/>
                <w:szCs w:val="14"/>
                <w:color w:val="auto"/>
              </w:rPr>
            </w:pPr>
          </w:p>
        </w:tc>
        <w:tc>
          <w:tcPr>
            <w:tcW w:w="1120" w:type="dxa"/>
            <w:vAlign w:val="bottom"/>
          </w:tcPr>
          <w:p>
            <w:pPr>
              <w:jc w:val="right"/>
              <w:ind w:right="18"/>
              <w:spacing w:after="0"/>
              <w:rPr>
                <w:sz w:val="20"/>
                <w:szCs w:val="20"/>
                <w:color w:val="auto"/>
              </w:rPr>
            </w:pPr>
            <w:r>
              <w:rPr>
                <w:rFonts w:ascii="Arial" w:cs="Arial" w:eastAsia="Arial" w:hAnsi="Arial"/>
                <w:sz w:val="14"/>
                <w:szCs w:val="14"/>
                <w:b w:val="1"/>
                <w:bCs w:val="1"/>
                <w:color w:val="auto"/>
                <w:w w:val="90"/>
              </w:rPr>
              <w:t>Pro Forma CAFD</w:t>
            </w:r>
          </w:p>
        </w:tc>
        <w:tc>
          <w:tcPr>
            <w:tcW w:w="0" w:type="dxa"/>
            <w:vAlign w:val="bottom"/>
          </w:tcPr>
          <w:p>
            <w:pPr>
              <w:spacing w:after="0"/>
              <w:rPr>
                <w:sz w:val="1"/>
                <w:szCs w:val="1"/>
                <w:color w:val="auto"/>
              </w:rPr>
            </w:pPr>
          </w:p>
        </w:tc>
      </w:tr>
      <w:tr>
        <w:trPr>
          <w:trHeight w:val="175"/>
        </w:trPr>
        <w:tc>
          <w:tcPr>
            <w:tcW w:w="53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Guidance</w:t>
            </w:r>
          </w:p>
        </w:tc>
        <w:tc>
          <w:tcPr>
            <w:tcW w:w="80" w:type="dxa"/>
            <w:vAlign w:val="bottom"/>
          </w:tcPr>
          <w:p>
            <w:pPr>
              <w:spacing w:after="0"/>
              <w:rPr>
                <w:sz w:val="15"/>
                <w:szCs w:val="15"/>
                <w:color w:val="auto"/>
              </w:rPr>
            </w:pPr>
          </w:p>
        </w:tc>
        <w:tc>
          <w:tcPr>
            <w:tcW w:w="1120" w:type="dxa"/>
            <w:vAlign w:val="bottom"/>
          </w:tcPr>
          <w:p>
            <w:pPr>
              <w:jc w:val="right"/>
              <w:ind w:right="298"/>
              <w:spacing w:after="0"/>
              <w:rPr>
                <w:sz w:val="20"/>
                <w:szCs w:val="20"/>
                <w:color w:val="auto"/>
              </w:rPr>
            </w:pPr>
            <w:r>
              <w:rPr>
                <w:rFonts w:ascii="Arial" w:cs="Arial" w:eastAsia="Arial" w:hAnsi="Arial"/>
                <w:sz w:val="14"/>
                <w:szCs w:val="14"/>
                <w:b w:val="1"/>
                <w:bCs w:val="1"/>
                <w:color w:val="auto"/>
              </w:rPr>
              <w:t>Outlook</w:t>
            </w:r>
          </w:p>
        </w:tc>
        <w:tc>
          <w:tcPr>
            <w:tcW w:w="0" w:type="dxa"/>
            <w:vAlign w:val="bottom"/>
          </w:tcPr>
          <w:p>
            <w:pPr>
              <w:spacing w:after="0"/>
              <w:rPr>
                <w:sz w:val="1"/>
                <w:szCs w:val="1"/>
                <w:color w:val="auto"/>
              </w:rPr>
            </w:pPr>
          </w:p>
        </w:tc>
      </w:tr>
      <w:tr>
        <w:trPr>
          <w:trHeight w:val="165"/>
        </w:trPr>
        <w:tc>
          <w:tcPr>
            <w:tcW w:w="5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w:t>
            </w: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110</w:t>
            </w: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75</w:t>
            </w:r>
          </w:p>
        </w:tc>
        <w:tc>
          <w:tcPr>
            <w:tcW w:w="0" w:type="dxa"/>
            <w:vAlign w:val="bottom"/>
          </w:tcPr>
          <w:p>
            <w:pPr>
              <w:spacing w:after="0"/>
              <w:rPr>
                <w:sz w:val="1"/>
                <w:szCs w:val="1"/>
                <w:color w:val="auto"/>
              </w:rPr>
            </w:pPr>
          </w:p>
        </w:tc>
      </w:tr>
      <w:tr>
        <w:trPr>
          <w:trHeight w:val="165"/>
        </w:trPr>
        <w:tc>
          <w:tcPr>
            <w:tcW w:w="5160" w:type="dxa"/>
            <w:vAlign w:val="bottom"/>
          </w:tcPr>
          <w:p>
            <w:pPr>
              <w:ind w:left="140"/>
              <w:spacing w:after="0"/>
              <w:rPr>
                <w:sz w:val="20"/>
                <w:szCs w:val="20"/>
                <w:color w:val="auto"/>
              </w:rPr>
            </w:pPr>
            <w:r>
              <w:rPr>
                <w:rFonts w:ascii="Arial" w:cs="Arial" w:eastAsia="Arial" w:hAnsi="Arial"/>
                <w:sz w:val="14"/>
                <w:szCs w:val="14"/>
                <w:color w:val="auto"/>
              </w:rPr>
              <w:t>Income Tax Expense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20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175"/>
        </w:trPr>
        <w:tc>
          <w:tcPr>
            <w:tcW w:w="53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Interest Expense, net</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445</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385</w:t>
            </w:r>
          </w:p>
        </w:tc>
        <w:tc>
          <w:tcPr>
            <w:tcW w:w="0" w:type="dxa"/>
            <w:vAlign w:val="bottom"/>
          </w:tcPr>
          <w:p>
            <w:pPr>
              <w:spacing w:after="0"/>
              <w:rPr>
                <w:sz w:val="1"/>
                <w:szCs w:val="1"/>
                <w:color w:val="auto"/>
              </w:rPr>
            </w:pPr>
          </w:p>
        </w:tc>
      </w:tr>
      <w:tr>
        <w:trPr>
          <w:trHeight w:val="174"/>
        </w:trPr>
        <w:tc>
          <w:tcPr>
            <w:tcW w:w="5300" w:type="dxa"/>
            <w:vAlign w:val="bottom"/>
            <w:gridSpan w:val="2"/>
          </w:tcPr>
          <w:p>
            <w:pPr>
              <w:ind w:left="140"/>
              <w:spacing w:after="0"/>
              <w:rPr>
                <w:sz w:val="20"/>
                <w:szCs w:val="20"/>
                <w:color w:val="auto"/>
              </w:rPr>
            </w:pPr>
            <w:r>
              <w:rPr>
                <w:rFonts w:ascii="Arial" w:cs="Arial" w:eastAsia="Arial" w:hAnsi="Arial"/>
                <w:sz w:val="14"/>
                <w:szCs w:val="14"/>
                <w:color w:val="auto"/>
              </w:rPr>
              <w:t>Depreciation, Amortization, and ARO Expense</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585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530</w:t>
            </w:r>
          </w:p>
        </w:tc>
        <w:tc>
          <w:tcPr>
            <w:tcW w:w="0" w:type="dxa"/>
            <w:vAlign w:val="bottom"/>
          </w:tcPr>
          <w:p>
            <w:pPr>
              <w:spacing w:after="0"/>
              <w:rPr>
                <w:sz w:val="1"/>
                <w:szCs w:val="1"/>
                <w:color w:val="auto"/>
              </w:rPr>
            </w:pPr>
          </w:p>
        </w:tc>
      </w:tr>
      <w:tr>
        <w:trPr>
          <w:trHeight w:val="175"/>
        </w:trPr>
        <w:tc>
          <w:tcPr>
            <w:tcW w:w="53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Adjustment to reflect CWEN share of Adjusted EBITDA in unconsolidated affiliates</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w:t>
            </w:r>
          </w:p>
        </w:tc>
        <w:tc>
          <w:tcPr>
            <w:tcW w:w="0" w:type="dxa"/>
            <w:vAlign w:val="bottom"/>
          </w:tcPr>
          <w:p>
            <w:pPr>
              <w:spacing w:after="0"/>
              <w:rPr>
                <w:sz w:val="1"/>
                <w:szCs w:val="1"/>
                <w:color w:val="auto"/>
              </w:rPr>
            </w:pPr>
          </w:p>
        </w:tc>
      </w:tr>
      <w:tr>
        <w:trPr>
          <w:trHeight w:val="174"/>
        </w:trPr>
        <w:tc>
          <w:tcPr>
            <w:tcW w:w="5300" w:type="dxa"/>
            <w:vAlign w:val="bottom"/>
            <w:gridSpan w:val="2"/>
          </w:tcPr>
          <w:p>
            <w:pPr>
              <w:ind w:left="140"/>
              <w:spacing w:after="0"/>
              <w:rPr>
                <w:sz w:val="20"/>
                <w:szCs w:val="20"/>
                <w:color w:val="auto"/>
              </w:rPr>
            </w:pPr>
            <w:r>
              <w:rPr>
                <w:rFonts w:ascii="Arial" w:cs="Arial" w:eastAsia="Arial" w:hAnsi="Arial"/>
                <w:sz w:val="14"/>
                <w:szCs w:val="14"/>
                <w:color w:val="auto"/>
              </w:rPr>
              <w:t>Non-Cash Equity Compensation</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65"/>
        </w:trPr>
        <w:tc>
          <w:tcPr>
            <w:tcW w:w="5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 EBITDA</w:t>
            </w: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1,225</w:t>
            </w: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1,055</w:t>
            </w:r>
          </w:p>
        </w:tc>
        <w:tc>
          <w:tcPr>
            <w:tcW w:w="0" w:type="dxa"/>
            <w:vAlign w:val="bottom"/>
          </w:tcPr>
          <w:p>
            <w:pPr>
              <w:spacing w:after="0"/>
              <w:rPr>
                <w:sz w:val="1"/>
                <w:szCs w:val="1"/>
                <w:color w:val="auto"/>
              </w:rPr>
            </w:pPr>
          </w:p>
        </w:tc>
      </w:tr>
      <w:tr>
        <w:trPr>
          <w:trHeight w:val="165"/>
        </w:trPr>
        <w:tc>
          <w:tcPr>
            <w:tcW w:w="5160" w:type="dxa"/>
            <w:vAlign w:val="bottom"/>
          </w:tcPr>
          <w:p>
            <w:pPr>
              <w:ind w:left="140"/>
              <w:spacing w:after="0"/>
              <w:rPr>
                <w:sz w:val="20"/>
                <w:szCs w:val="20"/>
                <w:color w:val="auto"/>
              </w:rPr>
            </w:pPr>
            <w:r>
              <w:rPr>
                <w:rFonts w:ascii="Arial" w:cs="Arial" w:eastAsia="Arial" w:hAnsi="Arial"/>
                <w:sz w:val="14"/>
                <w:szCs w:val="14"/>
                <w:color w:val="auto"/>
              </w:rPr>
              <w:t>Cash interest paid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(317)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(285)</w:t>
            </w:r>
          </w:p>
        </w:tc>
        <w:tc>
          <w:tcPr>
            <w:tcW w:w="0" w:type="dxa"/>
            <w:vAlign w:val="bottom"/>
          </w:tcPr>
          <w:p>
            <w:pPr>
              <w:spacing w:after="0"/>
              <w:rPr>
                <w:sz w:val="1"/>
                <w:szCs w:val="1"/>
                <w:color w:val="auto"/>
              </w:rPr>
            </w:pPr>
          </w:p>
        </w:tc>
      </w:tr>
      <w:tr>
        <w:trPr>
          <w:trHeight w:val="175"/>
        </w:trPr>
        <w:tc>
          <w:tcPr>
            <w:tcW w:w="53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Changes in prepaid and accrued liabilities for tolling agreements</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74"/>
        </w:trPr>
        <w:tc>
          <w:tcPr>
            <w:tcW w:w="5300" w:type="dxa"/>
            <w:vAlign w:val="bottom"/>
            <w:gridSpan w:val="2"/>
          </w:tcPr>
          <w:p>
            <w:pPr>
              <w:ind w:left="120"/>
              <w:spacing w:after="0"/>
              <w:rPr>
                <w:sz w:val="20"/>
                <w:szCs w:val="20"/>
                <w:color w:val="auto"/>
              </w:rPr>
            </w:pPr>
            <w:r>
              <w:rPr>
                <w:rFonts w:ascii="Arial" w:cs="Arial" w:eastAsia="Arial" w:hAnsi="Arial"/>
                <w:sz w:val="14"/>
                <w:szCs w:val="14"/>
                <w:color w:val="auto"/>
              </w:rPr>
              <w:t>Adjustments to reflect sale-type leases and payments for lease expenses</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7</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75"/>
        </w:trPr>
        <w:tc>
          <w:tcPr>
            <w:tcW w:w="53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Pro-rata Adjusted EBITDA from unconsolidated affiliates</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w:t>
            </w:r>
          </w:p>
        </w:tc>
        <w:tc>
          <w:tcPr>
            <w:tcW w:w="0" w:type="dxa"/>
            <w:vAlign w:val="bottom"/>
          </w:tcPr>
          <w:p>
            <w:pPr>
              <w:spacing w:after="0"/>
              <w:rPr>
                <w:sz w:val="1"/>
                <w:szCs w:val="1"/>
                <w:color w:val="auto"/>
              </w:rPr>
            </w:pPr>
          </w:p>
        </w:tc>
      </w:tr>
      <w:tr>
        <w:trPr>
          <w:trHeight w:val="195"/>
        </w:trPr>
        <w:tc>
          <w:tcPr>
            <w:tcW w:w="5300" w:type="dxa"/>
            <w:vAlign w:val="bottom"/>
            <w:gridSpan w:val="2"/>
          </w:tcPr>
          <w:p>
            <w:pPr>
              <w:ind w:left="140"/>
              <w:spacing w:after="0"/>
              <w:rPr>
                <w:sz w:val="20"/>
                <w:szCs w:val="20"/>
                <w:color w:val="auto"/>
              </w:rPr>
            </w:pPr>
            <w:r>
              <w:rPr>
                <w:rFonts w:ascii="Arial" w:cs="Arial" w:eastAsia="Arial" w:hAnsi="Arial"/>
                <w:sz w:val="14"/>
                <w:szCs w:val="14"/>
                <w:color w:val="auto"/>
              </w:rPr>
              <w:t>Cash distributions from unconsolidated affiliates</w:t>
            </w:r>
            <w:r>
              <w:rPr>
                <w:rFonts w:ascii="Arial" w:cs="Arial" w:eastAsia="Arial" w:hAnsi="Arial"/>
                <w:sz w:val="17"/>
                <w:szCs w:val="17"/>
                <w:color w:val="auto"/>
                <w:vertAlign w:val="superscript"/>
              </w:rPr>
              <w:t>6</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45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48</w:t>
            </w:r>
          </w:p>
        </w:tc>
        <w:tc>
          <w:tcPr>
            <w:tcW w:w="0" w:type="dxa"/>
            <w:vAlign w:val="bottom"/>
          </w:tcPr>
          <w:p>
            <w:pPr>
              <w:spacing w:after="0"/>
              <w:rPr>
                <w:sz w:val="1"/>
                <w:szCs w:val="1"/>
                <w:color w:val="auto"/>
              </w:rPr>
            </w:pPr>
          </w:p>
        </w:tc>
      </w:tr>
      <w:tr>
        <w:trPr>
          <w:trHeight w:val="175"/>
        </w:trPr>
        <w:tc>
          <w:tcPr>
            <w:tcW w:w="53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Income Tax Payment</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5"/>
        </w:trPr>
        <w:tc>
          <w:tcPr>
            <w:tcW w:w="5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Cash from Operating Activities</w:t>
            </w:r>
          </w:p>
        </w:tc>
        <w:tc>
          <w:tcPr>
            <w:tcW w:w="14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883</w:t>
            </w:r>
          </w:p>
        </w:tc>
        <w:tc>
          <w:tcPr>
            <w:tcW w:w="14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733</w:t>
            </w:r>
          </w:p>
        </w:tc>
        <w:tc>
          <w:tcPr>
            <w:tcW w:w="0" w:type="dxa"/>
            <w:vAlign w:val="bottom"/>
          </w:tcPr>
          <w:p>
            <w:pPr>
              <w:spacing w:after="0"/>
              <w:rPr>
                <w:sz w:val="1"/>
                <w:szCs w:val="1"/>
                <w:color w:val="auto"/>
              </w:rPr>
            </w:pPr>
          </w:p>
        </w:tc>
      </w:tr>
      <w:tr>
        <w:trPr>
          <w:trHeight w:val="185"/>
        </w:trPr>
        <w:tc>
          <w:tcPr>
            <w:tcW w:w="5160" w:type="dxa"/>
            <w:vAlign w:val="bottom"/>
            <w:shd w:val="clear" w:color="auto" w:fill="CCEEFF"/>
          </w:tcPr>
          <w:p>
            <w:pPr>
              <w:ind w:left="140"/>
              <w:spacing w:after="0" w:line="185" w:lineRule="exact"/>
              <w:rPr>
                <w:sz w:val="20"/>
                <w:szCs w:val="20"/>
                <w:color w:val="auto"/>
              </w:rPr>
            </w:pPr>
            <w:r>
              <w:rPr>
                <w:rFonts w:ascii="Arial" w:cs="Arial" w:eastAsia="Arial" w:hAnsi="Arial"/>
                <w:sz w:val="14"/>
                <w:szCs w:val="14"/>
                <w:color w:val="auto"/>
              </w:rPr>
              <w:t>Development Expense</w:t>
            </w:r>
            <w:r>
              <w:rPr>
                <w:rFonts w:ascii="Arial" w:cs="Arial" w:eastAsia="Arial" w:hAnsi="Arial"/>
                <w:sz w:val="17"/>
                <w:szCs w:val="17"/>
                <w:color w:val="auto"/>
                <w:vertAlign w:val="superscript"/>
              </w:rPr>
              <w:t>7</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5"/>
        </w:trPr>
        <w:tc>
          <w:tcPr>
            <w:tcW w:w="5300" w:type="dxa"/>
            <w:vAlign w:val="bottom"/>
            <w:gridSpan w:val="2"/>
          </w:tcPr>
          <w:p>
            <w:pPr>
              <w:ind w:left="140"/>
              <w:spacing w:after="0"/>
              <w:rPr>
                <w:sz w:val="20"/>
                <w:szCs w:val="20"/>
                <w:color w:val="auto"/>
              </w:rPr>
            </w:pPr>
            <w:r>
              <w:rPr>
                <w:rFonts w:ascii="Arial" w:cs="Arial" w:eastAsia="Arial" w:hAnsi="Arial"/>
                <w:sz w:val="14"/>
                <w:szCs w:val="14"/>
                <w:color w:val="auto"/>
              </w:rPr>
              <w:t>Net distributions to non-controlling interest</w:t>
            </w:r>
            <w:r>
              <w:rPr>
                <w:rFonts w:ascii="Arial" w:cs="Arial" w:eastAsia="Arial" w:hAnsi="Arial"/>
                <w:sz w:val="17"/>
                <w:szCs w:val="17"/>
                <w:color w:val="auto"/>
                <w:vertAlign w:val="superscript"/>
              </w:rPr>
              <w:t>8</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(64)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(67)</w:t>
            </w:r>
          </w:p>
        </w:tc>
        <w:tc>
          <w:tcPr>
            <w:tcW w:w="0" w:type="dxa"/>
            <w:vAlign w:val="bottom"/>
          </w:tcPr>
          <w:p>
            <w:pPr>
              <w:spacing w:after="0"/>
              <w:rPr>
                <w:sz w:val="1"/>
                <w:szCs w:val="1"/>
                <w:color w:val="auto"/>
              </w:rPr>
            </w:pPr>
          </w:p>
        </w:tc>
      </w:tr>
      <w:tr>
        <w:trPr>
          <w:trHeight w:val="175"/>
        </w:trPr>
        <w:tc>
          <w:tcPr>
            <w:tcW w:w="53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Maintenance capital expenditures</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w:t>
            </w:r>
          </w:p>
        </w:tc>
        <w:tc>
          <w:tcPr>
            <w:tcW w:w="0" w:type="dxa"/>
            <w:vAlign w:val="bottom"/>
          </w:tcPr>
          <w:p>
            <w:pPr>
              <w:spacing w:after="0"/>
              <w:rPr>
                <w:sz w:val="1"/>
                <w:szCs w:val="1"/>
                <w:color w:val="auto"/>
              </w:rPr>
            </w:pPr>
          </w:p>
        </w:tc>
      </w:tr>
      <w:tr>
        <w:trPr>
          <w:trHeight w:val="174"/>
        </w:trPr>
        <w:tc>
          <w:tcPr>
            <w:tcW w:w="5300" w:type="dxa"/>
            <w:vAlign w:val="bottom"/>
            <w:gridSpan w:val="2"/>
          </w:tcPr>
          <w:p>
            <w:pPr>
              <w:ind w:left="140"/>
              <w:spacing w:after="0"/>
              <w:rPr>
                <w:sz w:val="20"/>
                <w:szCs w:val="20"/>
                <w:color w:val="auto"/>
              </w:rPr>
            </w:pPr>
            <w:r>
              <w:rPr>
                <w:rFonts w:ascii="Arial" w:cs="Arial" w:eastAsia="Arial" w:hAnsi="Arial"/>
                <w:sz w:val="14"/>
                <w:szCs w:val="14"/>
                <w:color w:val="auto"/>
              </w:rPr>
              <w:t>Principal amortization of indebtedness</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(427)</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(261)</w:t>
            </w:r>
          </w:p>
        </w:tc>
        <w:tc>
          <w:tcPr>
            <w:tcW w:w="0" w:type="dxa"/>
            <w:vAlign w:val="bottom"/>
          </w:tcPr>
          <w:p>
            <w:pPr>
              <w:spacing w:after="0"/>
              <w:rPr>
                <w:sz w:val="1"/>
                <w:szCs w:val="1"/>
                <w:color w:val="auto"/>
              </w:rPr>
            </w:pPr>
          </w:p>
        </w:tc>
      </w:tr>
      <w:tr>
        <w:trPr>
          <w:trHeight w:val="165"/>
        </w:trPr>
        <w:tc>
          <w:tcPr>
            <w:tcW w:w="5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Available for Distribution</w:t>
            </w: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365</w:t>
            </w: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385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762635</wp:posOffset>
            </wp:positionV>
            <wp:extent cx="1303655" cy="6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0365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80" w:hanging="78"/>
        <w:spacing w:after="0"/>
        <w:tabs>
          <w:tab w:leader="none" w:pos="80" w:val="left"/>
        </w:tabs>
        <w:numPr>
          <w:ilvl w:val="0"/>
          <w:numId w:val="11"/>
        </w:numPr>
        <w:rPr>
          <w:rFonts w:ascii="Arial" w:cs="Arial" w:eastAsia="Arial" w:hAnsi="Arial"/>
          <w:sz w:val="18"/>
          <w:szCs w:val="18"/>
          <w:color w:val="auto"/>
          <w:vertAlign w:val="superscript"/>
        </w:rPr>
      </w:pPr>
      <w:r>
        <w:rPr>
          <w:rFonts w:ascii="Arial" w:cs="Arial" w:eastAsia="Arial" w:hAnsi="Arial"/>
          <w:sz w:val="11"/>
          <w:szCs w:val="11"/>
          <w:color w:val="auto"/>
        </w:rPr>
        <w:t>Distribution from unconsolidated affiliates can be classified as Return of Investment on Unconsolidated Affiliates when actuals are reported. This is below cash from operating activities</w:t>
      </w:r>
    </w:p>
    <w:p>
      <w:pPr>
        <w:spacing w:after="0" w:line="14" w:lineRule="exact"/>
        <w:rPr>
          <w:rFonts w:ascii="Arial" w:cs="Arial" w:eastAsia="Arial" w:hAnsi="Arial"/>
          <w:sz w:val="18"/>
          <w:szCs w:val="18"/>
          <w:color w:val="auto"/>
          <w:vertAlign w:val="superscript"/>
        </w:rPr>
      </w:pPr>
    </w:p>
    <w:p>
      <w:pPr>
        <w:spacing w:after="0" w:line="187" w:lineRule="auto"/>
        <w:rPr>
          <w:rFonts w:ascii="Arial" w:cs="Arial" w:eastAsia="Arial" w:hAnsi="Arial"/>
          <w:sz w:val="18"/>
          <w:szCs w:val="18"/>
          <w:color w:val="auto"/>
          <w:vertAlign w:val="superscript"/>
        </w:rPr>
      </w:pPr>
      <w:r>
        <w:rPr>
          <w:rFonts w:ascii="Arial" w:cs="Arial" w:eastAsia="Arial" w:hAnsi="Arial"/>
          <w:sz w:val="16"/>
          <w:szCs w:val="16"/>
          <w:color w:val="auto"/>
          <w:vertAlign w:val="superscript"/>
        </w:rPr>
        <w:t>7</w:t>
      </w:r>
      <w:r>
        <w:rPr>
          <w:rFonts w:ascii="Arial" w:cs="Arial" w:eastAsia="Arial" w:hAnsi="Arial"/>
          <w:sz w:val="10"/>
          <w:szCs w:val="10"/>
          <w:color w:val="auto"/>
        </w:rPr>
        <w:t xml:space="preserve"> Primarily relates to Thermal Development Expenses</w:t>
      </w:r>
    </w:p>
    <w:p>
      <w:pPr>
        <w:spacing w:after="0" w:line="234" w:lineRule="auto"/>
        <w:rPr>
          <w:rFonts w:ascii="Arial" w:cs="Arial" w:eastAsia="Arial" w:hAnsi="Arial"/>
          <w:sz w:val="18"/>
          <w:szCs w:val="18"/>
          <w:color w:val="auto"/>
          <w:vertAlign w:val="superscript"/>
        </w:rPr>
      </w:pPr>
      <w:r>
        <w:rPr>
          <w:rFonts w:ascii="Arial" w:cs="Arial" w:eastAsia="Arial" w:hAnsi="Arial"/>
          <w:sz w:val="17"/>
          <w:szCs w:val="17"/>
          <w:color w:val="auto"/>
          <w:vertAlign w:val="superscript"/>
        </w:rPr>
        <w:t>8</w:t>
      </w:r>
      <w:r>
        <w:rPr>
          <w:rFonts w:ascii="Arial" w:cs="Arial" w:eastAsia="Arial" w:hAnsi="Arial"/>
          <w:sz w:val="11"/>
          <w:szCs w:val="11"/>
          <w:color w:val="auto"/>
        </w:rPr>
        <w:t xml:space="preserve"> Includes tax equity proceeds and distributions to tax equity partners</w:t>
      </w:r>
    </w:p>
    <w:p>
      <w:pPr>
        <w:spacing w:after="0" w:line="9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11280"/>
          </w:cols>
          <w:pgMar w:left="300" w:top="616" w:right="319" w:bottom="1440" w:gutter="0" w:footer="0" w:header="0"/>
        </w:sectPr>
      </w:pPr>
    </w:p>
    <w:bookmarkStart w:id="18" w:name="page19"/>
    <w:bookmarkEnd w:id="18"/>
    <w:p>
      <w:pPr>
        <w:spacing w:after="0"/>
        <w:rPr>
          <w:sz w:val="20"/>
          <w:szCs w:val="20"/>
          <w:color w:val="auto"/>
        </w:rPr>
      </w:pPr>
      <w:r>
        <w:rPr>
          <w:rFonts w:ascii="Arial" w:cs="Arial" w:eastAsia="Arial" w:hAnsi="Arial"/>
          <w:sz w:val="15"/>
          <w:szCs w:val="15"/>
          <w:b w:val="1"/>
          <w:bCs w:val="1"/>
          <w:color w:val="auto"/>
        </w:rPr>
        <w:t>Non-GAAP Financial Information</w:t>
      </w: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EBITDA and Adjusted EBITDA</w:t>
      </w:r>
    </w:p>
    <w:p>
      <w:pPr>
        <w:spacing w:after="0" w:line="219"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EBITDA, Adjusted EBITDA, and Cash Available for Distribution (CAFD) are non-GAAP financial measures. These measurements are not recognized in accordance with GAAP and should not be viewed as an alternative to GAAP measures of performance. The presentation of non-GAAP financial measures should not be construed as an inference that Clearway Energy’s future results will be unaffected by unusual or non-recurring items.</w:t>
      </w:r>
    </w:p>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13"/>
          <w:szCs w:val="13"/>
          <w:color w:val="auto"/>
        </w:rPr>
        <w:t>EBITDA represents net income before interest (including loss on debt extinguishment), taxes, depreciation and amortization. EBITDA is presented because Clearway Energy considers it an important supplemental measure of its performance and believes debt and equity holders frequently use EBITDA to analyze operating performance and debt service capacity. EBITDA has limitations as an analytical tool, and you should not consider it in isolation, or as a substitute for analysis of our operating results as reported under GAAP. Some of these limitations are:</w:t>
      </w:r>
    </w:p>
    <w:p>
      <w:pPr>
        <w:spacing w:after="0" w:line="2" w:lineRule="exact"/>
        <w:rPr>
          <w:sz w:val="20"/>
          <w:szCs w:val="20"/>
          <w:color w:val="auto"/>
        </w:rPr>
      </w:pPr>
    </w:p>
    <w:p>
      <w:pPr>
        <w:ind w:left="240" w:hanging="238"/>
        <w:spacing w:after="0"/>
        <w:tabs>
          <w:tab w:leader="none" w:pos="2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EBITDA does not reflect cash expenditures, or future requirements for capital expenditures, or contractual commitments;</w:t>
      </w:r>
    </w:p>
    <w:p>
      <w:pPr>
        <w:spacing w:after="0" w:line="3" w:lineRule="exact"/>
        <w:rPr>
          <w:rFonts w:ascii="Arial" w:cs="Arial" w:eastAsia="Arial" w:hAnsi="Arial"/>
          <w:sz w:val="14"/>
          <w:szCs w:val="14"/>
          <w:color w:val="auto"/>
        </w:rPr>
      </w:pPr>
    </w:p>
    <w:p>
      <w:pPr>
        <w:ind w:left="240" w:hanging="238"/>
        <w:spacing w:after="0"/>
        <w:tabs>
          <w:tab w:leader="none" w:pos="2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EBITDA does not reflect changes in, or cash requirements for, working capital needs;</w:t>
      </w:r>
    </w:p>
    <w:p>
      <w:pPr>
        <w:spacing w:after="0" w:line="3" w:lineRule="exact"/>
        <w:rPr>
          <w:rFonts w:ascii="Arial" w:cs="Arial" w:eastAsia="Arial" w:hAnsi="Arial"/>
          <w:sz w:val="14"/>
          <w:szCs w:val="14"/>
          <w:color w:val="auto"/>
        </w:rPr>
      </w:pPr>
    </w:p>
    <w:p>
      <w:pPr>
        <w:ind w:left="240" w:hanging="238"/>
        <w:spacing w:after="0"/>
        <w:tabs>
          <w:tab w:leader="none" w:pos="2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EBITDA does not reflect the significant interest expense, or the cash requirements necessary to service interest or principal payments, on debt or cash income tax payments;</w:t>
      </w:r>
    </w:p>
    <w:p>
      <w:pPr>
        <w:spacing w:after="0" w:line="3" w:lineRule="exact"/>
        <w:rPr>
          <w:rFonts w:ascii="Arial" w:cs="Arial" w:eastAsia="Arial" w:hAnsi="Arial"/>
          <w:sz w:val="14"/>
          <w:szCs w:val="14"/>
          <w:color w:val="auto"/>
        </w:rPr>
      </w:pPr>
    </w:p>
    <w:p>
      <w:pPr>
        <w:ind w:left="240" w:hanging="238"/>
        <w:spacing w:after="0" w:line="244" w:lineRule="auto"/>
        <w:tabs>
          <w:tab w:leader="none" w:pos="236" w:val="left"/>
        </w:tabs>
        <w:numPr>
          <w:ilvl w:val="0"/>
          <w:numId w:val="12"/>
        </w:numPr>
        <w:rPr>
          <w:rFonts w:ascii="Arial" w:cs="Arial" w:eastAsia="Arial" w:hAnsi="Arial"/>
          <w:sz w:val="14"/>
          <w:szCs w:val="14"/>
          <w:color w:val="auto"/>
        </w:rPr>
      </w:pPr>
      <w:r>
        <w:rPr>
          <w:rFonts w:ascii="Arial" w:cs="Arial" w:eastAsia="Arial" w:hAnsi="Arial"/>
          <w:sz w:val="14"/>
          <w:szCs w:val="14"/>
          <w:color w:val="auto"/>
        </w:rPr>
        <w:t>Although depreciation and amortization are non-cash charges, the assets being depreciated and amortized will often have to be replaced in the future, and EBITDA does not reflect any cash requirements for such replacements; and</w:t>
      </w:r>
    </w:p>
    <w:p>
      <w:pPr>
        <w:spacing w:after="0" w:line="1" w:lineRule="exact"/>
        <w:rPr>
          <w:rFonts w:ascii="Arial" w:cs="Arial" w:eastAsia="Arial" w:hAnsi="Arial"/>
          <w:sz w:val="14"/>
          <w:szCs w:val="14"/>
          <w:color w:val="auto"/>
        </w:rPr>
      </w:pPr>
    </w:p>
    <w:p>
      <w:pPr>
        <w:ind w:left="240" w:hanging="238"/>
        <w:spacing w:after="0"/>
        <w:tabs>
          <w:tab w:leader="none" w:pos="2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Other companies in this industry may calculate EBITDA differently than Clearway Energy does, limiting its usefulness as a comparative measure.</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Because of these limitations, EBITDA should not be considered as a measure of discretionary cash available to use to invest in the growth of Clearway Energy’s business. Clearway Energy compensates for these limitations by relying primarily on our GAAP results and using EBITDA and Adjusted EBITDA only supplementally. See the statements of cash flow included in the financial statements that are a part of this news release.</w:t>
      </w:r>
    </w:p>
    <w:p>
      <w:pPr>
        <w:spacing w:after="0" w:line="166" w:lineRule="exact"/>
        <w:rPr>
          <w:sz w:val="20"/>
          <w:szCs w:val="20"/>
          <w:color w:val="auto"/>
        </w:rPr>
      </w:pPr>
    </w:p>
    <w:p>
      <w:pPr>
        <w:jc w:val="both"/>
        <w:spacing w:after="0" w:line="341" w:lineRule="auto"/>
        <w:rPr>
          <w:sz w:val="20"/>
          <w:szCs w:val="20"/>
          <w:color w:val="auto"/>
        </w:rPr>
      </w:pPr>
      <w:r>
        <w:rPr>
          <w:rFonts w:ascii="Arial" w:cs="Arial" w:eastAsia="Arial" w:hAnsi="Arial"/>
          <w:sz w:val="11"/>
          <w:szCs w:val="11"/>
          <w:color w:val="auto"/>
        </w:rPr>
        <w:t>Adjusted EBITDA is presented as a further supplemental measure of operating performance. Adjusted EBITDA represents EBITDA adjusted for mark-to-market gains or losses, non-cash equity compensation expense, asset write offs and impairments; and factors which we do not consider indicative of future operating performance such as transition and integration related costs. The reader is encouraged to evaluate each adjustment and the reasons Clearway Energy considers it appropriate for supplemental analysis. As an analytical tool, Adjusted EBITDA is subject to all of the limitations applicable to EBITDA. In addition, in evaluating Adjusted EBITDA, the reader should be aware that in the future Clearway Energy may incur expenses similar to the adjustments in this news release.</w:t>
      </w:r>
    </w:p>
    <w:p>
      <w:pPr>
        <w:spacing w:after="0" w:line="123"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Management believes Adjusted EBITDA is useful to investors and other users of our financial statements in evaluating our operating performance because it provides them with an additional tool to compare business performance across companies and across periods. This measure is widely used by investors to measure a company’s operating performance without regard to items such as interest expense, taxes, depreciation and amortization, which can vary substantially from company to company depending upon accounting methods and book value of assets, capital structure and the method by which assets were acquired.</w:t>
      </w:r>
    </w:p>
    <w:p>
      <w:pPr>
        <w:spacing w:after="0" w:line="168"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Additionally, Management believes that investors commonly adjust EBITDA information to eliminate the effect of restructuring and other expenses, which vary widely from company to company and impair comparability. As we define it, Adjusted EBITDA represents EBITDA adjusted for the effects of impairment losses, gains or losses on sales, non-cash equity compensation expense, dispositions or retirements of assets, any mark-to-market gains or losses from accounting for derivatives, adjustments to exclude gains or losses on the repurchase, modification or extinguishment of debt, and any extraordinary, unusual or non-recurring items plus adjustments to reflect the Adjusted EBITDA from our unconsolidated investments. We adjust for these items in our Adjusted EBITDA as our management believes that these items would distort their ability to efficiently view and assess our core operating trends.</w:t>
      </w:r>
    </w:p>
    <w:p>
      <w:pPr>
        <w:spacing w:after="0" w:line="156"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In summary, our management uses Adjusted EBITDA as a measure of operating performance to assist in comparing performance from period to period on a consistent basis and to readily view operating trends, as a measure for planning and forecasting overall expectations and for evaluating actual results against such expectations, and in communications with our Board of Directors, shareholders, creditors, analysts and investors concerning our financial performance.</w:t>
      </w:r>
    </w:p>
    <w:p>
      <w:pPr>
        <w:spacing w:after="0" w:line="335" w:lineRule="exact"/>
        <w:rPr>
          <w:sz w:val="20"/>
          <w:szCs w:val="20"/>
          <w:color w:val="auto"/>
        </w:rPr>
      </w:pPr>
    </w:p>
    <w:p>
      <w:pPr>
        <w:ind w:left="11160"/>
        <w:spacing w:after="0"/>
        <w:rPr>
          <w:sz w:val="20"/>
          <w:szCs w:val="20"/>
          <w:color w:val="auto"/>
        </w:rPr>
      </w:pPr>
      <w:r>
        <w:rPr>
          <w:rFonts w:ascii="Arial" w:cs="Arial" w:eastAsia="Arial" w:hAnsi="Arial"/>
          <w:sz w:val="10"/>
          <w:szCs w:val="10"/>
          <w:color w:val="auto"/>
        </w:rPr>
        <w:t>16</w:t>
      </w:r>
    </w:p>
    <w:p>
      <w:pPr>
        <w:sectPr>
          <w:pgSz w:w="11900" w:h="16838" w:orient="portrait"/>
          <w:cols w:equalWidth="0" w:num="1">
            <w:col w:w="11280"/>
          </w:cols>
          <w:pgMar w:left="300" w:top="1026" w:right="319" w:bottom="1440" w:gutter="0" w:footer="0" w:header="0"/>
        </w:sectPr>
      </w:pPr>
    </w:p>
    <w:bookmarkStart w:id="19" w:name="page20"/>
    <w:bookmarkEnd w:id="19"/>
    <w:p>
      <w:pPr>
        <w:spacing w:after="0"/>
        <w:rPr>
          <w:sz w:val="20"/>
          <w:szCs w:val="20"/>
          <w:color w:val="auto"/>
        </w:rPr>
      </w:pPr>
      <w:r>
        <w:rPr>
          <w:rFonts w:ascii="Arial" w:cs="Arial" w:eastAsia="Arial" w:hAnsi="Arial"/>
          <w:sz w:val="14"/>
          <w:szCs w:val="14"/>
          <w:b w:val="1"/>
          <w:bCs w:val="1"/>
          <w:i w:val="1"/>
          <w:iCs w:val="1"/>
          <w:color w:val="auto"/>
        </w:rPr>
        <w:t>Cash Available for Distribution</w:t>
      </w:r>
    </w:p>
    <w:p>
      <w:pPr>
        <w:spacing w:after="0" w:line="219" w:lineRule="exact"/>
        <w:rPr>
          <w:sz w:val="20"/>
          <w:szCs w:val="20"/>
          <w:color w:val="auto"/>
        </w:rPr>
      </w:pPr>
    </w:p>
    <w:p>
      <w:pPr>
        <w:jc w:val="both"/>
        <w:spacing w:after="0" w:line="341" w:lineRule="auto"/>
        <w:rPr>
          <w:sz w:val="20"/>
          <w:szCs w:val="20"/>
          <w:color w:val="auto"/>
        </w:rPr>
      </w:pPr>
      <w:r>
        <w:rPr>
          <w:rFonts w:ascii="Arial" w:cs="Arial" w:eastAsia="Arial" w:hAnsi="Arial"/>
          <w:sz w:val="11"/>
          <w:szCs w:val="11"/>
          <w:color w:val="auto"/>
        </w:rPr>
        <w:t>A non-GAAP measure, Cash Available for Distribution is defined as of March 31, 2022 as Adjusted EBITDA plus cash distributions/return of investment from unconsolidated affiliates, cash receipts from notes receivable, cash distributions from noncontrolling interests, adjustments to reflect sales-type lease cash payments and payments for lease expenses, less cash distributions to noncontrolling interests, maintenance capital expenditures, pro-rata Adjusted EBITDA from unconsolidated affiliates, cash interest paid, income taxes paid, principal amortization of indebtedness, changes in prepaid and accrued capacity payments, and adjusted for development expenses. Management believes CAFD is a relevant supplemental measure of the Company’s ability to earn and distribute cash returns to investors.</w:t>
      </w:r>
    </w:p>
    <w:p>
      <w:pPr>
        <w:spacing w:after="0" w:line="123"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We believe CAFD is useful to investors in evaluating our operating performance because securities analysts and other interested parties use such calculations as a measure of our ability to make quarterly distributions. In addition, CAFD is used by our management team for determining future acquisitions and managing our growth. The GAAP measure most directly comparable to CAFD is cash provided by operating activities.</w:t>
      </w:r>
    </w:p>
    <w:p>
      <w:pPr>
        <w:spacing w:after="0" w:line="166" w:lineRule="exact"/>
        <w:rPr>
          <w:sz w:val="20"/>
          <w:szCs w:val="20"/>
          <w:color w:val="auto"/>
        </w:rPr>
      </w:pPr>
    </w:p>
    <w:p>
      <w:pPr>
        <w:jc w:val="both"/>
        <w:spacing w:after="0" w:line="341" w:lineRule="auto"/>
        <w:rPr>
          <w:sz w:val="20"/>
          <w:szCs w:val="20"/>
          <w:color w:val="auto"/>
        </w:rPr>
      </w:pPr>
      <w:r>
        <w:rPr>
          <w:rFonts w:ascii="Arial" w:cs="Arial" w:eastAsia="Arial" w:hAnsi="Arial"/>
          <w:sz w:val="11"/>
          <w:szCs w:val="11"/>
          <w:color w:val="auto"/>
        </w:rPr>
        <w:t>However, CAFD has limitations as an analytical tool because it does not include changes in operating assets and liabilities and excludes the effect of certain other cash flow items, all of which could have a material effect on our financial condition and results from operations. CAFD is a non-GAAP measure and should not be considered an alternative to cash provided by operating activities or any other performance or liquidity measure determined in accordance with GAAP, nor is it indicative of funds available to fund our cash needs. In addition, our calculations of CAFD are not necessarily comparable to CAFD as calculated by other companies. Investors should not rely on these measures as a substitute for any GAAP measure, including cash provided by operating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17</w:t>
      </w:r>
    </w:p>
    <w:sectPr>
      <w:pgSz w:w="11900" w:h="16838" w:orient="portrait"/>
      <w:cols w:equalWidth="0" w:num="1">
        <w:col w:w="11280"/>
      </w:cols>
      <w:pgMar w:left="300" w:top="66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bullet"/>
      <w:start w:val="1"/>
    </w:lvl>
  </w:abstractNum>
  <w:abstractNum w:abstractNumId="3">
    <w:nsid w:val="7545E146"/>
    <w:multiLevelType w:val="hybridMultilevel"/>
    <w:lvl w:ilvl="0">
      <w:lvlJc w:val="left"/>
      <w:lvlText w:val="2"/>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decimal"/>
      <w:start w:val="188"/>
    </w:lvl>
  </w:abstractNum>
  <w:abstractNum w:abstractNumId="6">
    <w:nsid w:val="12200854"/>
    <w:multiLevelType w:val="hybridMultilevel"/>
    <w:lvl w:ilvl="0">
      <w:lvlJc w:val="left"/>
      <w:lvlText w:val="3"/>
      <w:numFmt w:val="bullet"/>
      <w:start w:val="1"/>
    </w:lvl>
  </w:abstractNum>
  <w:abstractNum w:abstractNumId="7">
    <w:nsid w:val="4DB127F8"/>
    <w:multiLevelType w:val="hybridMultilevel"/>
    <w:lvl w:ilvl="0">
      <w:lvlJc w:val="left"/>
      <w:lvlText w:val="4"/>
      <w:numFmt w:val="bullet"/>
      <w:start w:val="1"/>
    </w:lvl>
  </w:abstractNum>
  <w:abstractNum w:abstractNumId="8">
    <w:nsid w:val="216231B"/>
    <w:multiLevelType w:val="hybridMultilevel"/>
    <w:lvl w:ilvl="0">
      <w:lvlJc w:val="left"/>
      <w:lvlText w:val="5"/>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6"/>
      <w:numFmt w:val="bullet"/>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2022-05-05T05:25:47Z</dcterms:created>
  <dcterms:modified xsi:type="dcterms:W3CDTF">2022-05-05T05:25:47Z</dcterms:modified>
</cp:coreProperties>
</file>