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4020d1_8k.htm"/>
      <w:bookmarkStart w:id="1" w:name="kstm241402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C_edei--DocumentType_c202405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May 10,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4"/>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F_edei--EntityFileNumber_c20240510"/>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5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300 Carnegie Center, </w:t>
      </w:r>
      <w:bookmarkStart w:id="9" w:name="xdx_908_edei--EntityAddressAddressLine2_"/>
      <w:bookmarkEnd w:id="9"/>
      <w:r>
        <w:rPr>
          <w:rFonts w:ascii="Times New Roman;Times;Serif" w:hAnsi="Times New Roman;Times;Serif"/>
          <w:b/>
          <w:i w:val="false"/>
          <w:caps w:val="false"/>
          <w:smallCaps w:val="false"/>
          <w:sz w:val="20"/>
        </w:rPr>
        <w:t xml:space="preserve">Suite 300, </w:t>
      </w:r>
      <w:bookmarkStart w:id="10" w:name="xdx_901_edei--EntityAddressCityOrTown_c2"/>
      <w:bookmarkEnd w:id="10"/>
      <w:r>
        <w:rPr>
          <w:rFonts w:ascii="Times New Roman;Times;Serif" w:hAnsi="Times New Roman;Times;Serif"/>
          <w:b/>
          <w:i w:val="false"/>
          <w:caps w:val="false"/>
          <w:smallCaps w:val="false"/>
          <w:sz w:val="20"/>
        </w:rPr>
        <w:t xml:space="preserve">Princeton, </w:t>
      </w:r>
      <w:bookmarkStart w:id="11" w:name="xdx_906_edei--EntityAddressStateOrProvin"/>
      <w:bookmarkEnd w:id="11"/>
      <w:r>
        <w:rPr>
          <w:rFonts w:ascii="Times New Roman;Times;Serif" w:hAnsi="Times New Roman;Times;Serif"/>
          <w:b/>
          <w:i w:val="false"/>
          <w:caps w:val="false"/>
          <w:smallCaps w:val="false"/>
          <w:sz w:val="20"/>
        </w:rPr>
        <w:t xml:space="preserve">New Jersey </w:t>
      </w:r>
      <w:bookmarkStart w:id="12" w:name="xdx_90D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40510__20"/>
      <w:bookmarkEnd w:id="13"/>
      <w:r>
        <w:rPr>
          <w:rFonts w:ascii="Times New Roman;Times;Serif" w:hAnsi="Times New Roman;Times;Serif"/>
          <w:b/>
          <w:i w:val="false"/>
          <w:caps w:val="false"/>
          <w:smallCaps w:val="false"/>
          <w:sz w:val="20"/>
        </w:rPr>
        <w:t xml:space="preserve">609) </w:t>
      </w:r>
      <w:bookmarkStart w:id="14" w:name="xdx_908_edei--LocalPhoneNumber_c20240510"/>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1_edei--SolicitingMaterial_c202405"/>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3305"/>
        <w:gridCol w:w="1610"/>
        <w:gridCol w:w="2855"/>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1_edei--Security12bTitle_c20240510"/>
            <w:bookmarkEnd w:id="19"/>
            <w:r>
              <w:rPr>
                <w:sz w:val="20"/>
              </w:rPr>
              <w:t>Class A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40510__2"/>
            <w:bookmarkEnd w:id="20"/>
            <w:r>
              <w:rPr>
                <w:sz w:val="20"/>
              </w:rPr>
              <w:t>CWEN.A</w:t>
            </w:r>
          </w:p>
        </w:tc>
        <w:tc>
          <w:tcPr>
            <w:tcW w:w="2855" w:type="dxa"/>
            <w:tcBorders/>
            <w:tcMar>
              <w:bottom w:w="0" w:type="dxa"/>
            </w:tcMar>
            <w:vAlign w:val="center"/>
          </w:tcPr>
          <w:p>
            <w:pPr>
              <w:pStyle w:val="TableContents"/>
              <w:bidi w:val="0"/>
              <w:spacing w:before="0" w:after="283"/>
              <w:jc w:val="center"/>
              <w:rPr>
                <w:sz w:val="20"/>
              </w:rPr>
            </w:pPr>
            <w:bookmarkStart w:id="21" w:name="xdx_90A_edei--SecurityExchangeName_c2024"/>
            <w:bookmarkEnd w:id="21"/>
            <w:r>
              <w:rPr>
                <w:sz w:val="20"/>
              </w:rPr>
              <w:t>New York Stock Exchange</w:t>
            </w:r>
          </w:p>
        </w:tc>
      </w:tr>
      <w:tr>
        <w:trPr/>
        <w:tc>
          <w:tcPr>
            <w:tcW w:w="3305" w:type="dxa"/>
            <w:tcBorders/>
            <w:tcMar>
              <w:bottom w:w="0" w:type="dxa"/>
            </w:tcMar>
            <w:vAlign w:val="center"/>
          </w:tcPr>
          <w:p>
            <w:pPr>
              <w:pStyle w:val="TableContents"/>
              <w:bidi w:val="0"/>
              <w:spacing w:before="0" w:after="283"/>
              <w:jc w:val="center"/>
              <w:rPr>
                <w:sz w:val="20"/>
              </w:rPr>
            </w:pPr>
            <w:bookmarkStart w:id="22" w:name="xdx_909_edei--Security12bTitle_c20240510"/>
            <w:bookmarkEnd w:id="22"/>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3" w:name="xdx_903_edei--TradingSymbol_c20240510__2"/>
            <w:bookmarkEnd w:id="23"/>
            <w:r>
              <w:rPr>
                <w:sz w:val="20"/>
              </w:rPr>
              <w:t>CWEN</w:t>
            </w:r>
          </w:p>
        </w:tc>
        <w:tc>
          <w:tcPr>
            <w:tcW w:w="2855" w:type="dxa"/>
            <w:tcBorders/>
            <w:tcMar>
              <w:bottom w:w="0" w:type="dxa"/>
            </w:tcMar>
            <w:vAlign w:val="center"/>
          </w:tcPr>
          <w:p>
            <w:pPr>
              <w:pStyle w:val="TableContents"/>
              <w:bidi w:val="0"/>
              <w:spacing w:before="0" w:after="283"/>
              <w:jc w:val="center"/>
              <w:rPr>
                <w:sz w:val="20"/>
              </w:rPr>
            </w:pPr>
            <w:bookmarkStart w:id="24" w:name="xdx_907_edei--SecurityExchangeName_c2024"/>
            <w:bookmarkEnd w:id="24"/>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830"/>
        <w:gridCol w:w="39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4.01</w:t>
            </w:r>
          </w:p>
        </w:tc>
        <w:tc>
          <w:tcPr>
            <w:tcW w:w="3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in Registrant’s Certifying Accountant.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2024, the Audit Committee (the “Audit Committee”) of the Board of Directors of Clearway Energy, Inc. (the “Company”) dismissed Ernst &amp; Young LLP (“EY”) as the Company’s independent registered public accounting firm, due to the fact that EY will no longer be considered independent with respect to the Company under the rules of the Securities and Exchange Commission (the “SEC”) after the closing of the announced definitive agreement pursuant to which Blackrock, Inc. has agreed to acquire all of the business and assets of Global Infrastructure Partners (the “Transaction”). The dismissal is effective upon the earlier of the closing of the Transaction or the filing of the Company’s Quarterly Report on Form 10-Q for the quarter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reports of EY on the Company’s consolidated financial statements as of and for the fiscal years ended December 31, 2022 and 2023 did not contain an adverse opinion or a disclaimer of opinion, nor were such reports qualified or modified as to uncertainty, audit scope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2023, and the subsequent interim period through the date of this Current Report on Form 8-K (this “Current Report”), there were no (i) disagreements (within the meaning of Item 304(a)(1)(iv) of Regulation S-K and the related instructions under the Securities Exchange Act of 1934, as amended (the “Exchange Act”)) between the Company and EY on any matter of accounting principles or practices, financial statement disclosure or auditing scope or procedure, which, if not resolved to the satisfaction of EY, would have caused EY to make reference to the subject matter of the disagreement in connection with its report on the consolidated financial statements of the Company for the applicable year, or (ii) reportable events (within the meaning of Item 304(a)(1)(v) of Regulation S-K and the related instructions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EY with a copy of the disclosures in this Current Report and has requested that EY provide to the Company a letter addressed to the SEC stating whether EY agrees with the statements made by the Company herein. A copy of EY’s letter, dated May 10, 2024, is filed as Exhibit 16.1 to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2024, the Audit Committee engaged PricewaterhouseCoopers LLP (“PwC”) as the independent registered public accounting firm for the Company for the fiscal year ending December 31, 2024, effective with EY’s dismissal, upon the earlier of the closing of the Transaction or the filing of the Company’s Quarterly Report on Form 10-Q for the quarter ended June 30, 2024. During the fiscal years ended December 31, 2022 and 2023, and the subsequent interim period through the date of this Current Report, neither the Company, nor anyone on the Company’s behalf, consulted with PwC regarding either (1) the application of accounting principles to a specified transaction, either completed or proposed, or the type of audit opinion that might be rendered on the Company’s consolidated financial statements, and no written report or oral advice was provided by PwC to the Company that PwC concluded was an important factor considered by the Company in reaching a decision as to the accounting, auditing or financial reporting issue; or (2) any matter that was the subject of either a disagreement (within the meaning of Item 304(a)(1)(iv) of Regulation S-K and the related instructions under the Exchange Act) or a reportable event (within the meaning of Item 304(a)(1)(v) of Regulation S-K and the related instructions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tbl>
      <w:tblPr>
        <w:tblW w:w="9010" w:type="dxa"/>
        <w:jc w:val="left"/>
        <w:tblInd w:w="0" w:type="dxa"/>
        <w:tblLayout w:type="fixed"/>
        <w:tblCellMar>
          <w:top w:w="0" w:type="dxa"/>
          <w:left w:w="0" w:type="dxa"/>
          <w:bottom w:w="0" w:type="dxa"/>
          <w:right w:w="0" w:type="dxa"/>
        </w:tblCellMar>
      </w:tblPr>
      <w:tblGrid>
        <w:gridCol w:w="980"/>
        <w:gridCol w:w="60"/>
        <w:gridCol w:w="7970"/>
      </w:tblGrid>
      <w:tr>
        <w:trPr/>
        <w:tc>
          <w:tcPr>
            <w:tcW w:w="9010" w:type="dxa"/>
            <w:gridSpan w:val="3"/>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No.</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9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70" w:type="dxa"/>
            <w:tcBorders>
              <w:top w:val="single" w:sz="8" w:space="0" w:color="000000"/>
            </w:tcBorders>
            <w:tcMar>
              <w:top w:w="30"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center"/>
              <w:rPr/>
            </w:pPr>
            <w:hyperlink w:anchor="tm2414020d1_ex16-1.htm">
              <w:r>
                <w:rPr>
                  <w:rStyle w:val="InternetLink"/>
                  <w:rFonts w:ascii="Times New Roman;Times;Serif" w:hAnsi="Times New Roman;Times;Serif"/>
                  <w:sz w:val="20"/>
                </w:rPr>
                <w:t>16.1</w:t>
              </w:r>
            </w:hyperlink>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tm2414020d1_ex16-1.htm">
              <w:r>
                <w:rPr>
                  <w:rStyle w:val="InternetLink"/>
                  <w:rFonts w:ascii="Times New Roman;Times;Serif" w:hAnsi="Times New Roman;Times;Serif"/>
                  <w:sz w:val="20"/>
                </w:rPr>
                <w:t>Letter to the Securities and Exchange Commission from Ernst &amp; Young LLP, dated May 10, 2024.</w:t>
              </w:r>
            </w:hyperlink>
          </w:p>
        </w:tc>
      </w:tr>
      <w:tr>
        <w:trPr/>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410"/>
        <w:gridCol w:w="3380"/>
      </w:tblGrid>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Inc.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P. Malcarney</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P. Malcarney</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414020d1_ex16-1.htm"/>
      <w:bookmarkStart w:id="27" w:name="kstm2414020d1_ex161"/>
      <w:bookmarkEnd w:id="26"/>
      <w:bookmarkEnd w:id="27"/>
      <w:r>
        <w:rPr/>
        <w:t> </w:t>
      </w:r>
      <w:r>
        <w:br w:type="page"/>
      </w:r>
    </w:p>
    <w:p>
      <w:pPr>
        <w:pStyle w:val="TextBody"/>
        <w:bidi w:val="0"/>
        <w:jc w:val="right"/>
        <w:rPr>
          <w:b/>
        </w:rPr>
      </w:pPr>
      <w:r>
        <w:rPr>
          <w:b/>
        </w:rPr>
        <w:t>Exhibit 16.1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86715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67150" cy="10668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Item 4.01 of Form 8-K dated May 10, 2024, of Clearway Energy, Inc. and are in agreement with the statements contained in the first, second and third paragraphs therein. We have no basis to agree or disagree with other statements of the registrant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firm of Ernst &amp; Young Global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1080</Words>
  <Characters>5702</Characters>
  <CharactersWithSpaces>6792</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