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15,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6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Title of each class</w:t>
            </w:r>
          </w:p>
        </w:tc>
        <w:tc>
          <w:tcPr>
            <w:tcW w:w="32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40" w:type="dxa"/>
            <w:vAlign w:val="bottom"/>
          </w:tcPr>
          <w:p>
            <w:pPr>
              <w:jc w:val="center"/>
              <w:ind w:left="30"/>
              <w:spacing w:after="0"/>
              <w:rPr>
                <w:sz w:val="20"/>
                <w:szCs w:val="20"/>
                <w:color w:val="auto"/>
              </w:rPr>
            </w:pPr>
            <w:r>
              <w:rPr>
                <w:rFonts w:ascii="Arial" w:cs="Arial" w:eastAsia="Arial" w:hAnsi="Arial"/>
                <w:sz w:val="18"/>
                <w:szCs w:val="18"/>
                <w:color w:val="auto"/>
                <w:w w:val="92"/>
              </w:rPr>
              <w:t>None</w:t>
            </w:r>
          </w:p>
        </w:tc>
        <w:tc>
          <w:tcPr>
            <w:tcW w:w="3260" w:type="dxa"/>
            <w:vAlign w:val="bottom"/>
          </w:tcPr>
          <w:p>
            <w:pPr>
              <w:jc w:val="center"/>
              <w:ind w:left="470"/>
              <w:spacing w:after="0"/>
              <w:rPr>
                <w:sz w:val="20"/>
                <w:szCs w:val="20"/>
                <w:color w:val="auto"/>
              </w:rPr>
            </w:pPr>
            <w:r>
              <w:rPr>
                <w:rFonts w:ascii="Arial" w:cs="Arial" w:eastAsia="Arial" w:hAnsi="Arial"/>
                <w:sz w:val="18"/>
                <w:szCs w:val="18"/>
                <w:color w:val="auto"/>
                <w:w w:val="88"/>
              </w:rPr>
              <w:t>None</w:t>
            </w:r>
          </w:p>
        </w:tc>
        <w:tc>
          <w:tcPr>
            <w:tcW w:w="4140" w:type="dxa"/>
            <w:vAlign w:val="bottom"/>
          </w:tcPr>
          <w:p>
            <w:pPr>
              <w:jc w:val="center"/>
              <w:ind w:left="350"/>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4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Eighth Amendment to Clearway Energy LLC and Clearway Energy Operating LLC Revolving Credit Facility</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March 15, 2023, each of Clearway Energy Operating LLC (“Clearway Operating LLC”), as borrower, and Clearway Energy LLC (“Clearway LLC”), as guarantor, entered into the Eighth Amendment to Amended and Restated Credit Agreement (the “Eighth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Clearway Operating LLC is a subsidiary of Clearway LLC.</w:t>
      </w:r>
    </w:p>
    <w:p>
      <w:pPr>
        <w:spacing w:after="0" w:line="178" w:lineRule="exact"/>
        <w:rPr>
          <w:sz w:val="20"/>
          <w:szCs w:val="20"/>
          <w:color w:val="auto"/>
        </w:rPr>
      </w:pPr>
    </w:p>
    <w:p>
      <w:pPr>
        <w:ind w:right="200" w:firstLine="648"/>
        <w:spacing w:after="0" w:line="287" w:lineRule="auto"/>
        <w:rPr>
          <w:sz w:val="20"/>
          <w:szCs w:val="20"/>
          <w:color w:val="auto"/>
        </w:rPr>
      </w:pPr>
      <w:r>
        <w:rPr>
          <w:rFonts w:ascii="Arial" w:cs="Arial" w:eastAsia="Arial" w:hAnsi="Arial"/>
          <w:sz w:val="16"/>
          <w:szCs w:val="16"/>
          <w:color w:val="auto"/>
        </w:rPr>
        <w:t>The Eighth Amendment amends the Existing Credit Agreement to, among other things, (i) replace the London Interbank Offered Rate with the Secured Overnight Financing Rate plus a credit spread adjustment of 0.10% for all available interest periods as the applicable reference rate, (ii) increase the revolving commitments thereunder to an aggregate principal amount of $700 million, (iii) extend the maturity date of the facility to March 15, 2028,</w:t>
      </w:r>
    </w:p>
    <w:p>
      <w:pPr>
        <w:spacing w:after="0" w:line="2"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 the letter of credit sublimit thereunder to $594 million, (iv) increase certain covenant baskets and threshold amounts set forth therein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 certain other provisions of the Existing Credit Agreement as more fully set forth in the Eighth Amendment.</w:t>
      </w:r>
    </w:p>
    <w:p>
      <w:pPr>
        <w:spacing w:after="0" w:line="211"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foregoing description of the Eighth Amendment does not purport to be complete and is qualified in its entirety by reference to the full text of the Eighth Amendment, a copy of which is filed as Exhibit 10.1 to this Current Report on Form 8-K (this “Current Report”) and is incorporated herein by reference.</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disclosures under Item 1.01 of this Current Report are also responsive to Item 2.03 of this Current Report and are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1360" w:right="280" w:hanging="985"/>
        <w:spacing w:after="0" w:line="255" w:lineRule="auto"/>
        <w:tabs>
          <w:tab w:leader="none" w:pos="1340" w:val="left"/>
        </w:tabs>
        <w:rPr>
          <w:sz w:val="20"/>
          <w:szCs w:val="20"/>
          <w:color w:val="auto"/>
        </w:rPr>
      </w:pPr>
      <w:r>
        <w:rPr>
          <w:rFonts w:ascii="Arial" w:cs="Arial" w:eastAsia="Arial" w:hAnsi="Arial"/>
          <w:sz w:val="18"/>
          <w:szCs w:val="18"/>
          <w:u w:val="single" w:color="auto"/>
          <w:color w:val="0000EE"/>
        </w:rPr>
        <w:t>10.1*</w:t>
      </w:r>
      <w:r>
        <w:rPr>
          <w:sz w:val="20"/>
          <w:szCs w:val="20"/>
          <w:color w:val="auto"/>
        </w:rPr>
        <w:tab/>
      </w:r>
      <w:r>
        <w:rPr>
          <w:rFonts w:ascii="Arial" w:cs="Arial" w:eastAsia="Arial" w:hAnsi="Arial"/>
          <w:sz w:val="18"/>
          <w:szCs w:val="18"/>
          <w:u w:val="single" w:color="auto"/>
          <w:color w:val="0000EE"/>
        </w:rPr>
        <w:t>Eighth Amendment to Amended and Restated Credit Agreement, entered into as of March 15, 2023, by and among Clearway Energy Operating LLC, Clearway Energy LLC, the guarantors party thereto, JPMorgan Chase Bank, N.A., as administrative agent, and the lenders party thereto.</w:t>
      </w:r>
    </w:p>
    <w:p>
      <w:pPr>
        <w:spacing w:after="0" w:line="2" w:lineRule="exact"/>
        <w:rPr>
          <w:sz w:val="20"/>
          <w:szCs w:val="20"/>
          <w:color w:val="auto"/>
        </w:rPr>
      </w:pPr>
    </w:p>
    <w:p>
      <w:pPr>
        <w:ind w:left="1360" w:hanging="920"/>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10" w:lineRule="exact"/>
        <w:rPr>
          <w:rFonts w:ascii="Arial" w:cs="Arial" w:eastAsia="Arial" w:hAnsi="Arial"/>
          <w:sz w:val="18"/>
          <w:szCs w:val="18"/>
          <w:color w:val="auto"/>
        </w:rPr>
      </w:pPr>
    </w:p>
    <w:p>
      <w:pPr>
        <w:ind w:left="980" w:right="220" w:hanging="324"/>
        <w:spacing w:after="0" w:line="342" w:lineRule="auto"/>
        <w:rPr>
          <w:rFonts w:ascii="Arial" w:cs="Arial" w:eastAsia="Arial" w:hAnsi="Arial"/>
          <w:sz w:val="18"/>
          <w:szCs w:val="18"/>
          <w:color w:val="auto"/>
        </w:rPr>
      </w:pPr>
      <w:r>
        <w:rPr>
          <w:rFonts w:ascii="Arial" w:cs="Arial" w:eastAsia="Arial" w:hAnsi="Arial"/>
          <w:sz w:val="16"/>
          <w:szCs w:val="16"/>
          <w:color w:val="auto"/>
        </w:rPr>
        <w:t>* Schedules and similar attachments to this Exhibit have been omitted pursuant to Item 601(a)(5) of Regulation S-K. The Company agrees to furnish supplementally a copy of any omitted schedule or exhibit to the U.S. Securities and Exchange Commission upon request.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20, 2023</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AND RESTATED CREDIT AGREEMENT</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EIGHTH AMENDMENT TO AMENDED AND RESTATED CREDIT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dated as of March 15, 2023 and is entered into by and among CLEARWAY ENERGY OPERATING LLC, a Delaware limited liability company (the “</w:t>
      </w:r>
      <w:r>
        <w:rPr>
          <w:rFonts w:ascii="Arial" w:cs="Arial" w:eastAsia="Arial" w:hAnsi="Arial"/>
          <w:sz w:val="16"/>
          <w:szCs w:val="16"/>
          <w:b w:val="1"/>
          <w:bCs w:val="1"/>
          <w:color w:val="auto"/>
        </w:rPr>
        <w:t>Borrower</w:t>
      </w:r>
      <w:r>
        <w:rPr>
          <w:rFonts w:ascii="Arial" w:cs="Arial" w:eastAsia="Arial" w:hAnsi="Arial"/>
          <w:sz w:val="16"/>
          <w:szCs w:val="16"/>
          <w:color w:val="auto"/>
        </w:rPr>
        <w:t>”), CLEARWAY ENERGY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each other Guarantor party hereto, JPMORGAN CHASE BANK, N.A. (“</w:t>
      </w:r>
      <w:r>
        <w:rPr>
          <w:rFonts w:ascii="Arial" w:cs="Arial" w:eastAsia="Arial" w:hAnsi="Arial"/>
          <w:sz w:val="16"/>
          <w:szCs w:val="16"/>
          <w:b w:val="1"/>
          <w:bCs w:val="1"/>
          <w:color w:val="auto"/>
        </w:rPr>
        <w:t>JPM</w:t>
      </w:r>
      <w:r>
        <w:rPr>
          <w:rFonts w:ascii="Arial" w:cs="Arial" w:eastAsia="Arial" w:hAnsi="Arial"/>
          <w:sz w:val="16"/>
          <w:szCs w:val="16"/>
          <w:color w:val="auto"/>
        </w:rPr>
        <w:t>”), in its capacity as the administrative agent under the Credit Agreement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and THE LENDERS AND L/C ISSUERS party hereto, and is made with reference to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that certain Fourth Amendment to Amended and Restated Credit Agreement, dated as of November 30, 2018, that certain Fifth Amendment to Amended and Restated Credit Agreement, dated as of December 20, 2019, that certain Sixth Amendment to Amended and Restated Credit Agreement and First Amendment to Amended and Restated Pledge and Security Agreement, dated as of November 30, 2021 and that certain Seventh Amendment to Amended and Restated Credit Agreement, dated as of August 15, 2022 (the “</w:t>
      </w:r>
      <w:r>
        <w:rPr>
          <w:rFonts w:ascii="Arial" w:cs="Arial" w:eastAsia="Arial" w:hAnsi="Arial"/>
          <w:sz w:val="16"/>
          <w:szCs w:val="16"/>
          <w:b w:val="1"/>
          <w:bCs w:val="1"/>
          <w:color w:val="auto"/>
        </w:rPr>
        <w:t>Credit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and as amended by this Amendment and as may be further amended, amended and restated, supplemented or otherwise modified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the “</w:t>
      </w:r>
      <w:r>
        <w:rPr>
          <w:rFonts w:ascii="Arial" w:cs="Arial" w:eastAsia="Arial" w:hAnsi="Arial"/>
          <w:sz w:val="16"/>
          <w:szCs w:val="16"/>
          <w:b w:val="1"/>
          <w:bCs w:val="1"/>
          <w:color w:val="auto"/>
        </w:rPr>
        <w:t>Amended Credit Agreement</w:t>
      </w:r>
      <w:r>
        <w:rPr>
          <w:rFonts w:ascii="Arial" w:cs="Arial" w:eastAsia="Arial" w:hAnsi="Arial"/>
          <w:sz w:val="16"/>
          <w:szCs w:val="16"/>
          <w:color w:val="auto"/>
        </w:rPr>
        <w:t xml:space="preserve">”), by and among the Borrower, Holdings, the other Guarantors party thereto, the Lenders and L/C Issuers party thereto and the Administrative Agent. Capitalized terms used herein without definition shall have the same meanings herein as set forth in the Amended Credit Agreement, and the rules of interpretation set forth in Section 1.02 of the Amended Credit Agreement shall apply hereto,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Loan Parties have requested that the Lenders and L/C Issuers agree to amend certain provisions of the Credit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satisfaction of the conditions specified herein, the undersigned Lenders and L/C Issuers are willing to agree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Credit Agreement in accordance with Section 11.01 of the Credit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I.</w:t>
        <w:tab/>
        <w:t>AMENDMENTS TO CREDIT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Effective on and as of the date on which each of the conditions set forth in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has been satisfied (or waived by the party or parties entitled to the benefit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56"/>
        <w:spacing w:after="0" w:line="289" w:lineRule="auto"/>
        <w:tabs>
          <w:tab w:leader="none" w:pos="1354"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Credit Agreement</w:t>
      </w:r>
      <w:r>
        <w:rPr>
          <w:rFonts w:ascii="Arial" w:cs="Arial" w:eastAsia="Arial" w:hAnsi="Arial"/>
          <w:sz w:val="17"/>
          <w:szCs w:val="17"/>
          <w:color w:val="auto"/>
        </w:rPr>
        <w:t>. The Credit Agreement is hereby amended pursuant to Section 11.01 of the Credit Agreement to delete the stricken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text (indicted textually in the same manner as the following example: </w:t>
      </w:r>
      <w:r>
        <w:rPr>
          <w:rFonts w:ascii="Arial" w:cs="Arial" w:eastAsia="Arial" w:hAnsi="Arial"/>
          <w:sz w:val="17"/>
          <w:szCs w:val="17"/>
          <w:color w:val="FF0000"/>
          <w:strike w:val="1"/>
        </w:rPr>
        <w:t>stricken text</w:t>
      </w:r>
      <w:r>
        <w:rPr>
          <w:rFonts w:ascii="Arial" w:cs="Arial" w:eastAsia="Arial" w:hAnsi="Arial"/>
          <w:sz w:val="17"/>
          <w:szCs w:val="17"/>
          <w:color w:val="auto"/>
        </w:rPr>
        <w:t xml:space="preserve">) and to add the double-underlined text (indicated textually in the same manner as the following example: </w:t>
      </w:r>
      <w:r>
        <w:rPr>
          <w:rFonts w:ascii="Arial" w:cs="Arial" w:eastAsia="Arial" w:hAnsi="Arial"/>
          <w:sz w:val="17"/>
          <w:szCs w:val="17"/>
          <w:u w:val="single" w:color="auto"/>
          <w:color w:val="0000FF"/>
        </w:rPr>
        <w:t>double-underlined text</w:t>
      </w:r>
      <w:r>
        <w:rPr>
          <w:rFonts w:ascii="Arial" w:cs="Arial" w:eastAsia="Arial" w:hAnsi="Arial"/>
          <w:sz w:val="17"/>
          <w:szCs w:val="17"/>
          <w:color w:val="auto"/>
        </w:rPr>
        <w:t xml:space="preserve">) as shown in the Amended Credit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firstLine="656"/>
        <w:spacing w:after="0" w:line="255"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Exhibits and Schedules</w:t>
      </w:r>
      <w:r>
        <w:rPr>
          <w:rFonts w:ascii="Arial" w:cs="Arial" w:eastAsia="Arial" w:hAnsi="Arial"/>
          <w:sz w:val="18"/>
          <w:szCs w:val="18"/>
          <w:color w:val="auto"/>
        </w:rPr>
        <w:t>. (a) Schedules 1.01, 2.01, 2.03, 5.06, 5.13, 5.17(a), 5.24, 7.01, 7.02(a), 7.02(d), 7.03(f), 7.09 and 11.02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Credit Agreement are hereby amended and restated, and replaced in their respective entireties, with the schedules attached hereto as </w:t>
      </w:r>
      <w:r>
        <w:rPr>
          <w:rFonts w:ascii="Arial" w:cs="Arial" w:eastAsia="Arial" w:hAnsi="Arial"/>
          <w:sz w:val="18"/>
          <w:szCs w:val="18"/>
          <w:u w:val="single" w:color="auto"/>
          <w:color w:val="auto"/>
        </w:rPr>
        <w:t>Exhibits B-1</w:t>
      </w:r>
      <w:r>
        <w:rPr>
          <w:rFonts w:ascii="Arial" w:cs="Arial" w:eastAsia="Arial" w:hAnsi="Arial"/>
          <w:sz w:val="18"/>
          <w:szCs w:val="18"/>
          <w:color w:val="auto"/>
        </w:rPr>
        <w:t xml:space="preserve">, </w:t>
      </w:r>
      <w:r>
        <w:rPr>
          <w:rFonts w:ascii="Arial" w:cs="Arial" w:eastAsia="Arial" w:hAnsi="Arial"/>
          <w:sz w:val="18"/>
          <w:szCs w:val="18"/>
          <w:u w:val="single" w:color="auto"/>
          <w:color w:val="auto"/>
        </w:rPr>
        <w:t>B-2</w:t>
      </w:r>
      <w:r>
        <w:rPr>
          <w:rFonts w:ascii="Arial" w:cs="Arial" w:eastAsia="Arial" w:hAnsi="Arial"/>
          <w:sz w:val="18"/>
          <w:szCs w:val="18"/>
          <w:color w:val="auto"/>
        </w:rPr>
        <w:t xml:space="preserve">, </w:t>
      </w:r>
      <w:r>
        <w:rPr>
          <w:rFonts w:ascii="Arial" w:cs="Arial" w:eastAsia="Arial" w:hAnsi="Arial"/>
          <w:sz w:val="18"/>
          <w:szCs w:val="18"/>
          <w:u w:val="single" w:color="auto"/>
          <w:color w:val="auto"/>
        </w:rPr>
        <w:t>B-3</w:t>
      </w:r>
      <w:r>
        <w:rPr>
          <w:rFonts w:ascii="Arial" w:cs="Arial" w:eastAsia="Arial" w:hAnsi="Arial"/>
          <w:sz w:val="18"/>
          <w:szCs w:val="18"/>
          <w:color w:val="auto"/>
        </w:rPr>
        <w:t xml:space="preserve">, </w:t>
      </w:r>
      <w:r>
        <w:rPr>
          <w:rFonts w:ascii="Arial" w:cs="Arial" w:eastAsia="Arial" w:hAnsi="Arial"/>
          <w:sz w:val="18"/>
          <w:szCs w:val="18"/>
          <w:u w:val="single" w:color="auto"/>
          <w:color w:val="auto"/>
        </w:rPr>
        <w:t>B-4</w:t>
      </w:r>
      <w:r>
        <w:rPr>
          <w:rFonts w:ascii="Arial" w:cs="Arial" w:eastAsia="Arial" w:hAnsi="Arial"/>
          <w:sz w:val="18"/>
          <w:szCs w:val="18"/>
          <w:color w:val="auto"/>
        </w:rPr>
        <w:t xml:space="preserve">, </w:t>
      </w:r>
      <w:r>
        <w:rPr>
          <w:rFonts w:ascii="Arial" w:cs="Arial" w:eastAsia="Arial" w:hAnsi="Arial"/>
          <w:sz w:val="18"/>
          <w:szCs w:val="18"/>
          <w:u w:val="single" w:color="auto"/>
          <w:color w:val="auto"/>
        </w:rPr>
        <w:t>B-5</w:t>
      </w:r>
      <w:r>
        <w:rPr>
          <w:rFonts w:ascii="Arial" w:cs="Arial" w:eastAsia="Arial" w:hAnsi="Arial"/>
          <w:sz w:val="18"/>
          <w:szCs w:val="18"/>
          <w:color w:val="auto"/>
        </w:rPr>
        <w:t xml:space="preserve">, </w:t>
      </w:r>
      <w:r>
        <w:rPr>
          <w:rFonts w:ascii="Arial" w:cs="Arial" w:eastAsia="Arial" w:hAnsi="Arial"/>
          <w:sz w:val="18"/>
          <w:szCs w:val="18"/>
          <w:u w:val="single" w:color="auto"/>
          <w:color w:val="auto"/>
        </w:rPr>
        <w:t>B-6</w:t>
      </w:r>
      <w:r>
        <w:rPr>
          <w:rFonts w:ascii="Arial" w:cs="Arial" w:eastAsia="Arial" w:hAnsi="Arial"/>
          <w:sz w:val="18"/>
          <w:szCs w:val="18"/>
          <w:color w:val="auto"/>
        </w:rPr>
        <w:t xml:space="preserve">, </w:t>
      </w:r>
      <w:r>
        <w:rPr>
          <w:rFonts w:ascii="Arial" w:cs="Arial" w:eastAsia="Arial" w:hAnsi="Arial"/>
          <w:sz w:val="18"/>
          <w:szCs w:val="18"/>
          <w:u w:val="single" w:color="auto"/>
          <w:color w:val="auto"/>
        </w:rPr>
        <w:t>B-7</w:t>
      </w:r>
      <w:r>
        <w:rPr>
          <w:rFonts w:ascii="Arial" w:cs="Arial" w:eastAsia="Arial" w:hAnsi="Arial"/>
          <w:sz w:val="18"/>
          <w:szCs w:val="18"/>
          <w:color w:val="auto"/>
        </w:rPr>
        <w:t xml:space="preserve">, </w:t>
      </w:r>
      <w:r>
        <w:rPr>
          <w:rFonts w:ascii="Arial" w:cs="Arial" w:eastAsia="Arial" w:hAnsi="Arial"/>
          <w:sz w:val="18"/>
          <w:szCs w:val="18"/>
          <w:u w:val="single" w:color="auto"/>
          <w:color w:val="auto"/>
        </w:rPr>
        <w:t>B-8</w:t>
      </w:r>
      <w:r>
        <w:rPr>
          <w:rFonts w:ascii="Arial" w:cs="Arial" w:eastAsia="Arial" w:hAnsi="Arial"/>
          <w:sz w:val="18"/>
          <w:szCs w:val="18"/>
          <w:color w:val="auto"/>
        </w:rPr>
        <w:t xml:space="preserve">, </w:t>
      </w:r>
      <w:r>
        <w:rPr>
          <w:rFonts w:ascii="Arial" w:cs="Arial" w:eastAsia="Arial" w:hAnsi="Arial"/>
          <w:sz w:val="18"/>
          <w:szCs w:val="18"/>
          <w:u w:val="single" w:color="auto"/>
          <w:color w:val="auto"/>
        </w:rPr>
        <w:t>B-9</w:t>
      </w:r>
      <w:r>
        <w:rPr>
          <w:rFonts w:ascii="Arial" w:cs="Arial" w:eastAsia="Arial" w:hAnsi="Arial"/>
          <w:sz w:val="18"/>
          <w:szCs w:val="18"/>
          <w:color w:val="auto"/>
        </w:rPr>
        <w:t xml:space="preserve">, </w:t>
      </w:r>
      <w:r>
        <w:rPr>
          <w:rFonts w:ascii="Arial" w:cs="Arial" w:eastAsia="Arial" w:hAnsi="Arial"/>
          <w:sz w:val="18"/>
          <w:szCs w:val="18"/>
          <w:u w:val="single" w:color="auto"/>
          <w:color w:val="auto"/>
        </w:rPr>
        <w:t>B-10</w:t>
      </w:r>
      <w:r>
        <w:rPr>
          <w:rFonts w:ascii="Arial" w:cs="Arial" w:eastAsia="Arial" w:hAnsi="Arial"/>
          <w:sz w:val="18"/>
          <w:szCs w:val="18"/>
          <w:color w:val="auto"/>
        </w:rPr>
        <w:t xml:space="preserve">, </w:t>
      </w:r>
      <w:r>
        <w:rPr>
          <w:rFonts w:ascii="Arial" w:cs="Arial" w:eastAsia="Arial" w:hAnsi="Arial"/>
          <w:sz w:val="18"/>
          <w:szCs w:val="18"/>
          <w:u w:val="single" w:color="auto"/>
          <w:color w:val="auto"/>
        </w:rPr>
        <w:t>B-11</w:t>
      </w:r>
      <w:r>
        <w:rPr>
          <w:rFonts w:ascii="Arial" w:cs="Arial" w:eastAsia="Arial" w:hAnsi="Arial"/>
          <w:sz w:val="18"/>
          <w:szCs w:val="18"/>
          <w:color w:val="auto"/>
        </w:rPr>
        <w:t xml:space="preserve">, </w:t>
      </w:r>
      <w:r>
        <w:rPr>
          <w:rFonts w:ascii="Arial" w:cs="Arial" w:eastAsia="Arial" w:hAnsi="Arial"/>
          <w:sz w:val="18"/>
          <w:szCs w:val="18"/>
          <w:u w:val="single" w:color="auto"/>
          <w:color w:val="auto"/>
        </w:rPr>
        <w:t>B-12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B-13</w:t>
      </w:r>
      <w:r>
        <w:rPr>
          <w:rFonts w:ascii="Arial" w:cs="Arial" w:eastAsia="Arial" w:hAnsi="Arial"/>
          <w:sz w:val="18"/>
          <w:szCs w:val="18"/>
          <w:color w:val="auto"/>
        </w:rPr>
        <w:t xml:space="preserve"> respectively, (b) Exhibit A to the Credit Agreement is hereby amended and restated, and replaced in its entirety with the exhibit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(b) new Exhibits L-1, L-2, L-3 and L-4 are hereby added to the Credit Agreement in the form of the exhibits attached hereto as </w:t>
      </w:r>
      <w:r>
        <w:rPr>
          <w:rFonts w:ascii="Arial" w:cs="Arial" w:eastAsia="Arial" w:hAnsi="Arial"/>
          <w:sz w:val="18"/>
          <w:szCs w:val="18"/>
          <w:u w:val="single" w:color="auto"/>
          <w:color w:val="auto"/>
        </w:rPr>
        <w:t>Exhibits D-1</w:t>
      </w:r>
      <w:r>
        <w:rPr>
          <w:rFonts w:ascii="Arial" w:cs="Arial" w:eastAsia="Arial" w:hAnsi="Arial"/>
          <w:sz w:val="18"/>
          <w:szCs w:val="18"/>
          <w:color w:val="auto"/>
        </w:rPr>
        <w:t xml:space="preserve">, D-2, D-3 and D-4, respectively. No other Exhibit or Schedule to the Credit Agreement is amended pursuant to this Amendment, and all such Exhibits and Schedules to the Credit Agreement shall apply to the Amended Credit Agreement as if attached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656"/>
        <w:spacing w:after="0" w:line="286" w:lineRule="auto"/>
        <w:tabs>
          <w:tab w:leader="none" w:pos="1303"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On the A&amp;R Credit Agreement Eighth Amendment Effective Date (as defined below), (i) each Revolving Credit Lender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the Credit Agreement immediately prior to the A&amp;R Credit Agreement Eighth Amendment Effective Date that is a party to this Amendment (the “</w:t>
      </w:r>
      <w:r>
        <w:rPr>
          <w:rFonts w:ascii="Arial" w:cs="Arial" w:eastAsia="Arial" w:hAnsi="Arial"/>
          <w:sz w:val="16"/>
          <w:szCs w:val="16"/>
          <w:b w:val="1"/>
          <w:bCs w:val="1"/>
          <w:color w:val="auto"/>
        </w:rPr>
        <w:t>Continuing Lenders</w:t>
      </w:r>
      <w:r>
        <w:rPr>
          <w:rFonts w:ascii="Arial" w:cs="Arial" w:eastAsia="Arial" w:hAnsi="Arial"/>
          <w:sz w:val="16"/>
          <w:szCs w:val="16"/>
          <w:color w:val="auto"/>
        </w:rPr>
        <w:t>”) will automatically and without further act be deemed to have assigned to each Revolving Credit Lender party hereto that was not a party to the Credit Agreement immediately prior to the A&amp;R Credit Agreement Eighth Amendment Effective Date (the “</w:t>
      </w:r>
      <w:r>
        <w:rPr>
          <w:rFonts w:ascii="Arial" w:cs="Arial" w:eastAsia="Arial" w:hAnsi="Arial"/>
          <w:sz w:val="16"/>
          <w:szCs w:val="16"/>
          <w:b w:val="1"/>
          <w:bCs w:val="1"/>
          <w:color w:val="auto"/>
        </w:rPr>
        <w:t>New Revolving Credit Lenders</w:t>
      </w:r>
      <w:r>
        <w:rPr>
          <w:rFonts w:ascii="Arial" w:cs="Arial" w:eastAsia="Arial" w:hAnsi="Arial"/>
          <w:sz w:val="16"/>
          <w:szCs w:val="16"/>
          <w:color w:val="auto"/>
        </w:rPr>
        <w:t xml:space="preserve">”) (and, solely to the extent necessary to achieve the pro rata treatment referred to below, to each other Continuing Lender), and each New Revolving Credit Lender will automatically and without further act be deemed to have assumed a portion of (and, to the extent necessary to achieve the pro rata treatment referred to below, each such Continuing Lender shall be deemed to have assumed a portion of), such Continuing Lender’s participations in any outstanding Letters of Credit such that, after giving effect to each deemed assignment and assumption of such participations, all of the Revolving Credit Lenders’ participations in any Letters of Credit shall be held on a pro rata basis on the basis of their respective Revolving Credit Commitments (as reflected on revised Schedule 2.01 attached hereto as </w:t>
      </w:r>
      <w:r>
        <w:rPr>
          <w:rFonts w:ascii="Arial" w:cs="Arial" w:eastAsia="Arial" w:hAnsi="Arial"/>
          <w:sz w:val="16"/>
          <w:szCs w:val="16"/>
          <w:u w:val="single" w:color="auto"/>
          <w:color w:val="auto"/>
        </w:rPr>
        <w:t>Exhibit B-2</w:t>
      </w:r>
      <w:r>
        <w:rPr>
          <w:rFonts w:ascii="Arial" w:cs="Arial" w:eastAsia="Arial" w:hAnsi="Arial"/>
          <w:sz w:val="16"/>
          <w:szCs w:val="16"/>
          <w:color w:val="auto"/>
        </w:rPr>
        <w:t>, which gives effect to the revised aggregate amount of Revolving Credit Commitments and allocation thereof to the Revolving Credit Lenders pursuant to this Amendment) and (ii) if any Revolving Credit Loans are outstanding on such date, the Continuing Lenders shall assign Revolving Credit Loans to the New Revolving Credit Lenders, and the New Revolving Credit Lenders shall purchase such Loans, in each case to the extent necessary so that all of the Revolving Credit Lenders participate in each outstanding Revolving Credit Loan pro rata on the basis of their respective Commitments (after giving effect to any increase in the Revolving Credit Commitments pursuant to this Amendment); it being understood and agreed that the minimum borrowing, pro rata borrowing and pro rata payment requirements contained elsewhere in the Amended Credit Agreement shall not apply to the transactions effected pursuant to this Section.</w:t>
      </w:r>
    </w:p>
    <w:p>
      <w:pPr>
        <w:spacing w:after="0" w:line="164" w:lineRule="exact"/>
        <w:rPr>
          <w:rFonts w:ascii="Arial" w:cs="Arial" w:eastAsia="Arial" w:hAnsi="Arial"/>
          <w:sz w:val="16"/>
          <w:szCs w:val="16"/>
          <w:color w:val="auto"/>
        </w:rPr>
      </w:pPr>
    </w:p>
    <w:p>
      <w:pPr>
        <w:jc w:val="both"/>
        <w:ind w:firstLine="656"/>
        <w:spacing w:after="0" w:line="298" w:lineRule="auto"/>
        <w:tabs>
          <w:tab w:leader="none" w:pos="1354"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Exiting Lenders. </w:t>
      </w:r>
      <w:r>
        <w:rPr>
          <w:rFonts w:ascii="Arial" w:cs="Arial" w:eastAsia="Arial" w:hAnsi="Arial"/>
          <w:sz w:val="16"/>
          <w:szCs w:val="16"/>
          <w:color w:val="auto"/>
        </w:rPr>
        <w:t>The parties hereto agree that, notwithstanding anything to the contrary in the Amended Credit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provisions regarding the pro rata payment of Revolving Credit Loans and termination of Revolving Credit Commitments), the Revolving Credit Commitments of any Revolving Credit Lender party to the Credit Agreement prior to the A&amp;R Credit Agreement Eighth Amendment Effective Date that is not a party to this Amendment (the “</w:t>
      </w:r>
      <w:r>
        <w:rPr>
          <w:rFonts w:ascii="Arial" w:cs="Arial" w:eastAsia="Arial" w:hAnsi="Arial"/>
          <w:sz w:val="16"/>
          <w:szCs w:val="16"/>
          <w:b w:val="1"/>
          <w:bCs w:val="1"/>
          <w:color w:val="auto"/>
        </w:rPr>
        <w:t>Exiting Lenders</w:t>
      </w:r>
      <w:r>
        <w:rPr>
          <w:rFonts w:ascii="Arial" w:cs="Arial" w:eastAsia="Arial" w:hAnsi="Arial"/>
          <w:sz w:val="16"/>
          <w:szCs w:val="16"/>
          <w:color w:val="auto"/>
        </w:rPr>
        <w:t>”) will be terminated in full on the A&amp;R Credit Agreement Eighth Amendment Effective Date and any Revolving Credit Loans of such Exiting Lenders shall be repaid in full on the A&amp;R Credit Agreement Eighth Amendment Effective Date.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tabs>
          <w:tab w:leader="none" w:pos="1260" w:val="left"/>
        </w:tabs>
        <w:rPr>
          <w:sz w:val="20"/>
          <w:szCs w:val="20"/>
          <w:color w:val="auto"/>
        </w:rPr>
      </w:pPr>
      <w:r>
        <w:rPr>
          <w:rFonts w:ascii="Arial" w:cs="Arial" w:eastAsia="Arial" w:hAnsi="Arial"/>
          <w:sz w:val="18"/>
          <w:szCs w:val="18"/>
          <w:b w:val="1"/>
          <w:bCs w:val="1"/>
          <w:color w:val="auto"/>
        </w:rPr>
        <w:t>SECTION II.</w:t>
        <w:tab/>
        <w:t>CONDITIONS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This Amendment shall become effective as of the first date on which each of the following conditions in this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have been satisfied (or waived in accordance with the Credit Agreement) (the date of satisfaction (or waiver) of such conditions being referred to herein as the </w:t>
      </w:r>
      <w:r>
        <w:rPr>
          <w:rFonts w:ascii="Arial" w:cs="Arial" w:eastAsia="Arial" w:hAnsi="Arial"/>
          <w:sz w:val="18"/>
          <w:szCs w:val="18"/>
          <w:b w:val="1"/>
          <w:bCs w:val="1"/>
          <w:color w:val="auto"/>
        </w:rPr>
        <w:t>“A&amp;R Credit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 Eighth Amendment Effective Date”</w:t>
      </w:r>
      <w:r>
        <w:rPr>
          <w:rFonts w:ascii="Arial" w:cs="Arial" w:eastAsia="Arial" w:hAnsi="Arial"/>
          <w:sz w:val="18"/>
          <w:szCs w:val="18"/>
          <w:color w:val="auto"/>
        </w:rPr>
        <w:t>):</w:t>
      </w:r>
    </w:p>
    <w:p>
      <w:pPr>
        <w:spacing w:after="0" w:line="180" w:lineRule="exact"/>
        <w:rPr>
          <w:sz w:val="20"/>
          <w:szCs w:val="20"/>
          <w:color w:val="auto"/>
        </w:rPr>
      </w:pPr>
    </w:p>
    <w:p>
      <w:pPr>
        <w:jc w:val="both"/>
        <w:ind w:firstLine="656"/>
        <w:spacing w:after="0" w:line="258" w:lineRule="auto"/>
        <w:tabs>
          <w:tab w:leader="none" w:pos="1529"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Deliverables to Administrative Agent</w:t>
      </w:r>
      <w:r>
        <w:rPr>
          <w:rFonts w:ascii="Arial" w:cs="Arial" w:eastAsia="Arial" w:hAnsi="Arial"/>
          <w:sz w:val="18"/>
          <w:szCs w:val="18"/>
          <w:color w:val="auto"/>
        </w:rPr>
        <w:t>. The Administrative Agent’s receipt of the following, each of which shall be originals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transmitted copies of originals (followed as soon as reasonably practicable by originals) unless otherwise specified, each properly executed by a Responsible Officer of the signing Loan Party, each dated the A&amp;R Credit Agreement Eighth Amendment Effective Date (or, in the case of certificates of governmental officials, a recent date before the A&amp;R Credit Agreement Eighth Amendment Effective Date) and each in form and substance reasonably satisfactory to the Administrative Agent and each of the Lenders:</w:t>
      </w:r>
    </w:p>
    <w:p>
      <w:pPr>
        <w:spacing w:after="0" w:line="187" w:lineRule="exact"/>
        <w:rPr>
          <w:rFonts w:ascii="Arial" w:cs="Arial" w:eastAsia="Arial" w:hAnsi="Arial"/>
          <w:sz w:val="18"/>
          <w:szCs w:val="18"/>
          <w:color w:val="auto"/>
        </w:rPr>
      </w:pPr>
    </w:p>
    <w:p>
      <w:pPr>
        <w:jc w:val="both"/>
        <w:ind w:left="660" w:firstLine="644"/>
        <w:spacing w:after="0" w:line="263" w:lineRule="auto"/>
        <w:tabs>
          <w:tab w:leader="none" w:pos="1866" w:val="left"/>
        </w:tabs>
        <w:numPr>
          <w:ilvl w:val="1"/>
          <w:numId w:val="6"/>
        </w:numPr>
        <w:rPr>
          <w:rFonts w:ascii="Arial" w:cs="Arial" w:eastAsia="Arial" w:hAnsi="Arial"/>
          <w:sz w:val="18"/>
          <w:szCs w:val="18"/>
          <w:color w:val="auto"/>
        </w:rPr>
      </w:pPr>
      <w:r>
        <w:rPr>
          <w:rFonts w:ascii="Arial" w:cs="Arial" w:eastAsia="Arial" w:hAnsi="Arial"/>
          <w:sz w:val="18"/>
          <w:szCs w:val="18"/>
          <w:color w:val="auto"/>
        </w:rPr>
        <w:t>(a) a counterpart signature page of this Amendment duly executed by each of the Loan Parties, (b) a counterpart signature page of this Amendment duly executed by the Administrative Agent and (c) a counterpart signature page of this Amendment duly executed by each of the Lenders and L/C Issuers;</w:t>
      </w:r>
    </w:p>
    <w:p>
      <w:pPr>
        <w:spacing w:after="0" w:line="183" w:lineRule="exact"/>
        <w:rPr>
          <w:rFonts w:ascii="Arial" w:cs="Arial" w:eastAsia="Arial" w:hAnsi="Arial"/>
          <w:sz w:val="18"/>
          <w:szCs w:val="18"/>
          <w:color w:val="auto"/>
        </w:rPr>
      </w:pPr>
    </w:p>
    <w:p>
      <w:pPr>
        <w:ind w:left="1860" w:hanging="556"/>
        <w:spacing w:after="0"/>
        <w:tabs>
          <w:tab w:leader="none" w:pos="1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(if any) requesting a Note;</w:t>
      </w:r>
    </w:p>
    <w:p>
      <w:pPr>
        <w:spacing w:after="0" w:line="225" w:lineRule="exact"/>
        <w:rPr>
          <w:rFonts w:ascii="Arial" w:cs="Arial" w:eastAsia="Arial" w:hAnsi="Arial"/>
          <w:sz w:val="18"/>
          <w:szCs w:val="18"/>
          <w:color w:val="auto"/>
        </w:rPr>
      </w:pPr>
    </w:p>
    <w:p>
      <w:pPr>
        <w:jc w:val="both"/>
        <w:ind w:left="660" w:firstLine="644"/>
        <w:spacing w:after="0" w:line="284" w:lineRule="auto"/>
        <w:tabs>
          <w:tab w:leader="none" w:pos="2052" w:val="left"/>
        </w:tabs>
        <w:numPr>
          <w:ilvl w:val="1"/>
          <w:numId w:val="6"/>
        </w:numPr>
        <w:rPr>
          <w:rFonts w:ascii="Arial" w:cs="Arial" w:eastAsia="Arial" w:hAnsi="Arial"/>
          <w:sz w:val="16"/>
          <w:szCs w:val="16"/>
          <w:color w:val="auto"/>
        </w:rPr>
      </w:pPr>
      <w:r>
        <w:rPr>
          <w:rFonts w:ascii="Arial" w:cs="Arial" w:eastAsia="Arial" w:hAnsi="Arial"/>
          <w:sz w:val="16"/>
          <w:szCs w:val="16"/>
          <w:color w:val="auto"/>
        </w:rPr>
        <w:t>(a) a certificate of the secretary, an assistant secretary or a Responsible Officer of each Loan Party dated the A&amp;R Credit Agreement Eighth Amendment Effective Date, certifying (x) that attached thereto is a true and complete copy of each Organization Document of such Loan Party certified (to the extent applicable) as of a recent date by the Secretary of State (or equivalent Governmental Authority) of the state or jurisdiction of its organization or certifying that such Organizational Document delivered to the Administrative Agent on the A&amp;R Credit Agreement Third Amendment Effective Date (to the extent so delivered to the Administrative Agent on such date) has not been amended or otherwise modified since such date, and a certificate as to the good standing of each Loan Party as of a recent date, from such Secretary of State,</w:t>
      </w:r>
    </w:p>
    <w:p>
      <w:pPr>
        <w:spacing w:after="0" w:line="4" w:lineRule="exact"/>
        <w:rPr>
          <w:rFonts w:ascii="Arial" w:cs="Arial" w:eastAsia="Arial" w:hAnsi="Arial"/>
          <w:sz w:val="16"/>
          <w:szCs w:val="16"/>
          <w:color w:val="auto"/>
        </w:rPr>
      </w:pPr>
    </w:p>
    <w:p>
      <w:pPr>
        <w:jc w:val="both"/>
        <w:ind w:left="660"/>
        <w:spacing w:after="0" w:line="253" w:lineRule="auto"/>
        <w:rPr>
          <w:rFonts w:ascii="Arial" w:cs="Arial" w:eastAsia="Arial" w:hAnsi="Arial"/>
          <w:sz w:val="16"/>
          <w:szCs w:val="16"/>
          <w:color w:val="auto"/>
        </w:rPr>
      </w:pPr>
      <w:r>
        <w:rPr>
          <w:rFonts w:ascii="Arial" w:cs="Arial" w:eastAsia="Arial" w:hAnsi="Arial"/>
          <w:sz w:val="18"/>
          <w:szCs w:val="18"/>
          <w:color w:val="auto"/>
        </w:rPr>
        <w:t>(y) that attached thereto is a true and complete copy of resolutions duly authorizing the execution, delivery and performance of this Amendment, and (z) as to the incumbency and specimen signature of each officer executing any Loan Document and (b) a certificate of another Responsible Officer as to the incumbency and specimen signature of the secretary, assistant secretary or Responsible Officer executing the certificate pursuant to clause (a) above;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left="660" w:firstLine="644"/>
        <w:spacing w:after="0" w:line="277" w:lineRule="auto"/>
        <w:tabs>
          <w:tab w:leader="none" w:pos="1936" w:val="left"/>
        </w:tabs>
        <w:numPr>
          <w:ilvl w:val="1"/>
          <w:numId w:val="7"/>
        </w:numPr>
        <w:rPr>
          <w:rFonts w:ascii="Arial" w:cs="Arial" w:eastAsia="Arial" w:hAnsi="Arial"/>
          <w:sz w:val="18"/>
          <w:szCs w:val="18"/>
          <w:color w:val="auto"/>
        </w:rPr>
      </w:pPr>
      <w:r>
        <w:rPr>
          <w:rFonts w:ascii="Arial" w:cs="Arial" w:eastAsia="Arial" w:hAnsi="Arial"/>
          <w:sz w:val="18"/>
          <w:szCs w:val="18"/>
          <w:color w:val="auto"/>
        </w:rPr>
        <w:t>a customary opinion of Willkie Farr &amp; Gallagher LLP, counsel to the Loan Parties, addressed to the Administrative Agent and each Lender and L/C Issuer, in form and substance reasonably satisfactory to the Administrative Agent;</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849" w:val="left"/>
        </w:tabs>
        <w:numPr>
          <w:ilvl w:val="1"/>
          <w:numId w:val="7"/>
        </w:numPr>
        <w:rPr>
          <w:rFonts w:ascii="Arial" w:cs="Arial" w:eastAsia="Arial" w:hAnsi="Arial"/>
          <w:sz w:val="18"/>
          <w:szCs w:val="18"/>
          <w:color w:val="auto"/>
        </w:rPr>
      </w:pPr>
      <w:r>
        <w:rPr>
          <w:rFonts w:ascii="Arial" w:cs="Arial" w:eastAsia="Arial" w:hAnsi="Arial"/>
          <w:sz w:val="18"/>
          <w:szCs w:val="18"/>
          <w:color w:val="auto"/>
        </w:rPr>
        <w:t>a certificate signed by a Responsible Officer of the Borrower certifying that as of the A&amp;R Credit Agreement Eighth Amendment Effective Date, (a) there has been no event or circumstance that has had or could be reasonably expected to have, either individually or in the aggregate, a Material Adverse Effect since December 31, 2022, (b) no Default or Event of Default has occurred and is continuing and (c) the conditions specified in Section II.D are satisfied;</w:t>
      </w:r>
    </w:p>
    <w:p>
      <w:pPr>
        <w:spacing w:after="0" w:line="186" w:lineRule="exact"/>
        <w:rPr>
          <w:rFonts w:ascii="Arial" w:cs="Arial" w:eastAsia="Arial" w:hAnsi="Arial"/>
          <w:sz w:val="18"/>
          <w:szCs w:val="18"/>
          <w:color w:val="auto"/>
        </w:rPr>
      </w:pPr>
    </w:p>
    <w:p>
      <w:pPr>
        <w:ind w:left="1840" w:hanging="536"/>
        <w:spacing w:after="0"/>
        <w:tabs>
          <w:tab w:leader="none" w:pos="1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projections of Parent and its Subsidiaries for the period of fiscal year 2023 through and including fiscal year 2027;</w:t>
      </w:r>
    </w:p>
    <w:p>
      <w:pPr>
        <w:spacing w:after="0" w:line="225" w:lineRule="exact"/>
        <w:rPr>
          <w:rFonts w:ascii="Arial" w:cs="Arial" w:eastAsia="Arial" w:hAnsi="Arial"/>
          <w:sz w:val="18"/>
          <w:szCs w:val="18"/>
          <w:color w:val="auto"/>
        </w:rPr>
      </w:pPr>
    </w:p>
    <w:p>
      <w:pPr>
        <w:ind w:left="660" w:firstLine="644"/>
        <w:spacing w:after="0" w:line="277" w:lineRule="auto"/>
        <w:tabs>
          <w:tab w:leader="none" w:pos="1911" w:val="left"/>
        </w:tabs>
        <w:numPr>
          <w:ilvl w:val="1"/>
          <w:numId w:val="7"/>
        </w:numPr>
        <w:rPr>
          <w:rFonts w:ascii="Arial" w:cs="Arial" w:eastAsia="Arial" w:hAnsi="Arial"/>
          <w:sz w:val="18"/>
          <w:szCs w:val="18"/>
          <w:color w:val="auto"/>
        </w:rPr>
      </w:pPr>
      <w:r>
        <w:rPr>
          <w:rFonts w:ascii="Arial" w:cs="Arial" w:eastAsia="Arial" w:hAnsi="Arial"/>
          <w:sz w:val="18"/>
          <w:szCs w:val="18"/>
          <w:color w:val="auto"/>
        </w:rPr>
        <w:t>certificates attesting to the Solvency of the Loan Parties, taken as a whole after giving effect to this Amendment, from the chief financial officer (or other Responsible Officer with equivalent duties) of Holdings;</w:t>
      </w:r>
    </w:p>
    <w:p>
      <w:pPr>
        <w:spacing w:after="0" w:line="170" w:lineRule="exact"/>
        <w:rPr>
          <w:rFonts w:ascii="Arial" w:cs="Arial" w:eastAsia="Arial" w:hAnsi="Arial"/>
          <w:sz w:val="18"/>
          <w:szCs w:val="18"/>
          <w:color w:val="auto"/>
        </w:rPr>
      </w:pPr>
    </w:p>
    <w:p>
      <w:pPr>
        <w:ind w:left="660" w:firstLine="644"/>
        <w:spacing w:after="0" w:line="277" w:lineRule="auto"/>
        <w:tabs>
          <w:tab w:leader="none" w:pos="1944" w:val="left"/>
        </w:tabs>
        <w:numPr>
          <w:ilvl w:val="1"/>
          <w:numId w:val="7"/>
        </w:numPr>
        <w:rPr>
          <w:rFonts w:ascii="Arial" w:cs="Arial" w:eastAsia="Arial" w:hAnsi="Arial"/>
          <w:sz w:val="18"/>
          <w:szCs w:val="18"/>
          <w:color w:val="auto"/>
        </w:rPr>
      </w:pPr>
      <w:r>
        <w:rPr>
          <w:rFonts w:ascii="Arial" w:cs="Arial" w:eastAsia="Arial" w:hAnsi="Arial"/>
          <w:sz w:val="18"/>
          <w:szCs w:val="18"/>
          <w:color w:val="auto"/>
        </w:rPr>
        <w:t>a completed Collateral Questionnaire dated the A&amp;R Credit Agreement Eighth Amendment Effective Date and executed by a Responsible Officer of each Loan Party, together with all attachments contemplated thereby; and</w:t>
      </w:r>
    </w:p>
    <w:p>
      <w:pPr>
        <w:spacing w:after="0" w:line="170" w:lineRule="exact"/>
        <w:rPr>
          <w:rFonts w:ascii="Arial" w:cs="Arial" w:eastAsia="Arial" w:hAnsi="Arial"/>
          <w:sz w:val="18"/>
          <w:szCs w:val="18"/>
          <w:color w:val="auto"/>
        </w:rPr>
      </w:pPr>
    </w:p>
    <w:p>
      <w:pPr>
        <w:jc w:val="both"/>
        <w:ind w:left="660" w:firstLine="644"/>
        <w:spacing w:after="0" w:line="257" w:lineRule="auto"/>
        <w:tabs>
          <w:tab w:leader="none" w:pos="202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completed results of a search of the UCC filings made with respect to the Persons in the jurisdictions contemplated by the Collateral Questionnaire referred to in </w:t>
      </w:r>
      <w:r>
        <w:rPr>
          <w:rFonts w:ascii="Arial" w:cs="Arial" w:eastAsia="Arial" w:hAnsi="Arial"/>
          <w:sz w:val="18"/>
          <w:szCs w:val="18"/>
          <w:u w:val="single" w:color="auto"/>
          <w:color w:val="auto"/>
        </w:rPr>
        <w:t>paragraph (viii)</w:t>
      </w:r>
      <w:r>
        <w:rPr>
          <w:rFonts w:ascii="Arial" w:cs="Arial" w:eastAsia="Arial" w:hAnsi="Arial"/>
          <w:sz w:val="18"/>
          <w:szCs w:val="18"/>
          <w:color w:val="auto"/>
        </w:rPr>
        <w:t xml:space="preserve"> above, dated on or before the A&amp;R Credit Agreement Eighth Amendment Effective Date, listing all effective financing statements that name any Loan Party as debtor disclosed by such search and evidence reasonably satisfactory to the Administrative Agent that the Liens indicated by such financing statements are permitted by Section 7.01 of the Amended Credit Agreement or have been or will be contemporaneously released or terminated.</w:t>
      </w:r>
    </w:p>
    <w:p>
      <w:pPr>
        <w:spacing w:after="0" w:line="183" w:lineRule="exact"/>
        <w:rPr>
          <w:rFonts w:ascii="Arial" w:cs="Arial" w:eastAsia="Arial" w:hAnsi="Arial"/>
          <w:sz w:val="18"/>
          <w:szCs w:val="18"/>
          <w:color w:val="auto"/>
        </w:rPr>
      </w:pPr>
    </w:p>
    <w:p>
      <w:pPr>
        <w:jc w:val="both"/>
        <w:ind w:firstLine="656"/>
        <w:spacing w:after="0" w:line="292" w:lineRule="auto"/>
        <w:tabs>
          <w:tab w:leader="none" w:pos="1303"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Payment of Fees and Expenses</w:t>
      </w:r>
      <w:r>
        <w:rPr>
          <w:rFonts w:ascii="Arial" w:cs="Arial" w:eastAsia="Arial" w:hAnsi="Arial"/>
          <w:sz w:val="16"/>
          <w:szCs w:val="16"/>
          <w:color w:val="auto"/>
        </w:rPr>
        <w:t>. The Arranger shall have received all fees payable pursuant to the Fee Letter, and Administrative Agent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received all reasonable and documented out-of-pocket expenses incurred, in connection with this Amendment on or prior to the A&amp;R Credit Agreement Eighth Amendment Effective Date to the extent (in the case of expenses) invoiced at least two Business Days prior to the A&amp;R Credit Agreement Eighth Amendment Effective Date, including (in the case of expenses), to the extent invoiced at least two Business Days prior to the A&amp;R Credit Agreement Eighth Amendment Effective Date, reimbursement or other payment of all fees and out-of-pocket expenses in each case required to be reimbursed or paid by the Borrower under the Amended Credit Agreement and the engagement and fee letters entered into by the Borrower and JPM as Arranger, dated as of February 10, 2023 and that are due and payable pursuant thereto on the A&amp;R Credit Agreement Eighth Amendment Effective Date.</w:t>
      </w:r>
    </w:p>
    <w:p>
      <w:pPr>
        <w:spacing w:after="0" w:line="161" w:lineRule="exact"/>
        <w:rPr>
          <w:rFonts w:ascii="Arial" w:cs="Arial" w:eastAsia="Arial" w:hAnsi="Arial"/>
          <w:sz w:val="16"/>
          <w:szCs w:val="16"/>
          <w:color w:val="auto"/>
        </w:rPr>
      </w:pPr>
    </w:p>
    <w:p>
      <w:pPr>
        <w:jc w:val="both"/>
        <w:ind w:firstLine="656"/>
        <w:spacing w:after="0" w:line="261" w:lineRule="auto"/>
        <w:tabs>
          <w:tab w:leader="none" w:pos="1357"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 A</w:t>
      </w:r>
      <w:r>
        <w:rPr>
          <w:rFonts w:ascii="Arial" w:cs="Arial" w:eastAsia="Arial" w:hAnsi="Arial"/>
          <w:sz w:val="18"/>
          <w:szCs w:val="18"/>
          <w:b w:val="1"/>
          <w:bCs w:val="1"/>
          <w:color w:val="auto"/>
        </w:rPr>
        <w:t xml:space="preserve">s </w:t>
      </w:r>
      <w:r>
        <w:rPr>
          <w:rFonts w:ascii="Arial" w:cs="Arial" w:eastAsia="Arial" w:hAnsi="Arial"/>
          <w:sz w:val="18"/>
          <w:szCs w:val="18"/>
          <w:color w:val="auto"/>
        </w:rPr>
        <w:t>of the A&amp;R Credit Agreement Eighth Amendment Effective Date, no event, circumstance or change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occurred since December 31, 2022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jc w:val="both"/>
        <w:ind w:firstLine="656"/>
        <w:spacing w:after="0" w:line="266" w:lineRule="auto"/>
        <w:tabs>
          <w:tab w:leader="none" w:pos="1448"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Each of the representations and warranties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true and correct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on the A&amp;R Credit Agreement Eighth Amendment Effective Date (unless made solely as of a prior date, in which case such representation and warranty was true and correct in all material respects as of such date).</w:t>
      </w:r>
    </w:p>
    <w:p>
      <w:pPr>
        <w:spacing w:after="0" w:line="175" w:lineRule="exact"/>
        <w:rPr>
          <w:rFonts w:ascii="Arial" w:cs="Arial" w:eastAsia="Arial" w:hAnsi="Arial"/>
          <w:sz w:val="18"/>
          <w:szCs w:val="18"/>
          <w:color w:val="auto"/>
        </w:rPr>
      </w:pPr>
    </w:p>
    <w:p>
      <w:pPr>
        <w:jc w:val="both"/>
        <w:ind w:firstLine="656"/>
        <w:spacing w:after="0" w:line="274" w:lineRule="auto"/>
        <w:tabs>
          <w:tab w:leader="none" w:pos="1442"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Know Your Customer</w:t>
      </w:r>
      <w:r>
        <w:rPr>
          <w:rFonts w:ascii="Arial" w:cs="Arial" w:eastAsia="Arial" w:hAnsi="Arial"/>
          <w:sz w:val="17"/>
          <w:szCs w:val="17"/>
          <w:color w:val="auto"/>
        </w:rPr>
        <w:t>. (i) The Administrative Agent shall have received at least three (3) Business Days prior to the A&amp;R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Eighth Amendment Effective Date, all documentation and other information required by bank regulatory authorities under applicable “know-your-customer” and anti-money laundering rules and regulations, including the PATRIOT Act that has been reasonably requested by the Administrative Agent or a Lender and (ii) to the extent the Borrower qualifies as a “legal entity customer” under the Beneficial Ownership Regulation, at least three (3) Business Days prior to the A&amp;R Credit Agreement Eighth Amendment Effective Date, any Lender that has requested, in a written notice to the Borrower, a Beneficial Ownership Certification in relation to the Borrower shall have received such Beneficial Ownership Certification.</w:t>
      </w:r>
    </w:p>
    <w:p>
      <w:pPr>
        <w:spacing w:after="0" w:line="17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Loan Party which is a party hereto represents and warrants to each Lender that the following statements are true and correct in all material respects (except to the extent any such representation and warranty itself is qualified by “materiality”, “Material Adverse Effect” or any similar qualifier, in which case, it shall be true and correct in all respects) as of the A&amp;R Credit Agreement Eighth Amendment Effective Date:</w:t>
      </w:r>
    </w:p>
    <w:p>
      <w:pPr>
        <w:spacing w:after="0" w:line="161" w:lineRule="exact"/>
        <w:rPr>
          <w:sz w:val="20"/>
          <w:szCs w:val="20"/>
          <w:color w:val="auto"/>
        </w:rPr>
      </w:pPr>
    </w:p>
    <w:p>
      <w:pPr>
        <w:jc w:val="both"/>
        <w:ind w:firstLine="656"/>
        <w:spacing w:after="0" w:line="289" w:lineRule="auto"/>
        <w:tabs>
          <w:tab w:leader="none" w:pos="1502"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Corporate Power and Authority. </w:t>
      </w:r>
      <w:r>
        <w:rPr>
          <w:rFonts w:ascii="Arial" w:cs="Arial" w:eastAsia="Arial" w:hAnsi="Arial"/>
          <w:sz w:val="17"/>
          <w:szCs w:val="17"/>
          <w:color w:val="auto"/>
        </w:rPr>
        <w:t>Each Loan Party has all requisite power and authority and all requisite governmental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57" w:lineRule="exact"/>
        <w:rPr>
          <w:rFonts w:ascii="Arial" w:cs="Arial" w:eastAsia="Arial" w:hAnsi="Arial"/>
          <w:sz w:val="17"/>
          <w:szCs w:val="17"/>
          <w:color w:val="auto"/>
        </w:rPr>
      </w:pPr>
    </w:p>
    <w:p>
      <w:pPr>
        <w:ind w:firstLine="656"/>
        <w:spacing w:after="0" w:line="282" w:lineRule="auto"/>
        <w:tabs>
          <w:tab w:leader="none" w:pos="1492"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Authorization of Amendment. </w:t>
      </w:r>
      <w:r>
        <w:rPr>
          <w:rFonts w:ascii="Arial" w:cs="Arial" w:eastAsia="Arial" w:hAnsi="Arial"/>
          <w:sz w:val="18"/>
          <w:szCs w:val="18"/>
          <w:color w:val="auto"/>
        </w:rPr>
        <w:t>The execution, delivery and performance by each Loan Party of this Amendment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all necessary corporate or other organizational action.</w:t>
      </w:r>
    </w:p>
    <w:p>
      <w:pPr>
        <w:spacing w:after="0" w:line="161" w:lineRule="exact"/>
        <w:rPr>
          <w:rFonts w:ascii="Arial" w:cs="Arial" w:eastAsia="Arial" w:hAnsi="Arial"/>
          <w:sz w:val="18"/>
          <w:szCs w:val="18"/>
          <w:color w:val="auto"/>
        </w:rPr>
      </w:pPr>
    </w:p>
    <w:p>
      <w:pPr>
        <w:jc w:val="both"/>
        <w:ind w:firstLine="656"/>
        <w:spacing w:after="0" w:line="274" w:lineRule="auto"/>
        <w:tabs>
          <w:tab w:leader="none" w:pos="1398"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No Conflict. </w:t>
      </w:r>
      <w:r>
        <w:rPr>
          <w:rFonts w:ascii="Arial" w:cs="Arial" w:eastAsia="Arial" w:hAnsi="Arial"/>
          <w:sz w:val="17"/>
          <w:szCs w:val="17"/>
          <w:color w:val="auto"/>
        </w:rPr>
        <w:t>The execution, delivery and performance by each Loan Party of this Amendment do not and will not (i) contravene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656"/>
        <w:spacing w:after="0" w:line="256" w:lineRule="auto"/>
        <w:tabs>
          <w:tab w:leader="none" w:pos="1286"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Amendment has been duly executed and delivered by each Loan Party that is party hereto. Each of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Amended Credit Agreement constitutes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87" w:lineRule="exact"/>
        <w:rPr>
          <w:rFonts w:ascii="Arial" w:cs="Arial" w:eastAsia="Arial" w:hAnsi="Arial"/>
          <w:sz w:val="18"/>
          <w:szCs w:val="18"/>
          <w:color w:val="auto"/>
        </w:rPr>
      </w:pPr>
    </w:p>
    <w:p>
      <w:pPr>
        <w:jc w:val="both"/>
        <w:ind w:firstLine="656"/>
        <w:spacing w:after="0" w:line="254" w:lineRule="auto"/>
        <w:tabs>
          <w:tab w:leader="none" w:pos="1293"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Etc</w:t>
      </w:r>
      <w:r>
        <w:rPr>
          <w:rFonts w:ascii="Arial" w:cs="Arial" w:eastAsia="Arial" w:hAnsi="Arial"/>
          <w:sz w:val="18"/>
          <w:szCs w:val="18"/>
          <w:color w:val="auto"/>
        </w:rPr>
        <w:t>. (x) All representations and warranties contained in Article V of the Amended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other Loan Documents are true and 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except that the representations and warranties contained in Sections 5.05(a) and (b) of the Amended Credit Agreement shall be deemed to refer to the most recent statements furnished pursuant to Sections 6.01(a) and (b) of the Amended Credit Agreement, respectively, and the representations and warranties contained in Section 5.05(c) of the Amended Credit Agreement shall be deemed to refer to the statements furnished pursuant to Section 6.01(a) of the Amended Credit Agreement with respect to the fiscal year ended December 31, 2022, and (y) no Default has occurred and is continuing.</w:t>
      </w:r>
    </w:p>
    <w:p>
      <w:pPr>
        <w:spacing w:after="0" w:line="188" w:lineRule="exact"/>
        <w:rPr>
          <w:rFonts w:ascii="Arial" w:cs="Arial" w:eastAsia="Arial" w:hAnsi="Arial"/>
          <w:sz w:val="18"/>
          <w:szCs w:val="18"/>
          <w:color w:val="auto"/>
        </w:rPr>
      </w:pPr>
    </w:p>
    <w:p>
      <w:pPr>
        <w:ind w:left="1240" w:hanging="584"/>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Each Loan Party, and the Loan Parties and their Subsidiaries taken as a whole, is and are Solvent.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IV.</w:t>
        <w:tab/>
        <w:t>ACKNOWLEDGMENT AND CONSENT OF LOAN PARTIES; REAFFIRMATION OF GUARANTIES AND LIENS</w:t>
      </w:r>
    </w:p>
    <w:p>
      <w:pPr>
        <w:spacing w:after="0" w:line="225" w:lineRule="exact"/>
        <w:rPr>
          <w:sz w:val="20"/>
          <w:szCs w:val="20"/>
          <w:color w:val="auto"/>
        </w:rPr>
      </w:pPr>
    </w:p>
    <w:p>
      <w:pPr>
        <w:ind w:right="20" w:firstLine="656"/>
        <w:spacing w:after="0" w:line="282" w:lineRule="auto"/>
        <w:tabs>
          <w:tab w:leader="none" w:pos="1448"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Acknowledgment and Consent</w:t>
      </w:r>
      <w:r>
        <w:rPr>
          <w:rFonts w:ascii="Arial" w:cs="Arial" w:eastAsia="Arial" w:hAnsi="Arial"/>
          <w:sz w:val="18"/>
          <w:szCs w:val="18"/>
          <w:color w:val="auto"/>
        </w:rPr>
        <w:t>. Each Loan Party hereby acknowledges that it has reviewed the terms and provisions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this Amendment and consents to the amendments of the Credit Agreement effected pursuant to this Amendment.</w:t>
      </w:r>
    </w:p>
    <w:p>
      <w:pPr>
        <w:spacing w:after="0" w:line="161" w:lineRule="exact"/>
        <w:rPr>
          <w:rFonts w:ascii="Arial" w:cs="Arial" w:eastAsia="Arial" w:hAnsi="Arial"/>
          <w:sz w:val="18"/>
          <w:szCs w:val="18"/>
          <w:color w:val="auto"/>
        </w:rPr>
      </w:pPr>
    </w:p>
    <w:p>
      <w:pPr>
        <w:jc w:val="both"/>
        <w:ind w:firstLine="656"/>
        <w:spacing w:after="0" w:line="258" w:lineRule="auto"/>
        <w:tabs>
          <w:tab w:leader="none" w:pos="1438"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Guaranty and Lien Reaffirmation. </w:t>
      </w:r>
      <w:r>
        <w:rPr>
          <w:rFonts w:ascii="Arial" w:cs="Arial" w:eastAsia="Arial" w:hAnsi="Arial"/>
          <w:sz w:val="18"/>
          <w:szCs w:val="18"/>
          <w:color w:val="auto"/>
        </w:rPr>
        <w:t>Each Loan Party hereby (i) confirms that each Loan Document (including the Guaranty), both</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before 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183" w:lineRule="exact"/>
        <w:rPr>
          <w:rFonts w:ascii="Arial" w:cs="Arial" w:eastAsia="Arial" w:hAnsi="Arial"/>
          <w:sz w:val="18"/>
          <w:szCs w:val="18"/>
          <w:color w:val="auto"/>
        </w:rPr>
      </w:pPr>
    </w:p>
    <w:p>
      <w:pPr>
        <w:jc w:val="both"/>
        <w:ind w:firstLine="656"/>
        <w:spacing w:after="0" w:line="274" w:lineRule="auto"/>
        <w:tabs>
          <w:tab w:leader="none" w:pos="1492"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Continuing Effect</w:t>
      </w:r>
      <w:r>
        <w:rPr>
          <w:rFonts w:ascii="Arial" w:cs="Arial" w:eastAsia="Arial" w:hAnsi="Arial"/>
          <w:sz w:val="17"/>
          <w:szCs w:val="17"/>
          <w:color w:val="auto"/>
        </w:rPr>
        <w:t>. Each Loan Party hereby acknowledges and agrees that (i) each Loan Document, both immediately before and</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after giving effect to and, if applicable, as amended by this Amendment, to which it is a party or otherwise bound shall continue in full force and effect and (ii) all of its obligations thereunder shall be valid and enforceable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 and shall not be impaired or limited by the execution or effectiveness of this Amendment.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firstLine="656"/>
        <w:spacing w:after="0" w:line="266" w:lineRule="auto"/>
        <w:tabs>
          <w:tab w:leader="none" w:pos="127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No Filings Necessary</w:t>
      </w:r>
      <w:r>
        <w:rPr>
          <w:rFonts w:ascii="Arial" w:cs="Arial" w:eastAsia="Arial" w:hAnsi="Arial"/>
          <w:sz w:val="18"/>
          <w:szCs w:val="18"/>
          <w:color w:val="auto"/>
        </w:rPr>
        <w:t>. Except as otherwise required herein, each Loan Party hereby confirms that no additional filings or recordings need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made, and no other actions need to be taken, by such Loan Party in order to maintain the perfection, enforceability or validity of the security interests created pursuant to the Collateral Documents.</w:t>
      </w:r>
    </w:p>
    <w:p>
      <w:pPr>
        <w:spacing w:after="0" w:line="17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V.</w:t>
      </w:r>
      <w:r>
        <w:rPr>
          <w:sz w:val="20"/>
          <w:szCs w:val="20"/>
          <w:color w:val="auto"/>
        </w:rPr>
        <w:tab/>
      </w:r>
      <w:r>
        <w:rPr>
          <w:rFonts w:ascii="Arial" w:cs="Arial" w:eastAsia="Arial" w:hAnsi="Arial"/>
          <w:sz w:val="17"/>
          <w:szCs w:val="17"/>
          <w:b w:val="1"/>
          <w:bCs w:val="1"/>
          <w:color w:val="auto"/>
        </w:rPr>
        <w:t>POST-CLOSING CONDITIONS</w:t>
      </w:r>
    </w:p>
    <w:p>
      <w:pPr>
        <w:spacing w:after="0" w:line="229" w:lineRule="exact"/>
        <w:rPr>
          <w:sz w:val="20"/>
          <w:szCs w:val="20"/>
          <w:color w:val="auto"/>
        </w:rPr>
      </w:pPr>
    </w:p>
    <w:p>
      <w:pPr>
        <w:jc w:val="both"/>
        <w:ind w:firstLine="656"/>
        <w:spacing w:after="0" w:line="311" w:lineRule="auto"/>
        <w:tabs>
          <w:tab w:leader="none" w:pos="13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Within fifteen (15) days of the A&amp;R Credit Agreement Eighth Amendment Effective Date (or such longer period as the Administrative Agent may agree in its reasonable discretion), the Borrower shall cause to be delivered ACORD certificates of insurance policies maintained by the Loan Parties pursuant to Section 5.10 of the Amended Credit Agreement, each in form and substance reasonably satisfactory to the Administrative Agent.</w:t>
      </w:r>
    </w:p>
    <w:p>
      <w:pPr>
        <w:spacing w:after="0" w:line="148" w:lineRule="exact"/>
        <w:rPr>
          <w:rFonts w:ascii="Arial" w:cs="Arial" w:eastAsia="Arial" w:hAnsi="Arial"/>
          <w:sz w:val="16"/>
          <w:szCs w:val="16"/>
          <w:b w:val="1"/>
          <w:bCs w:val="1"/>
          <w:color w:val="auto"/>
        </w:rPr>
      </w:pPr>
    </w:p>
    <w:p>
      <w:pPr>
        <w:jc w:val="both"/>
        <w:ind w:firstLine="656"/>
        <w:spacing w:after="0" w:line="286" w:lineRule="auto"/>
        <w:tabs>
          <w:tab w:leader="none" w:pos="1384"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To the extent not already delivered, within sixty (60) days of the A&amp;R Credit Agreement Eighth Amendment Effective Date (or such longer period as the Administrative Agent may agree in its reasonable discretion), the Borrower shall cause to be delivered duly executed Account Control Agreements for the accounts listed on Schedule II(A)(3) of the Collateral Questionnaire, to the extent required under the Security Agreement.</w:t>
      </w:r>
    </w:p>
    <w:p>
      <w:pPr>
        <w:spacing w:after="0" w:line="16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VI.</w:t>
        <w:tab/>
        <w:t>MISCELLANEOUS</w:t>
      </w:r>
    </w:p>
    <w:p>
      <w:pPr>
        <w:spacing w:after="0" w:line="225" w:lineRule="exact"/>
        <w:rPr>
          <w:sz w:val="20"/>
          <w:szCs w:val="20"/>
          <w:color w:val="auto"/>
        </w:rPr>
      </w:pPr>
    </w:p>
    <w:p>
      <w:pPr>
        <w:ind w:left="1280" w:hanging="624"/>
        <w:spacing w:after="0"/>
        <w:tabs>
          <w:tab w:leader="none" w:pos="1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Credit Agreement and Other Loan Documents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and after the A&amp;R Credit Agreement Eighth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Amended Credit Agreement.</w:t>
      </w:r>
    </w:p>
    <w:p>
      <w:pPr>
        <w:spacing w:after="0" w:line="186" w:lineRule="exact"/>
        <w:rPr>
          <w:rFonts w:ascii="Arial" w:cs="Arial" w:eastAsia="Arial" w:hAnsi="Arial"/>
          <w:sz w:val="18"/>
          <w:szCs w:val="18"/>
          <w:color w:val="auto"/>
        </w:rPr>
      </w:pPr>
    </w:p>
    <w:p>
      <w:pPr>
        <w:ind w:right="20" w:firstLine="656"/>
        <w:spacing w:after="0" w:line="277" w:lineRule="auto"/>
        <w:tabs>
          <w:tab w:leader="none" w:pos="13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 other Loan Documents shall remain in full force and effect and are hereby ratified and confirmed.</w:t>
      </w:r>
    </w:p>
    <w:p>
      <w:pPr>
        <w:spacing w:after="0" w:line="170" w:lineRule="exact"/>
        <w:rPr>
          <w:rFonts w:ascii="Arial" w:cs="Arial" w:eastAsia="Arial" w:hAnsi="Arial"/>
          <w:sz w:val="18"/>
          <w:szCs w:val="18"/>
          <w:color w:val="auto"/>
        </w:rPr>
      </w:pPr>
    </w:p>
    <w:p>
      <w:pPr>
        <w:jc w:val="both"/>
        <w:ind w:firstLine="656"/>
        <w:spacing w:after="0" w:line="275" w:lineRule="auto"/>
        <w:tabs>
          <w:tab w:leader="none" w:pos="13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left="1280" w:hanging="624"/>
        <w:spacing w:after="0"/>
        <w:tabs>
          <w:tab w:leader="none" w:pos="128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this Amendment constitutes a Loan Document.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448"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of this Amendment for any other purpose or be given any substantive effect.</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435"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AMENDMENT SHALL BE GOVERNED BY, AND CONSTRUED IN ACCORDANCE WITH, THE LAW OF THE STATE OF NEW YORK.</w:t>
      </w:r>
    </w:p>
    <w:p>
      <w:pPr>
        <w:spacing w:after="0" w:line="161"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Submission to Jurisdiction; Waiver of Venue; Service of Process; Waiver of Jury Trial</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Sections 11.14(b), (c) and</w:t>
      </w:r>
    </w:p>
    <w:p>
      <w:pPr>
        <w:spacing w:after="0" w:line="50" w:lineRule="exact"/>
        <w:rPr>
          <w:rFonts w:ascii="Arial" w:cs="Arial" w:eastAsia="Arial" w:hAnsi="Arial"/>
          <w:sz w:val="16"/>
          <w:szCs w:val="16"/>
          <w:b w:val="1"/>
          <w:bCs w:val="1"/>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and Section 11.15 of the Amended Credit Agreement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forth in full herein.</w:t>
      </w:r>
    </w:p>
    <w:p>
      <w:pPr>
        <w:spacing w:after="0" w:line="206" w:lineRule="exact"/>
        <w:rPr>
          <w:rFonts w:ascii="Arial" w:cs="Arial" w:eastAsia="Arial" w:hAnsi="Arial"/>
          <w:sz w:val="18"/>
          <w:szCs w:val="18"/>
          <w:color w:val="auto"/>
        </w:rPr>
      </w:pPr>
    </w:p>
    <w:p>
      <w:pPr>
        <w:jc w:val="both"/>
        <w:ind w:firstLine="656"/>
        <w:spacing w:after="0" w:line="253" w:lineRule="auto"/>
        <w:tabs>
          <w:tab w:leader="none" w:pos="1385"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counterparts (and by different parties hereto in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Amendment to be duly executed and delivered by their respective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thereunto duly authorized as of the date first written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960" w:type="dxa"/>
            <w:vAlign w:val="bottom"/>
            <w:gridSpan w:val="2"/>
          </w:tcPr>
          <w:p>
            <w:pPr>
              <w:ind w:left="3360"/>
              <w:spacing w:after="0"/>
              <w:rPr>
                <w:sz w:val="20"/>
                <w:szCs w:val="20"/>
                <w:color w:val="auto"/>
              </w:rPr>
            </w:pPr>
            <w:r>
              <w:rPr>
                <w:rFonts w:ascii="Arial" w:cs="Arial" w:eastAsia="Arial" w:hAnsi="Arial"/>
                <w:sz w:val="18"/>
                <w:szCs w:val="18"/>
                <w:b w:val="1"/>
                <w:bCs w:val="1"/>
                <w:color w:val="auto"/>
              </w:rPr>
              <w:t>CLEARWAY ENERGY OPERATING LLC</w:t>
            </w:r>
          </w:p>
        </w:tc>
      </w:tr>
      <w:tr>
        <w:trPr>
          <w:trHeight w:val="432"/>
        </w:trPr>
        <w:tc>
          <w:tcPr>
            <w:tcW w:w="2280" w:type="dxa"/>
            <w:vAlign w:val="bottom"/>
          </w:tcPr>
          <w:p>
            <w:pPr>
              <w:spacing w:after="0"/>
              <w:rPr>
                <w:sz w:val="24"/>
                <w:szCs w:val="24"/>
                <w:color w:val="auto"/>
              </w:rPr>
            </w:pPr>
          </w:p>
        </w:tc>
        <w:tc>
          <w:tcPr>
            <w:tcW w:w="8960" w:type="dxa"/>
            <w:vAlign w:val="bottom"/>
            <w:gridSpan w:val="2"/>
          </w:tcPr>
          <w:p>
            <w:pPr>
              <w:ind w:left="3360"/>
              <w:spacing w:after="0"/>
              <w:rPr>
                <w:sz w:val="20"/>
                <w:szCs w:val="20"/>
                <w:color w:val="auto"/>
              </w:rPr>
            </w:pPr>
            <w:r>
              <w:rPr>
                <w:rFonts w:ascii="Arial" w:cs="Arial" w:eastAsia="Arial" w:hAnsi="Arial"/>
                <w:sz w:val="18"/>
                <w:szCs w:val="18"/>
                <w:color w:val="auto"/>
              </w:rPr>
              <w:t>By: /s/ Christopher S. Sotos</w:t>
            </w:r>
          </w:p>
        </w:tc>
      </w:tr>
      <w:tr>
        <w:trPr>
          <w:trHeight w:val="195"/>
        </w:trPr>
        <w:tc>
          <w:tcPr>
            <w:tcW w:w="2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Christopher S. Sotos</w:t>
            </w:r>
          </w:p>
        </w:tc>
      </w:tr>
      <w:tr>
        <w:trPr>
          <w:trHeight w:val="230"/>
        </w:trPr>
        <w:tc>
          <w:tcPr>
            <w:tcW w:w="2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414"/>
        </w:trPr>
        <w:tc>
          <w:tcPr>
            <w:tcW w:w="228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960" w:type="dxa"/>
            <w:vAlign w:val="bottom"/>
            <w:gridSpan w:val="2"/>
          </w:tcPr>
          <w:p>
            <w:pPr>
              <w:ind w:left="3360"/>
              <w:spacing w:after="0"/>
              <w:rPr>
                <w:sz w:val="20"/>
                <w:szCs w:val="20"/>
                <w:color w:val="auto"/>
              </w:rPr>
            </w:pPr>
            <w:r>
              <w:rPr>
                <w:rFonts w:ascii="Arial" w:cs="Arial" w:eastAsia="Arial" w:hAnsi="Arial"/>
                <w:sz w:val="18"/>
                <w:szCs w:val="18"/>
                <w:b w:val="1"/>
                <w:bCs w:val="1"/>
                <w:color w:val="auto"/>
              </w:rPr>
              <w:t>CLEARWAY ENERGY LLC</w:t>
            </w:r>
          </w:p>
        </w:tc>
      </w:tr>
      <w:tr>
        <w:trPr>
          <w:trHeight w:val="234"/>
        </w:trPr>
        <w:tc>
          <w:tcPr>
            <w:tcW w:w="2280" w:type="dxa"/>
            <w:vAlign w:val="bottom"/>
          </w:tcPr>
          <w:p>
            <w:pPr>
              <w:spacing w:after="0"/>
              <w:rPr>
                <w:sz w:val="20"/>
                <w:szCs w:val="20"/>
                <w:color w:val="auto"/>
              </w:rPr>
            </w:pPr>
          </w:p>
        </w:tc>
        <w:tc>
          <w:tcPr>
            <w:tcW w:w="8960" w:type="dxa"/>
            <w:vAlign w:val="bottom"/>
            <w:gridSpan w:val="2"/>
          </w:tcPr>
          <w:p>
            <w:pPr>
              <w:ind w:left="3360"/>
              <w:spacing w:after="0"/>
              <w:rPr>
                <w:sz w:val="20"/>
                <w:szCs w:val="20"/>
                <w:color w:val="auto"/>
              </w:rPr>
            </w:pPr>
            <w:r>
              <w:rPr>
                <w:rFonts w:ascii="Arial" w:cs="Arial" w:eastAsia="Arial" w:hAnsi="Arial"/>
                <w:sz w:val="18"/>
                <w:szCs w:val="18"/>
                <w:b w:val="1"/>
                <w:bCs w:val="1"/>
                <w:color w:val="auto"/>
              </w:rPr>
              <w:t>DGPV HOLDING LLC</w:t>
            </w:r>
          </w:p>
        </w:tc>
      </w:tr>
      <w:tr>
        <w:trPr>
          <w:trHeight w:val="432"/>
        </w:trPr>
        <w:tc>
          <w:tcPr>
            <w:tcW w:w="2280" w:type="dxa"/>
            <w:vAlign w:val="bottom"/>
          </w:tcPr>
          <w:p>
            <w:pPr>
              <w:spacing w:after="0"/>
              <w:rPr>
                <w:sz w:val="24"/>
                <w:szCs w:val="24"/>
                <w:color w:val="auto"/>
              </w:rPr>
            </w:pPr>
          </w:p>
        </w:tc>
        <w:tc>
          <w:tcPr>
            <w:tcW w:w="8960" w:type="dxa"/>
            <w:vAlign w:val="bottom"/>
            <w:gridSpan w:val="2"/>
          </w:tcPr>
          <w:p>
            <w:pPr>
              <w:ind w:left="3360"/>
              <w:spacing w:after="0"/>
              <w:rPr>
                <w:sz w:val="20"/>
                <w:szCs w:val="20"/>
                <w:color w:val="auto"/>
              </w:rPr>
            </w:pPr>
            <w:r>
              <w:rPr>
                <w:rFonts w:ascii="Arial" w:cs="Arial" w:eastAsia="Arial" w:hAnsi="Arial"/>
                <w:sz w:val="18"/>
                <w:szCs w:val="18"/>
                <w:color w:val="auto"/>
              </w:rPr>
              <w:t>By: /s/ Christopher S. Sotos</w:t>
            </w:r>
          </w:p>
        </w:tc>
      </w:tr>
      <w:tr>
        <w:trPr>
          <w:trHeight w:val="195"/>
        </w:trPr>
        <w:tc>
          <w:tcPr>
            <w:tcW w:w="22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Christopher S. Sotos</w:t>
            </w:r>
          </w:p>
        </w:tc>
      </w:tr>
      <w:tr>
        <w:trPr>
          <w:trHeight w:val="230"/>
        </w:trPr>
        <w:tc>
          <w:tcPr>
            <w:tcW w:w="2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432"/>
        </w:trPr>
        <w:tc>
          <w:tcPr>
            <w:tcW w:w="2280" w:type="dxa"/>
            <w:vAlign w:val="bottom"/>
          </w:tcPr>
          <w:p>
            <w:pPr>
              <w:spacing w:after="0"/>
              <w:rPr>
                <w:sz w:val="24"/>
                <w:szCs w:val="24"/>
                <w:color w:val="auto"/>
              </w:rPr>
            </w:pPr>
          </w:p>
        </w:tc>
        <w:tc>
          <w:tcPr>
            <w:tcW w:w="8960" w:type="dxa"/>
            <w:vAlign w:val="bottom"/>
            <w:gridSpan w:val="2"/>
          </w:tcPr>
          <w:p>
            <w:pPr>
              <w:ind w:left="940"/>
              <w:spacing w:after="0"/>
              <w:rPr>
                <w:sz w:val="20"/>
                <w:szCs w:val="20"/>
                <w:color w:val="auto"/>
              </w:rPr>
            </w:pPr>
            <w:r>
              <w:rPr>
                <w:rFonts w:ascii="Arial" w:cs="Arial" w:eastAsia="Arial" w:hAnsi="Arial"/>
                <w:sz w:val="18"/>
                <w:szCs w:val="18"/>
                <w:color w:val="auto"/>
              </w:rPr>
              <w:t>[Signature Page to Eighth Amendment to A&amp;R Credit Agreement]</w:t>
            </w:r>
          </w:p>
        </w:tc>
      </w:tr>
      <w:tr>
        <w:trPr>
          <w:trHeight w:val="324"/>
        </w:trPr>
        <w:tc>
          <w:tcPr>
            <w:tcW w:w="2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ind w:left="4520"/>
        <w:spacing w:after="0"/>
        <w:rPr>
          <w:sz w:val="20"/>
          <w:szCs w:val="20"/>
          <w:color w:val="auto"/>
        </w:rPr>
      </w:pPr>
      <w:r>
        <w:rPr>
          <w:rFonts w:ascii="Arial" w:cs="Arial" w:eastAsia="Arial" w:hAnsi="Arial"/>
          <w:sz w:val="18"/>
          <w:szCs w:val="18"/>
          <w:b w:val="1"/>
          <w:bCs w:val="1"/>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CAPISTRANO PORTFOLIO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CWSP RATTLESNAKE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DAGGETT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LANGFORD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LIGHTHOUSE RENEWABLE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MARSH LANDING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NATURAL GAS CA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PAWVA WIND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ROSAMOND SOLAR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UTAH SOLAR MASTER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WV WIND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VP-ARICA PARENT HOLDINGS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Christopher S. Sotos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3" w:name="page14"/>
    <w:bookmarkEnd w:id="13"/>
    <w:p>
      <w:pPr>
        <w:ind w:left="4520"/>
        <w:spacing w:after="0"/>
        <w:rPr>
          <w:sz w:val="20"/>
          <w:szCs w:val="20"/>
          <w:color w:val="auto"/>
        </w:rPr>
      </w:pPr>
      <w:r>
        <w:rPr>
          <w:rFonts w:ascii="Arial" w:cs="Arial" w:eastAsia="Arial" w:hAnsi="Arial"/>
          <w:sz w:val="17"/>
          <w:szCs w:val="17"/>
          <w:b w:val="1"/>
          <w:bCs w:val="1"/>
          <w:color w:val="auto"/>
        </w:rPr>
        <w:t>JPMORGAN CHASE BANK, N.A.,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Santiago Gascon</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Santiago Gascon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4" w:name="page15"/>
    <w:bookmarkEnd w:id="14"/>
    <w:p>
      <w:pPr>
        <w:ind w:left="4520"/>
        <w:spacing w:after="0"/>
        <w:rPr>
          <w:sz w:val="20"/>
          <w:szCs w:val="20"/>
          <w:color w:val="auto"/>
        </w:rPr>
      </w:pPr>
      <w:r>
        <w:rPr>
          <w:rFonts w:ascii="Arial" w:cs="Arial" w:eastAsia="Arial" w:hAnsi="Arial"/>
          <w:sz w:val="17"/>
          <w:szCs w:val="17"/>
          <w:b w:val="1"/>
          <w:bCs w:val="1"/>
          <w:color w:val="auto"/>
        </w:rPr>
        <w:t>JPMORGAN CHASE BANK, N.A.,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Santiago Gascon</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Santiago Gascon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5" w:name="page16"/>
    <w:bookmarkEnd w:id="15"/>
    <w:p>
      <w:pPr>
        <w:ind w:left="4520"/>
        <w:spacing w:after="0"/>
        <w:rPr>
          <w:sz w:val="20"/>
          <w:szCs w:val="20"/>
          <w:color w:val="auto"/>
        </w:rPr>
      </w:pPr>
      <w:r>
        <w:rPr>
          <w:rFonts w:ascii="Arial" w:cs="Arial" w:eastAsia="Arial" w:hAnsi="Arial"/>
          <w:sz w:val="18"/>
          <w:szCs w:val="18"/>
          <w:b w:val="1"/>
          <w:bCs w:val="1"/>
          <w:color w:val="auto"/>
        </w:rPr>
        <w:t>MUFG BANK, LTD.,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Hazuki Watanabe</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Hazuki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J. Heitker</w:t>
      </w:r>
    </w:p>
    <w:p>
      <w:pPr>
        <w:spacing w:after="0" w:line="36"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Name: Christopher J. Heitker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Ashwani Khubani</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8" w:name="page19"/>
    <w:bookmarkEnd w:id="18"/>
    <w:p>
      <w:pPr>
        <w:ind w:left="4520"/>
        <w:spacing w:after="0"/>
        <w:rPr>
          <w:sz w:val="20"/>
          <w:szCs w:val="20"/>
          <w:color w:val="auto"/>
        </w:rPr>
      </w:pPr>
      <w:r>
        <w:rPr>
          <w:rFonts w:ascii="Arial" w:cs="Arial" w:eastAsia="Arial" w:hAnsi="Arial"/>
          <w:sz w:val="17"/>
          <w:szCs w:val="17"/>
          <w:b w:val="1"/>
          <w:bCs w:val="1"/>
          <w:color w:val="auto"/>
        </w:rPr>
        <w:t>ROYAL BANK OF CANADA,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Meg Donnelly</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Meg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Title: Authorized Signatory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9" w:name="page20"/>
    <w:bookmarkEnd w:id="19"/>
    <w:p>
      <w:pPr>
        <w:ind w:left="4520"/>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Renee M. Bonnell</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0" w:name="page21"/>
    <w:bookmarkEnd w:id="20"/>
    <w:p>
      <w:pPr>
        <w:ind w:left="4520"/>
        <w:spacing w:after="0"/>
        <w:rPr>
          <w:sz w:val="20"/>
          <w:szCs w:val="20"/>
          <w:color w:val="auto"/>
        </w:rPr>
      </w:pPr>
      <w:r>
        <w:rPr>
          <w:rFonts w:ascii="Arial" w:cs="Arial" w:eastAsia="Arial" w:hAnsi="Arial"/>
          <w:sz w:val="17"/>
          <w:szCs w:val="17"/>
          <w:b w:val="1"/>
          <w:bCs w:val="1"/>
          <w:color w:val="auto"/>
        </w:rPr>
        <w:t>MORGAN STANLEY BANK, N.A.,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King</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1" w:name="page22"/>
    <w:bookmarkEnd w:id="21"/>
    <w:p>
      <w:pPr>
        <w:ind w:left="4520"/>
        <w:spacing w:after="0"/>
        <w:rPr>
          <w:sz w:val="20"/>
          <w:szCs w:val="20"/>
          <w:color w:val="auto"/>
        </w:rPr>
      </w:pPr>
      <w:r>
        <w:rPr>
          <w:rFonts w:ascii="Arial" w:cs="Arial" w:eastAsia="Arial" w:hAnsi="Arial"/>
          <w:sz w:val="18"/>
          <w:szCs w:val="18"/>
          <w:b w:val="1"/>
          <w:bCs w:val="1"/>
          <w:color w:val="auto"/>
        </w:rPr>
        <w:t>BNP Paribas,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Ravina Advani</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Ravina Advani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Yogesh Chandani</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Yogesh 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b w:val="1"/>
          <w:bCs w:val="1"/>
          <w:color w:val="auto"/>
        </w:rPr>
        <w:t>Wells Fargo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Yann Blindert</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Yann Blindert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3" w:name="page24"/>
    <w:bookmarkEnd w:id="23"/>
    <w:p>
      <w:pPr>
        <w:ind w:left="4520"/>
        <w:spacing w:after="0" w:line="282" w:lineRule="auto"/>
        <w:rPr>
          <w:sz w:val="20"/>
          <w:szCs w:val="20"/>
          <w:color w:val="auto"/>
        </w:rPr>
      </w:pPr>
      <w:r>
        <w:rPr>
          <w:rFonts w:ascii="Arial" w:cs="Arial" w:eastAsia="Arial" w:hAnsi="Arial"/>
          <w:sz w:val="18"/>
          <w:szCs w:val="18"/>
          <w:b w:val="1"/>
          <w:bCs w:val="1"/>
          <w:color w:val="auto"/>
        </w:rPr>
        <w:t xml:space="preserve">THE TORONTO-DOMINION BANK, NEW YORK BRANCH, </w:t>
      </w:r>
      <w:r>
        <w:rPr>
          <w:rFonts w:ascii="Arial" w:cs="Arial" w:eastAsia="Arial" w:hAnsi="Arial"/>
          <w:sz w:val="18"/>
          <w:szCs w:val="18"/>
          <w:color w:val="auto"/>
        </w:rPr>
        <w:t>as a Lender</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Betty Chang</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Betty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220345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440" w:top="580" w:right="1019"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b w:val="1"/>
          <w:bCs w:val="1"/>
          <w:color w:val="auto"/>
        </w:rPr>
        <w:t>TRUIST BANK,</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Catherine Strickland</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Name: Catherine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-115570</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5" w:name="page26"/>
    <w:bookmarkEnd w:id="25"/>
    <w:p>
      <w:pPr>
        <w:ind w:left="4520"/>
        <w:spacing w:after="0"/>
        <w:rPr>
          <w:sz w:val="20"/>
          <w:szCs w:val="20"/>
          <w:color w:val="auto"/>
        </w:rPr>
      </w:pPr>
      <w:r>
        <w:rPr>
          <w:rFonts w:ascii="Arial" w:cs="Arial" w:eastAsia="Arial" w:hAnsi="Arial"/>
          <w:sz w:val="18"/>
          <w:szCs w:val="18"/>
          <w:b w:val="1"/>
          <w:bCs w:val="1"/>
          <w:color w:val="auto"/>
        </w:rPr>
        <w:t>Société Générale,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Richard Bernal</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6" w:name="page27"/>
    <w:bookmarkEnd w:id="26"/>
    <w:p>
      <w:pPr>
        <w:ind w:left="4520"/>
        <w:spacing w:after="0"/>
        <w:rPr>
          <w:sz w:val="20"/>
          <w:szCs w:val="20"/>
          <w:color w:val="auto"/>
        </w:rPr>
      </w:pPr>
      <w:r>
        <w:rPr>
          <w:rFonts w:ascii="Arial" w:cs="Arial" w:eastAsia="Arial" w:hAnsi="Arial"/>
          <w:sz w:val="18"/>
          <w:szCs w:val="18"/>
          <w:b w:val="1"/>
          <w:bCs w:val="1"/>
          <w:color w:val="auto"/>
        </w:rPr>
        <w:t>NATIONAL AUSTRALIA BANK LIMITED,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Eli Davis</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Eli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-130175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Eighth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220345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0000FF"/>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April 25, 2014</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CLEARWAY ENERGY OPERATING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the Borrower,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CLEARWAY ENERGY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Holdings,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as Administrative Agent,</w:t>
      </w:r>
    </w:p>
    <w:p>
      <w:pPr>
        <w:spacing w:after="0" w:line="20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 xml:space="preserve">JPMORGAN CHASE BANK, N.A., </w:t>
      </w:r>
      <w:r>
        <w:rPr>
          <w:rFonts w:ascii="Arial" w:cs="Arial" w:eastAsia="Arial" w:hAnsi="Arial"/>
          <w:sz w:val="18"/>
          <w:szCs w:val="18"/>
          <w:b w:val="1"/>
          <w:bCs w:val="1"/>
          <w:color w:val="FF0000"/>
          <w:strike w:val="1"/>
        </w:rPr>
        <w:t>ROYAL BANK OF</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FF0000"/>
          <w:strike w:val="1"/>
        </w:rPr>
        <w:t>CANADA, BANK OF AMERICA, N.A., and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u w:val="single" w:color="auto"/>
          <w:color w:val="0000FF"/>
        </w:rPr>
        <w:t>MUFG BANK, LTD.,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0000FF"/>
        </w:rPr>
        <w:t>BANK OF AMERICA, N.A.,</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0000FF"/>
        </w:rPr>
        <w:t>CITIBANK, N.A.,</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u w:val="single" w:color="auto"/>
          <w:color w:val="0000FF"/>
        </w:rPr>
        <w:t>ROYAL BANK OF CANADA,</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b w:val="1"/>
          <w:bCs w:val="1"/>
          <w:u w:val="single" w:color="auto"/>
          <w:color w:val="0000FF"/>
        </w:rPr>
        <w:t>KEYBANK NATIONAL ASSOCIATION,</w:t>
      </w:r>
    </w:p>
    <w:p>
      <w:pPr>
        <w:spacing w:after="0" w:line="9" w:lineRule="exact"/>
        <w:rPr>
          <w:sz w:val="20"/>
          <w:szCs w:val="20"/>
          <w:color w:val="auto"/>
        </w:rPr>
      </w:pPr>
    </w:p>
    <w:p>
      <w:pPr>
        <w:ind w:left="3140"/>
        <w:spacing w:after="0"/>
        <w:rPr>
          <w:sz w:val="20"/>
          <w:szCs w:val="20"/>
          <w:color w:val="auto"/>
        </w:rPr>
      </w:pPr>
      <w:r>
        <w:rPr>
          <w:rFonts w:ascii="Arial" w:cs="Arial" w:eastAsia="Arial" w:hAnsi="Arial"/>
          <w:sz w:val="18"/>
          <w:szCs w:val="18"/>
          <w:b w:val="1"/>
          <w:bCs w:val="1"/>
          <w:u w:val="single" w:color="auto"/>
          <w:color w:val="0000FF"/>
        </w:rPr>
        <w:t>MORGAN STANLEY BANK, N.A.</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0000FF"/>
        </w:rPr>
        <w:t>and</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FF0000"/>
          <w:strike w:val="1"/>
        </w:rPr>
        <w:t>BARCLAYS BANK PLC</w:t>
      </w:r>
      <w:r>
        <w:rPr>
          <w:rFonts w:ascii="Arial" w:cs="Arial" w:eastAsia="Arial" w:hAnsi="Arial"/>
          <w:sz w:val="18"/>
          <w:szCs w:val="18"/>
          <w:b w:val="1"/>
          <w:bCs w:val="1"/>
          <w:u w:val="single" w:color="auto"/>
          <w:color w:val="0000FF"/>
          <w:strike w:val="1"/>
        </w:rPr>
        <w:t>BNP PARIBAS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L/C Issuers</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as Sole Left Lead Arranger and Sole Left Lead Book Runner</w:t>
      </w: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 xml:space="preserve">as amended through </w:t>
      </w:r>
      <w:r>
        <w:rPr>
          <w:rFonts w:ascii="Arial" w:cs="Arial" w:eastAsia="Arial" w:hAnsi="Arial"/>
          <w:sz w:val="17"/>
          <w:szCs w:val="17"/>
          <w:b w:val="1"/>
          <w:bCs w:val="1"/>
          <w:color w:val="FF0000"/>
          <w:strike w:val="1"/>
        </w:rPr>
        <w:t>November 30</w:t>
      </w:r>
      <w:r>
        <w:rPr>
          <w:rFonts w:ascii="Arial" w:cs="Arial" w:eastAsia="Arial" w:hAnsi="Arial"/>
          <w:sz w:val="17"/>
          <w:szCs w:val="17"/>
          <w:b w:val="1"/>
          <w:bCs w:val="1"/>
          <w:u w:val="single" w:color="auto"/>
          <w:color w:val="0000FF"/>
        </w:rPr>
        <w:t>March 15</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2021</w:t>
      </w:r>
      <w:r>
        <w:rPr>
          <w:rFonts w:ascii="Arial" w:cs="Arial" w:eastAsia="Arial" w:hAnsi="Arial"/>
          <w:sz w:val="17"/>
          <w:szCs w:val="17"/>
          <w:b w:val="1"/>
          <w:bCs w:val="1"/>
          <w:u w:val="single" w:color="auto"/>
          <w:color w:val="0000FF"/>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161925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410210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80" w:type="dxa"/>
            <w:vAlign w:val="bottom"/>
          </w:tcPr>
          <w:p>
            <w:pPr>
              <w:ind w:left="110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0" w:type="dxa"/>
            <w:vAlign w:val="bottom"/>
            <w:gridSpan w:val="4"/>
          </w:tcPr>
          <w:p>
            <w:pPr>
              <w:spacing w:after="0"/>
              <w:rPr>
                <w:sz w:val="20"/>
                <w:szCs w:val="20"/>
                <w:color w:val="auto"/>
              </w:rPr>
            </w:pPr>
            <w:r>
              <w:rPr>
                <w:rFonts w:ascii="Arial" w:cs="Arial" w:eastAsia="Arial" w:hAnsi="Arial"/>
                <w:sz w:val="18"/>
                <w:szCs w:val="18"/>
                <w:color w:val="auto"/>
              </w:rPr>
              <w:t>Section</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20" w:type="dxa"/>
            <w:vAlign w:val="bottom"/>
            <w:gridSpan w:val="7"/>
          </w:tcPr>
          <w:p>
            <w:pPr>
              <w:ind w:left="1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10"/>
          </w:tcPr>
          <w:p>
            <w:pPr>
              <w:spacing w:after="0"/>
              <w:rPr>
                <w:sz w:val="20"/>
                <w:szCs w:val="20"/>
                <w:color w:val="auto"/>
              </w:rPr>
            </w:pPr>
            <w:r>
              <w:rPr>
                <w:rFonts w:ascii="Arial" w:cs="Arial" w:eastAsia="Arial" w:hAnsi="Arial"/>
                <w:sz w:val="18"/>
                <w:szCs w:val="18"/>
                <w:color w:val="auto"/>
              </w:rPr>
              <w:t>ARTICLE I DEFINITIONS AND ACCOUNTING TERMS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3"/>
          </w:tcPr>
          <w:p>
            <w:pPr>
              <w:spacing w:after="0"/>
              <w:rPr>
                <w:sz w:val="20"/>
                <w:szCs w:val="20"/>
                <w:color w:val="auto"/>
              </w:rPr>
            </w:pPr>
            <w:r>
              <w:rPr>
                <w:rFonts w:ascii="Arial" w:cs="Arial" w:eastAsia="Arial" w:hAnsi="Arial"/>
                <w:sz w:val="18"/>
                <w:szCs w:val="18"/>
                <w:b w:val="1"/>
                <w:bCs w:val="1"/>
                <w:color w:val="FF0000"/>
                <w:strike w:val="1"/>
                <w:w w:val="79"/>
              </w:rPr>
              <w:t>3</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0000FF"/>
                <w:w w:val="71"/>
              </w:rPr>
              <w:t>3</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Arial" w:cs="Arial" w:eastAsia="Arial" w:hAnsi="Arial"/>
                <w:sz w:val="18"/>
                <w:szCs w:val="18"/>
                <w:color w:val="auto"/>
                <w:w w:val="91"/>
              </w:rPr>
              <w:t>1.01</w:t>
            </w:r>
          </w:p>
        </w:tc>
        <w:tc>
          <w:tcPr>
            <w:tcW w:w="9600" w:type="dxa"/>
            <w:vAlign w:val="bottom"/>
            <w:gridSpan w:val="6"/>
            <w:vMerge w:val="restart"/>
          </w:tcPr>
          <w:p>
            <w:pPr>
              <w:ind w:left="240"/>
              <w:spacing w:after="0" w:line="196" w:lineRule="exact"/>
              <w:rPr>
                <w:sz w:val="20"/>
                <w:szCs w:val="20"/>
                <w:color w:val="auto"/>
              </w:rPr>
            </w:pPr>
            <w:r>
              <w:rPr>
                <w:rFonts w:ascii="Arial" w:cs="Arial" w:eastAsia="Arial" w:hAnsi="Arial"/>
                <w:sz w:val="18"/>
                <w:szCs w:val="18"/>
                <w:color w:val="auto"/>
              </w:rPr>
              <w:t>Defined Terms</w:t>
            </w: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rPr>
                <w:sz w:val="20"/>
                <w:szCs w:val="20"/>
                <w:color w:val="auto"/>
              </w:rPr>
            </w:pPr>
            <w:r>
              <w:rPr>
                <w:rFonts w:ascii="Arial" w:cs="Arial" w:eastAsia="Arial" w:hAnsi="Arial"/>
                <w:sz w:val="15"/>
                <w:szCs w:val="15"/>
                <w:b w:val="1"/>
                <w:bCs w:val="1"/>
                <w:color w:val="FF0000"/>
                <w:strike w:val="1"/>
                <w:w w:val="71"/>
              </w:rPr>
              <w:t>3</w:t>
            </w: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5"/>
                <w:szCs w:val="15"/>
                <w:b w:val="1"/>
                <w:bCs w:val="1"/>
                <w:color w:val="0000FF"/>
                <w:w w:val="71"/>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rPr>
                <w:sz w:val="20"/>
                <w:szCs w:val="20"/>
                <w:color w:val="auto"/>
              </w:rPr>
            </w:pPr>
            <w:r>
              <w:rPr>
                <w:rFonts w:ascii="Arial" w:cs="Arial" w:eastAsia="Arial" w:hAnsi="Arial"/>
                <w:sz w:val="18"/>
                <w:szCs w:val="18"/>
                <w:color w:val="auto"/>
                <w:w w:val="91"/>
              </w:rPr>
              <w:t>1.02</w:t>
            </w:r>
          </w:p>
        </w:tc>
        <w:tc>
          <w:tcPr>
            <w:tcW w:w="9600" w:type="dxa"/>
            <w:vAlign w:val="bottom"/>
            <w:gridSpan w:val="6"/>
            <w:vMerge w:val="restart"/>
          </w:tcPr>
          <w:p>
            <w:pPr>
              <w:ind w:left="240"/>
              <w:spacing w:after="0"/>
              <w:rPr>
                <w:sz w:val="20"/>
                <w:szCs w:val="20"/>
                <w:color w:val="auto"/>
              </w:rPr>
            </w:pPr>
            <w:r>
              <w:rPr>
                <w:rFonts w:ascii="Arial" w:cs="Arial" w:eastAsia="Arial" w:hAnsi="Arial"/>
                <w:sz w:val="18"/>
                <w:szCs w:val="18"/>
                <w:color w:val="auto"/>
              </w:rPr>
              <w:t>Other Interpretive Provisions</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gridSpan w:val="4"/>
            <w:vMerge w:val="continue"/>
          </w:tcPr>
          <w:p>
            <w:pPr>
              <w:spacing w:after="0"/>
              <w:rPr>
                <w:sz w:val="15"/>
                <w:szCs w:val="15"/>
                <w:color w:val="auto"/>
              </w:rPr>
            </w:pPr>
          </w:p>
        </w:tc>
        <w:tc>
          <w:tcPr>
            <w:tcW w:w="9600" w:type="dxa"/>
            <w:vAlign w:val="bottom"/>
            <w:gridSpan w:val="6"/>
            <w:vMerge w:val="continue"/>
          </w:tcPr>
          <w:p>
            <w:pPr>
              <w:spacing w:after="0"/>
              <w:rPr>
                <w:sz w:val="15"/>
                <w:szCs w:val="15"/>
                <w:color w:val="auto"/>
              </w:rPr>
            </w:pPr>
          </w:p>
        </w:tc>
        <w:tc>
          <w:tcPr>
            <w:tcW w:w="500" w:type="dxa"/>
            <w:vAlign w:val="bottom"/>
            <w:gridSpan w:val="6"/>
          </w:tcPr>
          <w:p>
            <w:pPr>
              <w:jc w:val="right"/>
              <w:spacing w:after="0" w:line="182"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1.03</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Accounting Terms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1.04</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Rounding</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1.05</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Times of Day</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1.06</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Letter of Credit Amounts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2"/>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1.07</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Currency Equivalents Generally</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4"/>
        </w:trPr>
        <w:tc>
          <w:tcPr>
            <w:tcW w:w="1140" w:type="dxa"/>
            <w:vAlign w:val="bottom"/>
            <w:gridSpan w:val="4"/>
          </w:tcPr>
          <w:p>
            <w:pPr>
              <w:ind w:left="800"/>
              <w:spacing w:after="0" w:line="194" w:lineRule="exact"/>
              <w:rPr>
                <w:sz w:val="20"/>
                <w:szCs w:val="20"/>
                <w:color w:val="auto"/>
              </w:rPr>
            </w:pPr>
            <w:r>
              <w:rPr>
                <w:rFonts w:ascii="Arial" w:cs="Arial" w:eastAsia="Arial" w:hAnsi="Arial"/>
                <w:sz w:val="18"/>
                <w:szCs w:val="18"/>
                <w:color w:val="auto"/>
                <w:w w:val="91"/>
              </w:rPr>
              <w:t>1.08</w:t>
            </w:r>
          </w:p>
        </w:tc>
        <w:tc>
          <w:tcPr>
            <w:tcW w:w="9600" w:type="dxa"/>
            <w:vAlign w:val="bottom"/>
            <w:gridSpan w:val="6"/>
          </w:tcPr>
          <w:p>
            <w:pPr>
              <w:ind w:left="240"/>
              <w:spacing w:after="0" w:line="194" w:lineRule="exact"/>
              <w:rPr>
                <w:sz w:val="20"/>
                <w:szCs w:val="20"/>
                <w:color w:val="auto"/>
              </w:rPr>
            </w:pPr>
            <w:r>
              <w:rPr>
                <w:rFonts w:ascii="Arial" w:cs="Arial" w:eastAsia="Arial" w:hAnsi="Arial"/>
                <w:sz w:val="18"/>
                <w:szCs w:val="18"/>
                <w:color w:val="auto"/>
              </w:rPr>
              <w:t>Limited Condition Transaction</w:t>
            </w:r>
          </w:p>
        </w:tc>
        <w:tc>
          <w:tcPr>
            <w:tcW w:w="32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FF0000"/>
                <w:strike w:val="1"/>
                <w:w w:val="79"/>
              </w:rPr>
              <w:t>49</w:t>
            </w:r>
          </w:p>
        </w:tc>
        <w:tc>
          <w:tcPr>
            <w:tcW w:w="200" w:type="dxa"/>
            <w:vAlign w:val="bottom"/>
            <w:gridSpan w:val="5"/>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58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40" w:type="dxa"/>
            <w:vAlign w:val="bottom"/>
            <w:gridSpan w:val="10"/>
          </w:tcPr>
          <w:p>
            <w:pPr>
              <w:spacing w:after="0"/>
              <w:rPr>
                <w:sz w:val="20"/>
                <w:szCs w:val="20"/>
                <w:color w:val="auto"/>
              </w:rPr>
            </w:pPr>
            <w:r>
              <w:rPr>
                <w:rFonts w:ascii="Arial" w:cs="Arial" w:eastAsia="Arial" w:hAnsi="Arial"/>
                <w:sz w:val="18"/>
                <w:szCs w:val="18"/>
                <w:color w:val="auto"/>
              </w:rPr>
              <w:t>ARTICLE II THE COMMITMENTS AND CREDIT EXTENSIONS</w:t>
            </w:r>
          </w:p>
        </w:tc>
        <w:tc>
          <w:tcPr>
            <w:tcW w:w="320" w:type="dxa"/>
            <w:vAlign w:val="bottom"/>
            <w:gridSpan w:val="2"/>
          </w:tcPr>
          <w:p>
            <w:pPr>
              <w:ind w:left="140"/>
              <w:spacing w:after="0"/>
              <w:rPr>
                <w:sz w:val="20"/>
                <w:szCs w:val="20"/>
                <w:color w:val="auto"/>
              </w:rPr>
            </w:pPr>
            <w:r>
              <w:rPr>
                <w:rFonts w:ascii="Arial" w:cs="Arial" w:eastAsia="Arial" w:hAnsi="Arial"/>
                <w:sz w:val="18"/>
                <w:szCs w:val="18"/>
                <w:b w:val="1"/>
                <w:bCs w:val="1"/>
                <w:color w:val="FF0000"/>
                <w:strike w:val="1"/>
                <w:w w:val="79"/>
              </w:rPr>
              <w:t>50</w:t>
            </w:r>
          </w:p>
        </w:tc>
        <w:tc>
          <w:tcPr>
            <w:tcW w:w="2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0000FF"/>
                <w:w w:val="79"/>
              </w:rPr>
              <w:t>59</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Arial" w:cs="Arial" w:eastAsia="Arial" w:hAnsi="Arial"/>
                <w:sz w:val="18"/>
                <w:szCs w:val="18"/>
                <w:color w:val="auto"/>
                <w:w w:val="91"/>
              </w:rPr>
              <w:t>2.01</w:t>
            </w:r>
          </w:p>
        </w:tc>
        <w:tc>
          <w:tcPr>
            <w:tcW w:w="9600" w:type="dxa"/>
            <w:vAlign w:val="bottom"/>
            <w:gridSpan w:val="6"/>
            <w:vMerge w:val="restart"/>
          </w:tcPr>
          <w:p>
            <w:pPr>
              <w:ind w:left="240"/>
              <w:spacing w:after="0" w:line="196" w:lineRule="exact"/>
              <w:rPr>
                <w:sz w:val="20"/>
                <w:szCs w:val="20"/>
                <w:color w:val="auto"/>
              </w:rPr>
            </w:pPr>
            <w:r>
              <w:rPr>
                <w:rFonts w:ascii="Arial" w:cs="Arial" w:eastAsia="Arial" w:hAnsi="Arial"/>
                <w:sz w:val="18"/>
                <w:szCs w:val="18"/>
                <w:color w:val="auto"/>
              </w:rPr>
              <w:t>The Revolving Credit Borrowings</w:t>
            </w:r>
          </w:p>
        </w:tc>
        <w:tc>
          <w:tcPr>
            <w:tcW w:w="320" w:type="dxa"/>
            <w:vAlign w:val="bottom"/>
            <w:gridSpan w:val="2"/>
            <w:vMerge w:val="restart"/>
          </w:tcPr>
          <w:p>
            <w:pPr>
              <w:ind w:left="140"/>
              <w:spacing w:after="0" w:line="196" w:lineRule="exact"/>
              <w:rPr>
                <w:sz w:val="20"/>
                <w:szCs w:val="20"/>
                <w:color w:val="auto"/>
              </w:rPr>
            </w:pPr>
            <w:r>
              <w:rPr>
                <w:rFonts w:ascii="Arial" w:cs="Arial" w:eastAsia="Arial" w:hAnsi="Arial"/>
                <w:sz w:val="18"/>
                <w:szCs w:val="18"/>
                <w:b w:val="1"/>
                <w:bCs w:val="1"/>
                <w:color w:val="FF0000"/>
                <w:strike w:val="1"/>
                <w:w w:val="79"/>
              </w:rPr>
              <w:t>50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7"/>
                <w:szCs w:val="17"/>
                <w:b w:val="1"/>
                <w:bCs w:val="1"/>
                <w:color w:val="0000FF"/>
                <w:w w:val="73"/>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rPr>
                <w:sz w:val="20"/>
                <w:szCs w:val="20"/>
                <w:color w:val="auto"/>
              </w:rPr>
            </w:pPr>
            <w:r>
              <w:rPr>
                <w:rFonts w:ascii="Arial" w:cs="Arial" w:eastAsia="Arial" w:hAnsi="Arial"/>
                <w:sz w:val="18"/>
                <w:szCs w:val="18"/>
                <w:color w:val="auto"/>
                <w:w w:val="91"/>
              </w:rPr>
              <w:t>2.02</w:t>
            </w:r>
          </w:p>
        </w:tc>
        <w:tc>
          <w:tcPr>
            <w:tcW w:w="9600" w:type="dxa"/>
            <w:vAlign w:val="bottom"/>
            <w:gridSpan w:val="6"/>
            <w:vMerge w:val="restart"/>
          </w:tcPr>
          <w:p>
            <w:pPr>
              <w:ind w:left="240"/>
              <w:spacing w:after="0"/>
              <w:rPr>
                <w:sz w:val="20"/>
                <w:szCs w:val="20"/>
                <w:color w:val="auto"/>
              </w:rPr>
            </w:pPr>
            <w:r>
              <w:rPr>
                <w:rFonts w:ascii="Arial" w:cs="Arial" w:eastAsia="Arial" w:hAnsi="Arial"/>
                <w:sz w:val="18"/>
                <w:szCs w:val="18"/>
                <w:color w:val="auto"/>
              </w:rPr>
              <w:t>Borrowings, Conversions and Continuations of Loans</w:t>
            </w:r>
          </w:p>
        </w:tc>
        <w:tc>
          <w:tcPr>
            <w:tcW w:w="2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gridSpan w:val="4"/>
            <w:vMerge w:val="continue"/>
          </w:tcPr>
          <w:p>
            <w:pPr>
              <w:spacing w:after="0"/>
              <w:rPr>
                <w:sz w:val="15"/>
                <w:szCs w:val="15"/>
                <w:color w:val="auto"/>
              </w:rPr>
            </w:pPr>
          </w:p>
        </w:tc>
        <w:tc>
          <w:tcPr>
            <w:tcW w:w="9600" w:type="dxa"/>
            <w:vAlign w:val="bottom"/>
            <w:gridSpan w:val="6"/>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60" w:type="dxa"/>
            <w:vAlign w:val="bottom"/>
            <w:gridSpan w:val="3"/>
          </w:tcPr>
          <w:p>
            <w:pPr>
              <w:jc w:val="right"/>
              <w:spacing w:after="0" w:line="178" w:lineRule="exact"/>
              <w:rPr>
                <w:sz w:val="20"/>
                <w:szCs w:val="20"/>
                <w:color w:val="auto"/>
              </w:rPr>
            </w:pPr>
            <w:r>
              <w:rPr>
                <w:rFonts w:ascii="Arial" w:cs="Arial" w:eastAsia="Arial" w:hAnsi="Arial"/>
                <w:sz w:val="17"/>
                <w:szCs w:val="17"/>
                <w:color w:val="auto"/>
                <w:w w:val="73"/>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gridSpan w:val="4"/>
          </w:tcPr>
          <w:p>
            <w:pPr>
              <w:ind w:left="800"/>
              <w:spacing w:after="0" w:line="194" w:lineRule="exact"/>
              <w:rPr>
                <w:sz w:val="20"/>
                <w:szCs w:val="20"/>
                <w:color w:val="auto"/>
              </w:rPr>
            </w:pPr>
            <w:r>
              <w:rPr>
                <w:rFonts w:ascii="Arial" w:cs="Arial" w:eastAsia="Arial" w:hAnsi="Arial"/>
                <w:sz w:val="18"/>
                <w:szCs w:val="18"/>
                <w:color w:val="auto"/>
                <w:w w:val="91"/>
              </w:rPr>
              <w:t>2.03</w:t>
            </w:r>
          </w:p>
        </w:tc>
        <w:tc>
          <w:tcPr>
            <w:tcW w:w="9600" w:type="dxa"/>
            <w:vAlign w:val="bottom"/>
            <w:gridSpan w:val="6"/>
          </w:tcPr>
          <w:p>
            <w:pPr>
              <w:ind w:left="240"/>
              <w:spacing w:after="0" w:line="194" w:lineRule="exact"/>
              <w:rPr>
                <w:sz w:val="20"/>
                <w:szCs w:val="20"/>
                <w:color w:val="auto"/>
              </w:rPr>
            </w:pPr>
            <w:r>
              <w:rPr>
                <w:rFonts w:ascii="Arial" w:cs="Arial" w:eastAsia="Arial" w:hAnsi="Arial"/>
                <w:sz w:val="18"/>
                <w:szCs w:val="18"/>
                <w:color w:val="auto"/>
              </w:rPr>
              <w:t>Letters of Credit</w:t>
            </w:r>
          </w:p>
        </w:tc>
        <w:tc>
          <w:tcPr>
            <w:tcW w:w="32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FF0000"/>
                <w:strike w:val="1"/>
                <w:w w:val="79"/>
              </w:rPr>
              <w:t>52</w:t>
            </w:r>
          </w:p>
        </w:tc>
        <w:tc>
          <w:tcPr>
            <w:tcW w:w="180" w:type="dxa"/>
            <w:vAlign w:val="bottom"/>
            <w:tcBorders>
              <w:bottom w:val="single" w:sz="8" w:color="0000FF"/>
            </w:tcBorders>
            <w:gridSpan w:val="4"/>
          </w:tcPr>
          <w:p>
            <w:pPr>
              <w:jc w:val="right"/>
              <w:spacing w:after="0" w:line="194" w:lineRule="exact"/>
              <w:rPr>
                <w:sz w:val="20"/>
                <w:szCs w:val="20"/>
                <w:color w:val="auto"/>
              </w:rPr>
            </w:pPr>
            <w:r>
              <w:rPr>
                <w:rFonts w:ascii="Arial" w:cs="Arial" w:eastAsia="Arial" w:hAnsi="Arial"/>
                <w:sz w:val="18"/>
                <w:szCs w:val="18"/>
                <w:b w:val="1"/>
                <w:bCs w:val="1"/>
                <w:color w:val="0000FF"/>
                <w:w w:val="79"/>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rPr>
                <w:sz w:val="20"/>
                <w:szCs w:val="20"/>
                <w:color w:val="auto"/>
              </w:rPr>
            </w:pPr>
            <w:r>
              <w:rPr>
                <w:rFonts w:ascii="Arial" w:cs="Arial" w:eastAsia="Arial" w:hAnsi="Arial"/>
                <w:sz w:val="18"/>
                <w:szCs w:val="18"/>
                <w:color w:val="auto"/>
                <w:w w:val="91"/>
              </w:rPr>
              <w:t>2.04</w:t>
            </w:r>
          </w:p>
        </w:tc>
        <w:tc>
          <w:tcPr>
            <w:tcW w:w="9600" w:type="dxa"/>
            <w:vAlign w:val="bottom"/>
            <w:gridSpan w:val="6"/>
            <w:vMerge w:val="restart"/>
          </w:tcPr>
          <w:p>
            <w:pPr>
              <w:ind w:left="240"/>
              <w:spacing w:after="0"/>
              <w:rPr>
                <w:sz w:val="20"/>
                <w:szCs w:val="20"/>
                <w:color w:val="auto"/>
              </w:rPr>
            </w:pPr>
            <w:r>
              <w:rPr>
                <w:rFonts w:ascii="Arial" w:cs="Arial" w:eastAsia="Arial" w:hAnsi="Arial"/>
                <w:sz w:val="18"/>
                <w:szCs w:val="18"/>
                <w:color w:val="auto"/>
              </w:rPr>
              <w:t>Prepayments</w:t>
            </w:r>
          </w:p>
        </w:tc>
        <w:tc>
          <w:tcPr>
            <w:tcW w:w="2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gridSpan w:val="4"/>
            <w:vMerge w:val="continue"/>
          </w:tcPr>
          <w:p>
            <w:pPr>
              <w:spacing w:after="0"/>
              <w:rPr>
                <w:sz w:val="15"/>
                <w:szCs w:val="15"/>
                <w:color w:val="auto"/>
              </w:rPr>
            </w:pPr>
          </w:p>
        </w:tc>
        <w:tc>
          <w:tcPr>
            <w:tcW w:w="9600" w:type="dxa"/>
            <w:vAlign w:val="bottom"/>
            <w:gridSpan w:val="6"/>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60" w:type="dxa"/>
            <w:vAlign w:val="bottom"/>
            <w:gridSpan w:val="3"/>
          </w:tcPr>
          <w:p>
            <w:pPr>
              <w:jc w:val="right"/>
              <w:spacing w:after="0" w:line="182" w:lineRule="exact"/>
              <w:rPr>
                <w:sz w:val="20"/>
                <w:szCs w:val="20"/>
                <w:color w:val="auto"/>
              </w:rPr>
            </w:pPr>
            <w:r>
              <w:rPr>
                <w:rFonts w:ascii="Arial" w:cs="Arial" w:eastAsia="Arial" w:hAnsi="Arial"/>
                <w:sz w:val="17"/>
                <w:szCs w:val="17"/>
                <w:color w:val="auto"/>
                <w:w w:val="73"/>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2.05</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Termination or Reduction of Revolving Credit Commitments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2.06</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Repayment of Loans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2.07</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Interest</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2.08</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Fees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2.09</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Computation of Interest and Fees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2"/>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2.10</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Evidence of Debt</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940" w:type="dxa"/>
            <w:vAlign w:val="bottom"/>
            <w:gridSpan w:val="8"/>
          </w:tcPr>
          <w:p>
            <w:pPr>
              <w:spacing w:after="0" w:line="194" w:lineRule="exact"/>
              <w:rPr>
                <w:sz w:val="20"/>
                <w:szCs w:val="20"/>
                <w:color w:val="auto"/>
              </w:rPr>
            </w:pPr>
            <w:r>
              <w:rPr>
                <w:rFonts w:ascii="Arial" w:cs="Arial" w:eastAsia="Arial" w:hAnsi="Arial"/>
                <w:sz w:val="18"/>
                <w:szCs w:val="18"/>
                <w:color w:val="auto"/>
              </w:rPr>
              <w:t>2.11   Payments Generally; Administrative Agent’s Clawback</w:t>
            </w:r>
          </w:p>
        </w:tc>
        <w:tc>
          <w:tcPr>
            <w:tcW w:w="32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FF0000"/>
                <w:strike w:val="1"/>
                <w:w w:val="79"/>
              </w:rPr>
              <w:t>68</w:t>
            </w:r>
          </w:p>
        </w:tc>
        <w:tc>
          <w:tcPr>
            <w:tcW w:w="180" w:type="dxa"/>
            <w:vAlign w:val="bottom"/>
            <w:tcBorders>
              <w:bottom w:val="single" w:sz="8" w:color="0000FF"/>
            </w:tcBorders>
            <w:gridSpan w:val="4"/>
          </w:tcPr>
          <w:p>
            <w:pPr>
              <w:jc w:val="right"/>
              <w:spacing w:after="0" w:line="194" w:lineRule="exact"/>
              <w:rPr>
                <w:sz w:val="20"/>
                <w:szCs w:val="20"/>
                <w:color w:val="auto"/>
              </w:rPr>
            </w:pPr>
            <w:r>
              <w:rPr>
                <w:rFonts w:ascii="Arial" w:cs="Arial" w:eastAsia="Arial" w:hAnsi="Arial"/>
                <w:sz w:val="18"/>
                <w:szCs w:val="18"/>
                <w:b w:val="1"/>
                <w:bCs w:val="1"/>
                <w:color w:val="0000FF"/>
                <w:w w:val="79"/>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rPr>
                <w:sz w:val="20"/>
                <w:szCs w:val="20"/>
                <w:color w:val="auto"/>
              </w:rPr>
            </w:pPr>
            <w:r>
              <w:rPr>
                <w:rFonts w:ascii="Arial" w:cs="Arial" w:eastAsia="Arial" w:hAnsi="Arial"/>
                <w:sz w:val="18"/>
                <w:szCs w:val="18"/>
                <w:color w:val="auto"/>
                <w:w w:val="91"/>
              </w:rPr>
              <w:t>2.12</w:t>
            </w:r>
          </w:p>
        </w:tc>
        <w:tc>
          <w:tcPr>
            <w:tcW w:w="9600" w:type="dxa"/>
            <w:vAlign w:val="bottom"/>
            <w:gridSpan w:val="6"/>
            <w:vMerge w:val="restart"/>
          </w:tcPr>
          <w:p>
            <w:pPr>
              <w:ind w:left="240"/>
              <w:spacing w:after="0"/>
              <w:rPr>
                <w:sz w:val="20"/>
                <w:szCs w:val="20"/>
                <w:color w:val="auto"/>
              </w:rPr>
            </w:pPr>
            <w:r>
              <w:rPr>
                <w:rFonts w:ascii="Arial" w:cs="Arial" w:eastAsia="Arial" w:hAnsi="Arial"/>
                <w:sz w:val="18"/>
                <w:szCs w:val="18"/>
                <w:color w:val="auto"/>
              </w:rPr>
              <w:t>Sharing of Payments by Lenders</w:t>
            </w:r>
          </w:p>
        </w:tc>
        <w:tc>
          <w:tcPr>
            <w:tcW w:w="24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gridSpan w:val="4"/>
            <w:vMerge w:val="continue"/>
          </w:tcPr>
          <w:p>
            <w:pPr>
              <w:spacing w:after="0"/>
              <w:rPr>
                <w:sz w:val="15"/>
                <w:szCs w:val="15"/>
                <w:color w:val="auto"/>
              </w:rPr>
            </w:pPr>
          </w:p>
        </w:tc>
        <w:tc>
          <w:tcPr>
            <w:tcW w:w="9600" w:type="dxa"/>
            <w:vAlign w:val="bottom"/>
            <w:gridSpan w:val="6"/>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60" w:type="dxa"/>
            <w:vAlign w:val="bottom"/>
            <w:gridSpan w:val="3"/>
          </w:tcPr>
          <w:p>
            <w:pPr>
              <w:jc w:val="right"/>
              <w:spacing w:after="0" w:line="182" w:lineRule="exact"/>
              <w:rPr>
                <w:sz w:val="20"/>
                <w:szCs w:val="20"/>
                <w:color w:val="auto"/>
              </w:rPr>
            </w:pPr>
            <w:r>
              <w:rPr>
                <w:rFonts w:ascii="Arial" w:cs="Arial" w:eastAsia="Arial" w:hAnsi="Arial"/>
                <w:sz w:val="17"/>
                <w:szCs w:val="17"/>
                <w:color w:val="auto"/>
                <w:w w:val="73"/>
              </w:rPr>
              <w:t>79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2.13</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Increase in Revolving Credit Facility</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2.14</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Defaulting Lenders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2.15</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Extensions of Loans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2.16</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Pro Rata Shares of Revolving Credit Facilities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2"/>
        </w:trPr>
        <w:tc>
          <w:tcPr>
            <w:tcW w:w="1140" w:type="dxa"/>
            <w:vAlign w:val="bottom"/>
            <w:gridSpan w:val="4"/>
          </w:tcPr>
          <w:p>
            <w:pPr>
              <w:ind w:left="800"/>
              <w:spacing w:after="0"/>
              <w:rPr>
                <w:sz w:val="20"/>
                <w:szCs w:val="20"/>
                <w:color w:val="auto"/>
              </w:rPr>
            </w:pPr>
            <w:r>
              <w:rPr>
                <w:rFonts w:ascii="Arial" w:cs="Arial" w:eastAsia="Arial" w:hAnsi="Arial"/>
                <w:sz w:val="18"/>
                <w:szCs w:val="18"/>
                <w:color w:val="auto"/>
                <w:w w:val="91"/>
              </w:rPr>
              <w:t>2.17</w:t>
            </w:r>
          </w:p>
        </w:tc>
        <w:tc>
          <w:tcPr>
            <w:tcW w:w="9600" w:type="dxa"/>
            <w:vAlign w:val="bottom"/>
            <w:gridSpan w:val="6"/>
          </w:tcPr>
          <w:p>
            <w:pPr>
              <w:ind w:left="240"/>
              <w:spacing w:after="0"/>
              <w:rPr>
                <w:sz w:val="20"/>
                <w:szCs w:val="20"/>
                <w:color w:val="auto"/>
              </w:rPr>
            </w:pPr>
            <w:r>
              <w:rPr>
                <w:rFonts w:ascii="Arial" w:cs="Arial" w:eastAsia="Arial" w:hAnsi="Arial"/>
                <w:sz w:val="18"/>
                <w:szCs w:val="18"/>
                <w:color w:val="auto"/>
              </w:rPr>
              <w:t>Refinancing Facilities</w:t>
            </w:r>
          </w:p>
        </w:tc>
        <w:tc>
          <w:tcPr>
            <w:tcW w:w="520" w:type="dxa"/>
            <w:vAlign w:val="bottom"/>
            <w:gridSpan w:val="7"/>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4"/>
        </w:trPr>
        <w:tc>
          <w:tcPr>
            <w:tcW w:w="1140" w:type="dxa"/>
            <w:vAlign w:val="bottom"/>
            <w:gridSpan w:val="4"/>
          </w:tcPr>
          <w:p>
            <w:pPr>
              <w:ind w:left="800"/>
              <w:spacing w:after="0" w:line="194" w:lineRule="exact"/>
              <w:rPr>
                <w:sz w:val="20"/>
                <w:szCs w:val="20"/>
                <w:color w:val="auto"/>
              </w:rPr>
            </w:pPr>
            <w:r>
              <w:rPr>
                <w:rFonts w:ascii="Arial" w:cs="Arial" w:eastAsia="Arial" w:hAnsi="Arial"/>
                <w:sz w:val="18"/>
                <w:szCs w:val="18"/>
                <w:b w:val="1"/>
                <w:bCs w:val="1"/>
                <w:color w:val="0000FF"/>
                <w:w w:val="91"/>
              </w:rPr>
              <w:t>2.</w:t>
            </w:r>
            <w:r>
              <w:rPr>
                <w:rFonts w:ascii="Arial" w:cs="Arial" w:eastAsia="Arial" w:hAnsi="Arial"/>
                <w:sz w:val="18"/>
                <w:szCs w:val="18"/>
                <w:b w:val="1"/>
                <w:bCs w:val="1"/>
                <w:u w:val="single" w:color="auto"/>
                <w:color w:val="0000FF"/>
                <w:w w:val="91"/>
              </w:rPr>
              <w:t>18</w:t>
            </w:r>
          </w:p>
        </w:tc>
        <w:tc>
          <w:tcPr>
            <w:tcW w:w="9600" w:type="dxa"/>
            <w:vAlign w:val="bottom"/>
            <w:gridSpan w:val="6"/>
          </w:tcPr>
          <w:p>
            <w:pPr>
              <w:ind w:left="240"/>
              <w:spacing w:after="0" w:line="194" w:lineRule="exact"/>
              <w:rPr>
                <w:sz w:val="20"/>
                <w:szCs w:val="20"/>
                <w:color w:val="auto"/>
              </w:rPr>
            </w:pPr>
            <w:r>
              <w:rPr>
                <w:rFonts w:ascii="Arial" w:cs="Arial" w:eastAsia="Arial" w:hAnsi="Arial"/>
                <w:sz w:val="18"/>
                <w:szCs w:val="18"/>
                <w:b w:val="1"/>
                <w:bCs w:val="1"/>
                <w:color w:val="0000FF"/>
              </w:rPr>
              <w:t>Alternate Rate of Interest</w:t>
            </w:r>
          </w:p>
        </w:tc>
        <w:tc>
          <w:tcPr>
            <w:tcW w:w="520" w:type="dxa"/>
            <w:vAlign w:val="bottom"/>
            <w:gridSpan w:val="7"/>
          </w:tcPr>
          <w:p>
            <w:pPr>
              <w:jc w:val="right"/>
              <w:ind w:right="20"/>
              <w:spacing w:after="0" w:line="194" w:lineRule="exact"/>
              <w:rPr>
                <w:sz w:val="20"/>
                <w:szCs w:val="20"/>
                <w:color w:val="auto"/>
              </w:rPr>
            </w:pPr>
            <w:r>
              <w:rPr>
                <w:rFonts w:ascii="Arial" w:cs="Arial" w:eastAsia="Arial" w:hAnsi="Arial"/>
                <w:sz w:val="18"/>
                <w:szCs w:val="18"/>
                <w:b w:val="1"/>
                <w:bCs w:val="1"/>
                <w:color w:val="0000FF"/>
              </w:rPr>
              <w:t>92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280" w:type="dxa"/>
            <w:vAlign w:val="bottom"/>
            <w:tcBorders>
              <w:top w:val="single" w:sz="8" w:color="0000FF"/>
              <w:bottom w:val="single" w:sz="8" w:color="0000FF"/>
            </w:tcBorders>
          </w:tcPr>
          <w:p>
            <w:pPr>
              <w:spacing w:after="0" w:line="20" w:lineRule="exact"/>
              <w:rPr>
                <w:sz w:val="1"/>
                <w:szCs w:val="1"/>
                <w:color w:val="auto"/>
              </w:rPr>
            </w:pPr>
          </w:p>
        </w:tc>
        <w:tc>
          <w:tcPr>
            <w:tcW w:w="6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40" w:type="dxa"/>
            <w:vAlign w:val="bottom"/>
            <w:gridSpan w:val="10"/>
          </w:tcPr>
          <w:p>
            <w:pPr>
              <w:spacing w:after="0"/>
              <w:rPr>
                <w:sz w:val="20"/>
                <w:szCs w:val="20"/>
                <w:color w:val="auto"/>
              </w:rPr>
            </w:pPr>
            <w:r>
              <w:rPr>
                <w:rFonts w:ascii="Arial" w:cs="Arial" w:eastAsia="Arial" w:hAnsi="Arial"/>
                <w:sz w:val="18"/>
                <w:szCs w:val="18"/>
                <w:color w:val="auto"/>
              </w:rPr>
              <w:t>ARTICLE III TAXES, YIELD PROTECTION AND ILLEGALITY</w:t>
            </w:r>
          </w:p>
        </w:tc>
        <w:tc>
          <w:tcPr>
            <w:tcW w:w="320" w:type="dxa"/>
            <w:vAlign w:val="bottom"/>
            <w:gridSpan w:val="2"/>
          </w:tcPr>
          <w:p>
            <w:pPr>
              <w:ind w:left="140"/>
              <w:spacing w:after="0"/>
              <w:rPr>
                <w:sz w:val="20"/>
                <w:szCs w:val="20"/>
                <w:color w:val="auto"/>
              </w:rPr>
            </w:pPr>
            <w:r>
              <w:rPr>
                <w:rFonts w:ascii="Arial" w:cs="Arial" w:eastAsia="Arial" w:hAnsi="Arial"/>
                <w:sz w:val="18"/>
                <w:szCs w:val="18"/>
                <w:b w:val="1"/>
                <w:bCs w:val="1"/>
                <w:color w:val="FF0000"/>
                <w:strike w:val="1"/>
                <w:w w:val="79"/>
              </w:rPr>
              <w:t>84</w:t>
            </w:r>
          </w:p>
        </w:tc>
        <w:tc>
          <w:tcPr>
            <w:tcW w:w="2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0000FF"/>
                <w:w w:val="79"/>
              </w:rPr>
              <w:t>95</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Arial" w:cs="Arial" w:eastAsia="Arial" w:hAnsi="Arial"/>
                <w:sz w:val="18"/>
                <w:szCs w:val="18"/>
                <w:color w:val="auto"/>
                <w:w w:val="91"/>
              </w:rPr>
              <w:t>3.01</w:t>
            </w:r>
          </w:p>
        </w:tc>
        <w:tc>
          <w:tcPr>
            <w:tcW w:w="9600" w:type="dxa"/>
            <w:vAlign w:val="bottom"/>
            <w:gridSpan w:val="6"/>
            <w:vMerge w:val="restart"/>
          </w:tcPr>
          <w:p>
            <w:pPr>
              <w:ind w:left="240"/>
              <w:spacing w:after="0" w:line="196" w:lineRule="exact"/>
              <w:rPr>
                <w:sz w:val="20"/>
                <w:szCs w:val="20"/>
                <w:color w:val="auto"/>
              </w:rPr>
            </w:pPr>
            <w:r>
              <w:rPr>
                <w:rFonts w:ascii="Arial" w:cs="Arial" w:eastAsia="Arial" w:hAnsi="Arial"/>
                <w:sz w:val="18"/>
                <w:szCs w:val="18"/>
                <w:color w:val="auto"/>
              </w:rPr>
              <w:t>Taxes</w:t>
            </w:r>
          </w:p>
        </w:tc>
        <w:tc>
          <w:tcPr>
            <w:tcW w:w="320" w:type="dxa"/>
            <w:vAlign w:val="bottom"/>
            <w:gridSpan w:val="2"/>
            <w:vMerge w:val="restart"/>
          </w:tcPr>
          <w:p>
            <w:pPr>
              <w:ind w:left="140"/>
              <w:spacing w:after="0" w:line="196" w:lineRule="exact"/>
              <w:rPr>
                <w:sz w:val="20"/>
                <w:szCs w:val="20"/>
                <w:color w:val="auto"/>
              </w:rPr>
            </w:pPr>
            <w:r>
              <w:rPr>
                <w:rFonts w:ascii="Arial" w:cs="Arial" w:eastAsia="Arial" w:hAnsi="Arial"/>
                <w:sz w:val="18"/>
                <w:szCs w:val="18"/>
                <w:b w:val="1"/>
                <w:bCs w:val="1"/>
                <w:color w:val="FF0000"/>
                <w:strike w:val="1"/>
                <w:w w:val="79"/>
              </w:rPr>
              <w:t>84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7"/>
                <w:szCs w:val="17"/>
                <w:b w:val="1"/>
                <w:bCs w:val="1"/>
                <w:color w:val="0000FF"/>
                <w:w w:val="73"/>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Arial" w:cs="Arial" w:eastAsia="Arial" w:hAnsi="Arial"/>
                <w:sz w:val="18"/>
                <w:szCs w:val="18"/>
                <w:color w:val="auto"/>
                <w:w w:val="91"/>
              </w:rPr>
              <w:t>3.02</w:t>
            </w:r>
          </w:p>
        </w:tc>
        <w:tc>
          <w:tcPr>
            <w:tcW w:w="9600" w:type="dxa"/>
            <w:vAlign w:val="bottom"/>
            <w:gridSpan w:val="6"/>
            <w:vMerge w:val="restart"/>
          </w:tcPr>
          <w:p>
            <w:pPr>
              <w:ind w:left="240"/>
              <w:spacing w:after="0" w:line="196" w:lineRule="exact"/>
              <w:rPr>
                <w:sz w:val="20"/>
                <w:szCs w:val="20"/>
                <w:color w:val="auto"/>
              </w:rPr>
            </w:pPr>
            <w:r>
              <w:rPr>
                <w:rFonts w:ascii="Arial" w:cs="Arial" w:eastAsia="Arial" w:hAnsi="Arial"/>
                <w:sz w:val="18"/>
                <w:szCs w:val="18"/>
                <w:color w:val="auto"/>
              </w:rPr>
              <w:t>Illegality</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240" w:type="dxa"/>
            <w:vAlign w:val="bottom"/>
          </w:tcPr>
          <w:p>
            <w:pPr>
              <w:ind w:left="60"/>
              <w:spacing w:after="0" w:line="156" w:lineRule="exact"/>
              <w:rPr>
                <w:sz w:val="20"/>
                <w:szCs w:val="20"/>
                <w:color w:val="auto"/>
              </w:rPr>
            </w:pPr>
            <w:r>
              <w:rPr>
                <w:rFonts w:ascii="Arial" w:cs="Arial" w:eastAsia="Arial" w:hAnsi="Arial"/>
                <w:sz w:val="17"/>
                <w:szCs w:val="17"/>
                <w:b w:val="1"/>
                <w:bCs w:val="1"/>
                <w:color w:val="FF0000"/>
                <w:strike w:val="1"/>
                <w:w w:val="73"/>
              </w:rPr>
              <w:t>88</w:t>
            </w:r>
          </w:p>
        </w:tc>
        <w:tc>
          <w:tcPr>
            <w:tcW w:w="260" w:type="dxa"/>
            <w:vAlign w:val="bottom"/>
            <w:tcBorders>
              <w:bottom w:val="single" w:sz="8" w:color="0000FF"/>
            </w:tcBorders>
            <w:gridSpan w:val="5"/>
          </w:tcPr>
          <w:p>
            <w:pPr>
              <w:jc w:val="right"/>
              <w:spacing w:after="0" w:line="156" w:lineRule="exact"/>
              <w:rPr>
                <w:sz w:val="20"/>
                <w:szCs w:val="20"/>
                <w:color w:val="auto"/>
              </w:rPr>
            </w:pPr>
            <w:r>
              <w:rPr>
                <w:rFonts w:ascii="Arial" w:cs="Arial" w:eastAsia="Arial" w:hAnsi="Arial"/>
                <w:sz w:val="18"/>
                <w:szCs w:val="18"/>
                <w:b w:val="1"/>
                <w:bCs w:val="1"/>
                <w:color w:val="0000FF"/>
                <w:w w:val="79"/>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85"/>
              </w:rPr>
              <w:t>3.03</w:t>
            </w: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180" w:type="dxa"/>
            <w:vAlign w:val="bottom"/>
            <w:gridSpan w:val="4"/>
            <w:vMerge w:val="restart"/>
          </w:tcPr>
          <w:p>
            <w:pPr>
              <w:spacing w:after="0"/>
              <w:rPr>
                <w:sz w:val="20"/>
                <w:szCs w:val="20"/>
                <w:color w:val="auto"/>
              </w:rPr>
            </w:pPr>
            <w:r>
              <w:rPr>
                <w:rFonts w:ascii="Arial" w:cs="Arial" w:eastAsia="Arial" w:hAnsi="Arial"/>
                <w:sz w:val="18"/>
                <w:szCs w:val="18"/>
                <w:b w:val="1"/>
                <w:bCs w:val="1"/>
                <w:color w:val="FF0000"/>
                <w:strike w:val="1"/>
                <w:w w:val="91"/>
              </w:rPr>
              <w:t>Inability to Determine Rates</w:t>
            </w:r>
          </w:p>
        </w:tc>
        <w:tc>
          <w:tcPr>
            <w:tcW w:w="7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7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4"/>
          </w:tcPr>
          <w:p>
            <w:pPr>
              <w:jc w:val="right"/>
              <w:spacing w:after="0" w:line="178" w:lineRule="exact"/>
              <w:rPr>
                <w:sz w:val="20"/>
                <w:szCs w:val="20"/>
                <w:color w:val="auto"/>
              </w:rPr>
            </w:pPr>
            <w:r>
              <w:rPr>
                <w:rFonts w:ascii="Arial" w:cs="Arial" w:eastAsia="Arial" w:hAnsi="Arial"/>
                <w:sz w:val="18"/>
                <w:szCs w:val="18"/>
                <w:b w:val="1"/>
                <w:bCs w:val="1"/>
                <w:color w:val="FF0000"/>
                <w:strike w:val="1"/>
                <w:w w:val="79"/>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line="194" w:lineRule="exact"/>
              <w:rPr>
                <w:sz w:val="20"/>
                <w:szCs w:val="20"/>
                <w:color w:val="auto"/>
              </w:rPr>
            </w:pPr>
            <w:r>
              <w:rPr>
                <w:rFonts w:ascii="Arial" w:cs="Arial" w:eastAsia="Arial" w:hAnsi="Arial"/>
                <w:sz w:val="18"/>
                <w:szCs w:val="18"/>
                <w:b w:val="1"/>
                <w:bCs w:val="1"/>
                <w:color w:val="FF0000"/>
                <w:strike w:val="1"/>
                <w:w w:val="85"/>
              </w:rPr>
              <w:t>3.04</w:t>
            </w:r>
          </w:p>
        </w:tc>
        <w:tc>
          <w:tcPr>
            <w:tcW w:w="20" w:type="dxa"/>
            <w:vAlign w:val="bottom"/>
          </w:tcPr>
          <w:p>
            <w:pPr>
              <w:spacing w:after="0"/>
              <w:rPr>
                <w:sz w:val="16"/>
                <w:szCs w:val="16"/>
                <w:color w:val="auto"/>
              </w:rPr>
            </w:pPr>
          </w:p>
        </w:tc>
        <w:tc>
          <w:tcPr>
            <w:tcW w:w="1580" w:type="dxa"/>
            <w:vAlign w:val="bottom"/>
            <w:gridSpan w:val="3"/>
          </w:tcPr>
          <w:p>
            <w:pPr>
              <w:spacing w:after="0" w:line="194" w:lineRule="exact"/>
              <w:rPr>
                <w:sz w:val="20"/>
                <w:szCs w:val="20"/>
                <w:color w:val="auto"/>
              </w:rPr>
            </w:pPr>
            <w:r>
              <w:rPr>
                <w:rFonts w:ascii="Arial" w:cs="Arial" w:eastAsia="Arial" w:hAnsi="Arial"/>
                <w:sz w:val="18"/>
                <w:szCs w:val="18"/>
                <w:b w:val="1"/>
                <w:bCs w:val="1"/>
                <w:color w:val="0000FF"/>
                <w:w w:val="89"/>
              </w:rPr>
              <w:t xml:space="preserve">3.03  </w:t>
            </w:r>
            <w:r>
              <w:rPr>
                <w:rFonts w:ascii="Arial" w:cs="Arial" w:eastAsia="Arial" w:hAnsi="Arial"/>
                <w:sz w:val="18"/>
                <w:szCs w:val="18"/>
                <w:color w:val="000000"/>
                <w:w w:val="89"/>
              </w:rPr>
              <w:t>Increased Costs</w:t>
            </w:r>
          </w:p>
        </w:tc>
        <w:tc>
          <w:tcPr>
            <w:tcW w:w="8020" w:type="dxa"/>
            <w:vAlign w:val="bottom"/>
            <w:gridSpan w:val="3"/>
          </w:tcPr>
          <w:p>
            <w:pPr>
              <w:spacing w:after="0" w:line="194" w:lineRule="exact"/>
              <w:rPr>
                <w:sz w:val="20"/>
                <w:szCs w:val="20"/>
                <w:color w:val="auto"/>
              </w:rPr>
            </w:pPr>
            <w:r>
              <w:rPr>
                <w:rFonts w:ascii="Arial" w:cs="Arial" w:eastAsia="Arial" w:hAnsi="Arial"/>
                <w:sz w:val="18"/>
                <w:szCs w:val="18"/>
                <w:b w:val="1"/>
                <w:bCs w:val="1"/>
                <w:color w:val="FF0000"/>
                <w:strike w:val="1"/>
              </w:rPr>
              <w:t>; Reserves on Eurodollar Rate Loans</w:t>
            </w:r>
          </w:p>
        </w:tc>
        <w:tc>
          <w:tcPr>
            <w:tcW w:w="240" w:type="dxa"/>
            <w:vAlign w:val="bottom"/>
          </w:tcPr>
          <w:p>
            <w:pPr>
              <w:spacing w:after="0" w:line="194" w:lineRule="exact"/>
              <w:rPr>
                <w:sz w:val="20"/>
                <w:szCs w:val="20"/>
                <w:color w:val="auto"/>
              </w:rPr>
            </w:pPr>
            <w:r>
              <w:rPr>
                <w:rFonts w:ascii="Arial" w:cs="Arial" w:eastAsia="Arial" w:hAnsi="Arial"/>
                <w:sz w:val="18"/>
                <w:szCs w:val="18"/>
                <w:b w:val="1"/>
                <w:bCs w:val="1"/>
                <w:color w:val="FF0000"/>
                <w:strike w:val="1"/>
                <w:w w:val="99"/>
              </w:rPr>
              <w:t>90</w:t>
            </w:r>
          </w:p>
        </w:tc>
        <w:tc>
          <w:tcPr>
            <w:tcW w:w="280" w:type="dxa"/>
            <w:vAlign w:val="bottom"/>
            <w:gridSpan w:val="6"/>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101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85"/>
              </w:rPr>
              <w:t>3.05</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9300" w:type="dxa"/>
            <w:vAlign w:val="bottom"/>
            <w:gridSpan w:val="4"/>
            <w:vMerge w:val="restart"/>
          </w:tcPr>
          <w:p>
            <w:pPr>
              <w:ind w:left="140"/>
              <w:spacing w:after="0" w:line="196" w:lineRule="exact"/>
              <w:rPr>
                <w:sz w:val="20"/>
                <w:szCs w:val="20"/>
                <w:color w:val="auto"/>
              </w:rPr>
            </w:pPr>
            <w:r>
              <w:rPr>
                <w:rFonts w:ascii="Arial" w:cs="Arial" w:eastAsia="Arial" w:hAnsi="Arial"/>
                <w:sz w:val="18"/>
                <w:szCs w:val="18"/>
                <w:color w:val="auto"/>
              </w:rPr>
              <w:t>Compensation for Losses</w:t>
            </w:r>
          </w:p>
        </w:tc>
        <w:tc>
          <w:tcPr>
            <w:tcW w:w="240" w:type="dxa"/>
            <w:vAlign w:val="bottom"/>
          </w:tcPr>
          <w:p>
            <w:pPr>
              <w:spacing w:after="0" w:line="20" w:lineRule="exact"/>
              <w:rPr>
                <w:sz w:val="1"/>
                <w:szCs w:val="1"/>
                <w:color w:val="auto"/>
              </w:rPr>
            </w:pPr>
          </w:p>
        </w:tc>
        <w:tc>
          <w:tcPr>
            <w:tcW w:w="260" w:type="dxa"/>
            <w:vAlign w:val="bottom"/>
            <w:tcBorders>
              <w:bottom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b w:val="1"/>
                <w:bCs w:val="1"/>
                <w:color w:val="0000FF"/>
                <w:w w:val="85"/>
              </w:rPr>
              <w:t>3.04</w:t>
            </w:r>
          </w:p>
        </w:tc>
        <w:tc>
          <w:tcPr>
            <w:tcW w:w="930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gridSpan w:val="5"/>
          </w:tcPr>
          <w:p>
            <w:pPr>
              <w:jc w:val="right"/>
              <w:spacing w:after="0" w:line="156" w:lineRule="exact"/>
              <w:rPr>
                <w:sz w:val="20"/>
                <w:szCs w:val="20"/>
                <w:color w:val="auto"/>
              </w:rPr>
            </w:pPr>
            <w:r>
              <w:rPr>
                <w:rFonts w:ascii="Arial" w:cs="Arial" w:eastAsia="Arial" w:hAnsi="Arial"/>
                <w:sz w:val="18"/>
                <w:szCs w:val="18"/>
                <w:color w:val="auto"/>
                <w:w w:val="79"/>
              </w:rPr>
              <w:t>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85"/>
              </w:rPr>
              <w:t>3.06</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9300" w:type="dxa"/>
            <w:vAlign w:val="bottom"/>
            <w:gridSpan w:val="4"/>
            <w:vMerge w:val="restart"/>
          </w:tcPr>
          <w:p>
            <w:pPr>
              <w:ind w:left="140"/>
              <w:spacing w:after="0" w:line="196" w:lineRule="exact"/>
              <w:rPr>
                <w:sz w:val="20"/>
                <w:szCs w:val="20"/>
                <w:color w:val="auto"/>
              </w:rPr>
            </w:pPr>
            <w:r>
              <w:rPr>
                <w:rFonts w:ascii="Arial" w:cs="Arial" w:eastAsia="Arial" w:hAnsi="Arial"/>
                <w:sz w:val="18"/>
                <w:szCs w:val="18"/>
                <w:color w:val="auto"/>
              </w:rPr>
              <w:t>Mitigation Obligations; Replacement of Lenders</w:t>
            </w:r>
          </w:p>
        </w:tc>
        <w:tc>
          <w:tcPr>
            <w:tcW w:w="240" w:type="dxa"/>
            <w:vAlign w:val="bottom"/>
            <w:vMerge w:val="restart"/>
          </w:tcPr>
          <w:p>
            <w:pPr>
              <w:ind w:left="60"/>
              <w:spacing w:after="0"/>
              <w:rPr>
                <w:sz w:val="20"/>
                <w:szCs w:val="20"/>
                <w:color w:val="auto"/>
              </w:rPr>
            </w:pPr>
            <w:r>
              <w:rPr>
                <w:rFonts w:ascii="Arial" w:cs="Arial" w:eastAsia="Arial" w:hAnsi="Arial"/>
                <w:sz w:val="17"/>
                <w:szCs w:val="17"/>
                <w:b w:val="1"/>
                <w:bCs w:val="1"/>
                <w:color w:val="FF0000"/>
                <w:strike w:val="1"/>
                <w:w w:val="73"/>
              </w:rPr>
              <w:t>92</w:t>
            </w:r>
          </w:p>
        </w:tc>
        <w:tc>
          <w:tcPr>
            <w:tcW w:w="280" w:type="dxa"/>
            <w:vAlign w:val="bottom"/>
            <w:gridSpan w:val="6"/>
            <w:vMerge w:val="restart"/>
          </w:tcPr>
          <w:p>
            <w:pPr>
              <w:jc w:val="right"/>
              <w:ind w:right="20"/>
              <w:spacing w:after="0" w:line="196" w:lineRule="exact"/>
              <w:rPr>
                <w:sz w:val="20"/>
                <w:szCs w:val="20"/>
                <w:color w:val="auto"/>
              </w:rPr>
            </w:pPr>
            <w:r>
              <w:rPr>
                <w:rFonts w:ascii="Arial" w:cs="Arial" w:eastAsia="Arial" w:hAnsi="Arial"/>
                <w:sz w:val="18"/>
                <w:szCs w:val="18"/>
                <w:b w:val="1"/>
                <w:bCs w:val="1"/>
                <w:color w:val="0000FF"/>
                <w:w w:val="79"/>
              </w:rPr>
              <w:t>105</w:t>
            </w: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gridSpan w:val="3"/>
          </w:tcPr>
          <w:p>
            <w:pPr>
              <w:spacing w:after="0" w:line="156" w:lineRule="exact"/>
              <w:rPr>
                <w:sz w:val="20"/>
                <w:szCs w:val="20"/>
                <w:color w:val="auto"/>
              </w:rPr>
            </w:pPr>
            <w:r>
              <w:rPr>
                <w:rFonts w:ascii="Arial" w:cs="Arial" w:eastAsia="Arial" w:hAnsi="Arial"/>
                <w:sz w:val="18"/>
                <w:szCs w:val="18"/>
                <w:b w:val="1"/>
                <w:bCs w:val="1"/>
                <w:color w:val="0000FF"/>
                <w:w w:val="85"/>
              </w:rPr>
              <w:t>3.05</w:t>
            </w:r>
          </w:p>
        </w:tc>
        <w:tc>
          <w:tcPr>
            <w:tcW w:w="9300" w:type="dxa"/>
            <w:vAlign w:val="bottom"/>
            <w:gridSpan w:val="4"/>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85"/>
              </w:rPr>
              <w:t>3.07</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9300" w:type="dxa"/>
            <w:vAlign w:val="bottom"/>
            <w:gridSpan w:val="4"/>
            <w:vMerge w:val="restart"/>
          </w:tcPr>
          <w:p>
            <w:pPr>
              <w:ind w:left="140"/>
              <w:spacing w:after="0" w:line="196" w:lineRule="exact"/>
              <w:rPr>
                <w:sz w:val="20"/>
                <w:szCs w:val="20"/>
                <w:color w:val="auto"/>
              </w:rPr>
            </w:pPr>
            <w:r>
              <w:rPr>
                <w:rFonts w:ascii="Arial" w:cs="Arial" w:eastAsia="Arial" w:hAnsi="Arial"/>
                <w:sz w:val="18"/>
                <w:szCs w:val="18"/>
                <w:color w:val="auto"/>
              </w:rPr>
              <w:t>Survival</w:t>
            </w:r>
          </w:p>
        </w:tc>
        <w:tc>
          <w:tcPr>
            <w:tcW w:w="24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b w:val="1"/>
                <w:bCs w:val="1"/>
                <w:color w:val="0000FF"/>
                <w:w w:val="85"/>
              </w:rPr>
              <w:t>3.06</w:t>
            </w:r>
          </w:p>
        </w:tc>
        <w:tc>
          <w:tcPr>
            <w:tcW w:w="930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gridSpan w:val="5"/>
          </w:tcPr>
          <w:p>
            <w:pPr>
              <w:jc w:val="right"/>
              <w:spacing w:after="0" w:line="156" w:lineRule="exact"/>
              <w:rPr>
                <w:sz w:val="20"/>
                <w:szCs w:val="20"/>
                <w:color w:val="auto"/>
              </w:rPr>
            </w:pPr>
            <w:r>
              <w:rPr>
                <w:rFonts w:ascii="Arial" w:cs="Arial" w:eastAsia="Arial" w:hAnsi="Arial"/>
                <w:sz w:val="18"/>
                <w:szCs w:val="18"/>
                <w:color w:val="auto"/>
                <w:w w:val="79"/>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40" w:type="dxa"/>
            <w:vAlign w:val="bottom"/>
            <w:gridSpan w:val="10"/>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240" w:type="dxa"/>
            <w:vAlign w:val="bottom"/>
          </w:tcPr>
          <w:p>
            <w:pPr>
              <w:ind w:left="60"/>
              <w:spacing w:after="0"/>
              <w:rPr>
                <w:sz w:val="20"/>
                <w:szCs w:val="20"/>
                <w:color w:val="auto"/>
              </w:rPr>
            </w:pPr>
            <w:r>
              <w:rPr>
                <w:rFonts w:ascii="Arial" w:cs="Arial" w:eastAsia="Arial" w:hAnsi="Arial"/>
                <w:sz w:val="17"/>
                <w:szCs w:val="17"/>
                <w:b w:val="1"/>
                <w:bCs w:val="1"/>
                <w:color w:val="FF0000"/>
                <w:strike w:val="1"/>
                <w:w w:val="73"/>
              </w:rPr>
              <w:t>93</w:t>
            </w:r>
          </w:p>
        </w:tc>
        <w:tc>
          <w:tcPr>
            <w:tcW w:w="2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0000FF"/>
                <w:w w:val="79"/>
              </w:rPr>
              <w:t>106</w:t>
            </w: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Arial" w:cs="Arial" w:eastAsia="Arial" w:hAnsi="Arial"/>
                <w:sz w:val="18"/>
                <w:szCs w:val="18"/>
                <w:color w:val="auto"/>
                <w:w w:val="91"/>
              </w:rPr>
              <w:t>4.01</w:t>
            </w:r>
          </w:p>
        </w:tc>
        <w:tc>
          <w:tcPr>
            <w:tcW w:w="9600" w:type="dxa"/>
            <w:vAlign w:val="bottom"/>
            <w:gridSpan w:val="6"/>
            <w:vMerge w:val="restart"/>
          </w:tcPr>
          <w:p>
            <w:pPr>
              <w:ind w:left="240"/>
              <w:spacing w:after="0" w:line="196" w:lineRule="exact"/>
              <w:rPr>
                <w:sz w:val="20"/>
                <w:szCs w:val="20"/>
                <w:color w:val="auto"/>
              </w:rPr>
            </w:pPr>
            <w:r>
              <w:rPr>
                <w:rFonts w:ascii="Arial" w:cs="Arial" w:eastAsia="Arial" w:hAnsi="Arial"/>
                <w:sz w:val="18"/>
                <w:szCs w:val="18"/>
                <w:color w:val="auto"/>
              </w:rPr>
              <w:t>Conditions of Initial Credit Extension</w:t>
            </w:r>
          </w:p>
        </w:tc>
        <w:tc>
          <w:tcPr>
            <w:tcW w:w="240" w:type="dxa"/>
            <w:vAlign w:val="bottom"/>
            <w:vMerge w:val="restart"/>
          </w:tcPr>
          <w:p>
            <w:pPr>
              <w:ind w:left="60"/>
              <w:spacing w:after="0"/>
              <w:rPr>
                <w:sz w:val="20"/>
                <w:szCs w:val="20"/>
                <w:color w:val="auto"/>
              </w:rPr>
            </w:pPr>
            <w:r>
              <w:rPr>
                <w:rFonts w:ascii="Arial" w:cs="Arial" w:eastAsia="Arial" w:hAnsi="Arial"/>
                <w:sz w:val="17"/>
                <w:szCs w:val="17"/>
                <w:b w:val="1"/>
                <w:bCs w:val="1"/>
                <w:color w:val="FF0000"/>
                <w:strike w:val="1"/>
                <w:w w:val="73"/>
              </w:rPr>
              <w:t>93</w:t>
            </w: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60" w:type="dxa"/>
            <w:vAlign w:val="bottom"/>
            <w:tcBorders>
              <w:bottom w:val="single" w:sz="8" w:color="0000FF"/>
            </w:tcBorders>
            <w:gridSpan w:val="5"/>
          </w:tcPr>
          <w:p>
            <w:pPr>
              <w:jc w:val="right"/>
              <w:spacing w:after="0" w:line="156" w:lineRule="exact"/>
              <w:rPr>
                <w:sz w:val="20"/>
                <w:szCs w:val="20"/>
                <w:color w:val="auto"/>
              </w:rPr>
            </w:pPr>
            <w:r>
              <w:rPr>
                <w:rFonts w:ascii="Arial" w:cs="Arial" w:eastAsia="Arial" w:hAnsi="Arial"/>
                <w:sz w:val="18"/>
                <w:szCs w:val="18"/>
                <w:b w:val="1"/>
                <w:bCs w:val="1"/>
                <w:color w:val="0000FF"/>
                <w:w w:val="79"/>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800"/>
              <w:spacing w:after="0" w:line="196" w:lineRule="exact"/>
              <w:rPr>
                <w:sz w:val="20"/>
                <w:szCs w:val="20"/>
                <w:color w:val="auto"/>
              </w:rPr>
            </w:pPr>
            <w:r>
              <w:rPr>
                <w:rFonts w:ascii="Arial" w:cs="Arial" w:eastAsia="Arial" w:hAnsi="Arial"/>
                <w:sz w:val="18"/>
                <w:szCs w:val="18"/>
                <w:color w:val="auto"/>
                <w:w w:val="91"/>
              </w:rPr>
              <w:t>4.02</w:t>
            </w:r>
          </w:p>
        </w:tc>
        <w:tc>
          <w:tcPr>
            <w:tcW w:w="9600" w:type="dxa"/>
            <w:vAlign w:val="bottom"/>
            <w:gridSpan w:val="6"/>
            <w:vMerge w:val="restart"/>
          </w:tcPr>
          <w:p>
            <w:pPr>
              <w:ind w:left="240"/>
              <w:spacing w:after="0" w:line="196" w:lineRule="exact"/>
              <w:rPr>
                <w:sz w:val="20"/>
                <w:szCs w:val="20"/>
                <w:color w:val="auto"/>
              </w:rPr>
            </w:pPr>
            <w:r>
              <w:rPr>
                <w:rFonts w:ascii="Arial" w:cs="Arial" w:eastAsia="Arial" w:hAnsi="Arial"/>
                <w:sz w:val="18"/>
                <w:szCs w:val="18"/>
                <w:color w:val="auto"/>
              </w:rPr>
              <w:t>Conditions to all Credit Extensions</w:t>
            </w:r>
          </w:p>
        </w:tc>
        <w:tc>
          <w:tcPr>
            <w:tcW w:w="240" w:type="dxa"/>
            <w:vAlign w:val="bottom"/>
            <w:vMerge w:val="restart"/>
          </w:tcPr>
          <w:p>
            <w:pPr>
              <w:ind w:left="60"/>
              <w:spacing w:after="0"/>
              <w:rPr>
                <w:sz w:val="20"/>
                <w:szCs w:val="20"/>
                <w:color w:val="auto"/>
              </w:rPr>
            </w:pPr>
            <w:r>
              <w:rPr>
                <w:rFonts w:ascii="Arial" w:cs="Arial" w:eastAsia="Arial" w:hAnsi="Arial"/>
                <w:sz w:val="17"/>
                <w:szCs w:val="17"/>
                <w:b w:val="1"/>
                <w:bCs w:val="1"/>
                <w:color w:val="FF0000"/>
                <w:strike w:val="1"/>
                <w:w w:val="73"/>
              </w:rPr>
              <w:t>95</w:t>
            </w: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600" w:type="dxa"/>
            <w:vAlign w:val="bottom"/>
            <w:gridSpan w:val="6"/>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60" w:type="dxa"/>
            <w:vAlign w:val="bottom"/>
            <w:tcBorders>
              <w:bottom w:val="single" w:sz="8" w:color="0000FF"/>
            </w:tcBorders>
            <w:gridSpan w:val="5"/>
          </w:tcPr>
          <w:p>
            <w:pPr>
              <w:jc w:val="right"/>
              <w:spacing w:after="0" w:line="156" w:lineRule="exact"/>
              <w:rPr>
                <w:sz w:val="20"/>
                <w:szCs w:val="20"/>
                <w:color w:val="auto"/>
              </w:rPr>
            </w:pPr>
            <w:r>
              <w:rPr>
                <w:rFonts w:ascii="Arial" w:cs="Arial" w:eastAsia="Arial" w:hAnsi="Arial"/>
                <w:sz w:val="18"/>
                <w:szCs w:val="18"/>
                <w:b w:val="1"/>
                <w:bCs w:val="1"/>
                <w:color w:val="0000FF"/>
                <w:w w:val="79"/>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0" w:type="dxa"/>
            <w:vAlign w:val="bottom"/>
            <w:gridSpan w:val="6"/>
            <w:vMerge w:val="restart"/>
          </w:tcPr>
          <w:p>
            <w:pPr>
              <w:ind w:left="4320"/>
              <w:spacing w:after="0"/>
              <w:rPr>
                <w:sz w:val="20"/>
                <w:szCs w:val="20"/>
                <w:color w:val="auto"/>
              </w:rPr>
            </w:pPr>
            <w:r>
              <w:rPr>
                <w:rFonts w:ascii="Arial" w:cs="Arial" w:eastAsia="Arial" w:hAnsi="Arial"/>
                <w:sz w:val="18"/>
                <w:szCs w:val="18"/>
                <w:color w:val="auto"/>
              </w:rPr>
              <w:t>- 1 -</w:t>
            </w:r>
          </w:p>
        </w:tc>
        <w:tc>
          <w:tcPr>
            <w:tcW w:w="2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6"/>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700" w:type="dxa"/>
            <w:vAlign w:val="bottom"/>
            <w:gridSpan w:val="2"/>
            <w:vMerge w:val="restart"/>
          </w:tcPr>
          <w:p>
            <w:pPr>
              <w:spacing w:after="0"/>
              <w:rPr>
                <w:sz w:val="20"/>
                <w:szCs w:val="20"/>
                <w:color w:val="auto"/>
              </w:rPr>
            </w:pPr>
            <w:r>
              <w:rPr>
                <w:rFonts w:ascii="Arial" w:cs="Arial" w:eastAsia="Arial" w:hAnsi="Arial"/>
                <w:sz w:val="18"/>
                <w:szCs w:val="18"/>
                <w:color w:val="auto"/>
              </w:rPr>
              <w:t>ARTICLE V REPRESENTATIONS AND WARRANTIES</w:t>
            </w:r>
          </w:p>
        </w:tc>
        <w:tc>
          <w:tcPr>
            <w:tcW w:w="100" w:type="dxa"/>
            <w:vAlign w:val="bottom"/>
            <w:vMerge w:val="restart"/>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0000FF"/>
                <w:w w:val="79"/>
              </w:rPr>
              <w:t>109</w:t>
            </w:r>
          </w:p>
        </w:tc>
        <w:tc>
          <w:tcPr>
            <w:tcW w:w="0" w:type="dxa"/>
            <w:vAlign w:val="bottom"/>
          </w:tcPr>
          <w:p>
            <w:pPr>
              <w:spacing w:after="0" w:line="20" w:lineRule="exact"/>
              <w:rPr>
                <w:sz w:val="1"/>
                <w:szCs w:val="1"/>
                <w:color w:val="auto"/>
              </w:rPr>
            </w:pPr>
          </w:p>
        </w:tc>
      </w:tr>
      <w:tr>
        <w:trPr>
          <w:trHeight w:val="174"/>
        </w:trPr>
        <w:tc>
          <w:tcPr>
            <w:tcW w:w="107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Arial" w:cs="Arial" w:eastAsia="Arial" w:hAnsi="Arial"/>
                <w:sz w:val="18"/>
                <w:szCs w:val="18"/>
                <w:color w:val="auto"/>
              </w:rPr>
              <w:t>5.01</w:t>
            </w:r>
          </w:p>
        </w:tc>
        <w:tc>
          <w:tcPr>
            <w:tcW w:w="946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Existence, Qualification and Power</w:t>
            </w:r>
          </w:p>
        </w:tc>
        <w:tc>
          <w:tcPr>
            <w:tcW w:w="100" w:type="dxa"/>
            <w:vAlign w:val="bottom"/>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FF0000"/>
                <w:strike w:val="1"/>
                <w:w w:val="73"/>
              </w:rPr>
              <w:t>96</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5.02</w:t>
            </w:r>
          </w:p>
        </w:tc>
        <w:tc>
          <w:tcPr>
            <w:tcW w:w="9460" w:type="dxa"/>
            <w:vAlign w:val="bottom"/>
            <w:vMerge w:val="restart"/>
          </w:tcPr>
          <w:p>
            <w:pPr>
              <w:ind w:left="140"/>
              <w:spacing w:after="0"/>
              <w:rPr>
                <w:sz w:val="20"/>
                <w:szCs w:val="20"/>
                <w:color w:val="auto"/>
              </w:rPr>
            </w:pPr>
            <w:r>
              <w:rPr>
                <w:rFonts w:ascii="Arial" w:cs="Arial" w:eastAsia="Arial" w:hAnsi="Arial"/>
                <w:sz w:val="18"/>
                <w:szCs w:val="18"/>
                <w:color w:val="auto"/>
              </w:rPr>
              <w:t>Authorization; No Contravention</w:t>
            </w: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86"/>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9460" w:type="dxa"/>
            <w:vAlign w:val="bottom"/>
          </w:tcPr>
          <w:p>
            <w:pPr>
              <w:ind w:left="140"/>
              <w:spacing w:after="0"/>
              <w:rPr>
                <w:sz w:val="20"/>
                <w:szCs w:val="20"/>
                <w:color w:val="auto"/>
              </w:rPr>
            </w:pPr>
            <w:r>
              <w:rPr>
                <w:rFonts w:ascii="Arial" w:cs="Arial" w:eastAsia="Arial" w:hAnsi="Arial"/>
                <w:sz w:val="18"/>
                <w:szCs w:val="18"/>
                <w:color w:val="auto"/>
              </w:rPr>
              <w:t>Governmental Authorization</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4"/>
        </w:trPr>
        <w:tc>
          <w:tcPr>
            <w:tcW w:w="1240" w:type="dxa"/>
            <w:vAlign w:val="bottom"/>
          </w:tcPr>
          <w:p>
            <w:pPr>
              <w:jc w:val="right"/>
              <w:ind w:right="30"/>
              <w:spacing w:after="0" w:line="194" w:lineRule="exact"/>
              <w:rPr>
                <w:sz w:val="20"/>
                <w:szCs w:val="20"/>
                <w:color w:val="auto"/>
              </w:rPr>
            </w:pPr>
            <w:r>
              <w:rPr>
                <w:rFonts w:ascii="Arial" w:cs="Arial" w:eastAsia="Arial" w:hAnsi="Arial"/>
                <w:sz w:val="18"/>
                <w:szCs w:val="18"/>
                <w:color w:val="auto"/>
              </w:rPr>
              <w:t>5.04</w:t>
            </w:r>
          </w:p>
        </w:tc>
        <w:tc>
          <w:tcPr>
            <w:tcW w:w="9460" w:type="dxa"/>
            <w:vAlign w:val="bottom"/>
          </w:tcPr>
          <w:p>
            <w:pPr>
              <w:ind w:left="140"/>
              <w:spacing w:after="0" w:line="194" w:lineRule="exact"/>
              <w:rPr>
                <w:sz w:val="20"/>
                <w:szCs w:val="20"/>
                <w:color w:val="auto"/>
              </w:rPr>
            </w:pPr>
            <w:r>
              <w:rPr>
                <w:rFonts w:ascii="Arial" w:cs="Arial" w:eastAsia="Arial" w:hAnsi="Arial"/>
                <w:sz w:val="18"/>
                <w:szCs w:val="18"/>
                <w:color w:val="auto"/>
              </w:rPr>
              <w:t>Binding Effect</w:t>
            </w:r>
          </w:p>
        </w:tc>
        <w:tc>
          <w:tcPr>
            <w:tcW w:w="100" w:type="dxa"/>
            <w:vAlign w:val="bottom"/>
          </w:tcPr>
          <w:p>
            <w:pPr>
              <w:spacing w:after="0"/>
              <w:rPr>
                <w:sz w:val="16"/>
                <w:szCs w:val="16"/>
                <w:color w:val="auto"/>
              </w:rPr>
            </w:pPr>
          </w:p>
        </w:tc>
        <w:tc>
          <w:tcPr>
            <w:tcW w:w="18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FF0000"/>
                <w:strike w:val="1"/>
                <w:w w:val="79"/>
              </w:rPr>
              <w:t>97</w:t>
            </w:r>
          </w:p>
        </w:tc>
        <w:tc>
          <w:tcPr>
            <w:tcW w:w="28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110</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Arial" w:cs="Arial" w:eastAsia="Arial" w:hAnsi="Arial"/>
                <w:sz w:val="18"/>
                <w:szCs w:val="18"/>
                <w:color w:val="auto"/>
              </w:rPr>
              <w:t>5.05</w:t>
            </w:r>
          </w:p>
        </w:tc>
        <w:tc>
          <w:tcPr>
            <w:tcW w:w="946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Financial Statements; No Material Adverse Effect</w:t>
            </w:r>
          </w:p>
        </w:tc>
        <w:tc>
          <w:tcPr>
            <w:tcW w:w="100" w:type="dxa"/>
            <w:vAlign w:val="bottom"/>
            <w:vMerge w:val="restart"/>
          </w:tcPr>
          <w:p>
            <w:pPr>
              <w:spacing w:after="0" w:line="20" w:lineRule="exact"/>
              <w:rPr>
                <w:sz w:val="1"/>
                <w:szCs w:val="1"/>
                <w:color w:val="auto"/>
              </w:rPr>
            </w:pPr>
          </w:p>
        </w:tc>
        <w:tc>
          <w:tcPr>
            <w:tcW w:w="1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3"/>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5.06</w:t>
            </w:r>
          </w:p>
        </w:tc>
        <w:tc>
          <w:tcPr>
            <w:tcW w:w="9460" w:type="dxa"/>
            <w:vAlign w:val="bottom"/>
            <w:vMerge w:val="restart"/>
          </w:tcPr>
          <w:p>
            <w:pPr>
              <w:ind w:left="140"/>
              <w:spacing w:after="0"/>
              <w:rPr>
                <w:sz w:val="20"/>
                <w:szCs w:val="20"/>
                <w:color w:val="auto"/>
              </w:rPr>
            </w:pPr>
            <w:r>
              <w:rPr>
                <w:rFonts w:ascii="Arial" w:cs="Arial" w:eastAsia="Arial" w:hAnsi="Arial"/>
                <w:sz w:val="18"/>
                <w:szCs w:val="18"/>
                <w:color w:val="auto"/>
              </w:rPr>
              <w:t>Litigation</w:t>
            </w:r>
          </w:p>
        </w:tc>
        <w:tc>
          <w:tcPr>
            <w:tcW w:w="10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78" w:lineRule="exact"/>
              <w:rPr>
                <w:sz w:val="20"/>
                <w:szCs w:val="20"/>
                <w:color w:val="auto"/>
              </w:rPr>
            </w:pPr>
            <w:r>
              <w:rPr>
                <w:rFonts w:ascii="Arial" w:cs="Arial" w:eastAsia="Arial" w:hAnsi="Arial"/>
                <w:sz w:val="18"/>
                <w:szCs w:val="18"/>
                <w:color w:val="auto"/>
                <w:w w:val="73"/>
              </w:rPr>
              <w:t>111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40" w:type="dxa"/>
            <w:vAlign w:val="bottom"/>
          </w:tcPr>
          <w:p>
            <w:pPr>
              <w:jc w:val="right"/>
              <w:ind w:right="30"/>
              <w:spacing w:after="0" w:line="194" w:lineRule="exact"/>
              <w:rPr>
                <w:sz w:val="20"/>
                <w:szCs w:val="20"/>
                <w:color w:val="auto"/>
              </w:rPr>
            </w:pPr>
            <w:r>
              <w:rPr>
                <w:rFonts w:ascii="Arial" w:cs="Arial" w:eastAsia="Arial" w:hAnsi="Arial"/>
                <w:sz w:val="18"/>
                <w:szCs w:val="18"/>
                <w:color w:val="auto"/>
              </w:rPr>
              <w:t>5.07</w:t>
            </w:r>
          </w:p>
        </w:tc>
        <w:tc>
          <w:tcPr>
            <w:tcW w:w="9460" w:type="dxa"/>
            <w:vAlign w:val="bottom"/>
          </w:tcPr>
          <w:p>
            <w:pPr>
              <w:ind w:left="140"/>
              <w:spacing w:after="0" w:line="194" w:lineRule="exact"/>
              <w:rPr>
                <w:sz w:val="20"/>
                <w:szCs w:val="20"/>
                <w:color w:val="auto"/>
              </w:rPr>
            </w:pPr>
            <w:r>
              <w:rPr>
                <w:rFonts w:ascii="Arial" w:cs="Arial" w:eastAsia="Arial" w:hAnsi="Arial"/>
                <w:sz w:val="18"/>
                <w:szCs w:val="18"/>
                <w:color w:val="auto"/>
              </w:rPr>
              <w:t>No Default</w:t>
            </w:r>
          </w:p>
        </w:tc>
        <w:tc>
          <w:tcPr>
            <w:tcW w:w="100" w:type="dxa"/>
            <w:vAlign w:val="bottom"/>
          </w:tcPr>
          <w:p>
            <w:pPr>
              <w:spacing w:after="0"/>
              <w:rPr>
                <w:sz w:val="16"/>
                <w:szCs w:val="16"/>
                <w:color w:val="auto"/>
              </w:rPr>
            </w:pPr>
          </w:p>
        </w:tc>
        <w:tc>
          <w:tcPr>
            <w:tcW w:w="20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FF0000"/>
                <w:strike w:val="1"/>
                <w:w w:val="89"/>
              </w:rPr>
              <w:t>98</w:t>
            </w:r>
          </w:p>
        </w:tc>
        <w:tc>
          <w:tcPr>
            <w:tcW w:w="26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3"/>
              </w:rPr>
              <w:t>111</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Arial" w:cs="Arial" w:eastAsia="Arial" w:hAnsi="Arial"/>
                <w:sz w:val="18"/>
                <w:szCs w:val="18"/>
                <w:color w:val="auto"/>
              </w:rPr>
              <w:t>5.08</w:t>
            </w:r>
          </w:p>
        </w:tc>
        <w:tc>
          <w:tcPr>
            <w:tcW w:w="946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Ownership of Properties</w:t>
            </w:r>
          </w:p>
        </w:tc>
        <w:tc>
          <w:tcPr>
            <w:tcW w:w="100" w:type="dxa"/>
            <w:vAlign w:val="bottom"/>
            <w:vMerge w:val="restart"/>
          </w:tcPr>
          <w:p>
            <w:pPr>
              <w:spacing w:after="0" w:line="20" w:lineRule="exact"/>
              <w:rPr>
                <w:sz w:val="1"/>
                <w:szCs w:val="1"/>
                <w:color w:val="auto"/>
              </w:rPr>
            </w:pPr>
          </w:p>
        </w:tc>
        <w:tc>
          <w:tcPr>
            <w:tcW w:w="20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98</w:t>
            </w: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3"/>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Arial" w:cs="Arial" w:eastAsia="Arial" w:hAnsi="Arial"/>
                <w:sz w:val="18"/>
                <w:szCs w:val="18"/>
                <w:color w:val="auto"/>
              </w:rPr>
              <w:t>5.09</w:t>
            </w:r>
          </w:p>
        </w:tc>
        <w:tc>
          <w:tcPr>
            <w:tcW w:w="946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Environmental Compliance</w:t>
            </w:r>
          </w:p>
        </w:tc>
        <w:tc>
          <w:tcPr>
            <w:tcW w:w="100" w:type="dxa"/>
            <w:vAlign w:val="bottom"/>
            <w:vMerge w:val="restart"/>
          </w:tcPr>
          <w:p>
            <w:pPr>
              <w:spacing w:after="0" w:line="20" w:lineRule="exact"/>
              <w:rPr>
                <w:sz w:val="1"/>
                <w:szCs w:val="1"/>
                <w:color w:val="auto"/>
              </w:rPr>
            </w:pPr>
          </w:p>
        </w:tc>
        <w:tc>
          <w:tcPr>
            <w:tcW w:w="20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98</w:t>
            </w: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3"/>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5.10</w:t>
            </w:r>
          </w:p>
        </w:tc>
        <w:tc>
          <w:tcPr>
            <w:tcW w:w="9460" w:type="dxa"/>
            <w:vAlign w:val="bottom"/>
            <w:vMerge w:val="restart"/>
          </w:tcPr>
          <w:p>
            <w:pPr>
              <w:ind w:left="140"/>
              <w:spacing w:after="0"/>
              <w:rPr>
                <w:sz w:val="20"/>
                <w:szCs w:val="20"/>
                <w:color w:val="auto"/>
              </w:rPr>
            </w:pPr>
            <w:r>
              <w:rPr>
                <w:rFonts w:ascii="Arial" w:cs="Arial" w:eastAsia="Arial" w:hAnsi="Arial"/>
                <w:sz w:val="18"/>
                <w:szCs w:val="18"/>
                <w:color w:val="auto"/>
              </w:rPr>
              <w:t>Insurance</w:t>
            </w:r>
          </w:p>
        </w:tc>
        <w:tc>
          <w:tcPr>
            <w:tcW w:w="2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w w:val="73"/>
              </w:rPr>
              <w:t>112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9460" w:type="dxa"/>
            <w:vAlign w:val="bottom"/>
          </w:tcPr>
          <w:p>
            <w:pPr>
              <w:ind w:left="140"/>
              <w:spacing w:after="0"/>
              <w:rPr>
                <w:sz w:val="20"/>
                <w:szCs w:val="20"/>
                <w:color w:val="auto"/>
              </w:rPr>
            </w:pPr>
            <w:r>
              <w:rPr>
                <w:rFonts w:ascii="Arial" w:cs="Arial" w:eastAsia="Arial" w:hAnsi="Arial"/>
                <w:sz w:val="18"/>
                <w:szCs w:val="18"/>
                <w:color w:val="auto"/>
              </w:rPr>
              <w:t>Taxes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9460" w:type="dxa"/>
            <w:vAlign w:val="bottom"/>
          </w:tcPr>
          <w:p>
            <w:pPr>
              <w:ind w:left="140"/>
              <w:spacing w:after="0"/>
              <w:rPr>
                <w:sz w:val="20"/>
                <w:szCs w:val="20"/>
                <w:color w:val="auto"/>
              </w:rPr>
            </w:pPr>
            <w:r>
              <w:rPr>
                <w:rFonts w:ascii="Arial" w:cs="Arial" w:eastAsia="Arial" w:hAnsi="Arial"/>
                <w:sz w:val="18"/>
                <w:szCs w:val="18"/>
                <w:color w:val="auto"/>
              </w:rPr>
              <w:t>ERISA Compliance</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9460" w:type="dxa"/>
            <w:vAlign w:val="bottom"/>
          </w:tcPr>
          <w:p>
            <w:pPr>
              <w:ind w:left="140"/>
              <w:spacing w:after="0"/>
              <w:rPr>
                <w:sz w:val="20"/>
                <w:szCs w:val="20"/>
                <w:color w:val="auto"/>
              </w:rPr>
            </w:pPr>
            <w:r>
              <w:rPr>
                <w:rFonts w:ascii="Arial" w:cs="Arial" w:eastAsia="Arial" w:hAnsi="Arial"/>
                <w:sz w:val="18"/>
                <w:szCs w:val="18"/>
                <w:color w:val="auto"/>
              </w:rPr>
              <w:t>Subsidiaries; Equity Interests; Loan Parties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9460" w:type="dxa"/>
            <w:vAlign w:val="bottom"/>
          </w:tcPr>
          <w:p>
            <w:pPr>
              <w:ind w:left="140"/>
              <w:spacing w:after="0"/>
              <w:rPr>
                <w:sz w:val="20"/>
                <w:szCs w:val="20"/>
                <w:color w:val="auto"/>
              </w:rPr>
            </w:pPr>
            <w:r>
              <w:rPr>
                <w:rFonts w:ascii="Arial" w:cs="Arial" w:eastAsia="Arial" w:hAnsi="Arial"/>
                <w:sz w:val="18"/>
                <w:szCs w:val="18"/>
                <w:color w:val="auto"/>
              </w:rPr>
              <w:t>Margin Regulations; Investment Company Act</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4"/>
        </w:trPr>
        <w:tc>
          <w:tcPr>
            <w:tcW w:w="1240" w:type="dxa"/>
            <w:vAlign w:val="bottom"/>
          </w:tcPr>
          <w:p>
            <w:pPr>
              <w:jc w:val="right"/>
              <w:ind w:right="30"/>
              <w:spacing w:after="0" w:line="194" w:lineRule="exact"/>
              <w:rPr>
                <w:sz w:val="20"/>
                <w:szCs w:val="20"/>
                <w:color w:val="auto"/>
              </w:rPr>
            </w:pPr>
            <w:r>
              <w:rPr>
                <w:rFonts w:ascii="Arial" w:cs="Arial" w:eastAsia="Arial" w:hAnsi="Arial"/>
                <w:sz w:val="18"/>
                <w:szCs w:val="18"/>
                <w:color w:val="auto"/>
              </w:rPr>
              <w:t>5.15</w:t>
            </w:r>
          </w:p>
        </w:tc>
        <w:tc>
          <w:tcPr>
            <w:tcW w:w="9460" w:type="dxa"/>
            <w:vAlign w:val="bottom"/>
          </w:tcPr>
          <w:p>
            <w:pPr>
              <w:ind w:left="140"/>
              <w:spacing w:after="0" w:line="194" w:lineRule="exact"/>
              <w:rPr>
                <w:sz w:val="20"/>
                <w:szCs w:val="20"/>
                <w:color w:val="auto"/>
              </w:rPr>
            </w:pPr>
            <w:r>
              <w:rPr>
                <w:rFonts w:ascii="Arial" w:cs="Arial" w:eastAsia="Arial" w:hAnsi="Arial"/>
                <w:sz w:val="18"/>
                <w:szCs w:val="18"/>
                <w:color w:val="auto"/>
              </w:rPr>
              <w:t>Disclosure</w:t>
            </w:r>
          </w:p>
        </w:tc>
        <w:tc>
          <w:tcPr>
            <w:tcW w:w="28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101</w:t>
            </w:r>
          </w:p>
        </w:tc>
        <w:tc>
          <w:tcPr>
            <w:tcW w:w="28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114</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5.16</w:t>
            </w:r>
          </w:p>
        </w:tc>
        <w:tc>
          <w:tcPr>
            <w:tcW w:w="9460" w:type="dxa"/>
            <w:vAlign w:val="bottom"/>
            <w:vMerge w:val="restart"/>
          </w:tcPr>
          <w:p>
            <w:pPr>
              <w:ind w:left="140"/>
              <w:spacing w:after="0"/>
              <w:rPr>
                <w:sz w:val="20"/>
                <w:szCs w:val="20"/>
                <w:color w:val="auto"/>
              </w:rPr>
            </w:pPr>
            <w:r>
              <w:rPr>
                <w:rFonts w:ascii="Arial" w:cs="Arial" w:eastAsia="Arial" w:hAnsi="Arial"/>
                <w:sz w:val="18"/>
                <w:szCs w:val="18"/>
                <w:color w:val="auto"/>
              </w:rPr>
              <w:t>Compliance with Laws</w:t>
            </w:r>
          </w:p>
        </w:tc>
        <w:tc>
          <w:tcPr>
            <w:tcW w:w="280" w:type="dxa"/>
            <w:vAlign w:val="bottom"/>
            <w:gridSpan w:val="3"/>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w w:val="73"/>
              </w:rPr>
              <w:t>115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9460" w:type="dxa"/>
            <w:vAlign w:val="bottom"/>
          </w:tcPr>
          <w:p>
            <w:pPr>
              <w:ind w:left="140"/>
              <w:spacing w:after="0"/>
              <w:rPr>
                <w:sz w:val="20"/>
                <w:szCs w:val="20"/>
                <w:color w:val="auto"/>
              </w:rPr>
            </w:pPr>
            <w:r>
              <w:rPr>
                <w:rFonts w:ascii="Arial" w:cs="Arial" w:eastAsia="Arial" w:hAnsi="Arial"/>
                <w:sz w:val="18"/>
                <w:szCs w:val="18"/>
                <w:color w:val="auto"/>
              </w:rPr>
              <w:t>Energy Regulatory Matters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4"/>
        </w:trPr>
        <w:tc>
          <w:tcPr>
            <w:tcW w:w="1240" w:type="dxa"/>
            <w:vAlign w:val="bottom"/>
          </w:tcPr>
          <w:p>
            <w:pPr>
              <w:jc w:val="right"/>
              <w:ind w:right="30"/>
              <w:spacing w:after="0" w:line="194" w:lineRule="exact"/>
              <w:rPr>
                <w:sz w:val="20"/>
                <w:szCs w:val="20"/>
                <w:color w:val="auto"/>
              </w:rPr>
            </w:pPr>
            <w:r>
              <w:rPr>
                <w:rFonts w:ascii="Arial" w:cs="Arial" w:eastAsia="Arial" w:hAnsi="Arial"/>
                <w:sz w:val="18"/>
                <w:szCs w:val="18"/>
                <w:color w:val="auto"/>
              </w:rPr>
              <w:t>5.18</w:t>
            </w:r>
          </w:p>
        </w:tc>
        <w:tc>
          <w:tcPr>
            <w:tcW w:w="9460" w:type="dxa"/>
            <w:vAlign w:val="bottom"/>
          </w:tcPr>
          <w:p>
            <w:pPr>
              <w:ind w:left="140"/>
              <w:spacing w:after="0" w:line="194" w:lineRule="exact"/>
              <w:rPr>
                <w:sz w:val="20"/>
                <w:szCs w:val="20"/>
                <w:color w:val="auto"/>
              </w:rPr>
            </w:pPr>
            <w:r>
              <w:rPr>
                <w:rFonts w:ascii="Arial" w:cs="Arial" w:eastAsia="Arial" w:hAnsi="Arial"/>
                <w:sz w:val="18"/>
                <w:szCs w:val="18"/>
                <w:color w:val="auto"/>
              </w:rPr>
              <w:t>Intellectual Property; Licenses, Etc.</w:t>
            </w:r>
          </w:p>
        </w:tc>
        <w:tc>
          <w:tcPr>
            <w:tcW w:w="28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103</w:t>
            </w:r>
          </w:p>
        </w:tc>
        <w:tc>
          <w:tcPr>
            <w:tcW w:w="28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116</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Arial" w:cs="Arial" w:eastAsia="Arial" w:hAnsi="Arial"/>
                <w:sz w:val="18"/>
                <w:szCs w:val="18"/>
                <w:color w:val="auto"/>
              </w:rPr>
              <w:t>5.19</w:t>
            </w:r>
          </w:p>
        </w:tc>
        <w:tc>
          <w:tcPr>
            <w:tcW w:w="946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Solvency</w:t>
            </w:r>
          </w:p>
        </w:tc>
        <w:tc>
          <w:tcPr>
            <w:tcW w:w="2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103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3"/>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Arial" w:cs="Arial" w:eastAsia="Arial" w:hAnsi="Arial"/>
                <w:sz w:val="18"/>
                <w:szCs w:val="18"/>
                <w:color w:val="auto"/>
              </w:rPr>
              <w:t>5.20</w:t>
            </w:r>
          </w:p>
        </w:tc>
        <w:tc>
          <w:tcPr>
            <w:tcW w:w="946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Casualty, Etc.</w:t>
            </w:r>
          </w:p>
        </w:tc>
        <w:tc>
          <w:tcPr>
            <w:tcW w:w="2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103</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3"/>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5.21</w:t>
            </w:r>
          </w:p>
        </w:tc>
        <w:tc>
          <w:tcPr>
            <w:tcW w:w="9460" w:type="dxa"/>
            <w:vAlign w:val="bottom"/>
            <w:vMerge w:val="restart"/>
          </w:tcPr>
          <w:p>
            <w:pPr>
              <w:ind w:left="140"/>
              <w:spacing w:after="0"/>
              <w:rPr>
                <w:sz w:val="20"/>
                <w:szCs w:val="20"/>
                <w:color w:val="auto"/>
              </w:rPr>
            </w:pPr>
            <w:r>
              <w:rPr>
                <w:rFonts w:ascii="Arial" w:cs="Arial" w:eastAsia="Arial" w:hAnsi="Arial"/>
                <w:sz w:val="18"/>
                <w:szCs w:val="18"/>
                <w:color w:val="auto"/>
              </w:rPr>
              <w:t>Labor Matters</w:t>
            </w:r>
          </w:p>
        </w:tc>
        <w:tc>
          <w:tcPr>
            <w:tcW w:w="2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w w:val="73"/>
              </w:rPr>
              <w:t>117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9460" w:type="dxa"/>
            <w:vAlign w:val="bottom"/>
          </w:tcPr>
          <w:p>
            <w:pPr>
              <w:ind w:left="140"/>
              <w:spacing w:after="0"/>
              <w:rPr>
                <w:sz w:val="20"/>
                <w:szCs w:val="20"/>
                <w:color w:val="auto"/>
              </w:rPr>
            </w:pPr>
            <w:r>
              <w:rPr>
                <w:rFonts w:ascii="Arial" w:cs="Arial" w:eastAsia="Arial" w:hAnsi="Arial"/>
                <w:sz w:val="18"/>
                <w:szCs w:val="18"/>
                <w:color w:val="auto"/>
              </w:rPr>
              <w:t>Collateral Documents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9460" w:type="dxa"/>
            <w:vAlign w:val="bottom"/>
          </w:tcPr>
          <w:p>
            <w:pPr>
              <w:ind w:left="140"/>
              <w:spacing w:after="0"/>
              <w:rPr>
                <w:sz w:val="20"/>
                <w:szCs w:val="20"/>
                <w:color w:val="auto"/>
              </w:rPr>
            </w:pPr>
            <w:r>
              <w:rPr>
                <w:rFonts w:ascii="Arial" w:cs="Arial" w:eastAsia="Arial" w:hAnsi="Arial"/>
                <w:sz w:val="18"/>
                <w:szCs w:val="18"/>
                <w:color w:val="auto"/>
              </w:rPr>
              <w:t>Anti-Corruption Laws and Sanctions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9460" w:type="dxa"/>
            <w:vAlign w:val="bottom"/>
          </w:tcPr>
          <w:p>
            <w:pPr>
              <w:ind w:left="140"/>
              <w:spacing w:after="0"/>
              <w:rPr>
                <w:sz w:val="20"/>
                <w:szCs w:val="20"/>
                <w:color w:val="auto"/>
              </w:rPr>
            </w:pPr>
            <w:r>
              <w:rPr>
                <w:rFonts w:ascii="Arial" w:cs="Arial" w:eastAsia="Arial" w:hAnsi="Arial"/>
                <w:sz w:val="18"/>
                <w:szCs w:val="18"/>
                <w:color w:val="auto"/>
              </w:rPr>
              <w:t>Restricted Payments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4"/>
        </w:trPr>
        <w:tc>
          <w:tcPr>
            <w:tcW w:w="1240" w:type="dxa"/>
            <w:vAlign w:val="bottom"/>
          </w:tcPr>
          <w:p>
            <w:pPr>
              <w:jc w:val="right"/>
              <w:ind w:right="30"/>
              <w:spacing w:after="0" w:line="194" w:lineRule="exact"/>
              <w:rPr>
                <w:sz w:val="20"/>
                <w:szCs w:val="20"/>
                <w:color w:val="auto"/>
              </w:rPr>
            </w:pPr>
            <w:r>
              <w:rPr>
                <w:rFonts w:ascii="Arial" w:cs="Arial" w:eastAsia="Arial" w:hAnsi="Arial"/>
                <w:sz w:val="18"/>
                <w:szCs w:val="18"/>
                <w:color w:val="auto"/>
              </w:rPr>
              <w:t>5.25</w:t>
            </w:r>
          </w:p>
        </w:tc>
        <w:tc>
          <w:tcPr>
            <w:tcW w:w="9460" w:type="dxa"/>
            <w:vAlign w:val="bottom"/>
          </w:tcPr>
          <w:p>
            <w:pPr>
              <w:ind w:left="140"/>
              <w:spacing w:after="0" w:line="194" w:lineRule="exact"/>
              <w:rPr>
                <w:sz w:val="20"/>
                <w:szCs w:val="20"/>
                <w:color w:val="auto"/>
              </w:rPr>
            </w:pPr>
            <w:r>
              <w:rPr>
                <w:rFonts w:ascii="Arial" w:cs="Arial" w:eastAsia="Arial" w:hAnsi="Arial"/>
                <w:sz w:val="18"/>
                <w:szCs w:val="18"/>
                <w:color w:val="auto"/>
              </w:rPr>
              <w:t>PATRIOT Act, Etc.</w:t>
            </w:r>
          </w:p>
        </w:tc>
        <w:tc>
          <w:tcPr>
            <w:tcW w:w="28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104</w:t>
            </w:r>
          </w:p>
        </w:tc>
        <w:tc>
          <w:tcPr>
            <w:tcW w:w="28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117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86"/>
              </w:rPr>
              <w:t>104</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w w:val="79"/>
              </w:rPr>
              <w:t>118</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6.01</w:t>
            </w:r>
          </w:p>
        </w:tc>
        <w:tc>
          <w:tcPr>
            <w:tcW w:w="9460" w:type="dxa"/>
            <w:vAlign w:val="bottom"/>
            <w:vMerge w:val="restart"/>
          </w:tcPr>
          <w:p>
            <w:pPr>
              <w:ind w:left="140"/>
              <w:spacing w:after="0"/>
              <w:rPr>
                <w:sz w:val="20"/>
                <w:szCs w:val="20"/>
                <w:color w:val="auto"/>
              </w:rPr>
            </w:pPr>
            <w:r>
              <w:rPr>
                <w:rFonts w:ascii="Arial" w:cs="Arial" w:eastAsia="Arial" w:hAnsi="Arial"/>
                <w:sz w:val="18"/>
                <w:szCs w:val="18"/>
                <w:color w:val="auto"/>
              </w:rPr>
              <w:t>Financial Statements</w:t>
            </w:r>
          </w:p>
        </w:tc>
        <w:tc>
          <w:tcPr>
            <w:tcW w:w="280" w:type="dxa"/>
            <w:vAlign w:val="bottom"/>
            <w:gridSpan w:val="3"/>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w w:val="73"/>
              </w:rPr>
              <w:t>118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9460" w:type="dxa"/>
            <w:vAlign w:val="bottom"/>
          </w:tcPr>
          <w:p>
            <w:pPr>
              <w:ind w:left="140"/>
              <w:spacing w:after="0"/>
              <w:rPr>
                <w:sz w:val="20"/>
                <w:szCs w:val="20"/>
                <w:color w:val="auto"/>
              </w:rPr>
            </w:pPr>
            <w:r>
              <w:rPr>
                <w:rFonts w:ascii="Arial" w:cs="Arial" w:eastAsia="Arial" w:hAnsi="Arial"/>
                <w:sz w:val="18"/>
                <w:szCs w:val="18"/>
                <w:color w:val="auto"/>
              </w:rPr>
              <w:t>Certificates; Other Information</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4"/>
        </w:trPr>
        <w:tc>
          <w:tcPr>
            <w:tcW w:w="1240" w:type="dxa"/>
            <w:vAlign w:val="bottom"/>
          </w:tcPr>
          <w:p>
            <w:pPr>
              <w:jc w:val="right"/>
              <w:ind w:right="30"/>
              <w:spacing w:after="0" w:line="194" w:lineRule="exact"/>
              <w:rPr>
                <w:sz w:val="20"/>
                <w:szCs w:val="20"/>
                <w:color w:val="auto"/>
              </w:rPr>
            </w:pPr>
            <w:r>
              <w:rPr>
                <w:rFonts w:ascii="Arial" w:cs="Arial" w:eastAsia="Arial" w:hAnsi="Arial"/>
                <w:sz w:val="18"/>
                <w:szCs w:val="18"/>
                <w:color w:val="auto"/>
              </w:rPr>
              <w:t>6.03</w:t>
            </w:r>
          </w:p>
        </w:tc>
        <w:tc>
          <w:tcPr>
            <w:tcW w:w="9460" w:type="dxa"/>
            <w:vAlign w:val="bottom"/>
          </w:tcPr>
          <w:p>
            <w:pPr>
              <w:ind w:left="140"/>
              <w:spacing w:after="0" w:line="194" w:lineRule="exact"/>
              <w:rPr>
                <w:sz w:val="20"/>
                <w:szCs w:val="20"/>
                <w:color w:val="auto"/>
              </w:rPr>
            </w:pPr>
            <w:r>
              <w:rPr>
                <w:rFonts w:ascii="Arial" w:cs="Arial" w:eastAsia="Arial" w:hAnsi="Arial"/>
                <w:sz w:val="18"/>
                <w:szCs w:val="18"/>
                <w:color w:val="auto"/>
              </w:rPr>
              <w:t>Notices</w:t>
            </w:r>
          </w:p>
        </w:tc>
        <w:tc>
          <w:tcPr>
            <w:tcW w:w="28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107</w:t>
            </w:r>
          </w:p>
        </w:tc>
        <w:tc>
          <w:tcPr>
            <w:tcW w:w="28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121</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6.04</w:t>
            </w:r>
          </w:p>
        </w:tc>
        <w:tc>
          <w:tcPr>
            <w:tcW w:w="9460" w:type="dxa"/>
            <w:vAlign w:val="bottom"/>
            <w:vMerge w:val="restart"/>
          </w:tcPr>
          <w:p>
            <w:pPr>
              <w:ind w:left="140"/>
              <w:spacing w:after="0"/>
              <w:rPr>
                <w:sz w:val="20"/>
                <w:szCs w:val="20"/>
                <w:color w:val="auto"/>
              </w:rPr>
            </w:pPr>
            <w:r>
              <w:rPr>
                <w:rFonts w:ascii="Arial" w:cs="Arial" w:eastAsia="Arial" w:hAnsi="Arial"/>
                <w:sz w:val="18"/>
                <w:szCs w:val="18"/>
                <w:color w:val="auto"/>
              </w:rPr>
              <w:t>Payment of Obligations</w:t>
            </w:r>
          </w:p>
        </w:tc>
        <w:tc>
          <w:tcPr>
            <w:tcW w:w="26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86"/>
              </w:rPr>
              <w:t>121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9460" w:type="dxa"/>
            <w:vAlign w:val="bottom"/>
          </w:tcPr>
          <w:p>
            <w:pPr>
              <w:ind w:left="140"/>
              <w:spacing w:after="0"/>
              <w:rPr>
                <w:sz w:val="20"/>
                <w:szCs w:val="20"/>
                <w:color w:val="auto"/>
              </w:rPr>
            </w:pPr>
            <w:r>
              <w:rPr>
                <w:rFonts w:ascii="Arial" w:cs="Arial" w:eastAsia="Arial" w:hAnsi="Arial"/>
                <w:sz w:val="18"/>
                <w:szCs w:val="18"/>
                <w:color w:val="auto"/>
              </w:rPr>
              <w:t>Preservation of Existence, Etc.</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94"/>
        </w:trPr>
        <w:tc>
          <w:tcPr>
            <w:tcW w:w="1240" w:type="dxa"/>
            <w:vAlign w:val="bottom"/>
          </w:tcPr>
          <w:p>
            <w:pPr>
              <w:jc w:val="right"/>
              <w:ind w:right="30"/>
              <w:spacing w:after="0" w:line="194" w:lineRule="exact"/>
              <w:rPr>
                <w:sz w:val="20"/>
                <w:szCs w:val="20"/>
                <w:color w:val="auto"/>
              </w:rPr>
            </w:pPr>
            <w:r>
              <w:rPr>
                <w:rFonts w:ascii="Arial" w:cs="Arial" w:eastAsia="Arial" w:hAnsi="Arial"/>
                <w:sz w:val="18"/>
                <w:szCs w:val="18"/>
                <w:color w:val="auto"/>
              </w:rPr>
              <w:t>6.06</w:t>
            </w:r>
          </w:p>
        </w:tc>
        <w:tc>
          <w:tcPr>
            <w:tcW w:w="9460" w:type="dxa"/>
            <w:vAlign w:val="bottom"/>
          </w:tcPr>
          <w:p>
            <w:pPr>
              <w:ind w:left="140"/>
              <w:spacing w:after="0" w:line="194" w:lineRule="exact"/>
              <w:rPr>
                <w:sz w:val="20"/>
                <w:szCs w:val="20"/>
                <w:color w:val="auto"/>
              </w:rPr>
            </w:pPr>
            <w:r>
              <w:rPr>
                <w:rFonts w:ascii="Arial" w:cs="Arial" w:eastAsia="Arial" w:hAnsi="Arial"/>
                <w:sz w:val="18"/>
                <w:szCs w:val="18"/>
                <w:color w:val="auto"/>
              </w:rPr>
              <w:t>Maintenance of Properties</w:t>
            </w:r>
          </w:p>
        </w:tc>
        <w:tc>
          <w:tcPr>
            <w:tcW w:w="28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108</w:t>
            </w:r>
          </w:p>
        </w:tc>
        <w:tc>
          <w:tcPr>
            <w:tcW w:w="28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122</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line="196" w:lineRule="exact"/>
              <w:rPr>
                <w:sz w:val="20"/>
                <w:szCs w:val="20"/>
                <w:color w:val="auto"/>
              </w:rPr>
            </w:pPr>
            <w:r>
              <w:rPr>
                <w:rFonts w:ascii="Arial" w:cs="Arial" w:eastAsia="Arial" w:hAnsi="Arial"/>
                <w:sz w:val="18"/>
                <w:szCs w:val="18"/>
                <w:color w:val="auto"/>
              </w:rPr>
              <w:t>6.07</w:t>
            </w:r>
          </w:p>
        </w:tc>
        <w:tc>
          <w:tcPr>
            <w:tcW w:w="9460" w:type="dxa"/>
            <w:vAlign w:val="bottom"/>
            <w:vMerge w:val="restart"/>
          </w:tcPr>
          <w:p>
            <w:pPr>
              <w:ind w:left="140"/>
              <w:spacing w:after="0" w:line="196" w:lineRule="exact"/>
              <w:rPr>
                <w:sz w:val="20"/>
                <w:szCs w:val="20"/>
                <w:color w:val="auto"/>
              </w:rPr>
            </w:pPr>
            <w:r>
              <w:rPr>
                <w:rFonts w:ascii="Arial" w:cs="Arial" w:eastAsia="Arial" w:hAnsi="Arial"/>
                <w:sz w:val="18"/>
                <w:szCs w:val="18"/>
                <w:color w:val="auto"/>
              </w:rPr>
              <w:t>Maintenance of Insurance</w:t>
            </w:r>
          </w:p>
        </w:tc>
        <w:tc>
          <w:tcPr>
            <w:tcW w:w="2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108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6.08</w:t>
            </w:r>
          </w:p>
        </w:tc>
        <w:tc>
          <w:tcPr>
            <w:tcW w:w="9460" w:type="dxa"/>
            <w:vAlign w:val="bottom"/>
            <w:vMerge w:val="restart"/>
          </w:tcPr>
          <w:p>
            <w:pPr>
              <w:ind w:left="140"/>
              <w:spacing w:after="0"/>
              <w:rPr>
                <w:sz w:val="20"/>
                <w:szCs w:val="20"/>
                <w:color w:val="auto"/>
              </w:rPr>
            </w:pPr>
            <w:r>
              <w:rPr>
                <w:rFonts w:ascii="Arial" w:cs="Arial" w:eastAsia="Arial" w:hAnsi="Arial"/>
                <w:sz w:val="18"/>
                <w:szCs w:val="18"/>
                <w:color w:val="auto"/>
              </w:rPr>
              <w:t>Compliance with Laws</w:t>
            </w:r>
          </w:p>
        </w:tc>
        <w:tc>
          <w:tcPr>
            <w:tcW w:w="26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86"/>
              </w:rPr>
              <w:t>122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9460" w:type="dxa"/>
            <w:vAlign w:val="bottom"/>
          </w:tcPr>
          <w:p>
            <w:pPr>
              <w:ind w:left="140"/>
              <w:spacing w:after="0"/>
              <w:rPr>
                <w:sz w:val="20"/>
                <w:szCs w:val="20"/>
                <w:color w:val="auto"/>
              </w:rPr>
            </w:pPr>
            <w:r>
              <w:rPr>
                <w:rFonts w:ascii="Arial" w:cs="Arial" w:eastAsia="Arial" w:hAnsi="Arial"/>
                <w:sz w:val="18"/>
                <w:szCs w:val="18"/>
                <w:color w:val="auto"/>
              </w:rPr>
              <w:t>Books and Records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2"/>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9460" w:type="dxa"/>
            <w:vAlign w:val="bottom"/>
          </w:tcPr>
          <w:p>
            <w:pPr>
              <w:ind w:left="140"/>
              <w:spacing w:after="0"/>
              <w:rPr>
                <w:sz w:val="20"/>
                <w:szCs w:val="20"/>
                <w:color w:val="auto"/>
              </w:rPr>
            </w:pPr>
            <w:r>
              <w:rPr>
                <w:rFonts w:ascii="Arial" w:cs="Arial" w:eastAsia="Arial" w:hAnsi="Arial"/>
                <w:sz w:val="18"/>
                <w:szCs w:val="18"/>
                <w:color w:val="auto"/>
              </w:rPr>
              <w:t>Inspection Rights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4"/>
        </w:trPr>
        <w:tc>
          <w:tcPr>
            <w:tcW w:w="1240" w:type="dxa"/>
            <w:vAlign w:val="bottom"/>
          </w:tcPr>
          <w:p>
            <w:pPr>
              <w:jc w:val="right"/>
              <w:ind w:right="30"/>
              <w:spacing w:after="0" w:line="194" w:lineRule="exact"/>
              <w:rPr>
                <w:sz w:val="20"/>
                <w:szCs w:val="20"/>
                <w:color w:val="auto"/>
              </w:rPr>
            </w:pPr>
            <w:r>
              <w:rPr>
                <w:rFonts w:ascii="Arial" w:cs="Arial" w:eastAsia="Arial" w:hAnsi="Arial"/>
                <w:sz w:val="18"/>
                <w:szCs w:val="18"/>
                <w:color w:val="auto"/>
              </w:rPr>
              <w:t>6.11</w:t>
            </w:r>
          </w:p>
        </w:tc>
        <w:tc>
          <w:tcPr>
            <w:tcW w:w="9460" w:type="dxa"/>
            <w:vAlign w:val="bottom"/>
          </w:tcPr>
          <w:p>
            <w:pPr>
              <w:ind w:left="140"/>
              <w:spacing w:after="0" w:line="194" w:lineRule="exact"/>
              <w:rPr>
                <w:sz w:val="20"/>
                <w:szCs w:val="20"/>
                <w:color w:val="auto"/>
              </w:rPr>
            </w:pPr>
            <w:r>
              <w:rPr>
                <w:rFonts w:ascii="Arial" w:cs="Arial" w:eastAsia="Arial" w:hAnsi="Arial"/>
                <w:sz w:val="18"/>
                <w:szCs w:val="18"/>
                <w:color w:val="auto"/>
              </w:rPr>
              <w:t>Use of Proceeds</w:t>
            </w:r>
          </w:p>
        </w:tc>
        <w:tc>
          <w:tcPr>
            <w:tcW w:w="28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FF0000"/>
                <w:strike w:val="1"/>
                <w:w w:val="86"/>
              </w:rPr>
              <w:t>109</w:t>
            </w:r>
          </w:p>
        </w:tc>
        <w:tc>
          <w:tcPr>
            <w:tcW w:w="28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123</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30"/>
              <w:spacing w:after="0"/>
              <w:rPr>
                <w:sz w:val="20"/>
                <w:szCs w:val="20"/>
                <w:color w:val="auto"/>
              </w:rPr>
            </w:pPr>
            <w:r>
              <w:rPr>
                <w:rFonts w:ascii="Arial" w:cs="Arial" w:eastAsia="Arial" w:hAnsi="Arial"/>
                <w:sz w:val="18"/>
                <w:szCs w:val="18"/>
                <w:color w:val="auto"/>
              </w:rPr>
              <w:t>6.12</w:t>
            </w:r>
          </w:p>
        </w:tc>
        <w:tc>
          <w:tcPr>
            <w:tcW w:w="9460" w:type="dxa"/>
            <w:vAlign w:val="bottom"/>
            <w:vMerge w:val="restart"/>
          </w:tcPr>
          <w:p>
            <w:pPr>
              <w:ind w:left="140"/>
              <w:spacing w:after="0"/>
              <w:rPr>
                <w:sz w:val="20"/>
                <w:szCs w:val="20"/>
                <w:color w:val="auto"/>
              </w:rPr>
            </w:pPr>
            <w:r>
              <w:rPr>
                <w:rFonts w:ascii="Arial" w:cs="Arial" w:eastAsia="Arial" w:hAnsi="Arial"/>
                <w:sz w:val="18"/>
                <w:szCs w:val="18"/>
                <w:color w:val="auto"/>
              </w:rPr>
              <w:t>Covenant to Give Security</w:t>
            </w:r>
          </w:p>
        </w:tc>
        <w:tc>
          <w:tcPr>
            <w:tcW w:w="260" w:type="dxa"/>
            <w:vAlign w:val="bottom"/>
            <w:gridSpan w:val="2"/>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gridSpan w:val="3"/>
          </w:tcPr>
          <w:p>
            <w:pPr>
              <w:jc w:val="right"/>
              <w:spacing w:after="0" w:line="182" w:lineRule="exact"/>
              <w:rPr>
                <w:sz w:val="20"/>
                <w:szCs w:val="20"/>
                <w:color w:val="auto"/>
              </w:rPr>
            </w:pPr>
            <w:r>
              <w:rPr>
                <w:rFonts w:ascii="Arial" w:cs="Arial" w:eastAsia="Arial" w:hAnsi="Arial"/>
                <w:sz w:val="18"/>
                <w:szCs w:val="18"/>
                <w:color w:val="auto"/>
                <w:w w:val="86"/>
              </w:rPr>
              <w:t>123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9460" w:type="dxa"/>
            <w:vAlign w:val="bottom"/>
          </w:tcPr>
          <w:p>
            <w:pPr>
              <w:ind w:left="140"/>
              <w:spacing w:after="0"/>
              <w:rPr>
                <w:sz w:val="20"/>
                <w:szCs w:val="20"/>
                <w:color w:val="auto"/>
              </w:rPr>
            </w:pPr>
            <w:r>
              <w:rPr>
                <w:rFonts w:ascii="Arial" w:cs="Arial" w:eastAsia="Arial" w:hAnsi="Arial"/>
                <w:sz w:val="18"/>
                <w:szCs w:val="18"/>
                <w:color w:val="auto"/>
              </w:rPr>
              <w:t>Compliance with Environmental Law</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6.14</w:t>
            </w:r>
          </w:p>
        </w:tc>
        <w:tc>
          <w:tcPr>
            <w:tcW w:w="946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9460" w:type="dxa"/>
            <w:vAlign w:val="bottom"/>
          </w:tcPr>
          <w:p>
            <w:pPr>
              <w:ind w:left="140"/>
              <w:spacing w:after="0"/>
              <w:rPr>
                <w:sz w:val="20"/>
                <w:szCs w:val="20"/>
                <w:color w:val="auto"/>
              </w:rPr>
            </w:pPr>
            <w:r>
              <w:rPr>
                <w:rFonts w:ascii="Arial" w:cs="Arial" w:eastAsia="Arial" w:hAnsi="Arial"/>
                <w:sz w:val="18"/>
                <w:szCs w:val="18"/>
                <w:color w:val="auto"/>
              </w:rPr>
              <w:t>Maintenance of Energy Regulatory Authorizations and Status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9460" w:type="dxa"/>
            <w:vAlign w:val="bottom"/>
          </w:tcPr>
          <w:p>
            <w:pPr>
              <w:ind w:left="140"/>
              <w:spacing w:after="0"/>
              <w:rPr>
                <w:sz w:val="20"/>
                <w:szCs w:val="20"/>
                <w:color w:val="auto"/>
              </w:rPr>
            </w:pPr>
            <w:r>
              <w:rPr>
                <w:rFonts w:ascii="Arial" w:cs="Arial" w:eastAsia="Arial" w:hAnsi="Arial"/>
                <w:sz w:val="18"/>
                <w:szCs w:val="18"/>
                <w:color w:val="auto"/>
              </w:rPr>
              <w:t>Post-Closing Obligations</w:t>
            </w:r>
          </w:p>
        </w:tc>
        <w:tc>
          <w:tcPr>
            <w:tcW w:w="560" w:type="dxa"/>
            <w:vAlign w:val="bottom"/>
            <w:gridSpan w:val="6"/>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24"/>
        </w:trPr>
        <w:tc>
          <w:tcPr>
            <w:tcW w:w="124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4220"/>
              <w:spacing w:after="0"/>
              <w:rPr>
                <w:sz w:val="20"/>
                <w:szCs w:val="20"/>
                <w:color w:val="auto"/>
              </w:rPr>
            </w:pPr>
            <w:r>
              <w:rPr>
                <w:rFonts w:ascii="Arial" w:cs="Arial" w:eastAsia="Arial" w:hAnsi="Arial"/>
                <w:sz w:val="18"/>
                <w:szCs w:val="18"/>
                <w:color w:val="auto"/>
              </w:rPr>
              <w:t>- 2 -</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00" w:type="dxa"/>
            <w:vAlign w:val="bottom"/>
            <w:gridSpan w:val="7"/>
          </w:tcPr>
          <w:p>
            <w:pPr>
              <w:spacing w:after="0"/>
              <w:rPr>
                <w:sz w:val="20"/>
                <w:szCs w:val="20"/>
                <w:color w:val="auto"/>
              </w:rPr>
            </w:pPr>
            <w:r>
              <w:rPr>
                <w:rFonts w:ascii="Arial" w:cs="Arial" w:eastAsia="Arial" w:hAnsi="Arial"/>
                <w:sz w:val="18"/>
                <w:szCs w:val="18"/>
                <w:color w:val="auto"/>
              </w:rPr>
              <w:t>ARTICLE VII NEGATIVE COVENANTS</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1120" w:type="dxa"/>
            <w:vAlign w:val="bottom"/>
            <w:gridSpan w:val="2"/>
          </w:tcPr>
          <w:p>
            <w:pPr>
              <w:ind w:left="800"/>
              <w:spacing w:after="0"/>
              <w:rPr>
                <w:sz w:val="20"/>
                <w:szCs w:val="20"/>
                <w:color w:val="auto"/>
              </w:rPr>
            </w:pPr>
            <w:r>
              <w:rPr>
                <w:rFonts w:ascii="Arial" w:cs="Arial" w:eastAsia="Arial" w:hAnsi="Arial"/>
                <w:sz w:val="18"/>
                <w:szCs w:val="18"/>
                <w:color w:val="auto"/>
                <w:w w:val="85"/>
              </w:rPr>
              <w:t>7.01</w:t>
            </w:r>
          </w:p>
        </w:tc>
        <w:tc>
          <w:tcPr>
            <w:tcW w:w="180" w:type="dxa"/>
            <w:vAlign w:val="bottom"/>
          </w:tcPr>
          <w:p>
            <w:pPr>
              <w:spacing w:after="0"/>
              <w:rPr>
                <w:sz w:val="18"/>
                <w:szCs w:val="18"/>
                <w:color w:val="auto"/>
              </w:rPr>
            </w:pPr>
          </w:p>
        </w:tc>
        <w:tc>
          <w:tcPr>
            <w:tcW w:w="9400" w:type="dxa"/>
            <w:vAlign w:val="bottom"/>
            <w:gridSpan w:val="4"/>
          </w:tcPr>
          <w:p>
            <w:pPr>
              <w:ind w:left="80"/>
              <w:spacing w:after="0"/>
              <w:rPr>
                <w:sz w:val="20"/>
                <w:szCs w:val="20"/>
                <w:color w:val="auto"/>
              </w:rPr>
            </w:pPr>
            <w:r>
              <w:rPr>
                <w:rFonts w:ascii="Arial" w:cs="Arial" w:eastAsia="Arial" w:hAnsi="Arial"/>
                <w:sz w:val="18"/>
                <w:szCs w:val="18"/>
                <w:color w:val="auto"/>
              </w:rPr>
              <w:t>Liens</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2"/>
        </w:trPr>
        <w:tc>
          <w:tcPr>
            <w:tcW w:w="1120" w:type="dxa"/>
            <w:vAlign w:val="bottom"/>
            <w:gridSpan w:val="2"/>
          </w:tcPr>
          <w:p>
            <w:pPr>
              <w:ind w:left="800"/>
              <w:spacing w:after="0"/>
              <w:rPr>
                <w:sz w:val="20"/>
                <w:szCs w:val="20"/>
                <w:color w:val="auto"/>
              </w:rPr>
            </w:pPr>
            <w:r>
              <w:rPr>
                <w:rFonts w:ascii="Arial" w:cs="Arial" w:eastAsia="Arial" w:hAnsi="Arial"/>
                <w:sz w:val="18"/>
                <w:szCs w:val="18"/>
                <w:color w:val="auto"/>
                <w:w w:val="85"/>
              </w:rPr>
              <w:t>7.02</w:t>
            </w:r>
          </w:p>
        </w:tc>
        <w:tc>
          <w:tcPr>
            <w:tcW w:w="180" w:type="dxa"/>
            <w:vAlign w:val="bottom"/>
          </w:tcPr>
          <w:p>
            <w:pPr>
              <w:spacing w:after="0"/>
              <w:rPr>
                <w:sz w:val="18"/>
                <w:szCs w:val="18"/>
                <w:color w:val="auto"/>
              </w:rPr>
            </w:pPr>
          </w:p>
        </w:tc>
        <w:tc>
          <w:tcPr>
            <w:tcW w:w="9400" w:type="dxa"/>
            <w:vAlign w:val="bottom"/>
            <w:gridSpan w:val="4"/>
          </w:tcPr>
          <w:p>
            <w:pPr>
              <w:ind w:left="80"/>
              <w:spacing w:after="0"/>
              <w:rPr>
                <w:sz w:val="20"/>
                <w:szCs w:val="20"/>
                <w:color w:val="auto"/>
              </w:rPr>
            </w:pPr>
            <w:r>
              <w:rPr>
                <w:rFonts w:ascii="Arial" w:cs="Arial" w:eastAsia="Arial" w:hAnsi="Arial"/>
                <w:sz w:val="18"/>
                <w:szCs w:val="18"/>
                <w:color w:val="auto"/>
              </w:rPr>
              <w:t>Indebtedness</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4"/>
        </w:trPr>
        <w:tc>
          <w:tcPr>
            <w:tcW w:w="1120" w:type="dxa"/>
            <w:vAlign w:val="bottom"/>
            <w:gridSpan w:val="2"/>
          </w:tcPr>
          <w:p>
            <w:pPr>
              <w:ind w:left="800"/>
              <w:spacing w:after="0" w:line="194" w:lineRule="exact"/>
              <w:rPr>
                <w:sz w:val="20"/>
                <w:szCs w:val="20"/>
                <w:color w:val="auto"/>
              </w:rPr>
            </w:pPr>
            <w:r>
              <w:rPr>
                <w:rFonts w:ascii="Arial" w:cs="Arial" w:eastAsia="Arial" w:hAnsi="Arial"/>
                <w:sz w:val="18"/>
                <w:szCs w:val="18"/>
                <w:color w:val="auto"/>
                <w:w w:val="85"/>
              </w:rPr>
              <w:t>7.03</w:t>
            </w:r>
          </w:p>
        </w:tc>
        <w:tc>
          <w:tcPr>
            <w:tcW w:w="180" w:type="dxa"/>
            <w:vAlign w:val="bottom"/>
          </w:tcPr>
          <w:p>
            <w:pPr>
              <w:spacing w:after="0"/>
              <w:rPr>
                <w:sz w:val="16"/>
                <w:szCs w:val="16"/>
                <w:color w:val="auto"/>
              </w:rPr>
            </w:pPr>
          </w:p>
        </w:tc>
        <w:tc>
          <w:tcPr>
            <w:tcW w:w="9400" w:type="dxa"/>
            <w:vAlign w:val="bottom"/>
            <w:gridSpan w:val="4"/>
          </w:tcPr>
          <w:p>
            <w:pPr>
              <w:ind w:left="80"/>
              <w:spacing w:after="0" w:line="194" w:lineRule="exact"/>
              <w:rPr>
                <w:sz w:val="20"/>
                <w:szCs w:val="20"/>
                <w:color w:val="auto"/>
              </w:rPr>
            </w:pPr>
            <w:r>
              <w:rPr>
                <w:rFonts w:ascii="Arial" w:cs="Arial" w:eastAsia="Arial" w:hAnsi="Arial"/>
                <w:sz w:val="18"/>
                <w:szCs w:val="18"/>
                <w:color w:val="auto"/>
              </w:rPr>
              <w:t>Investments</w:t>
            </w:r>
          </w:p>
        </w:tc>
        <w:tc>
          <w:tcPr>
            <w:tcW w:w="280" w:type="dxa"/>
            <w:vAlign w:val="bottom"/>
            <w:gridSpan w:val="2"/>
          </w:tcPr>
          <w:p>
            <w:pPr>
              <w:spacing w:after="0" w:line="194" w:lineRule="exact"/>
              <w:rPr>
                <w:sz w:val="20"/>
                <w:szCs w:val="20"/>
                <w:color w:val="auto"/>
              </w:rPr>
            </w:pPr>
            <w:r>
              <w:rPr>
                <w:rFonts w:ascii="Arial" w:cs="Arial" w:eastAsia="Arial" w:hAnsi="Arial"/>
                <w:sz w:val="18"/>
                <w:szCs w:val="18"/>
                <w:b w:val="1"/>
                <w:bCs w:val="1"/>
                <w:color w:val="FF0000"/>
                <w:strike w:val="1"/>
                <w:w w:val="86"/>
              </w:rPr>
              <w:t>121</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134</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rPr>
                <w:sz w:val="20"/>
                <w:szCs w:val="20"/>
                <w:color w:val="auto"/>
              </w:rPr>
            </w:pPr>
            <w:r>
              <w:rPr>
                <w:rFonts w:ascii="Arial" w:cs="Arial" w:eastAsia="Arial" w:hAnsi="Arial"/>
                <w:sz w:val="18"/>
                <w:szCs w:val="18"/>
                <w:color w:val="auto"/>
                <w:w w:val="85"/>
              </w:rPr>
              <w:t>7.04</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rPr>
                <w:sz w:val="20"/>
                <w:szCs w:val="20"/>
                <w:color w:val="auto"/>
              </w:rPr>
            </w:pPr>
            <w:r>
              <w:rPr>
                <w:rFonts w:ascii="Arial" w:cs="Arial" w:eastAsia="Arial" w:hAnsi="Arial"/>
                <w:sz w:val="18"/>
                <w:szCs w:val="18"/>
                <w:color w:val="auto"/>
              </w:rPr>
              <w:t>Fundamental Changes</w:t>
            </w:r>
          </w:p>
        </w:tc>
        <w:tc>
          <w:tcPr>
            <w:tcW w:w="26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0" w:type="dxa"/>
            <w:vAlign w:val="bottom"/>
            <w:gridSpan w:val="4"/>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2"/>
          </w:tcPr>
          <w:p>
            <w:pPr>
              <w:jc w:val="right"/>
              <w:spacing w:after="0" w:line="178" w:lineRule="exact"/>
              <w:rPr>
                <w:sz w:val="20"/>
                <w:szCs w:val="20"/>
                <w:color w:val="auto"/>
              </w:rPr>
            </w:pPr>
            <w:r>
              <w:rPr>
                <w:rFonts w:ascii="Arial" w:cs="Arial" w:eastAsia="Arial" w:hAnsi="Arial"/>
                <w:sz w:val="18"/>
                <w:szCs w:val="18"/>
                <w:color w:val="auto"/>
                <w:w w:val="86"/>
              </w:rPr>
              <w:t>137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gridSpan w:val="2"/>
          </w:tcPr>
          <w:p>
            <w:pPr>
              <w:ind w:left="800"/>
              <w:spacing w:after="0" w:line="194" w:lineRule="exact"/>
              <w:rPr>
                <w:sz w:val="20"/>
                <w:szCs w:val="20"/>
                <w:color w:val="auto"/>
              </w:rPr>
            </w:pPr>
            <w:r>
              <w:rPr>
                <w:rFonts w:ascii="Arial" w:cs="Arial" w:eastAsia="Arial" w:hAnsi="Arial"/>
                <w:sz w:val="18"/>
                <w:szCs w:val="18"/>
                <w:color w:val="auto"/>
                <w:w w:val="85"/>
              </w:rPr>
              <w:t>7.05</w:t>
            </w:r>
          </w:p>
        </w:tc>
        <w:tc>
          <w:tcPr>
            <w:tcW w:w="180" w:type="dxa"/>
            <w:vAlign w:val="bottom"/>
          </w:tcPr>
          <w:p>
            <w:pPr>
              <w:spacing w:after="0"/>
              <w:rPr>
                <w:sz w:val="16"/>
                <w:szCs w:val="16"/>
                <w:color w:val="auto"/>
              </w:rPr>
            </w:pPr>
          </w:p>
        </w:tc>
        <w:tc>
          <w:tcPr>
            <w:tcW w:w="9400" w:type="dxa"/>
            <w:vAlign w:val="bottom"/>
            <w:gridSpan w:val="4"/>
          </w:tcPr>
          <w:p>
            <w:pPr>
              <w:ind w:left="80"/>
              <w:spacing w:after="0" w:line="194" w:lineRule="exact"/>
              <w:rPr>
                <w:sz w:val="20"/>
                <w:szCs w:val="20"/>
                <w:color w:val="auto"/>
              </w:rPr>
            </w:pPr>
            <w:r>
              <w:rPr>
                <w:rFonts w:ascii="Arial" w:cs="Arial" w:eastAsia="Arial" w:hAnsi="Arial"/>
                <w:sz w:val="18"/>
                <w:szCs w:val="18"/>
                <w:color w:val="auto"/>
              </w:rPr>
              <w:t>Dispositions</w:t>
            </w:r>
          </w:p>
        </w:tc>
        <w:tc>
          <w:tcPr>
            <w:tcW w:w="280" w:type="dxa"/>
            <w:vAlign w:val="bottom"/>
            <w:gridSpan w:val="2"/>
          </w:tcPr>
          <w:p>
            <w:pPr>
              <w:spacing w:after="0" w:line="194" w:lineRule="exact"/>
              <w:rPr>
                <w:sz w:val="20"/>
                <w:szCs w:val="20"/>
                <w:color w:val="auto"/>
              </w:rPr>
            </w:pPr>
            <w:r>
              <w:rPr>
                <w:rFonts w:ascii="Arial" w:cs="Arial" w:eastAsia="Arial" w:hAnsi="Arial"/>
                <w:sz w:val="18"/>
                <w:szCs w:val="18"/>
                <w:b w:val="1"/>
                <w:bCs w:val="1"/>
                <w:color w:val="FF0000"/>
                <w:strike w:val="1"/>
                <w:w w:val="86"/>
              </w:rPr>
              <w:t>124</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137</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7.06</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Restricted Payments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rPr>
                <w:sz w:val="20"/>
                <w:szCs w:val="20"/>
                <w:color w:val="auto"/>
              </w:rPr>
            </w:pPr>
            <w:r>
              <w:rPr>
                <w:rFonts w:ascii="Arial" w:cs="Arial" w:eastAsia="Arial" w:hAnsi="Arial"/>
                <w:sz w:val="18"/>
                <w:szCs w:val="18"/>
                <w:color w:val="auto"/>
                <w:w w:val="85"/>
              </w:rPr>
              <w:t>7.07</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rPr>
                <w:sz w:val="20"/>
                <w:szCs w:val="20"/>
                <w:color w:val="auto"/>
              </w:rPr>
            </w:pPr>
            <w:r>
              <w:rPr>
                <w:rFonts w:ascii="Arial" w:cs="Arial" w:eastAsia="Arial" w:hAnsi="Arial"/>
                <w:sz w:val="18"/>
                <w:szCs w:val="18"/>
                <w:color w:val="auto"/>
              </w:rPr>
              <w:t>Change in Nature of Business</w:t>
            </w:r>
          </w:p>
        </w:tc>
        <w:tc>
          <w:tcPr>
            <w:tcW w:w="26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2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0" w:type="dxa"/>
            <w:vAlign w:val="bottom"/>
            <w:gridSpan w:val="4"/>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gridSpan w:val="2"/>
          </w:tcPr>
          <w:p>
            <w:pPr>
              <w:jc w:val="right"/>
              <w:spacing w:after="0" w:line="178" w:lineRule="exact"/>
              <w:rPr>
                <w:sz w:val="20"/>
                <w:szCs w:val="20"/>
                <w:color w:val="auto"/>
              </w:rPr>
            </w:pPr>
            <w:r>
              <w:rPr>
                <w:rFonts w:ascii="Arial" w:cs="Arial" w:eastAsia="Arial" w:hAnsi="Arial"/>
                <w:sz w:val="18"/>
                <w:szCs w:val="18"/>
                <w:color w:val="auto"/>
                <w:w w:val="86"/>
              </w:rPr>
              <w:t>140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gridSpan w:val="2"/>
          </w:tcPr>
          <w:p>
            <w:pPr>
              <w:ind w:left="800"/>
              <w:spacing w:after="0" w:line="194" w:lineRule="exact"/>
              <w:rPr>
                <w:sz w:val="20"/>
                <w:szCs w:val="20"/>
                <w:color w:val="auto"/>
              </w:rPr>
            </w:pPr>
            <w:r>
              <w:rPr>
                <w:rFonts w:ascii="Arial" w:cs="Arial" w:eastAsia="Arial" w:hAnsi="Arial"/>
                <w:sz w:val="18"/>
                <w:szCs w:val="18"/>
                <w:color w:val="auto"/>
                <w:w w:val="85"/>
              </w:rPr>
              <w:t>7.08</w:t>
            </w:r>
          </w:p>
        </w:tc>
        <w:tc>
          <w:tcPr>
            <w:tcW w:w="180" w:type="dxa"/>
            <w:vAlign w:val="bottom"/>
          </w:tcPr>
          <w:p>
            <w:pPr>
              <w:spacing w:after="0"/>
              <w:rPr>
                <w:sz w:val="16"/>
                <w:szCs w:val="16"/>
                <w:color w:val="auto"/>
              </w:rPr>
            </w:pPr>
          </w:p>
        </w:tc>
        <w:tc>
          <w:tcPr>
            <w:tcW w:w="9400" w:type="dxa"/>
            <w:vAlign w:val="bottom"/>
            <w:gridSpan w:val="4"/>
          </w:tcPr>
          <w:p>
            <w:pPr>
              <w:ind w:left="80"/>
              <w:spacing w:after="0" w:line="194" w:lineRule="exact"/>
              <w:rPr>
                <w:sz w:val="20"/>
                <w:szCs w:val="20"/>
                <w:color w:val="auto"/>
              </w:rPr>
            </w:pPr>
            <w:r>
              <w:rPr>
                <w:rFonts w:ascii="Arial" w:cs="Arial" w:eastAsia="Arial" w:hAnsi="Arial"/>
                <w:sz w:val="18"/>
                <w:szCs w:val="18"/>
                <w:color w:val="auto"/>
              </w:rPr>
              <w:t>Transactions with Affiliates</w:t>
            </w:r>
          </w:p>
        </w:tc>
        <w:tc>
          <w:tcPr>
            <w:tcW w:w="280" w:type="dxa"/>
            <w:vAlign w:val="bottom"/>
            <w:gridSpan w:val="2"/>
          </w:tcPr>
          <w:p>
            <w:pPr>
              <w:spacing w:after="0" w:line="194" w:lineRule="exact"/>
              <w:rPr>
                <w:sz w:val="20"/>
                <w:szCs w:val="20"/>
                <w:color w:val="auto"/>
              </w:rPr>
            </w:pPr>
            <w:r>
              <w:rPr>
                <w:rFonts w:ascii="Arial" w:cs="Arial" w:eastAsia="Arial" w:hAnsi="Arial"/>
                <w:sz w:val="18"/>
                <w:szCs w:val="18"/>
                <w:b w:val="1"/>
                <w:bCs w:val="1"/>
                <w:color w:val="FF0000"/>
                <w:strike w:val="1"/>
                <w:w w:val="86"/>
              </w:rPr>
              <w:t>127</w:t>
            </w:r>
          </w:p>
        </w:tc>
        <w:tc>
          <w:tcPr>
            <w:tcW w:w="28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140</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7.09</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Burdensome Agreements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7.10</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Use of Proceeds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7.11</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Financial Covenants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7.12</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Sanctions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7.13</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Amendments of Organization Documents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7.14</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Accounting Changes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7.15</w:t>
            </w:r>
          </w:p>
        </w:tc>
        <w:tc>
          <w:tcPr>
            <w:tcW w:w="180" w:type="dxa"/>
            <w:vAlign w:val="bottom"/>
            <w:vMerge w:val="restart"/>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Prepayments, Etc. of Indebtedness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85"/>
              </w:rPr>
              <w:t>7.16</w:t>
            </w: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b w:val="1"/>
                <w:bCs w:val="1"/>
                <w:color w:val="FF0000"/>
                <w:strike w:val="1"/>
                <w:w w:val="85"/>
              </w:rPr>
              <w:t>[Reserved]</w:t>
            </w:r>
          </w:p>
        </w:tc>
        <w:tc>
          <w:tcPr>
            <w:tcW w:w="85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5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jc w:val="right"/>
              <w:spacing w:after="0" w:line="178" w:lineRule="exact"/>
              <w:rPr>
                <w:sz w:val="20"/>
                <w:szCs w:val="20"/>
                <w:color w:val="auto"/>
              </w:rPr>
            </w:pPr>
            <w:r>
              <w:rPr>
                <w:rFonts w:ascii="Arial" w:cs="Arial" w:eastAsia="Arial" w:hAnsi="Arial"/>
                <w:sz w:val="18"/>
                <w:szCs w:val="18"/>
                <w:b w:val="1"/>
                <w:bCs w:val="1"/>
                <w:color w:val="FF0000"/>
                <w:strike w:val="1"/>
                <w:w w:val="79"/>
              </w:rPr>
              <w:t>129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320" w:type="dxa"/>
            <w:vAlign w:val="bottom"/>
          </w:tcPr>
          <w:p>
            <w:pPr>
              <w:spacing w:after="0" w:line="194" w:lineRule="exact"/>
              <w:rPr>
                <w:sz w:val="20"/>
                <w:szCs w:val="20"/>
                <w:color w:val="auto"/>
              </w:rPr>
            </w:pPr>
            <w:r>
              <w:rPr>
                <w:rFonts w:ascii="Arial" w:cs="Arial" w:eastAsia="Arial" w:hAnsi="Arial"/>
                <w:sz w:val="18"/>
                <w:szCs w:val="18"/>
                <w:b w:val="1"/>
                <w:bCs w:val="1"/>
                <w:color w:val="FF0000"/>
                <w:strike w:val="1"/>
                <w:w w:val="85"/>
              </w:rPr>
              <w:t>7.17</w:t>
            </w:r>
          </w:p>
        </w:tc>
        <w:tc>
          <w:tcPr>
            <w:tcW w:w="320" w:type="dxa"/>
            <w:vAlign w:val="bottom"/>
            <w:tcBorders>
              <w:bottom w:val="single" w:sz="8" w:color="0000FF"/>
            </w:tcBorders>
            <w:gridSpan w:val="3"/>
          </w:tcPr>
          <w:p>
            <w:pPr>
              <w:jc w:val="right"/>
              <w:spacing w:after="0" w:line="194" w:lineRule="exact"/>
              <w:rPr>
                <w:sz w:val="20"/>
                <w:szCs w:val="20"/>
                <w:color w:val="auto"/>
              </w:rPr>
            </w:pPr>
            <w:r>
              <w:rPr>
                <w:rFonts w:ascii="Arial" w:cs="Arial" w:eastAsia="Arial" w:hAnsi="Arial"/>
                <w:sz w:val="18"/>
                <w:szCs w:val="18"/>
                <w:b w:val="1"/>
                <w:bCs w:val="1"/>
                <w:color w:val="0000FF"/>
                <w:w w:val="85"/>
              </w:rPr>
              <w:t>7.16</w:t>
            </w:r>
          </w:p>
        </w:tc>
        <w:tc>
          <w:tcPr>
            <w:tcW w:w="9260" w:type="dxa"/>
            <w:vAlign w:val="bottom"/>
            <w:gridSpan w:val="2"/>
          </w:tcPr>
          <w:p>
            <w:pPr>
              <w:ind w:left="140"/>
              <w:spacing w:after="0" w:line="194" w:lineRule="exact"/>
              <w:rPr>
                <w:sz w:val="20"/>
                <w:szCs w:val="20"/>
                <w:color w:val="auto"/>
              </w:rPr>
            </w:pPr>
            <w:r>
              <w:rPr>
                <w:rFonts w:ascii="Arial" w:cs="Arial" w:eastAsia="Arial" w:hAnsi="Arial"/>
                <w:sz w:val="18"/>
                <w:szCs w:val="18"/>
                <w:color w:val="auto"/>
              </w:rPr>
              <w:t>Holding Company</w:t>
            </w:r>
          </w:p>
        </w:tc>
        <w:tc>
          <w:tcPr>
            <w:tcW w:w="280" w:type="dxa"/>
            <w:vAlign w:val="bottom"/>
            <w:gridSpan w:val="2"/>
          </w:tcPr>
          <w:p>
            <w:pPr>
              <w:spacing w:after="0" w:line="194" w:lineRule="exact"/>
              <w:rPr>
                <w:sz w:val="20"/>
                <w:szCs w:val="20"/>
                <w:color w:val="auto"/>
              </w:rPr>
            </w:pPr>
            <w:r>
              <w:rPr>
                <w:rFonts w:ascii="Arial" w:cs="Arial" w:eastAsia="Arial" w:hAnsi="Arial"/>
                <w:sz w:val="18"/>
                <w:szCs w:val="18"/>
                <w:b w:val="1"/>
                <w:bCs w:val="1"/>
                <w:color w:val="FF0000"/>
                <w:strike w:val="1"/>
                <w:w w:val="86"/>
              </w:rPr>
              <w:t>129</w:t>
            </w:r>
          </w:p>
        </w:tc>
        <w:tc>
          <w:tcPr>
            <w:tcW w:w="260" w:type="dxa"/>
            <w:vAlign w:val="bottom"/>
            <w:tcBorders>
              <w:bottom w:val="single" w:sz="8" w:color="0000FF"/>
            </w:tcBorders>
          </w:tcPr>
          <w:p>
            <w:pPr>
              <w:jc w:val="right"/>
              <w:spacing w:after="0" w:line="194" w:lineRule="exact"/>
              <w:rPr>
                <w:sz w:val="20"/>
                <w:szCs w:val="20"/>
                <w:color w:val="auto"/>
              </w:rPr>
            </w:pPr>
            <w:r>
              <w:rPr>
                <w:rFonts w:ascii="Arial" w:cs="Arial" w:eastAsia="Arial" w:hAnsi="Arial"/>
                <w:sz w:val="18"/>
                <w:szCs w:val="18"/>
                <w:b w:val="1"/>
                <w:bCs w:val="1"/>
                <w:color w:val="0000FF"/>
                <w:w w:val="79"/>
              </w:rPr>
              <w:t>143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85"/>
              </w:rPr>
              <w:t>7.18</w:t>
            </w: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9260" w:type="dxa"/>
            <w:vAlign w:val="bottom"/>
            <w:gridSpan w:val="2"/>
            <w:vMerge w:val="restart"/>
          </w:tcPr>
          <w:p>
            <w:pPr>
              <w:ind w:left="140"/>
              <w:spacing w:after="0" w:line="196" w:lineRule="exact"/>
              <w:rPr>
                <w:sz w:val="20"/>
                <w:szCs w:val="20"/>
                <w:color w:val="auto"/>
              </w:rPr>
            </w:pPr>
            <w:r>
              <w:rPr>
                <w:rFonts w:ascii="Arial" w:cs="Arial" w:eastAsia="Arial" w:hAnsi="Arial"/>
                <w:sz w:val="18"/>
                <w:szCs w:val="18"/>
                <w:color w:val="auto"/>
              </w:rPr>
              <w:t>Swap Contracts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130</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b w:val="1"/>
                <w:bCs w:val="1"/>
                <w:color w:val="0000FF"/>
                <w:w w:val="85"/>
              </w:rPr>
              <w:t>7.17</w:t>
            </w:r>
          </w:p>
        </w:tc>
        <w:tc>
          <w:tcPr>
            <w:tcW w:w="92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85"/>
              </w:rPr>
              <w:t>7.19</w:t>
            </w: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9260" w:type="dxa"/>
            <w:vAlign w:val="bottom"/>
            <w:gridSpan w:val="2"/>
            <w:vMerge w:val="restart"/>
          </w:tcPr>
          <w:p>
            <w:pPr>
              <w:ind w:left="140"/>
              <w:spacing w:after="0" w:line="196" w:lineRule="exact"/>
              <w:rPr>
                <w:sz w:val="20"/>
                <w:szCs w:val="20"/>
                <w:color w:val="auto"/>
              </w:rPr>
            </w:pPr>
            <w:r>
              <w:rPr>
                <w:rFonts w:ascii="Arial" w:cs="Arial" w:eastAsia="Arial" w:hAnsi="Arial"/>
                <w:sz w:val="18"/>
                <w:szCs w:val="18"/>
                <w:color w:val="auto"/>
              </w:rPr>
              <w:t>Sales and Lease-Backs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130</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b w:val="1"/>
                <w:bCs w:val="1"/>
                <w:color w:val="0000FF"/>
                <w:w w:val="85"/>
              </w:rPr>
              <w:t>7.18</w:t>
            </w:r>
          </w:p>
        </w:tc>
        <w:tc>
          <w:tcPr>
            <w:tcW w:w="92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85"/>
              </w:rPr>
              <w:t>7.20</w:t>
            </w: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9260" w:type="dxa"/>
            <w:vAlign w:val="bottom"/>
            <w:gridSpan w:val="2"/>
            <w:vMerge w:val="restart"/>
          </w:tcPr>
          <w:p>
            <w:pPr>
              <w:ind w:left="140"/>
              <w:spacing w:after="0" w:line="196" w:lineRule="exact"/>
              <w:rPr>
                <w:sz w:val="20"/>
                <w:szCs w:val="20"/>
                <w:color w:val="auto"/>
              </w:rPr>
            </w:pPr>
            <w:r>
              <w:rPr>
                <w:rFonts w:ascii="Arial" w:cs="Arial" w:eastAsia="Arial" w:hAnsi="Arial"/>
                <w:sz w:val="18"/>
                <w:szCs w:val="18"/>
                <w:color w:val="auto"/>
              </w:rPr>
              <w:t>Permitted Tax Equity Credit Support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130</w:t>
            </w:r>
          </w:p>
        </w:tc>
        <w:tc>
          <w:tcPr>
            <w:tcW w:w="28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8"/>
                <w:szCs w:val="18"/>
                <w:b w:val="1"/>
                <w:bCs w:val="1"/>
                <w:color w:val="0000FF"/>
                <w:w w:val="85"/>
              </w:rPr>
              <w:t>7.19</w:t>
            </w:r>
          </w:p>
        </w:tc>
        <w:tc>
          <w:tcPr>
            <w:tcW w:w="92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7"/>
          </w:tcPr>
          <w:p>
            <w:pPr>
              <w:spacing w:after="0"/>
              <w:rPr>
                <w:sz w:val="20"/>
                <w:szCs w:val="20"/>
                <w:color w:val="auto"/>
              </w:rPr>
            </w:pPr>
            <w:r>
              <w:rPr>
                <w:rFonts w:ascii="Arial" w:cs="Arial" w:eastAsia="Arial" w:hAnsi="Arial"/>
                <w:sz w:val="18"/>
                <w:szCs w:val="18"/>
                <w:color w:val="auto"/>
              </w:rPr>
              <w:t>ARTICLE VIII EVENTS OF DEFAULT AND REMEDIES</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130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00FF"/>
                <w:w w:val="79"/>
              </w:rPr>
              <w:t>144</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8.01</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Events of Default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8.02</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Remedies upon Event of Default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8.03</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Application of Funds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7"/>
          </w:tcPr>
          <w:p>
            <w:pPr>
              <w:spacing w:after="0"/>
              <w:rPr>
                <w:sz w:val="20"/>
                <w:szCs w:val="20"/>
                <w:color w:val="auto"/>
              </w:rPr>
            </w:pPr>
            <w:r>
              <w:rPr>
                <w:rFonts w:ascii="Arial" w:cs="Arial" w:eastAsia="Arial" w:hAnsi="Arial"/>
                <w:sz w:val="18"/>
                <w:szCs w:val="18"/>
                <w:color w:val="auto"/>
              </w:rPr>
              <w:t>ARTICLE IX ADMINISTRATIVE AGENT</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136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00FF"/>
                <w:w w:val="79"/>
              </w:rPr>
              <w:t>149</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9.01</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Appointment and Authority</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9.02</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Rights as a Lender</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9.03</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Exculpatory Provisions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9.04</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Reliance by Administrative Agent; Indemnification, Etc.</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9.05</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Delegation of Duties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9.06</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Resignation of Administrative Agent</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9.07</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Non-Reliance on Administrative Agent and Other Lenders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9.08</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No Other Duties, Etc.</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9.09</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Administrative Agent May File Proofs of Claim</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9.10</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Collateral Matters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9.11</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Secured Cash Management Agreements and Secured Hedge Agreements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9.12</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Certain ERISA Matters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800"/>
              <w:spacing w:after="0" w:line="196" w:lineRule="exact"/>
              <w:rPr>
                <w:sz w:val="20"/>
                <w:szCs w:val="20"/>
                <w:color w:val="auto"/>
              </w:rPr>
            </w:pPr>
            <w:r>
              <w:rPr>
                <w:rFonts w:ascii="Arial" w:cs="Arial" w:eastAsia="Arial" w:hAnsi="Arial"/>
                <w:sz w:val="18"/>
                <w:szCs w:val="18"/>
                <w:color w:val="auto"/>
                <w:w w:val="85"/>
              </w:rPr>
              <w:t>9.13</w:t>
            </w:r>
          </w:p>
        </w:tc>
        <w:tc>
          <w:tcPr>
            <w:tcW w:w="180" w:type="dxa"/>
            <w:vAlign w:val="bottom"/>
          </w:tcPr>
          <w:p>
            <w:pPr>
              <w:spacing w:after="0" w:line="20" w:lineRule="exact"/>
              <w:rPr>
                <w:sz w:val="1"/>
                <w:szCs w:val="1"/>
                <w:color w:val="auto"/>
              </w:rPr>
            </w:pP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Acknowledgments of Lenders and L/C Issuers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700" w:type="dxa"/>
            <w:vAlign w:val="bottom"/>
            <w:gridSpan w:val="7"/>
          </w:tcPr>
          <w:p>
            <w:pPr>
              <w:spacing w:after="0"/>
              <w:rPr>
                <w:sz w:val="20"/>
                <w:szCs w:val="20"/>
                <w:color w:val="auto"/>
              </w:rPr>
            </w:pPr>
            <w:r>
              <w:rPr>
                <w:rFonts w:ascii="Arial" w:cs="Arial" w:eastAsia="Arial" w:hAnsi="Arial"/>
                <w:sz w:val="18"/>
                <w:szCs w:val="18"/>
                <w:color w:val="auto"/>
              </w:rPr>
              <w:t>ARTICLE X CONTINUING GUARANTY</w:t>
            </w: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145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000FF"/>
                <w:w w:val="79"/>
              </w:rPr>
              <w:t>159</w:t>
            </w: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Arial" w:cs="Arial" w:eastAsia="Arial" w:hAnsi="Arial"/>
                <w:sz w:val="18"/>
                <w:szCs w:val="18"/>
                <w:color w:val="auto"/>
              </w:rPr>
              <w:t>10.01</w:t>
            </w: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Guarantee of Secured Obligations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Arial" w:cs="Arial" w:eastAsia="Arial" w:hAnsi="Arial"/>
                <w:sz w:val="18"/>
                <w:szCs w:val="18"/>
                <w:color w:val="auto"/>
              </w:rPr>
              <w:t>10.02</w:t>
            </w: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Limitation on Obligations Guaranteed</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Arial" w:cs="Arial" w:eastAsia="Arial" w:hAnsi="Arial"/>
                <w:sz w:val="18"/>
                <w:szCs w:val="18"/>
                <w:color w:val="auto"/>
              </w:rPr>
              <w:t>10.03</w:t>
            </w: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Nature of Guarantee; Continuing Guarantee; Waivers of Defenses Etc.</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Arial" w:cs="Arial" w:eastAsia="Arial" w:hAnsi="Arial"/>
                <w:sz w:val="18"/>
                <w:szCs w:val="18"/>
                <w:color w:val="auto"/>
              </w:rPr>
              <w:t>10.04</w:t>
            </w: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Rights of Reimbursement, Contribution and Subrogation</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800"/>
              <w:spacing w:after="0" w:line="196" w:lineRule="exact"/>
              <w:rPr>
                <w:sz w:val="20"/>
                <w:szCs w:val="20"/>
                <w:color w:val="auto"/>
              </w:rPr>
            </w:pPr>
            <w:r>
              <w:rPr>
                <w:rFonts w:ascii="Arial" w:cs="Arial" w:eastAsia="Arial" w:hAnsi="Arial"/>
                <w:sz w:val="18"/>
                <w:szCs w:val="18"/>
                <w:color w:val="auto"/>
              </w:rPr>
              <w:t>10.05</w:t>
            </w:r>
          </w:p>
        </w:tc>
        <w:tc>
          <w:tcPr>
            <w:tcW w:w="940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Payments</w:t>
            </w: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gridSpan w:val="3"/>
            <w:vMerge w:val="continue"/>
          </w:tcPr>
          <w:p>
            <w:pPr>
              <w:spacing w:after="0"/>
              <w:rPr>
                <w:sz w:val="13"/>
                <w:szCs w:val="13"/>
                <w:color w:val="auto"/>
              </w:rPr>
            </w:pPr>
          </w:p>
        </w:tc>
        <w:tc>
          <w:tcPr>
            <w:tcW w:w="9400" w:type="dxa"/>
            <w:vAlign w:val="bottom"/>
            <w:gridSpan w:val="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60" w:type="dxa"/>
            <w:vAlign w:val="bottom"/>
            <w:gridSpan w:val="2"/>
            <w:vMerge w:val="restart"/>
          </w:tcPr>
          <w:p>
            <w:pPr>
              <w:ind w:left="4020"/>
              <w:spacing w:after="0"/>
              <w:rPr>
                <w:sz w:val="20"/>
                <w:szCs w:val="20"/>
                <w:color w:val="auto"/>
              </w:rPr>
            </w:pPr>
            <w:r>
              <w:rPr>
                <w:rFonts w:ascii="Arial" w:cs="Arial" w:eastAsia="Arial" w:hAnsi="Arial"/>
                <w:sz w:val="18"/>
                <w:szCs w:val="18"/>
                <w:color w:val="auto"/>
              </w:rPr>
              <w:t>- 3 -</w:t>
            </w: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300" w:type="dxa"/>
            <w:vAlign w:val="bottom"/>
            <w:vMerge w:val="restart"/>
          </w:tcPr>
          <w:p>
            <w:pPr>
              <w:ind w:left="800"/>
              <w:spacing w:after="0"/>
              <w:rPr>
                <w:sz w:val="20"/>
                <w:szCs w:val="20"/>
                <w:color w:val="auto"/>
              </w:rPr>
            </w:pPr>
            <w:r>
              <w:rPr>
                <w:rFonts w:ascii="Arial" w:cs="Arial" w:eastAsia="Arial" w:hAnsi="Arial"/>
                <w:sz w:val="18"/>
                <w:szCs w:val="18"/>
                <w:color w:val="auto"/>
              </w:rPr>
              <w:t>10.06</w:t>
            </w:r>
          </w:p>
        </w:tc>
        <w:tc>
          <w:tcPr>
            <w:tcW w:w="7640" w:type="dxa"/>
            <w:vAlign w:val="bottom"/>
            <w:gridSpan w:val="4"/>
            <w:vMerge w:val="restart"/>
          </w:tcPr>
          <w:p>
            <w:pPr>
              <w:ind w:left="80"/>
              <w:spacing w:after="0"/>
              <w:rPr>
                <w:sz w:val="20"/>
                <w:szCs w:val="20"/>
                <w:color w:val="auto"/>
              </w:rPr>
            </w:pPr>
            <w:r>
              <w:rPr>
                <w:rFonts w:ascii="Arial" w:cs="Arial" w:eastAsia="Arial" w:hAnsi="Arial"/>
                <w:sz w:val="18"/>
                <w:szCs w:val="18"/>
                <w:color w:val="auto"/>
              </w:rPr>
              <w:t>Subordination of Other Obligations</w:t>
            </w:r>
          </w:p>
        </w:tc>
        <w:tc>
          <w:tcPr>
            <w:tcW w:w="17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80" w:type="dxa"/>
            <w:vAlign w:val="bottom"/>
            <w:gridSpan w:val="2"/>
            <w:vMerge w:val="restart"/>
          </w:tcPr>
          <w:p>
            <w:pPr>
              <w:spacing w:after="0"/>
              <w:rPr>
                <w:sz w:val="20"/>
                <w:szCs w:val="20"/>
                <w:color w:val="auto"/>
              </w:rPr>
            </w:pPr>
            <w:r>
              <w:rPr>
                <w:rFonts w:ascii="Arial" w:cs="Arial" w:eastAsia="Arial" w:hAnsi="Arial"/>
                <w:sz w:val="18"/>
                <w:szCs w:val="18"/>
                <w:b w:val="1"/>
                <w:bCs w:val="1"/>
                <w:color w:val="FF0000"/>
                <w:strike w:val="1"/>
                <w:w w:val="86"/>
              </w:rPr>
              <w:t>150</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164</w:t>
            </w:r>
          </w:p>
        </w:tc>
        <w:tc>
          <w:tcPr>
            <w:tcW w:w="0" w:type="dxa"/>
            <w:vAlign w:val="bottom"/>
          </w:tcPr>
          <w:p>
            <w:pPr>
              <w:spacing w:after="0" w:line="20" w:lineRule="exact"/>
              <w:rPr>
                <w:sz w:val="1"/>
                <w:szCs w:val="1"/>
                <w:color w:val="auto"/>
              </w:rPr>
            </w:pPr>
          </w:p>
        </w:tc>
      </w:tr>
      <w:tr>
        <w:trPr>
          <w:trHeight w:val="179"/>
        </w:trPr>
        <w:tc>
          <w:tcPr>
            <w:tcW w:w="1300" w:type="dxa"/>
            <w:vAlign w:val="bottom"/>
            <w:vMerge w:val="continue"/>
          </w:tcPr>
          <w:p>
            <w:pPr>
              <w:spacing w:after="0"/>
              <w:rPr>
                <w:sz w:val="15"/>
                <w:szCs w:val="15"/>
                <w:color w:val="auto"/>
              </w:rPr>
            </w:pPr>
          </w:p>
        </w:tc>
        <w:tc>
          <w:tcPr>
            <w:tcW w:w="7640" w:type="dxa"/>
            <w:vAlign w:val="bottom"/>
            <w:gridSpan w:val="4"/>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6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10.07</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Financial Condition of Borrower and Guarantors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10.08</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Bankruptcy, Etc.</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165</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10.09</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Duration of Guaranty</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165</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10.10</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Reinstatement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165</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10.11</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Keepwell</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940" w:type="dxa"/>
            <w:vAlign w:val="bottom"/>
            <w:gridSpan w:val="5"/>
          </w:tcPr>
          <w:p>
            <w:pPr>
              <w:spacing w:after="0"/>
              <w:rPr>
                <w:sz w:val="20"/>
                <w:szCs w:val="20"/>
                <w:color w:val="auto"/>
              </w:rPr>
            </w:pPr>
            <w:r>
              <w:rPr>
                <w:rFonts w:ascii="Arial" w:cs="Arial" w:eastAsia="Arial" w:hAnsi="Arial"/>
                <w:sz w:val="18"/>
                <w:szCs w:val="18"/>
                <w:color w:val="auto"/>
              </w:rPr>
              <w:t>ARTICLE XI MISCELLANEOUS</w:t>
            </w: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152</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79"/>
              </w:rPr>
              <w:t>166</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11.01</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Amendments, Etc.</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166</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11.02</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Notices; Effectiveness; Electronic Communications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168</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11.03</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No Waiver; Cumulative Remedies; Enforcement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170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11.04</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Expenses; Indemnity; Damage Waiver</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171</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11.05</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Payments Set Aside</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173</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11.06</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Successors and Assigns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174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11.07</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Treatment of Certain Information; Confidentiality</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178</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11.08</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Right of Setoff</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179</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11.09</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Interest Rate Limitation</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11.10</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Counterparts; Integration; Effectiveness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11.11</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Survival of Representations and Warranties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11.12</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Severability</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180</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11.13</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Replacement of Lenders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181</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11.14</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Governing Law; Jurisdiction; Etc.</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181</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11.15</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Waiver of Jury Trial</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182</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11.16</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No Advisory or Fiduciary Responsibility</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183</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11.17</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Electronic Execution of Assignments and Certain Other Documents</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11.18</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USA PATRIOT Act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11.19</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ENTIRE AGREEMENT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170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11.20</w:t>
            </w:r>
          </w:p>
        </w:tc>
        <w:tc>
          <w:tcPr>
            <w:tcW w:w="7640" w:type="dxa"/>
            <w:vAlign w:val="bottom"/>
            <w:gridSpan w:val="4"/>
            <w:vMerge w:val="restart"/>
          </w:tcPr>
          <w:p>
            <w:pPr>
              <w:ind w:left="80"/>
              <w:spacing w:after="0" w:line="196" w:lineRule="exact"/>
              <w:rPr>
                <w:sz w:val="20"/>
                <w:szCs w:val="20"/>
                <w:color w:val="auto"/>
              </w:rPr>
            </w:pPr>
            <w:r>
              <w:rPr>
                <w:rFonts w:ascii="Arial" w:cs="Arial" w:eastAsia="Arial" w:hAnsi="Arial"/>
                <w:sz w:val="18"/>
                <w:szCs w:val="18"/>
                <w:color w:val="auto"/>
              </w:rPr>
              <w:t>Amended and Restated Credit Agreement</w:t>
            </w:r>
          </w:p>
        </w:tc>
        <w:tc>
          <w:tcPr>
            <w:tcW w:w="17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170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7640" w:type="dxa"/>
            <w:vAlign w:val="bottom"/>
            <w:gridSpan w:val="4"/>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184</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11.21</w:t>
            </w:r>
          </w:p>
        </w:tc>
        <w:tc>
          <w:tcPr>
            <w:tcW w:w="3340" w:type="dxa"/>
            <w:vAlign w:val="bottom"/>
            <w:vMerge w:val="restart"/>
          </w:tcPr>
          <w:p>
            <w:pPr>
              <w:ind w:left="80"/>
              <w:spacing w:after="0" w:line="196" w:lineRule="exact"/>
              <w:rPr>
                <w:sz w:val="20"/>
                <w:szCs w:val="20"/>
                <w:color w:val="auto"/>
              </w:rPr>
            </w:pPr>
            <w:r>
              <w:rPr>
                <w:rFonts w:ascii="Arial" w:cs="Arial" w:eastAsia="Arial" w:hAnsi="Arial"/>
                <w:sz w:val="18"/>
                <w:szCs w:val="18"/>
                <w:color w:val="auto"/>
                <w:w w:val="92"/>
              </w:rPr>
              <w:t>Acknowledgement and Consent to Bail-In of</w:t>
            </w:r>
          </w:p>
        </w:tc>
        <w:tc>
          <w:tcPr>
            <w:tcW w:w="3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97"/>
              </w:rPr>
              <w:t>EEA</w:t>
            </w:r>
          </w:p>
        </w:tc>
        <w:tc>
          <w:tcPr>
            <w:tcW w:w="392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0000FF"/>
              </w:rPr>
              <w:t xml:space="preserve">Affected </w:t>
            </w:r>
            <w:r>
              <w:rPr>
                <w:rFonts w:ascii="Arial" w:cs="Arial" w:eastAsia="Arial" w:hAnsi="Arial"/>
                <w:sz w:val="18"/>
                <w:szCs w:val="18"/>
                <w:color w:val="000000"/>
              </w:rPr>
              <w:t>Financial Institutions</w:t>
            </w:r>
          </w:p>
        </w:tc>
        <w:tc>
          <w:tcPr>
            <w:tcW w:w="1720" w:type="dxa"/>
            <w:vAlign w:val="bottom"/>
            <w:vMerge w:val="restart"/>
          </w:tcPr>
          <w:p>
            <w:pPr>
              <w:spacing w:after="0" w:line="20" w:lineRule="exact"/>
              <w:rPr>
                <w:sz w:val="1"/>
                <w:szCs w:val="1"/>
                <w:color w:val="auto"/>
              </w:rPr>
            </w:pPr>
          </w:p>
        </w:tc>
        <w:tc>
          <w:tcPr>
            <w:tcW w:w="3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171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392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185</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800"/>
              <w:spacing w:after="0" w:line="196" w:lineRule="exact"/>
              <w:rPr>
                <w:sz w:val="20"/>
                <w:szCs w:val="20"/>
                <w:color w:val="auto"/>
              </w:rPr>
            </w:pPr>
            <w:r>
              <w:rPr>
                <w:rFonts w:ascii="Arial" w:cs="Arial" w:eastAsia="Arial" w:hAnsi="Arial"/>
                <w:sz w:val="18"/>
                <w:szCs w:val="18"/>
                <w:color w:val="auto"/>
              </w:rPr>
              <w:t>11.22</w:t>
            </w: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60" w:type="dxa"/>
            <w:vAlign w:val="bottom"/>
            <w:gridSpan w:val="2"/>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171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4360" w:type="dxa"/>
            <w:vAlign w:val="bottom"/>
            <w:gridSpan w:val="3"/>
          </w:tcPr>
          <w:p>
            <w:pPr>
              <w:ind w:left="80"/>
              <w:spacing w:after="0" w:line="156" w:lineRule="exact"/>
              <w:rPr>
                <w:sz w:val="20"/>
                <w:szCs w:val="20"/>
                <w:color w:val="auto"/>
              </w:rPr>
            </w:pPr>
            <w:r>
              <w:rPr>
                <w:rFonts w:ascii="Arial" w:cs="Arial" w:eastAsia="Arial" w:hAnsi="Arial"/>
                <w:sz w:val="18"/>
                <w:szCs w:val="18"/>
                <w:color w:val="auto"/>
              </w:rPr>
              <w:t>Acknowledgement Regarding Any Supported QFCs</w:t>
            </w:r>
          </w:p>
        </w:tc>
        <w:tc>
          <w:tcPr>
            <w:tcW w:w="328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b w:val="1"/>
                <w:bCs w:val="1"/>
                <w:color w:val="0000FF"/>
                <w:w w:val="79"/>
              </w:rPr>
              <w:t>186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0"/>
                <w:szCs w:val="20"/>
                <w:color w:val="auto"/>
              </w:rPr>
            </w:pPr>
            <w:r>
              <w:rPr>
                <w:rFonts w:ascii="Arial" w:cs="Arial" w:eastAsia="Arial" w:hAnsi="Arial"/>
                <w:sz w:val="18"/>
                <w:szCs w:val="18"/>
                <w:color w:val="auto"/>
              </w:rPr>
              <w:t>SIGNATURES</w:t>
            </w:r>
          </w:p>
        </w:tc>
        <w:tc>
          <w:tcPr>
            <w:tcW w:w="3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324"/>
        </w:trPr>
        <w:tc>
          <w:tcPr>
            <w:tcW w:w="13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gridSpan w:val="4"/>
          </w:tcPr>
          <w:p>
            <w:pPr>
              <w:ind w:left="4160"/>
              <w:spacing w:after="0"/>
              <w:rPr>
                <w:sz w:val="20"/>
                <w:szCs w:val="20"/>
                <w:color w:val="auto"/>
              </w:rPr>
            </w:pPr>
            <w:r>
              <w:rPr>
                <w:rFonts w:ascii="Arial" w:cs="Arial" w:eastAsia="Arial" w:hAnsi="Arial"/>
                <w:sz w:val="18"/>
                <w:szCs w:val="18"/>
                <w:color w:val="auto"/>
              </w:rPr>
              <w:t>- 4 -</w:t>
            </w:r>
          </w:p>
        </w:tc>
        <w:tc>
          <w:tcPr>
            <w:tcW w:w="1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SCHEDULES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Existing </w:t>
      </w:r>
      <w:r>
        <w:rPr>
          <w:rFonts w:ascii="Arial" w:cs="Arial" w:eastAsia="Arial" w:hAnsi="Arial"/>
          <w:sz w:val="16"/>
          <w:szCs w:val="16"/>
          <w:b w:val="1"/>
          <w:bCs w:val="1"/>
          <w:color w:val="FF0000"/>
          <w:strike w:val="1"/>
        </w:rPr>
        <w:t>Equity Investor</w:t>
      </w:r>
      <w:r>
        <w:rPr>
          <w:rFonts w:ascii="Arial" w:cs="Arial" w:eastAsia="Arial" w:hAnsi="Arial"/>
          <w:sz w:val="16"/>
          <w:szCs w:val="16"/>
          <w:b w:val="1"/>
          <w:bCs w:val="1"/>
          <w:u w:val="single" w:color="auto"/>
          <w:color w:val="0000FF"/>
        </w:rPr>
        <w:t>Sponsor</w:t>
      </w:r>
      <w:r>
        <w:rPr>
          <w:rFonts w:ascii="Arial" w:cs="Arial" w:eastAsia="Arial" w:hAnsi="Arial"/>
          <w:sz w:val="16"/>
          <w:szCs w:val="16"/>
          <w:color w:val="auto"/>
        </w:rPr>
        <w:t xml:space="preserve"> Subsidiaries</w:t>
      </w:r>
    </w:p>
    <w:p>
      <w:pPr>
        <w:spacing w:after="0" w:line="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Revolving Credit Commitments and Applicable Revolving Credit Percentages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LC Commitments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color w:val="auto"/>
        </w:rPr>
        <w:t>Certain Authorizations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7"/>
          <w:szCs w:val="17"/>
          <w:color w:val="auto"/>
        </w:rPr>
        <w:t>Litigation</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Subsidiaries and Other Equity Investments; Loan Parties; Project Companies 5.17(a) Generation Portfolio Companies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Contractual Obligations Limiting Restricted Payments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color w:val="auto"/>
        </w:rPr>
        <w:t>Post-Closing Obligations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color w:val="auto"/>
        </w:rPr>
        <w:t>Existing Liens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7.02(a)  Existing Project-Level Indebtedness 7.02(d) Existing Indebtedness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7.03(f)</w:t>
      </w:r>
      <w:r>
        <w:rPr>
          <w:sz w:val="20"/>
          <w:szCs w:val="20"/>
          <w:color w:val="auto"/>
        </w:rPr>
        <w:tab/>
      </w:r>
      <w:r>
        <w:rPr>
          <w:rFonts w:ascii="Arial" w:cs="Arial" w:eastAsia="Arial" w:hAnsi="Arial"/>
          <w:sz w:val="16"/>
          <w:szCs w:val="16"/>
          <w:color w:val="auto"/>
        </w:rPr>
        <w:t>Existing Investments</w:t>
      </w:r>
    </w:p>
    <w:p>
      <w:pPr>
        <w:spacing w:after="0" w:line="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7.09</w:t>
      </w:r>
      <w:r>
        <w:rPr>
          <w:sz w:val="20"/>
          <w:szCs w:val="20"/>
          <w:color w:val="auto"/>
        </w:rPr>
        <w:tab/>
      </w:r>
      <w:r>
        <w:rPr>
          <w:rFonts w:ascii="Arial" w:cs="Arial" w:eastAsia="Arial" w:hAnsi="Arial"/>
          <w:sz w:val="16"/>
          <w:szCs w:val="16"/>
          <w:color w:val="auto"/>
        </w:rPr>
        <w:t>Burdensome Agreements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FF0000"/>
          <w:strike w:val="1"/>
        </w:rPr>
        <w:t>9.12</w:t>
      </w:r>
      <w:r>
        <w:rPr>
          <w:sz w:val="20"/>
          <w:szCs w:val="20"/>
          <w:color w:val="auto"/>
        </w:rPr>
        <w:tab/>
      </w:r>
      <w:r>
        <w:rPr>
          <w:rFonts w:ascii="Arial" w:cs="Arial" w:eastAsia="Arial" w:hAnsi="Arial"/>
          <w:sz w:val="15"/>
          <w:szCs w:val="15"/>
          <w:b w:val="1"/>
          <w:bCs w:val="1"/>
          <w:color w:val="FF0000"/>
          <w:strike w:val="1"/>
        </w:rPr>
        <w:t>Agency Assignment Actions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Administrative Agent’s Office, Certain Addresses for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Form of</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B-1</w:t>
      </w:r>
      <w:r>
        <w:rPr>
          <w:rFonts w:ascii="Arial" w:cs="Arial" w:eastAsia="Arial" w:hAnsi="Arial"/>
          <w:sz w:val="16"/>
          <w:szCs w:val="16"/>
          <w:color w:val="auto"/>
        </w:rPr>
        <w:t>Revolving Credit Note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B-2</w:t>
      </w:r>
      <w:r>
        <w:rPr>
          <w:rFonts w:ascii="Arial" w:cs="Arial" w:eastAsia="Arial" w:hAnsi="Arial"/>
          <w:sz w:val="16"/>
          <w:szCs w:val="16"/>
          <w:color w:val="auto"/>
        </w:rPr>
        <w:t>Incremental Term Loan Note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Compliance Certificate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D-1</w:t>
      </w:r>
      <w:r>
        <w:rPr>
          <w:rFonts w:ascii="Arial" w:cs="Arial" w:eastAsia="Arial" w:hAnsi="Arial"/>
          <w:sz w:val="16"/>
          <w:szCs w:val="16"/>
          <w:color w:val="auto"/>
        </w:rPr>
        <w:t>Assignment and Assumption</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D-2</w:t>
      </w:r>
      <w:r>
        <w:rPr>
          <w:rFonts w:ascii="Arial" w:cs="Arial" w:eastAsia="Arial" w:hAnsi="Arial"/>
          <w:sz w:val="16"/>
          <w:szCs w:val="16"/>
          <w:color w:val="auto"/>
        </w:rPr>
        <w:t>Administrative Questionnaire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Amended and Restated Security Agreement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6"/>
          <w:szCs w:val="16"/>
          <w:color w:val="auto"/>
        </w:rPr>
        <w:t>Opinion – Counsel to Loan Parties</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Collateral Questionnaire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6"/>
          <w:szCs w:val="16"/>
          <w:color w:val="auto"/>
        </w:rPr>
        <w:t>Subordination Agreement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Counterpart Agreement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J</w:t>
      </w:r>
      <w:r>
        <w:rPr>
          <w:rFonts w:ascii="Arial" w:cs="Arial" w:eastAsia="Arial" w:hAnsi="Arial"/>
          <w:sz w:val="16"/>
          <w:szCs w:val="16"/>
          <w:color w:val="auto"/>
        </w:rPr>
        <w:t>Pari Passu Intercreditor Agreement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K</w:t>
      </w:r>
      <w:r>
        <w:rPr>
          <w:rFonts w:ascii="Arial" w:cs="Arial" w:eastAsia="Arial" w:hAnsi="Arial"/>
          <w:sz w:val="16"/>
          <w:szCs w:val="16"/>
          <w:color w:val="auto"/>
        </w:rPr>
        <w:t>Second Lien Intercreditor Agreement</w:t>
      </w:r>
    </w:p>
    <w:p>
      <w:pPr>
        <w:spacing w:after="0" w:line="9" w:lineRule="exact"/>
        <w:rPr>
          <w:rFonts w:ascii="Arial" w:cs="Arial" w:eastAsia="Arial" w:hAnsi="Arial"/>
          <w:sz w:val="18"/>
          <w:szCs w:val="18"/>
          <w:color w:val="auto"/>
        </w:rPr>
      </w:pPr>
    </w:p>
    <w:p>
      <w:pPr>
        <w:jc w:val="both"/>
        <w:ind w:left="660" w:right="6359"/>
        <w:spacing w:after="0" w:line="253" w:lineRule="auto"/>
        <w:rPr>
          <w:rFonts w:ascii="Arial" w:cs="Arial" w:eastAsia="Arial" w:hAnsi="Arial"/>
          <w:sz w:val="18"/>
          <w:szCs w:val="18"/>
          <w:color w:val="auto"/>
        </w:rPr>
      </w:pPr>
      <w:r>
        <w:rPr>
          <w:rFonts w:ascii="Arial" w:cs="Arial" w:eastAsia="Arial" w:hAnsi="Arial"/>
          <w:sz w:val="18"/>
          <w:szCs w:val="18"/>
          <w:b w:val="1"/>
          <w:bCs w:val="1"/>
          <w:u w:val="single" w:color="auto"/>
          <w:color w:val="0000FF"/>
        </w:rPr>
        <w:t>L-1 U.S. Tax Compliance Certificate L-2 U.S. Tax Compliance Certificate L-3 U.S. Tax Compliance Certificate L-4 U.S. Tax Compliance Certificate</w:t>
      </w:r>
    </w:p>
    <w:p>
      <w:pPr>
        <w:spacing w:after="0" w:line="8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AMENDED AND RESTATED CREDIT AGREEMENT</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AMENDED AND RESTATED CREDIT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is</w:t>
      </w:r>
      <w:r>
        <w:rPr>
          <w:rFonts w:ascii="Arial" w:cs="Arial" w:eastAsia="Arial" w:hAnsi="Arial"/>
          <w:sz w:val="16"/>
          <w:szCs w:val="16"/>
          <w:b w:val="1"/>
          <w:bCs w:val="1"/>
          <w:u w:val="single" w:color="auto"/>
          <w:color w:val="0000FF"/>
        </w:rPr>
        <w:t>was</w:t>
      </w:r>
      <w:r>
        <w:rPr>
          <w:rFonts w:ascii="Arial" w:cs="Arial" w:eastAsia="Arial" w:hAnsi="Arial"/>
          <w:sz w:val="16"/>
          <w:szCs w:val="16"/>
          <w:color w:val="auto"/>
        </w:rPr>
        <w:t xml:space="preserve"> entered into as of April 25, 2014, as </w:t>
      </w:r>
      <w:r>
        <w:rPr>
          <w:rFonts w:ascii="Arial" w:cs="Arial" w:eastAsia="Arial" w:hAnsi="Arial"/>
          <w:sz w:val="16"/>
          <w:szCs w:val="16"/>
          <w:b w:val="1"/>
          <w:bCs w:val="1"/>
          <w:u w:val="single" w:color="auto"/>
          <w:color w:val="0000FF"/>
        </w:rPr>
        <w:t>is</w:t>
      </w:r>
      <w:r>
        <w:rPr>
          <w:rFonts w:ascii="Arial" w:cs="Arial" w:eastAsia="Arial" w:hAnsi="Arial"/>
          <w:sz w:val="16"/>
          <w:szCs w:val="16"/>
          <w:color w:val="auto"/>
        </w:rPr>
        <w:t xml:space="preserve"> amended </w:t>
      </w:r>
      <w:r>
        <w:rPr>
          <w:rFonts w:ascii="Arial" w:cs="Arial" w:eastAsia="Arial" w:hAnsi="Arial"/>
          <w:sz w:val="16"/>
          <w:szCs w:val="16"/>
          <w:b w:val="1"/>
          <w:bCs w:val="1"/>
          <w:color w:val="FF0000"/>
          <w:strike w:val="1"/>
        </w:rPr>
        <w:t>through</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April 30, 2018</w:t>
      </w:r>
      <w:r>
        <w:rPr>
          <w:rFonts w:ascii="Arial" w:cs="Arial" w:eastAsia="Arial" w:hAnsi="Arial"/>
          <w:sz w:val="16"/>
          <w:szCs w:val="16"/>
          <w:b w:val="1"/>
          <w:bCs w:val="1"/>
          <w:u w:val="single" w:color="auto"/>
          <w:color w:val="0000FF"/>
        </w:rPr>
        <w:t>and restated as of March 15, 2023</w:t>
      </w:r>
      <w:r>
        <w:rPr>
          <w:rFonts w:ascii="Arial" w:cs="Arial" w:eastAsia="Arial" w:hAnsi="Arial"/>
          <w:sz w:val="16"/>
          <w:szCs w:val="16"/>
          <w:color w:val="000000"/>
        </w:rPr>
        <w:t>, among Clearway Energy Operating LLC, a Delaware limited liability company (the “</w:t>
      </w:r>
      <w:r>
        <w:rPr>
          <w:rFonts w:ascii="Arial" w:cs="Arial" w:eastAsia="Arial" w:hAnsi="Arial"/>
          <w:sz w:val="16"/>
          <w:szCs w:val="16"/>
          <w:u w:val="single" w:color="auto"/>
          <w:color w:val="000000"/>
        </w:rPr>
        <w:t>Borrower</w:t>
      </w:r>
      <w:r>
        <w:rPr>
          <w:rFonts w:ascii="Arial" w:cs="Arial" w:eastAsia="Arial" w:hAnsi="Arial"/>
          <w:sz w:val="16"/>
          <w:szCs w:val="16"/>
          <w:color w:val="000000"/>
        </w:rPr>
        <w:t>”),</w:t>
      </w:r>
      <w:r>
        <w:rPr>
          <w:rFonts w:ascii="Arial" w:cs="Arial" w:eastAsia="Arial" w:hAnsi="Arial"/>
          <w:sz w:val="16"/>
          <w:szCs w:val="16"/>
          <w:b w:val="1"/>
          <w:bCs w:val="1"/>
          <w:color w:val="FF0000"/>
        </w:rPr>
        <w:t xml:space="preserve"> </w:t>
      </w:r>
      <w:r>
        <w:rPr>
          <w:rFonts w:ascii="Arial" w:cs="Arial" w:eastAsia="Arial" w:hAnsi="Arial"/>
          <w:sz w:val="16"/>
          <w:szCs w:val="16"/>
          <w:color w:val="000000"/>
        </w:rPr>
        <w:t>Clearway Energy LLC, a Delaware limited liability company (“</w:t>
      </w:r>
      <w:r>
        <w:rPr>
          <w:rFonts w:ascii="Arial" w:cs="Arial" w:eastAsia="Arial" w:hAnsi="Arial"/>
          <w:sz w:val="16"/>
          <w:szCs w:val="16"/>
          <w:u w:val="single" w:color="auto"/>
          <w:color w:val="000000"/>
        </w:rPr>
        <w:t>Holdings</w:t>
      </w:r>
      <w:r>
        <w:rPr>
          <w:rFonts w:ascii="Arial" w:cs="Arial" w:eastAsia="Arial" w:hAnsi="Arial"/>
          <w:sz w:val="16"/>
          <w:szCs w:val="16"/>
          <w:color w:val="000000"/>
        </w:rPr>
        <w:t>”), each other Guarantor (as defined herein) from time to time party hereto, each Lender from time to time party hereto (collectively, the “</w:t>
      </w:r>
      <w:r>
        <w:rPr>
          <w:rFonts w:ascii="Arial" w:cs="Arial" w:eastAsia="Arial" w:hAnsi="Arial"/>
          <w:sz w:val="16"/>
          <w:szCs w:val="16"/>
          <w:u w:val="single" w:color="auto"/>
          <w:color w:val="000000"/>
        </w:rPr>
        <w:t>Lenders</w:t>
      </w:r>
      <w:r>
        <w:rPr>
          <w:rFonts w:ascii="Arial" w:cs="Arial" w:eastAsia="Arial" w:hAnsi="Arial"/>
          <w:sz w:val="16"/>
          <w:szCs w:val="16"/>
          <w:color w:val="000000"/>
        </w:rPr>
        <w:t>” and individually, a “</w:t>
      </w:r>
      <w:r>
        <w:rPr>
          <w:rFonts w:ascii="Arial" w:cs="Arial" w:eastAsia="Arial" w:hAnsi="Arial"/>
          <w:sz w:val="16"/>
          <w:szCs w:val="16"/>
          <w:u w:val="single" w:color="auto"/>
          <w:color w:val="000000"/>
        </w:rPr>
        <w:t>Lender</w:t>
      </w:r>
      <w:r>
        <w:rPr>
          <w:rFonts w:ascii="Arial" w:cs="Arial" w:eastAsia="Arial" w:hAnsi="Arial"/>
          <w:sz w:val="16"/>
          <w:szCs w:val="16"/>
          <w:color w:val="000000"/>
        </w:rPr>
        <w:t xml:space="preserve">”), JPMORGAN CHASE BANK, N.A., as Administrative Agent and an L/C Issuer, and </w:t>
      </w:r>
      <w:r>
        <w:rPr>
          <w:rFonts w:ascii="Arial" w:cs="Arial" w:eastAsia="Arial" w:hAnsi="Arial"/>
          <w:sz w:val="16"/>
          <w:szCs w:val="16"/>
          <w:b w:val="1"/>
          <w:bCs w:val="1"/>
          <w:color w:val="FF0000"/>
          <w:strike w:val="1"/>
        </w:rPr>
        <w:t>ROYAL</w:t>
      </w:r>
      <w:r>
        <w:rPr>
          <w:rFonts w:ascii="Arial" w:cs="Arial" w:eastAsia="Arial" w:hAnsi="Arial"/>
          <w:sz w:val="16"/>
          <w:szCs w:val="16"/>
          <w:b w:val="1"/>
          <w:bCs w:val="1"/>
          <w:u w:val="single" w:color="auto"/>
          <w:color w:val="0000FF"/>
        </w:rPr>
        <w:t>JPMORGAN CHASE</w:t>
      </w:r>
      <w:r>
        <w:rPr>
          <w:rFonts w:ascii="Arial" w:cs="Arial" w:eastAsia="Arial" w:hAnsi="Arial"/>
          <w:sz w:val="16"/>
          <w:szCs w:val="16"/>
          <w:color w:val="000000"/>
        </w:rPr>
        <w:t xml:space="preserve"> BANK </w:t>
      </w:r>
      <w:r>
        <w:rPr>
          <w:rFonts w:ascii="Arial" w:cs="Arial" w:eastAsia="Arial" w:hAnsi="Arial"/>
          <w:sz w:val="16"/>
          <w:szCs w:val="16"/>
          <w:b w:val="1"/>
          <w:bCs w:val="1"/>
          <w:color w:val="FF0000"/>
          <w:strike w:val="1"/>
        </w:rPr>
        <w:t>OF CANADA</w:t>
      </w:r>
      <w:r>
        <w:rPr>
          <w:rFonts w:ascii="Arial" w:cs="Arial" w:eastAsia="Arial" w:hAnsi="Arial"/>
          <w:sz w:val="16"/>
          <w:szCs w:val="16"/>
          <w:b w:val="1"/>
          <w:bCs w:val="1"/>
          <w:u w:val="single" w:color="auto"/>
          <w:color w:val="0000FF"/>
        </w:rPr>
        <w:t>, N.A., MUFG BANK, LTD.</w:t>
      </w:r>
      <w:r>
        <w:rPr>
          <w:rFonts w:ascii="Arial" w:cs="Arial" w:eastAsia="Arial" w:hAnsi="Arial"/>
          <w:sz w:val="16"/>
          <w:szCs w:val="16"/>
          <w:color w:val="000000"/>
        </w:rPr>
        <w:t xml:space="preserve">, BANK OF AMERICA, N.A. </w:t>
      </w:r>
      <w:r>
        <w:rPr>
          <w:rFonts w:ascii="Arial" w:cs="Arial" w:eastAsia="Arial" w:hAnsi="Arial"/>
          <w:sz w:val="16"/>
          <w:szCs w:val="16"/>
          <w:b w:val="1"/>
          <w:bCs w:val="1"/>
          <w:color w:val="FF0000"/>
          <w:strike w:val="1"/>
        </w:rPr>
        <w:t>and</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FF0000"/>
          <w:strike w:val="1"/>
        </w:rPr>
        <w:t>BARCLAYS BANK PLC</w:t>
      </w:r>
      <w:r>
        <w:rPr>
          <w:rFonts w:ascii="Arial" w:cs="Arial" w:eastAsia="Arial" w:hAnsi="Arial"/>
          <w:sz w:val="18"/>
          <w:szCs w:val="18"/>
          <w:b w:val="1"/>
          <w:bCs w:val="1"/>
          <w:u w:val="single" w:color="auto"/>
          <w:color w:val="0000FF"/>
          <w:strike w:val="1"/>
        </w:rPr>
        <w:t>, CITIBANK, N.A., ROYAL BANK OF CANADA, KEYBANK NATIONAL ASSOCIATION, MORGAN STANLEY</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BANK, N.A. and BNP PARIBAS</w:t>
      </w:r>
      <w:r>
        <w:rPr>
          <w:rFonts w:ascii="Arial" w:cs="Arial" w:eastAsia="Arial" w:hAnsi="Arial"/>
          <w:sz w:val="18"/>
          <w:szCs w:val="18"/>
          <w:color w:val="000000"/>
          <w:strike w:val="1"/>
        </w:rPr>
        <w:t>, as L/C Issuers.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STATEMENTS:</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Immediately prior to the </w:t>
      </w:r>
      <w:r>
        <w:rPr>
          <w:rFonts w:ascii="Arial" w:cs="Arial" w:eastAsia="Arial" w:hAnsi="Arial"/>
          <w:sz w:val="16"/>
          <w:szCs w:val="16"/>
          <w:b w:val="1"/>
          <w:bCs w:val="1"/>
          <w:color w:val="FF0000"/>
          <w:strike w:val="1"/>
        </w:rPr>
        <w:t>effectiveness of this Agreement</w:t>
      </w:r>
      <w:r>
        <w:rPr>
          <w:rFonts w:ascii="Arial" w:cs="Arial" w:eastAsia="Arial" w:hAnsi="Arial"/>
          <w:sz w:val="16"/>
          <w:szCs w:val="16"/>
          <w:b w:val="1"/>
          <w:bCs w:val="1"/>
          <w:u w:val="single" w:color="auto"/>
          <w:color w:val="0000FF"/>
        </w:rPr>
        <w:t>Closing Date</w:t>
      </w:r>
      <w:r>
        <w:rPr>
          <w:rFonts w:ascii="Arial" w:cs="Arial" w:eastAsia="Arial" w:hAnsi="Arial"/>
          <w:sz w:val="16"/>
          <w:szCs w:val="16"/>
          <w:color w:val="auto"/>
        </w:rPr>
        <w:t xml:space="preserve">, the Borrower, Holdings, the lenders party thereto (including certain of the Lenders), Bank of America, as administrative agent and as an issuing bank thereunder, and the other financial institutions party thereto were party to the Credit Agreement, dated as of July 22, 2013 (as amended, restated, </w:t>
      </w:r>
      <w:r>
        <w:rPr>
          <w:rFonts w:ascii="Arial" w:cs="Arial" w:eastAsia="Arial" w:hAnsi="Arial"/>
          <w:sz w:val="16"/>
          <w:szCs w:val="16"/>
          <w:b w:val="1"/>
          <w:bCs w:val="1"/>
          <w:u w:val="single" w:color="auto"/>
          <w:color w:val="0000FF"/>
        </w:rPr>
        <w:t>amended and restated,</w:t>
      </w:r>
      <w:r>
        <w:rPr>
          <w:rFonts w:ascii="Arial" w:cs="Arial" w:eastAsia="Arial" w:hAnsi="Arial"/>
          <w:sz w:val="16"/>
          <w:szCs w:val="16"/>
          <w:color w:val="auto"/>
        </w:rPr>
        <w:t xml:space="preserve"> supplemented or otherwise modified prior to the Closing Date, the “</w:t>
      </w:r>
      <w:r>
        <w:rPr>
          <w:rFonts w:ascii="Arial" w:cs="Arial" w:eastAsia="Arial" w:hAnsi="Arial"/>
          <w:sz w:val="16"/>
          <w:szCs w:val="16"/>
          <w:b w:val="1"/>
          <w:bCs w:val="1"/>
          <w:color w:val="FF0000"/>
          <w:strike w:val="1"/>
        </w:rPr>
        <w:t>Existing</w:t>
      </w:r>
      <w:r>
        <w:rPr>
          <w:rFonts w:ascii="Arial" w:cs="Arial" w:eastAsia="Arial" w:hAnsi="Arial"/>
          <w:sz w:val="16"/>
          <w:szCs w:val="16"/>
          <w:b w:val="1"/>
          <w:bCs w:val="1"/>
          <w:u w:val="single" w:color="auto"/>
          <w:color w:val="0000FF"/>
        </w:rPr>
        <w:t>Original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 Agreement</w:t>
      </w:r>
      <w:r>
        <w:rPr>
          <w:rFonts w:ascii="Arial" w:cs="Arial" w:eastAsia="Arial" w:hAnsi="Arial"/>
          <w:sz w:val="16"/>
          <w:szCs w:val="16"/>
          <w:color w:val="auto"/>
        </w:rPr>
        <w:t>”), pursuant to which the lenders party thereto (including certain of the Lenders) agreed, subject to the terms and conditions thereof, to extend credit to the Borrower thereunder in the form of a revolving credit facility (including a letter of credit facility thereunder).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On April 30, 2018, JPMorgan became the Administrative Agent under this Agreement and the other Loan Documents.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The Obligations (as defined in the </w:t>
      </w:r>
      <w:r>
        <w:rPr>
          <w:rFonts w:ascii="Arial" w:cs="Arial" w:eastAsia="Arial" w:hAnsi="Arial"/>
          <w:sz w:val="17"/>
          <w:szCs w:val="17"/>
          <w:b w:val="1"/>
          <w:bCs w:val="1"/>
          <w:u w:val="single" w:color="auto"/>
          <w:color w:val="0000FF"/>
        </w:rPr>
        <w:t>Original Credit Agreement, as amended, restated, amended and restated, supplemented or otherwise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modified prior to the A&amp;R Credit Agreement Eighth Amendment Effective Date, the “</w:t>
      </w:r>
      <w:r>
        <w:rPr>
          <w:rFonts w:ascii="Arial" w:cs="Arial" w:eastAsia="Arial" w:hAnsi="Arial"/>
          <w:sz w:val="17"/>
          <w:szCs w:val="17"/>
          <w:u w:val="single" w:color="auto"/>
          <w:color w:val="000000"/>
        </w:rPr>
        <w:t>Existing Credit Agreement</w:t>
      </w:r>
      <w:r>
        <w:rPr>
          <w:rFonts w:ascii="Arial" w:cs="Arial" w:eastAsia="Arial" w:hAnsi="Arial"/>
          <w:sz w:val="17"/>
          <w:szCs w:val="17"/>
          <w:b w:val="1"/>
          <w:bCs w:val="1"/>
          <w:u w:val="single" w:color="auto"/>
          <w:color w:val="0000FF"/>
        </w:rPr>
        <w:t>”</w:t>
      </w:r>
      <w:r>
        <w:rPr>
          <w:rFonts w:ascii="Arial" w:cs="Arial" w:eastAsia="Arial" w:hAnsi="Arial"/>
          <w:sz w:val="17"/>
          <w:szCs w:val="17"/>
          <w:color w:val="000000"/>
        </w:rPr>
        <w:t>) were guaranteed pursuant to the</w:t>
      </w:r>
      <w:r>
        <w:rPr>
          <w:rFonts w:ascii="Arial" w:cs="Arial" w:eastAsia="Arial" w:hAnsi="Arial"/>
          <w:sz w:val="17"/>
          <w:szCs w:val="17"/>
          <w:b w:val="1"/>
          <w:bCs w:val="1"/>
          <w:color w:val="0000FF"/>
        </w:rPr>
        <w:t xml:space="preserve"> </w:t>
      </w:r>
      <w:r>
        <w:rPr>
          <w:rFonts w:ascii="Arial" w:cs="Arial" w:eastAsia="Arial" w:hAnsi="Arial"/>
          <w:sz w:val="17"/>
          <w:szCs w:val="17"/>
          <w:color w:val="000000"/>
        </w:rPr>
        <w:t>Guaranty (as defined in the Existing Credit Agreement) and secured pursuant to the Collateral Documents by a legal, valid, binding and enforceable security interest and a fully perfected Lien in favor of the Administrative Agent (as defined in the Existing Credit Agreement), for the ratable benefit of the Secured Parties (as defined in the Existing Credit Agreement), in the Collateral and the proceeds thereof.</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FF0000"/>
          <w:strike w:val="1"/>
        </w:rPr>
        <w:t>The</w:t>
      </w:r>
      <w:r>
        <w:rPr>
          <w:rFonts w:ascii="Arial" w:cs="Arial" w:eastAsia="Arial" w:hAnsi="Arial"/>
          <w:sz w:val="17"/>
          <w:szCs w:val="17"/>
          <w:b w:val="1"/>
          <w:bCs w:val="1"/>
          <w:u w:val="single" w:color="auto"/>
          <w:color w:val="0000FF"/>
        </w:rPr>
        <w:t>As of the A&amp;R Credit Agreement Eighth Amendment Effective Date, the</w:t>
      </w:r>
      <w:r>
        <w:rPr>
          <w:rFonts w:ascii="Arial" w:cs="Arial" w:eastAsia="Arial" w:hAnsi="Arial"/>
          <w:sz w:val="17"/>
          <w:szCs w:val="17"/>
          <w:b w:val="1"/>
          <w:bCs w:val="1"/>
          <w:color w:val="FF0000"/>
        </w:rPr>
        <w:t xml:space="preserve"> </w:t>
      </w:r>
      <w:r>
        <w:rPr>
          <w:rFonts w:ascii="Arial" w:cs="Arial" w:eastAsia="Arial" w:hAnsi="Arial"/>
          <w:sz w:val="17"/>
          <w:szCs w:val="17"/>
          <w:color w:val="000000"/>
        </w:rPr>
        <w:t>Borrower has requested that the</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Revolving Credit Lenders (as</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defined in the Existing Credit Agreement) and the other</w:t>
      </w:r>
      <w:r>
        <w:rPr>
          <w:rFonts w:ascii="Arial" w:cs="Arial" w:eastAsia="Arial" w:hAnsi="Arial"/>
          <w:sz w:val="17"/>
          <w:szCs w:val="17"/>
          <w:b w:val="1"/>
          <w:bCs w:val="1"/>
          <w:color w:val="FF0000"/>
        </w:rPr>
        <w:t xml:space="preserve"> </w:t>
      </w:r>
      <w:r>
        <w:rPr>
          <w:rFonts w:ascii="Arial" w:cs="Arial" w:eastAsia="Arial" w:hAnsi="Arial"/>
          <w:sz w:val="17"/>
          <w:szCs w:val="17"/>
          <w:color w:val="000000"/>
        </w:rPr>
        <w:t>Lenders party hereto agree, and</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such Revolving Credit Lenders (as defined in the Existing</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Credit Agreement) and other</w:t>
      </w:r>
      <w:r>
        <w:rPr>
          <w:rFonts w:ascii="Arial" w:cs="Arial" w:eastAsia="Arial" w:hAnsi="Arial"/>
          <w:sz w:val="17"/>
          <w:szCs w:val="17"/>
          <w:b w:val="1"/>
          <w:bCs w:val="1"/>
          <w:color w:val="FF0000"/>
        </w:rPr>
        <w:t xml:space="preserve"> </w:t>
      </w:r>
      <w:r>
        <w:rPr>
          <w:rFonts w:ascii="Arial" w:cs="Arial" w:eastAsia="Arial" w:hAnsi="Arial"/>
          <w:sz w:val="17"/>
          <w:szCs w:val="17"/>
          <w:color w:val="000000"/>
        </w:rPr>
        <w:t>Lenders have agreed, subject to the terms and conditions</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hereof</w:t>
      </w:r>
      <w:r>
        <w:rPr>
          <w:rFonts w:ascii="Arial" w:cs="Arial" w:eastAsia="Arial" w:hAnsi="Arial"/>
          <w:sz w:val="17"/>
          <w:szCs w:val="17"/>
          <w:b w:val="1"/>
          <w:bCs w:val="1"/>
          <w:u w:val="single" w:color="auto"/>
          <w:color w:val="0000FF"/>
        </w:rPr>
        <w:t>of the A&amp;R Credit Agreement Eighth Amendment and</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0000FF"/>
        </w:rPr>
        <w:t>this Agreement</w:t>
      </w:r>
      <w:r>
        <w:rPr>
          <w:rFonts w:ascii="Arial" w:cs="Arial" w:eastAsia="Arial" w:hAnsi="Arial"/>
          <w:sz w:val="17"/>
          <w:szCs w:val="17"/>
          <w:color w:val="000000"/>
        </w:rPr>
        <w:t>, to extend credit to the Borrower hereunder in the form of a revolving credit facility (including a letter of credit facility hereunder) in an</w:t>
      </w:r>
      <w:r>
        <w:rPr>
          <w:rFonts w:ascii="Arial" w:cs="Arial" w:eastAsia="Arial" w:hAnsi="Arial"/>
          <w:sz w:val="17"/>
          <w:szCs w:val="17"/>
          <w:b w:val="1"/>
          <w:bCs w:val="1"/>
          <w:color w:val="0000FF"/>
        </w:rPr>
        <w:t xml:space="preserve"> </w:t>
      </w:r>
      <w:r>
        <w:rPr>
          <w:rFonts w:ascii="Arial" w:cs="Arial" w:eastAsia="Arial" w:hAnsi="Arial"/>
          <w:sz w:val="17"/>
          <w:szCs w:val="17"/>
          <w:color w:val="000000"/>
        </w:rPr>
        <w:t>aggregate principal amount of $</w:t>
      </w:r>
      <w:r>
        <w:rPr>
          <w:rFonts w:ascii="Arial" w:cs="Arial" w:eastAsia="Arial" w:hAnsi="Arial"/>
          <w:sz w:val="17"/>
          <w:szCs w:val="17"/>
          <w:b w:val="1"/>
          <w:bCs w:val="1"/>
          <w:color w:val="FF0000"/>
          <w:strike w:val="1"/>
        </w:rPr>
        <w:t>450,000,000</w:t>
      </w:r>
      <w:r>
        <w:rPr>
          <w:rFonts w:ascii="Arial" w:cs="Arial" w:eastAsia="Arial" w:hAnsi="Arial"/>
          <w:sz w:val="17"/>
          <w:szCs w:val="17"/>
          <w:b w:val="1"/>
          <w:bCs w:val="1"/>
          <w:u w:val="single" w:color="auto"/>
          <w:color w:val="0000FF"/>
        </w:rPr>
        <w:t>700,000,000</w:t>
      </w:r>
      <w:r>
        <w:rPr>
          <w:rFonts w:ascii="Arial" w:cs="Arial" w:eastAsia="Arial" w:hAnsi="Arial"/>
          <w:sz w:val="17"/>
          <w:szCs w:val="17"/>
          <w:color w:val="000000"/>
        </w:rPr>
        <w:t xml:space="preserve"> as of the </w:t>
      </w:r>
      <w:r>
        <w:rPr>
          <w:rFonts w:ascii="Arial" w:cs="Arial" w:eastAsia="Arial" w:hAnsi="Arial"/>
          <w:sz w:val="17"/>
          <w:szCs w:val="17"/>
          <w:b w:val="1"/>
          <w:bCs w:val="1"/>
          <w:color w:val="FF0000"/>
          <w:strike w:val="1"/>
        </w:rPr>
        <w:t>date hereof</w:t>
      </w:r>
      <w:r>
        <w:rPr>
          <w:rFonts w:ascii="Arial" w:cs="Arial" w:eastAsia="Arial" w:hAnsi="Arial"/>
          <w:sz w:val="17"/>
          <w:szCs w:val="17"/>
          <w:b w:val="1"/>
          <w:bCs w:val="1"/>
          <w:u w:val="single" w:color="auto"/>
          <w:color w:val="0000FF"/>
        </w:rPr>
        <w:t>A&amp;R Credit Agreement Eighth Amendment Effective Date</w:t>
      </w:r>
      <w:r>
        <w:rPr>
          <w:rFonts w:ascii="Arial" w:cs="Arial" w:eastAsia="Arial" w:hAnsi="Arial"/>
          <w:sz w:val="17"/>
          <w:szCs w:val="17"/>
          <w:color w:val="000000"/>
        </w:rPr>
        <w:t xml:space="preserve">, and the Lenders have indicated their willingness to lend and the L/C Issuers </w:t>
      </w:r>
      <w:r>
        <w:rPr>
          <w:rFonts w:ascii="Arial" w:cs="Arial" w:eastAsia="Arial" w:hAnsi="Arial"/>
          <w:sz w:val="17"/>
          <w:szCs w:val="17"/>
          <w:b w:val="1"/>
          <w:bCs w:val="1"/>
          <w:color w:val="FF0000"/>
          <w:strike w:val="1"/>
        </w:rPr>
        <w:t>(as defined herein)</w:t>
      </w:r>
      <w:r>
        <w:rPr>
          <w:rFonts w:ascii="Arial" w:cs="Arial" w:eastAsia="Arial" w:hAnsi="Arial"/>
          <w:sz w:val="17"/>
          <w:szCs w:val="17"/>
          <w:color w:val="000000"/>
        </w:rPr>
        <w:t xml:space="preserve"> have indicated their willingness to issue letters of credit for the account of the Borrower, in each case, on the terms and subject to the conditions set forth herein.</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jc w:val="both"/>
        <w:ind w:firstLine="648"/>
        <w:spacing w:after="0" w:line="258" w:lineRule="auto"/>
        <w:rPr>
          <w:sz w:val="20"/>
          <w:szCs w:val="20"/>
          <w:color w:val="auto"/>
        </w:rPr>
      </w:pPr>
      <w:r>
        <w:rPr>
          <w:rFonts w:ascii="Arial" w:cs="Arial" w:eastAsia="Arial" w:hAnsi="Arial"/>
          <w:sz w:val="18"/>
          <w:szCs w:val="18"/>
          <w:b w:val="1"/>
          <w:bCs w:val="1"/>
          <w:color w:val="FF0000"/>
          <w:strike w:val="1"/>
        </w:rPr>
        <w:t>The revolving credit facility (including the letter of credit facility thereunder) under the Existing Credit Agreement will, on the terms and subject to the conditions set forth herein, be replaced on the Closing Date with the revolving credit facility (including the letter of credit facility hereunder) under this Agreement in an aggregate principal amount of $450,000,000 as of the date hereof, on the terms and subject to the conditions set forth herein. In addition, on the Closing Date, the Borrower will pay any fees and other obligations accrued thereon to the Closing Date.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is the intent of the parties hereto that (i) this Agreement shall be deemed to be the Credit Agreement for all purposes under the Collateral Documents and all extensions of credit under this Agreement (including issuances of Letters of Credit) shall constitute extensions of credit under the Credit Agreement (as defined in each of the Collateral Documents) for all purposes under the Collateral Documents and no further designation shall be required to be made so that the Obligations, including all extensions of credit under this Agreement (regardless when made or incurred), will be deemed Secured Obligations (as defined in the Collateral Documents) and (ii) the Obligations under this Agreement will henceforth be guaranteed pursuant to the Guaranty and secured pursuant to the Collateral Documents by a legal, valid, binding and enforceable security interest and a fully perfected Lien in favor of the Administrative Agent, for the ratable benefit of the Secured Parties, in the Collateral and the proceeds thereof.</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FF0000"/>
          <w:strike w:val="1"/>
        </w:rPr>
        <w:t>In addition, as of the Closing Date, Bank of America resigned as Administrative Agent under the Existing Credit Agreement and each of the other Loan Documents, RBC succeeded Bank of America as Administrative Agent under the Credit Agreement and each of the other Loan Documents, and Bank of America assigned its rights (other than with respect to actions taken or omitted to be taken prior to the effectiveness of this Agreement), responsibilities, duties and obligations under the Loan Documents to RBC, in each case as further set forth herein.</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FF0000"/>
          <w:strike w:val="1"/>
        </w:rPr>
        <w:t>Furthermore, in connection with the A&amp;R Credit Agreement Third Amendment, RBC desires to resign as Administrative Agent under this Agreement and each of the other Loan Documents, JPMorgan desires to succeed RBC as Administrative Agent under this Agreement and each of the other Loan Documents, and RBC desires to assign its rights (other than with respect to actions taken or omitted to be taken prior to the A&amp;R Credit Agreement Third Amendment Effective Date), responsibilities, duties and obligations under the Loan Documents to JPMorgan, in each case as further set forth in the A&amp;R Credit Agreement Third Amendment.</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FF0000"/>
          <w:strike w:val="1"/>
        </w:rPr>
        <w:t>As of the A&amp;R Credit Agreement Third Amendment Effective Date, the Borrower has requested that the Lenders party hereto agree, and Lenders have agreed, subject to the terms and conditions hereof, to extend credit to the Borrower hereunder in the form of a revolving credit facility (including a letter of credit facility hereunder) in an aggregate principal amount of $495,000,000 as of the A&amp;R Credit Agreement Third Amendment Effective Date, and the Lenders have indicated their willingness to lend and the L/C Issuers have indicated their willingness to issue letters of credit for the account of the Borrower, in each case, on the terms and subject to the conditions set forth herein.</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firstLine="648"/>
        <w:spacing w:after="0" w:line="258" w:lineRule="auto"/>
        <w:rPr>
          <w:sz w:val="20"/>
          <w:szCs w:val="20"/>
          <w:color w:val="auto"/>
        </w:rPr>
      </w:pPr>
      <w:r>
        <w:rPr>
          <w:rFonts w:ascii="Arial" w:cs="Arial" w:eastAsia="Arial" w:hAnsi="Arial"/>
          <w:sz w:val="18"/>
          <w:szCs w:val="18"/>
          <w:b w:val="1"/>
          <w:bCs w:val="1"/>
          <w:color w:val="FF0000"/>
          <w:strike w:val="1"/>
        </w:rPr>
        <w:t>The Lenders and the Loan Parties (a) desire to acknowledge RBC’s resignation as Administrative Agent under this Agreement and each of the other Loan Documents, (b) desire to appoint JPMorgan as Administrative Agent under this Agreement and each of the other Loan Documents and (c) desire to acknowledge the assignment by RBC of its rights (other than with respect to actions taken or omitted to be taken prior to the effectiveness of this Agreement), responsibilities, duties and obligations, to JPMorgan, in each case as further set forth in the A&amp;R Credit Agreement Third Amendment.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AND ACCOUNTING TERMS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Defined Terms. As used in this Agreement, the following terms shall have the meanings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1372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2020 Convertible Senior Notes</w:t>
      </w:r>
      <w:r>
        <w:rPr>
          <w:rFonts w:ascii="Arial" w:cs="Arial" w:eastAsia="Arial" w:hAnsi="Arial"/>
          <w:sz w:val="18"/>
          <w:szCs w:val="18"/>
          <w:b w:val="1"/>
          <w:bCs w:val="1"/>
          <w:color w:val="FF0000"/>
          <w:strike w:val="1"/>
        </w:rPr>
        <w:t>” has the meaning set forth in the definition of “Convertible Senior Notes.”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2021 Bridge Facility</w:t>
      </w:r>
      <w:r>
        <w:rPr>
          <w:rFonts w:ascii="Arial" w:cs="Arial" w:eastAsia="Arial" w:hAnsi="Arial"/>
          <w:sz w:val="18"/>
          <w:szCs w:val="18"/>
          <w:b w:val="1"/>
          <w:bCs w:val="1"/>
          <w:color w:val="FF0000"/>
          <w:strike w:val="1"/>
        </w:rPr>
        <w:t>” means the term loan facility in an aggregate principal amount equal to $335,000,000.00 incurred pursuant to that certain Credit Agreement, dated as of the Sixth Amendment Effective Date, among the Borrower, Holdings, Bank of America, N.A., as administrative agent, and the lenders party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2024 Senior Notes</w:t>
      </w:r>
      <w:r>
        <w:rPr>
          <w:rFonts w:ascii="Arial" w:cs="Arial" w:eastAsia="Arial" w:hAnsi="Arial"/>
          <w:sz w:val="18"/>
          <w:szCs w:val="18"/>
          <w:color w:val="auto"/>
        </w:rPr>
        <w:t>” has the meaning set forth in the definition of “Existing Senior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2026 Senior Notes</w:t>
      </w:r>
      <w:r>
        <w:rPr>
          <w:rFonts w:ascii="Arial" w:cs="Arial" w:eastAsia="Arial" w:hAnsi="Arial"/>
          <w:sz w:val="18"/>
          <w:szCs w:val="18"/>
          <w:color w:val="auto"/>
        </w:rPr>
        <w:t>” has the meaning set forth in the definition of “Existing Senior Notes.”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A&amp;R Credit Agreement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First</w:t>
      </w:r>
      <w:r>
        <w:rPr>
          <w:rFonts w:ascii="Arial" w:cs="Arial" w:eastAsia="Arial" w:hAnsi="Arial"/>
          <w:sz w:val="18"/>
          <w:szCs w:val="18"/>
          <w:b w:val="1"/>
          <w:bCs w:val="1"/>
          <w:u w:val="single" w:color="auto"/>
          <w:color w:val="0000FF"/>
        </w:rPr>
        <w:t>Eighth</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means that certain </w:t>
      </w:r>
      <w:r>
        <w:rPr>
          <w:rFonts w:ascii="Arial" w:cs="Arial" w:eastAsia="Arial" w:hAnsi="Arial"/>
          <w:sz w:val="18"/>
          <w:szCs w:val="18"/>
          <w:b w:val="1"/>
          <w:bCs w:val="1"/>
          <w:color w:val="FF0000"/>
          <w:strike w:val="1"/>
        </w:rPr>
        <w:t>First</w:t>
      </w:r>
      <w:r>
        <w:rPr>
          <w:rFonts w:ascii="Arial" w:cs="Arial" w:eastAsia="Arial" w:hAnsi="Arial"/>
          <w:sz w:val="18"/>
          <w:szCs w:val="18"/>
          <w:b w:val="1"/>
          <w:bCs w:val="1"/>
          <w:u w:val="single" w:color="auto"/>
          <w:color w:val="0000FF"/>
        </w:rPr>
        <w:t>Eighth</w:t>
      </w:r>
      <w:r>
        <w:rPr>
          <w:rFonts w:ascii="Arial" w:cs="Arial" w:eastAsia="Arial" w:hAnsi="Arial"/>
          <w:sz w:val="18"/>
          <w:szCs w:val="18"/>
          <w:color w:val="auto"/>
        </w:rPr>
        <w:t xml:space="preserve"> Amendment to Amended and Restated Credit Agreement, dated as of </w:t>
      </w:r>
      <w:r>
        <w:rPr>
          <w:rFonts w:ascii="Arial" w:cs="Arial" w:eastAsia="Arial" w:hAnsi="Arial"/>
          <w:sz w:val="18"/>
          <w:szCs w:val="18"/>
          <w:b w:val="1"/>
          <w:bCs w:val="1"/>
          <w:color w:val="FF0000"/>
          <w:strike w:val="1"/>
        </w:rPr>
        <w:t>June 26</w:t>
      </w:r>
      <w:r>
        <w:rPr>
          <w:rFonts w:ascii="Arial" w:cs="Arial" w:eastAsia="Arial" w:hAnsi="Arial"/>
          <w:sz w:val="18"/>
          <w:szCs w:val="18"/>
          <w:b w:val="1"/>
          <w:bCs w:val="1"/>
          <w:u w:val="single" w:color="auto"/>
          <w:color w:val="0000FF"/>
        </w:rPr>
        <w:t>March 15</w:t>
      </w:r>
      <w:r>
        <w:rPr>
          <w:rFonts w:ascii="Arial" w:cs="Arial" w:eastAsia="Arial" w:hAnsi="Arial"/>
          <w:sz w:val="18"/>
          <w:szCs w:val="18"/>
          <w:color w:val="000000"/>
        </w:rPr>
        <w:t>,</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2015</w:t>
      </w:r>
      <w:r>
        <w:rPr>
          <w:rFonts w:ascii="Arial" w:cs="Arial" w:eastAsia="Arial" w:hAnsi="Arial"/>
          <w:sz w:val="18"/>
          <w:szCs w:val="18"/>
          <w:b w:val="1"/>
          <w:bCs w:val="1"/>
          <w:u w:val="single" w:color="auto"/>
          <w:color w:val="0000FF"/>
        </w:rPr>
        <w:t>2023</w:t>
      </w:r>
      <w:r>
        <w:rPr>
          <w:rFonts w:ascii="Arial" w:cs="Arial" w:eastAsia="Arial" w:hAnsi="Arial"/>
          <w:sz w:val="18"/>
          <w:szCs w:val="18"/>
          <w:color w:val="000000"/>
        </w:rPr>
        <w:t>, among the Borrower, Holdings, the other Guarantors party thereto, the Administrative Agent and the financial institutions</w:t>
      </w:r>
      <w:r>
        <w:rPr>
          <w:rFonts w:ascii="Arial" w:cs="Arial" w:eastAsia="Arial" w:hAnsi="Arial"/>
          <w:sz w:val="18"/>
          <w:szCs w:val="18"/>
          <w:b w:val="1"/>
          <w:bCs w:val="1"/>
          <w:color w:val="FF0000"/>
        </w:rPr>
        <w:t xml:space="preserve"> </w:t>
      </w:r>
      <w:r>
        <w:rPr>
          <w:rFonts w:ascii="Arial" w:cs="Arial" w:eastAsia="Arial" w:hAnsi="Arial"/>
          <w:sz w:val="18"/>
          <w:szCs w:val="18"/>
          <w:color w:val="000000"/>
        </w:rPr>
        <w:t>listed on the signature pages thereto.</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A&amp;R Credit Agreement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First</w:t>
      </w:r>
      <w:r>
        <w:rPr>
          <w:rFonts w:ascii="Arial" w:cs="Arial" w:eastAsia="Arial" w:hAnsi="Arial"/>
          <w:sz w:val="17"/>
          <w:szCs w:val="17"/>
          <w:b w:val="1"/>
          <w:bCs w:val="1"/>
          <w:u w:val="single" w:color="auto"/>
          <w:color w:val="0000FF"/>
        </w:rPr>
        <w:t>Eighth</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xml:space="preserve">” means the date of satisfaction of the conditions referred to in Section </w:t>
      </w:r>
      <w:r>
        <w:rPr>
          <w:rFonts w:ascii="Arial" w:cs="Arial" w:eastAsia="Arial" w:hAnsi="Arial"/>
          <w:sz w:val="17"/>
          <w:szCs w:val="17"/>
          <w:b w:val="1"/>
          <w:bCs w:val="1"/>
          <w:color w:val="FF0000"/>
          <w:strike w:val="1"/>
        </w:rPr>
        <w:t>III of the A&amp;R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Credit Agreement First Amendment.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A&amp;R Credit Agreement Second Amendment</w:t>
      </w:r>
      <w:r>
        <w:rPr>
          <w:rFonts w:ascii="Arial" w:cs="Arial" w:eastAsia="Arial" w:hAnsi="Arial"/>
          <w:sz w:val="18"/>
          <w:szCs w:val="18"/>
          <w:b w:val="1"/>
          <w:bCs w:val="1"/>
          <w:color w:val="FF0000"/>
          <w:strike w:val="1"/>
        </w:rPr>
        <w:t>” means that certain Second Amendment to Amended &amp; Restated Credit Agreement, dated as of February 6, 2018, among the Borrower, Holdings, the other Guarantors party thereto, the Administrative Agent and the financial institutions listed on the signature pages thereto.</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A&amp;R Credit Agreement Second Amendment Effective Date</w:t>
      </w:r>
      <w:r>
        <w:rPr>
          <w:rFonts w:ascii="Arial" w:cs="Arial" w:eastAsia="Arial" w:hAnsi="Arial"/>
          <w:sz w:val="18"/>
          <w:szCs w:val="18"/>
          <w:b w:val="1"/>
          <w:bCs w:val="1"/>
          <w:color w:val="FF0000"/>
          <w:strike w:val="1"/>
        </w:rPr>
        <w:t>” means the date of satisfaction of the conditions referred to in Section</w:t>
      </w:r>
      <w:r>
        <w:rPr>
          <w:rFonts w:ascii="Arial" w:cs="Arial" w:eastAsia="Arial" w:hAnsi="Arial"/>
          <w:sz w:val="18"/>
          <w:szCs w:val="18"/>
          <w:b w:val="1"/>
          <w:bCs w:val="1"/>
          <w:color w:val="FF0000"/>
        </w:rPr>
        <w:t xml:space="preserve"> </w:t>
      </w:r>
      <w:r>
        <w:rPr>
          <w:rFonts w:ascii="Arial" w:cs="Arial" w:eastAsia="Arial" w:hAnsi="Arial"/>
          <w:sz w:val="18"/>
          <w:szCs w:val="18"/>
          <w:color w:val="000000"/>
        </w:rPr>
        <w:t>II of the A&amp;R</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Credit Agreement </w:t>
      </w:r>
      <w:r>
        <w:rPr>
          <w:rFonts w:ascii="Arial" w:cs="Arial" w:eastAsia="Arial" w:hAnsi="Arial"/>
          <w:sz w:val="18"/>
          <w:szCs w:val="18"/>
          <w:b w:val="1"/>
          <w:bCs w:val="1"/>
          <w:color w:val="FF0000"/>
          <w:strike w:val="1"/>
        </w:rPr>
        <w:t>Second</w:t>
      </w:r>
      <w:r>
        <w:rPr>
          <w:rFonts w:ascii="Arial" w:cs="Arial" w:eastAsia="Arial" w:hAnsi="Arial"/>
          <w:sz w:val="18"/>
          <w:szCs w:val="18"/>
          <w:b w:val="1"/>
          <w:bCs w:val="1"/>
          <w:u w:val="single" w:color="auto"/>
          <w:color w:val="0000FF"/>
        </w:rPr>
        <w:t>Eighth</w:t>
      </w:r>
      <w:r>
        <w:rPr>
          <w:rFonts w:ascii="Arial" w:cs="Arial" w:eastAsia="Arial" w:hAnsi="Arial"/>
          <w:sz w:val="18"/>
          <w:szCs w:val="18"/>
          <w:color w:val="000000"/>
        </w:rPr>
        <w:t xml:space="preserve"> Amendment.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A&amp;R Credit Agreement Third Amendment</w:t>
      </w:r>
      <w:r>
        <w:rPr>
          <w:rFonts w:ascii="Arial" w:cs="Arial" w:eastAsia="Arial" w:hAnsi="Arial"/>
          <w:sz w:val="18"/>
          <w:szCs w:val="18"/>
          <w:color w:val="auto"/>
        </w:rPr>
        <w:t>” means that certain Third Amendment to Amended &amp; Restated Credit Agreement, dated as of April 30, 2018, among the Borrower, Holdings, the other Guarantors party thereto, RBC, as resigning administrative agent, JPMorgan, as successor administrative agent, and the financial institutions listed on the signature pages thereto.</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A&amp;R Credit Agreement Third Amendment Effective Date</w:t>
      </w:r>
      <w:r>
        <w:rPr>
          <w:rFonts w:ascii="Arial" w:cs="Arial" w:eastAsia="Arial" w:hAnsi="Arial"/>
          <w:sz w:val="18"/>
          <w:szCs w:val="18"/>
          <w:color w:val="auto"/>
        </w:rPr>
        <w:t>” means the date of satisfaction of the conditions referred to in Section III of the A&amp;R Credit Agreement Third Amendment, which date is April 30,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Agreements</w:t>
      </w:r>
      <w:r>
        <w:rPr>
          <w:rFonts w:ascii="Arial" w:cs="Arial" w:eastAsia="Arial" w:hAnsi="Arial"/>
          <w:sz w:val="18"/>
          <w:szCs w:val="18"/>
          <w:color w:val="auto"/>
        </w:rPr>
        <w:t>” means each amended and restated account control agreement entered into by each applicable Loan Party, the Administrative Agent, and the applicable depositary bank party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Acquisition</w:t>
      </w:r>
      <w:r>
        <w:rPr>
          <w:rFonts w:ascii="Arial" w:cs="Arial" w:eastAsia="Arial" w:hAnsi="Arial"/>
          <w:sz w:val="18"/>
          <w:szCs w:val="18"/>
          <w:b w:val="1"/>
          <w:bCs w:val="1"/>
          <w:color w:val="FF0000"/>
          <w:strike w:val="1"/>
        </w:rPr>
        <w:t>” has the meaning given to the term “Parent Acquisition” in the A&amp;R Credit Agreement Second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Acquisition Closing Date</w:t>
      </w:r>
      <w:r>
        <w:rPr>
          <w:rFonts w:ascii="Arial" w:cs="Arial" w:eastAsia="Arial" w:hAnsi="Arial"/>
          <w:sz w:val="18"/>
          <w:szCs w:val="18"/>
          <w:b w:val="1"/>
          <w:bCs w:val="1"/>
          <w:color w:val="FF0000"/>
          <w:strike w:val="1"/>
        </w:rPr>
        <w:t>” means the date on which the Acquisition is consummated.</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Period</w:t>
      </w:r>
      <w:r>
        <w:rPr>
          <w:rFonts w:ascii="Arial" w:cs="Arial" w:eastAsia="Arial" w:hAnsi="Arial"/>
          <w:sz w:val="16"/>
          <w:szCs w:val="16"/>
          <w:color w:val="auto"/>
        </w:rPr>
        <w:t xml:space="preserve">” means, upon the Borrower’s election pursuant to </w:t>
      </w:r>
      <w:r>
        <w:rPr>
          <w:rFonts w:ascii="Arial" w:cs="Arial" w:eastAsia="Arial" w:hAnsi="Arial"/>
          <w:sz w:val="16"/>
          <w:szCs w:val="16"/>
          <w:u w:val="single" w:color="auto"/>
          <w:color w:val="auto"/>
        </w:rPr>
        <w:t>Section 6.02(f)</w:t>
      </w:r>
      <w:r>
        <w:rPr>
          <w:rFonts w:ascii="Arial" w:cs="Arial" w:eastAsia="Arial" w:hAnsi="Arial"/>
          <w:sz w:val="16"/>
          <w:szCs w:val="16"/>
          <w:color w:val="auto"/>
        </w:rPr>
        <w:t>, the period beginning with the closing date for a Qualified Acquisition (a “</w:t>
      </w:r>
      <w:r>
        <w:rPr>
          <w:rFonts w:ascii="Arial" w:cs="Arial" w:eastAsia="Arial" w:hAnsi="Arial"/>
          <w:sz w:val="16"/>
          <w:szCs w:val="16"/>
          <w:u w:val="single" w:color="auto"/>
          <w:color w:val="auto"/>
        </w:rPr>
        <w:t>Qualified Acquisition Closing Date</w:t>
      </w:r>
      <w:r>
        <w:rPr>
          <w:rFonts w:ascii="Arial" w:cs="Arial" w:eastAsia="Arial" w:hAnsi="Arial"/>
          <w:sz w:val="16"/>
          <w:szCs w:val="16"/>
          <w:color w:val="auto"/>
        </w:rPr>
        <w:t>”) and ending on the earliest to occur of (x) the last day of the first full fiscal quarter following such Qualified Acquisition Closing Date in which the Borrower Leverage Ratio is equal to or less than 5.50</w:t>
      </w:r>
      <w:r>
        <w:rPr>
          <w:rFonts w:ascii="Arial" w:cs="Arial" w:eastAsia="Arial" w:hAnsi="Arial"/>
          <w:sz w:val="16"/>
          <w:szCs w:val="16"/>
          <w:b w:val="1"/>
          <w:bCs w:val="1"/>
          <w:color w:val="FF0000"/>
          <w:strike w:val="1"/>
        </w:rPr>
        <w:t>:1.00 or, during the period from July 1, 2020</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through and including December 31, 2020, 6.00:1.00, or, during the period from the Sixth Amendment Effective Date through and including the Leverage Period Termination Date, 6.00</w:t>
      </w:r>
      <w:r>
        <w:rPr>
          <w:rFonts w:ascii="Arial" w:cs="Arial" w:eastAsia="Arial" w:hAnsi="Arial"/>
          <w:sz w:val="16"/>
          <w:szCs w:val="16"/>
          <w:color w:val="000000"/>
          <w:strike w:val="1"/>
        </w:rPr>
        <w:t>:1.00, (y) the last day of the third full fiscal quarter following such Qualified Acquisition Closing Date and (z)</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 xml:space="preserve">the date on which the Borrower notifies the Administrative Agent that it desires to end the Acquisition Period for such Qualified Acquisition; </w:t>
      </w:r>
      <w:r>
        <w:rPr>
          <w:rFonts w:ascii="Arial" w:cs="Arial" w:eastAsia="Arial" w:hAnsi="Arial"/>
          <w:sz w:val="16"/>
          <w:szCs w:val="16"/>
          <w:u w:val="single" w:color="auto"/>
          <w:color w:val="000000"/>
          <w:strike w:val="1"/>
        </w:rPr>
        <w:t>provided</w:t>
      </w:r>
      <w:r>
        <w:rPr>
          <w:rFonts w:ascii="Arial" w:cs="Arial" w:eastAsia="Arial" w:hAnsi="Arial"/>
          <w:sz w:val="16"/>
          <w:szCs w:val="16"/>
          <w:b w:val="1"/>
          <w:bCs w:val="1"/>
          <w:color w:val="000000"/>
          <w:strike w:val="1"/>
        </w:rPr>
        <w:t>,</w:t>
      </w:r>
      <w:r>
        <w:rPr>
          <w:rFonts w:ascii="Arial" w:cs="Arial" w:eastAsia="Arial" w:hAnsi="Arial"/>
          <w:sz w:val="16"/>
          <w:szCs w:val="16"/>
          <w:color w:val="000000"/>
          <w:strike w:val="1"/>
        </w:rPr>
        <w:t xml:space="preserve"> that</w:t>
      </w:r>
    </w:p>
    <w:p>
      <w:pPr>
        <w:spacing w:after="0" w:line="4" w:lineRule="exact"/>
        <w:rPr>
          <w:sz w:val="20"/>
          <w:szCs w:val="20"/>
          <w:color w:val="auto"/>
        </w:rPr>
      </w:pPr>
    </w:p>
    <w:p>
      <w:pPr>
        <w:jc w:val="both"/>
        <w:ind w:firstLine="8"/>
        <w:spacing w:after="0" w:line="253" w:lineRule="auto"/>
        <w:tabs>
          <w:tab w:leader="none" w:pos="2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no Acquisition Period may become effective if the Borrower fails to timely elect such Acquisition Period pursuant to the terms of </w:t>
      </w:r>
      <w:r>
        <w:rPr>
          <w:rFonts w:ascii="Arial" w:cs="Arial" w:eastAsia="Arial" w:hAnsi="Arial"/>
          <w:sz w:val="18"/>
          <w:szCs w:val="18"/>
          <w:u w:val="single" w:color="auto"/>
          <w:color w:val="auto"/>
        </w:rPr>
        <w:t>Section 6.02(f)</w:t>
      </w:r>
      <w:r>
        <w:rPr>
          <w:rFonts w:ascii="Arial" w:cs="Arial" w:eastAsia="Arial" w:hAnsi="Arial"/>
          <w:sz w:val="18"/>
          <w:szCs w:val="18"/>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L/C Issuer</w:t>
      </w:r>
      <w:r>
        <w:rPr>
          <w:rFonts w:ascii="Arial" w:cs="Arial" w:eastAsia="Arial" w:hAnsi="Arial"/>
          <w:sz w:val="18"/>
          <w:szCs w:val="18"/>
          <w:color w:val="auto"/>
        </w:rPr>
        <w:t xml:space="preserve">” means any one or more Lenders or Affiliates thereof that have been appointed by the Borrower (and which has accepted its appointment) as an L/C Issuer pursuant to </w:t>
      </w:r>
      <w:r>
        <w:rPr>
          <w:rFonts w:ascii="Arial" w:cs="Arial" w:eastAsia="Arial" w:hAnsi="Arial"/>
          <w:sz w:val="18"/>
          <w:szCs w:val="18"/>
          <w:u w:val="single" w:color="auto"/>
          <w:color w:val="auto"/>
        </w:rPr>
        <w:t>Section 2.03(m)</w:t>
      </w:r>
      <w:r>
        <w:rPr>
          <w:rFonts w:ascii="Arial" w:cs="Arial" w:eastAsia="Arial" w:hAnsi="Arial"/>
          <w:sz w:val="18"/>
          <w:szCs w:val="18"/>
          <w:color w:val="auto"/>
        </w:rPr>
        <w:t>.</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0000FF"/>
        </w:rPr>
        <w:t>“Adjusted Daily Simple SOFR Rate” means an interest rate per annum equal to (a) the Daily Simple SOFR, plus (b) 0.10%; provided that if the Adjusted Daily Simple SOFR Rate as so determined would be less than the Floor, such rate shall be deemed to be equal to the Floor for the purposes of this Agreement.</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spacing w:after="0" w:line="266" w:lineRule="auto"/>
        <w:rPr>
          <w:sz w:val="20"/>
          <w:szCs w:val="20"/>
          <w:color w:val="auto"/>
        </w:rPr>
      </w:pPr>
      <w:r>
        <w:rPr>
          <w:rFonts w:ascii="Arial" w:cs="Arial" w:eastAsia="Arial" w:hAnsi="Arial"/>
          <w:sz w:val="18"/>
          <w:szCs w:val="18"/>
          <w:b w:val="1"/>
          <w:bCs w:val="1"/>
          <w:u w:val="single" w:color="auto"/>
          <w:color w:val="0000FF"/>
        </w:rPr>
        <w:t>“Adjusted Term SOFR Rate” means, for any Interest Period with respect to a Term Benchmark Loan, an interest rate per annum equal to (a) the Term SOFR Rate for such Interest Period, plus (b) 0.10%; provided that if the Adjusted Term SOFR Rate as so determined would be less than the Floor, such rate shall be deemed to be equal to the Floor for the purposes of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means JPMorgan in its capacity as administrative agent under any of the Loan Documents, or any successor administrative agent.</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any Person, another Person that directly, or indirectly through one or more intermediaries, Controls or is Controlled by or is under common Control with the Person specified. For purposes of </w:t>
      </w:r>
      <w:r>
        <w:rPr>
          <w:rFonts w:ascii="Arial" w:cs="Arial" w:eastAsia="Arial" w:hAnsi="Arial"/>
          <w:sz w:val="18"/>
          <w:szCs w:val="18"/>
          <w:u w:val="single" w:color="auto"/>
          <w:color w:val="auto"/>
        </w:rPr>
        <w:t>Section 7.08</w:t>
      </w:r>
      <w:r>
        <w:rPr>
          <w:rFonts w:ascii="Arial" w:cs="Arial" w:eastAsia="Arial" w:hAnsi="Arial"/>
          <w:sz w:val="18"/>
          <w:szCs w:val="18"/>
          <w:color w:val="auto"/>
        </w:rPr>
        <w:t>, “Affiliate” shall also include any Person that directly or indirectly owns 10% or more of any class of Equity Interests of the Person specified.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means each of (i) the Administrative Agent and (ii) any other Person appointed under the Loan Documents to serve in an agent or similar capacity.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Projections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as amended, and, to the extent applicable to the Borrower or any of its Subsidiaries, other similar legislation in any other jurisdiction.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 in respect of any Revolving Credit Facility, with respect to any Revolving Credit Lender at any time, the percentage (carried out to the ninth decimal place) of such Revolving Credit Facility represented by such Revolving Credit Lender’s Revolving Credit Commitment at such time, (b) in respect of the Incremental Term Loans of any Series, with respect to any Incremental Term Loan Lender at any time, the percentage (carried out to the ninth decimal place) of the aggregate principal amount of all Incremental Term Loans of such Series then outstanding represented by such Incremental Term Loan Lender’s Incremental Term Loans of such Series at such time and (c) in respect of the Facilities collectively, the percentage (carried out to the ninth decimal place) of the Facilities represented by such Lender’s outstanding Incremental Term Loans and Revolving Credit Commitments, taken together, at such time. If the commitment of each Revolving Credit Lender to make Revolving Credit Loans under a Revolving Credit Facility and the obligation of each L/C Issuer to make L/C Credit Extensions have been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if the Revolving Credit Commitments under a Revolving Credit Facility have expired, then the Applicable Percentage of each Revolving Credit Lender in respect of such Revolving Credit Facility shall be determined based on the Applicable Percentage of such Revolving Credit Lender in respect of such Revolving Credit Facility most recently in effect, giving effect to any subsequent assignments. The Applicable Percentage of each Revolving Credit Lender in respect of the Revolving Credit Facility as of the A&amp;R Credit Agreement </w:t>
      </w:r>
      <w:r>
        <w:rPr>
          <w:rFonts w:ascii="Arial" w:cs="Arial" w:eastAsia="Arial" w:hAnsi="Arial"/>
          <w:sz w:val="17"/>
          <w:szCs w:val="17"/>
          <w:b w:val="1"/>
          <w:bCs w:val="1"/>
          <w:color w:val="FF0000"/>
          <w:strike w:val="1"/>
        </w:rPr>
        <w:t>Third</w:t>
      </w:r>
      <w:r>
        <w:rPr>
          <w:rFonts w:ascii="Arial" w:cs="Arial" w:eastAsia="Arial" w:hAnsi="Arial"/>
          <w:sz w:val="17"/>
          <w:szCs w:val="17"/>
          <w:b w:val="1"/>
          <w:bCs w:val="1"/>
          <w:u w:val="single" w:color="auto"/>
          <w:color w:val="0000FF"/>
        </w:rPr>
        <w:t>Eighth</w:t>
      </w:r>
      <w:r>
        <w:rPr>
          <w:rFonts w:ascii="Arial" w:cs="Arial" w:eastAsia="Arial" w:hAnsi="Arial"/>
          <w:sz w:val="17"/>
          <w:szCs w:val="17"/>
          <w:color w:val="auto"/>
        </w:rPr>
        <w:t xml:space="preserve"> Amendment Effective Date is set forth opposite the name of such Revolving Credit Lender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in respect of such Revolving Credit Facility pursuant to which such Revolving Credit Lender becomes a party hereto, as applicable.</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and “</w:t>
      </w:r>
      <w:r>
        <w:rPr>
          <w:rFonts w:ascii="Arial" w:cs="Arial" w:eastAsia="Arial" w:hAnsi="Arial"/>
          <w:sz w:val="18"/>
          <w:szCs w:val="18"/>
          <w:u w:val="single" w:color="auto"/>
          <w:color w:val="auto"/>
        </w:rPr>
        <w:t>Applicable Fee Rate</w:t>
      </w:r>
      <w:r>
        <w:rPr>
          <w:rFonts w:ascii="Arial" w:cs="Arial" w:eastAsia="Arial" w:hAnsi="Arial"/>
          <w:sz w:val="18"/>
          <w:szCs w:val="18"/>
          <w:color w:val="auto"/>
        </w:rPr>
        <w:t>” means,</w:t>
      </w:r>
    </w:p>
    <w:p>
      <w:pPr>
        <w:spacing w:after="0" w:line="221" w:lineRule="exact"/>
        <w:rPr>
          <w:sz w:val="20"/>
          <w:szCs w:val="20"/>
          <w:color w:val="auto"/>
        </w:rPr>
      </w:pPr>
    </w:p>
    <w:p>
      <w:pPr>
        <w:jc w:val="both"/>
        <w:ind w:left="660" w:firstLine="644"/>
        <w:spacing w:after="0" w:line="261" w:lineRule="auto"/>
        <w:tabs>
          <w:tab w:leader="none" w:pos="199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FF0000"/>
          <w:strike w:val="1"/>
        </w:rPr>
        <w:t>prior to the A&amp;R Credit Agreement Third Amendment Effective Date,</w:t>
      </w:r>
      <w:r>
        <w:rPr>
          <w:rFonts w:ascii="Arial" w:cs="Arial" w:eastAsia="Arial" w:hAnsi="Arial"/>
          <w:sz w:val="18"/>
          <w:szCs w:val="18"/>
          <w:b w:val="1"/>
          <w:bCs w:val="1"/>
          <w:color w:val="FF0000"/>
        </w:rPr>
        <w:t xml:space="preserve"> </w:t>
      </w:r>
      <w:r>
        <w:rPr>
          <w:rFonts w:ascii="Arial" w:cs="Arial" w:eastAsia="Arial" w:hAnsi="Arial"/>
          <w:sz w:val="18"/>
          <w:szCs w:val="18"/>
          <w:color w:val="000000"/>
        </w:rPr>
        <w:t>in respect of (i) Revolving Credit Loans under the</w:t>
      </w:r>
      <w:r>
        <w:rPr>
          <w:rFonts w:ascii="Arial" w:cs="Arial" w:eastAsia="Arial" w:hAnsi="Arial"/>
          <w:sz w:val="18"/>
          <w:szCs w:val="18"/>
          <w:b w:val="1"/>
          <w:bCs w:val="1"/>
          <w:color w:val="FF0000"/>
        </w:rPr>
        <w:t xml:space="preserve"> </w:t>
      </w:r>
      <w:r>
        <w:rPr>
          <w:rFonts w:ascii="Arial" w:cs="Arial" w:eastAsia="Arial" w:hAnsi="Arial"/>
          <w:sz w:val="18"/>
          <w:szCs w:val="18"/>
          <w:color w:val="000000"/>
        </w:rPr>
        <w:t>Revolving Credit Facility, the percentage per annum determined by reference to the Borrower Leverage Ratio in effect from time to time as set forth below and (ii) the Applicable Fee Rate, a percentage per annum determined by reference to the Borrower Leverage Ratio in effect from time to time as set forth below:</w:t>
      </w:r>
    </w:p>
    <w:p>
      <w:pPr>
        <w:spacing w:after="0" w:line="193"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00" w:type="dxa"/>
            <w:vAlign w:val="bottom"/>
          </w:tcPr>
          <w:p>
            <w:pPr>
              <w:jc w:val="center"/>
              <w:ind w:right="130"/>
              <w:spacing w:after="0"/>
              <w:rPr>
                <w:sz w:val="20"/>
                <w:szCs w:val="20"/>
                <w:color w:val="auto"/>
              </w:rPr>
            </w:pPr>
            <w:r>
              <w:rPr>
                <w:rFonts w:ascii="Arial" w:cs="Arial" w:eastAsia="Arial" w:hAnsi="Arial"/>
                <w:sz w:val="18"/>
                <w:szCs w:val="18"/>
                <w:b w:val="1"/>
                <w:bCs w:val="1"/>
                <w:color w:val="FF0000"/>
                <w:strike w:val="1"/>
                <w:w w:val="92"/>
              </w:rPr>
              <w:t>Applicable Rate for</w:t>
            </w:r>
          </w:p>
        </w:tc>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FF0000"/>
                <w:strike w:val="1"/>
                <w:w w:val="92"/>
              </w:rPr>
              <w:t>Borrower</w:t>
            </w:r>
          </w:p>
        </w:tc>
        <w:tc>
          <w:tcPr>
            <w:tcW w:w="2700" w:type="dxa"/>
            <w:vAlign w:val="bottom"/>
          </w:tcPr>
          <w:p>
            <w:pPr>
              <w:jc w:val="center"/>
              <w:ind w:right="130"/>
              <w:spacing w:after="0"/>
              <w:rPr>
                <w:sz w:val="20"/>
                <w:szCs w:val="20"/>
                <w:color w:val="auto"/>
              </w:rPr>
            </w:pPr>
            <w:r>
              <w:rPr>
                <w:rFonts w:ascii="Arial" w:cs="Arial" w:eastAsia="Arial" w:hAnsi="Arial"/>
                <w:sz w:val="18"/>
                <w:szCs w:val="18"/>
                <w:b w:val="1"/>
                <w:bCs w:val="1"/>
                <w:color w:val="FF0000"/>
                <w:strike w:val="1"/>
                <w:w w:val="91"/>
              </w:rPr>
              <w:t>Eurodollar Rate Loans</w:t>
            </w:r>
          </w:p>
        </w:tc>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jc w:val="center"/>
              <w:ind w:right="190"/>
              <w:spacing w:after="0"/>
              <w:rPr>
                <w:sz w:val="20"/>
                <w:szCs w:val="20"/>
                <w:color w:val="auto"/>
              </w:rPr>
            </w:pPr>
            <w:r>
              <w:rPr>
                <w:rFonts w:ascii="Arial" w:cs="Arial" w:eastAsia="Arial" w:hAnsi="Arial"/>
                <w:sz w:val="18"/>
                <w:szCs w:val="18"/>
                <w:b w:val="1"/>
                <w:bCs w:val="1"/>
                <w:color w:val="FF0000"/>
                <w:strike w:val="1"/>
                <w:w w:val="91"/>
              </w:rPr>
              <w:t>Pricing</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FF0000"/>
                <w:strike w:val="1"/>
                <w:w w:val="91"/>
              </w:rPr>
              <w:t>Leverage</w:t>
            </w:r>
          </w:p>
        </w:tc>
        <w:tc>
          <w:tcPr>
            <w:tcW w:w="2700" w:type="dxa"/>
            <w:vAlign w:val="bottom"/>
          </w:tcPr>
          <w:p>
            <w:pPr>
              <w:jc w:val="center"/>
              <w:ind w:right="130"/>
              <w:spacing w:after="0"/>
              <w:rPr>
                <w:sz w:val="20"/>
                <w:szCs w:val="20"/>
                <w:color w:val="auto"/>
              </w:rPr>
            </w:pPr>
            <w:r>
              <w:rPr>
                <w:rFonts w:ascii="Arial" w:cs="Arial" w:eastAsia="Arial" w:hAnsi="Arial"/>
                <w:sz w:val="18"/>
                <w:szCs w:val="18"/>
                <w:b w:val="1"/>
                <w:bCs w:val="1"/>
                <w:color w:val="FF0000"/>
                <w:strike w:val="1"/>
                <w:w w:val="93"/>
              </w:rPr>
              <w:t>and Letter of Credit</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FF0000"/>
                <w:strike w:val="1"/>
                <w:w w:val="92"/>
              </w:rPr>
              <w:t>Applicable Rate for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jc w:val="center"/>
              <w:ind w:right="170"/>
              <w:spacing w:after="0"/>
              <w:rPr>
                <w:sz w:val="20"/>
                <w:szCs w:val="20"/>
                <w:color w:val="auto"/>
              </w:rPr>
            </w:pPr>
            <w:r>
              <w:rPr>
                <w:rFonts w:ascii="Arial" w:cs="Arial" w:eastAsia="Arial" w:hAnsi="Arial"/>
                <w:sz w:val="18"/>
                <w:szCs w:val="18"/>
                <w:b w:val="1"/>
                <w:bCs w:val="1"/>
                <w:color w:val="FF0000"/>
                <w:strike w:val="1"/>
                <w:w w:val="91"/>
              </w:rPr>
              <w:t>Level</w:t>
            </w: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FF0000"/>
                <w:strike w:val="1"/>
                <w:w w:val="93"/>
              </w:rPr>
              <w:t>Ratio</w:t>
            </w:r>
          </w:p>
        </w:tc>
        <w:tc>
          <w:tcPr>
            <w:tcW w:w="2700" w:type="dxa"/>
            <w:vAlign w:val="bottom"/>
          </w:tcPr>
          <w:p>
            <w:pPr>
              <w:jc w:val="center"/>
              <w:ind w:right="110"/>
              <w:spacing w:after="0"/>
              <w:rPr>
                <w:sz w:val="20"/>
                <w:szCs w:val="20"/>
                <w:color w:val="auto"/>
              </w:rPr>
            </w:pPr>
            <w:r>
              <w:rPr>
                <w:rFonts w:ascii="Arial" w:cs="Arial" w:eastAsia="Arial" w:hAnsi="Arial"/>
                <w:sz w:val="18"/>
                <w:szCs w:val="18"/>
                <w:b w:val="1"/>
                <w:bCs w:val="1"/>
                <w:color w:val="FF0000"/>
                <w:strike w:val="1"/>
                <w:w w:val="82"/>
              </w:rPr>
              <w:t>Fees</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FF0000"/>
                <w:strike w:val="1"/>
                <w:w w:val="88"/>
              </w:rPr>
              <w:t>Base Rate Loans</w:t>
            </w:r>
          </w:p>
        </w:tc>
        <w:tc>
          <w:tcPr>
            <w:tcW w:w="2140" w:type="dxa"/>
            <w:vAlign w:val="bottom"/>
          </w:tcPr>
          <w:p>
            <w:pPr>
              <w:ind w:left="600"/>
              <w:spacing w:after="0"/>
              <w:rPr>
                <w:sz w:val="20"/>
                <w:szCs w:val="20"/>
                <w:color w:val="auto"/>
              </w:rPr>
            </w:pPr>
            <w:r>
              <w:rPr>
                <w:rFonts w:ascii="Arial" w:cs="Arial" w:eastAsia="Arial" w:hAnsi="Arial"/>
                <w:sz w:val="18"/>
                <w:szCs w:val="18"/>
                <w:b w:val="1"/>
                <w:bCs w:val="1"/>
                <w:color w:val="FF0000"/>
                <w:strike w:val="1"/>
                <w:w w:val="88"/>
              </w:rPr>
              <w:t>Applicable Fee Rate</w:t>
            </w:r>
          </w:p>
        </w:tc>
        <w:tc>
          <w:tcPr>
            <w:tcW w:w="0" w:type="dxa"/>
            <w:vAlign w:val="bottom"/>
          </w:tcPr>
          <w:p>
            <w:pPr>
              <w:spacing w:after="0"/>
              <w:rPr>
                <w:sz w:val="1"/>
                <w:szCs w:val="1"/>
                <w:color w:val="auto"/>
              </w:rPr>
            </w:pPr>
          </w:p>
        </w:tc>
      </w:tr>
      <w:tr>
        <w:trPr>
          <w:trHeight w:val="230"/>
        </w:trPr>
        <w:tc>
          <w:tcPr>
            <w:tcW w:w="840" w:type="dxa"/>
            <w:vAlign w:val="bottom"/>
          </w:tcPr>
          <w:p>
            <w:pPr>
              <w:jc w:val="center"/>
              <w:ind w:right="190"/>
              <w:spacing w:after="0"/>
              <w:rPr>
                <w:sz w:val="20"/>
                <w:szCs w:val="20"/>
                <w:color w:val="auto"/>
              </w:rPr>
            </w:pPr>
            <w:r>
              <w:rPr>
                <w:rFonts w:ascii="Arial" w:cs="Arial" w:eastAsia="Arial" w:hAnsi="Arial"/>
                <w:sz w:val="18"/>
                <w:szCs w:val="18"/>
                <w:b w:val="1"/>
                <w:bCs w:val="1"/>
                <w:color w:val="FF0000"/>
                <w:strike w:val="1"/>
                <w:w w:val="79"/>
              </w:rPr>
              <w:t>1</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FF0000"/>
                <w:strike w:val="1"/>
                <w:w w:val="91"/>
              </w:rPr>
              <w:t>&lt; 3.50:1.00</w:t>
            </w:r>
          </w:p>
        </w:tc>
        <w:tc>
          <w:tcPr>
            <w:tcW w:w="2700" w:type="dxa"/>
            <w:vAlign w:val="bottom"/>
          </w:tcPr>
          <w:p>
            <w:pPr>
              <w:jc w:val="center"/>
              <w:ind w:right="130"/>
              <w:spacing w:after="0"/>
              <w:rPr>
                <w:sz w:val="20"/>
                <w:szCs w:val="20"/>
                <w:color w:val="auto"/>
              </w:rPr>
            </w:pPr>
            <w:r>
              <w:rPr>
                <w:rFonts w:ascii="Arial" w:cs="Arial" w:eastAsia="Arial" w:hAnsi="Arial"/>
                <w:sz w:val="18"/>
                <w:szCs w:val="18"/>
                <w:b w:val="1"/>
                <w:bCs w:val="1"/>
                <w:color w:val="FF0000"/>
                <w:strike w:val="1"/>
                <w:w w:val="93"/>
              </w:rPr>
              <w:t>2.25%</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FF0000"/>
                <w:strike w:val="1"/>
                <w:w w:val="97"/>
              </w:rPr>
              <w:t>1.25%</w:t>
            </w:r>
          </w:p>
        </w:tc>
        <w:tc>
          <w:tcPr>
            <w:tcW w:w="2140" w:type="dxa"/>
            <w:vAlign w:val="bottom"/>
          </w:tcPr>
          <w:p>
            <w:pPr>
              <w:jc w:val="center"/>
              <w:ind w:left="510"/>
              <w:spacing w:after="0"/>
              <w:rPr>
                <w:sz w:val="20"/>
                <w:szCs w:val="20"/>
                <w:color w:val="auto"/>
              </w:rPr>
            </w:pPr>
            <w:r>
              <w:rPr>
                <w:rFonts w:ascii="Arial" w:cs="Arial" w:eastAsia="Arial" w:hAnsi="Arial"/>
                <w:sz w:val="18"/>
                <w:szCs w:val="18"/>
                <w:b w:val="1"/>
                <w:bCs w:val="1"/>
                <w:color w:val="FF0000"/>
                <w:strike w:val="1"/>
                <w:w w:val="94"/>
              </w:rPr>
              <w:t>0.375%</w:t>
            </w:r>
          </w:p>
        </w:tc>
        <w:tc>
          <w:tcPr>
            <w:tcW w:w="0" w:type="dxa"/>
            <w:vAlign w:val="bottom"/>
          </w:tcPr>
          <w:p>
            <w:pPr>
              <w:spacing w:after="0"/>
              <w:rPr>
                <w:sz w:val="1"/>
                <w:szCs w:val="1"/>
                <w:color w:val="auto"/>
              </w:rPr>
            </w:pPr>
          </w:p>
        </w:tc>
      </w:tr>
      <w:tr>
        <w:trPr>
          <w:trHeight w:val="216"/>
        </w:trPr>
        <w:tc>
          <w:tcPr>
            <w:tcW w:w="840" w:type="dxa"/>
            <w:vAlign w:val="bottom"/>
          </w:tcPr>
          <w:p>
            <w:pPr>
              <w:jc w:val="center"/>
              <w:ind w:right="190"/>
              <w:spacing w:after="0"/>
              <w:rPr>
                <w:sz w:val="20"/>
                <w:szCs w:val="20"/>
                <w:color w:val="auto"/>
              </w:rPr>
            </w:pPr>
            <w:r>
              <w:rPr>
                <w:rFonts w:ascii="Arial" w:cs="Arial" w:eastAsia="Arial" w:hAnsi="Arial"/>
                <w:sz w:val="18"/>
                <w:szCs w:val="18"/>
                <w:b w:val="1"/>
                <w:bCs w:val="1"/>
                <w:color w:val="FF0000"/>
                <w:strike w:val="1"/>
                <w:w w:val="79"/>
              </w:rPr>
              <w:t>2</w:t>
            </w:r>
          </w:p>
        </w:tc>
        <w:tc>
          <w:tcPr>
            <w:tcW w:w="1800" w:type="dxa"/>
            <w:vAlign w:val="bottom"/>
          </w:tcPr>
          <w:p>
            <w:pPr>
              <w:jc w:val="center"/>
              <w:ind w:right="10"/>
              <w:spacing w:after="0"/>
              <w:rPr>
                <w:sz w:val="20"/>
                <w:szCs w:val="20"/>
                <w:color w:val="auto"/>
              </w:rPr>
            </w:pPr>
            <w:r>
              <w:rPr>
                <w:rFonts w:ascii="Arial" w:cs="Arial" w:eastAsia="Arial" w:hAnsi="Arial"/>
                <w:sz w:val="18"/>
                <w:szCs w:val="18"/>
                <w:b w:val="1"/>
                <w:bCs w:val="1"/>
                <w:color w:val="FF0000"/>
                <w:strike w:val="1"/>
                <w:w w:val="90"/>
              </w:rPr>
              <w:t>≥3.50:1.00</w:t>
            </w:r>
          </w:p>
        </w:tc>
        <w:tc>
          <w:tcPr>
            <w:tcW w:w="270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FF0000"/>
                <w:strike w:val="1"/>
                <w:w w:val="93"/>
              </w:rPr>
              <w:t>2.50%</w:t>
            </w:r>
          </w:p>
        </w:tc>
        <w:tc>
          <w:tcPr>
            <w:tcW w:w="2660" w:type="dxa"/>
            <w:vAlign w:val="bottom"/>
            <w:vMerge w:val="restart"/>
          </w:tcPr>
          <w:p>
            <w:pPr>
              <w:jc w:val="center"/>
              <w:spacing w:after="0"/>
              <w:rPr>
                <w:sz w:val="20"/>
                <w:szCs w:val="20"/>
                <w:color w:val="auto"/>
              </w:rPr>
            </w:pPr>
            <w:r>
              <w:rPr>
                <w:rFonts w:ascii="Arial" w:cs="Arial" w:eastAsia="Arial" w:hAnsi="Arial"/>
                <w:sz w:val="18"/>
                <w:szCs w:val="18"/>
                <w:b w:val="1"/>
                <w:bCs w:val="1"/>
                <w:color w:val="FF0000"/>
                <w:strike w:val="1"/>
                <w:w w:val="97"/>
              </w:rPr>
              <w:t>1.50%</w:t>
            </w:r>
          </w:p>
        </w:tc>
        <w:tc>
          <w:tcPr>
            <w:tcW w:w="2140" w:type="dxa"/>
            <w:vAlign w:val="bottom"/>
            <w:vMerge w:val="restart"/>
          </w:tcPr>
          <w:p>
            <w:pPr>
              <w:jc w:val="center"/>
              <w:ind w:left="510"/>
              <w:spacing w:after="0"/>
              <w:rPr>
                <w:sz w:val="20"/>
                <w:szCs w:val="20"/>
                <w:color w:val="auto"/>
              </w:rPr>
            </w:pPr>
            <w:r>
              <w:rPr>
                <w:rFonts w:ascii="Arial" w:cs="Arial" w:eastAsia="Arial" w:hAnsi="Arial"/>
                <w:sz w:val="18"/>
                <w:szCs w:val="18"/>
                <w:b w:val="1"/>
                <w:bCs w:val="1"/>
                <w:color w:val="FF0000"/>
                <w:strike w:val="1"/>
                <w:w w:val="97"/>
              </w:rPr>
              <w:t>0.50%</w:t>
            </w:r>
          </w:p>
        </w:tc>
        <w:tc>
          <w:tcPr>
            <w:tcW w:w="0" w:type="dxa"/>
            <w:vAlign w:val="bottom"/>
          </w:tcPr>
          <w:p>
            <w:pPr>
              <w:spacing w:after="0"/>
              <w:rPr>
                <w:sz w:val="1"/>
                <w:szCs w:val="1"/>
                <w:color w:val="auto"/>
              </w:rPr>
            </w:pPr>
          </w:p>
        </w:tc>
      </w:tr>
      <w:tr>
        <w:trPr>
          <w:trHeight w:val="126"/>
        </w:trPr>
        <w:tc>
          <w:tcPr>
            <w:tcW w:w="840" w:type="dxa"/>
            <w:vAlign w:val="bottom"/>
          </w:tcPr>
          <w:p>
            <w:pPr>
              <w:spacing w:after="0"/>
              <w:rPr>
                <w:sz w:val="10"/>
                <w:szCs w:val="10"/>
                <w:color w:val="auto"/>
              </w:rPr>
            </w:pPr>
          </w:p>
        </w:tc>
        <w:tc>
          <w:tcPr>
            <w:tcW w:w="18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FF0000"/>
                <w:strike w:val="1"/>
                <w:w w:val="91"/>
              </w:rPr>
              <w:t>but ≤ 4.50:1.00</w:t>
            </w:r>
          </w:p>
        </w:tc>
        <w:tc>
          <w:tcPr>
            <w:tcW w:w="2700" w:type="dxa"/>
            <w:vAlign w:val="bottom"/>
            <w:vMerge w:val="continue"/>
          </w:tcPr>
          <w:p>
            <w:pPr>
              <w:spacing w:after="0"/>
              <w:rPr>
                <w:sz w:val="10"/>
                <w:szCs w:val="10"/>
                <w:color w:val="auto"/>
              </w:rPr>
            </w:pPr>
          </w:p>
        </w:tc>
        <w:tc>
          <w:tcPr>
            <w:tcW w:w="2660" w:type="dxa"/>
            <w:vAlign w:val="bottom"/>
            <w:vMerge w:val="continue"/>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8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840" w:type="dxa"/>
            <w:vAlign w:val="bottom"/>
          </w:tcPr>
          <w:p>
            <w:pPr>
              <w:jc w:val="center"/>
              <w:ind w:right="190"/>
              <w:spacing w:after="0"/>
              <w:rPr>
                <w:sz w:val="20"/>
                <w:szCs w:val="20"/>
                <w:color w:val="auto"/>
              </w:rPr>
            </w:pPr>
            <w:r>
              <w:rPr>
                <w:rFonts w:ascii="Arial" w:cs="Arial" w:eastAsia="Arial" w:hAnsi="Arial"/>
                <w:sz w:val="18"/>
                <w:szCs w:val="18"/>
                <w:b w:val="1"/>
                <w:bCs w:val="1"/>
                <w:color w:val="FF0000"/>
                <w:strike w:val="1"/>
                <w:w w:val="79"/>
              </w:rPr>
              <w:t>3</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FF0000"/>
                <w:strike w:val="1"/>
                <w:w w:val="91"/>
              </w:rPr>
              <w:t>&gt; 4.50:1.00</w:t>
            </w:r>
          </w:p>
        </w:tc>
        <w:tc>
          <w:tcPr>
            <w:tcW w:w="2700" w:type="dxa"/>
            <w:vAlign w:val="bottom"/>
          </w:tcPr>
          <w:p>
            <w:pPr>
              <w:jc w:val="center"/>
              <w:ind w:right="130"/>
              <w:spacing w:after="0"/>
              <w:rPr>
                <w:sz w:val="20"/>
                <w:szCs w:val="20"/>
                <w:color w:val="auto"/>
              </w:rPr>
            </w:pPr>
            <w:r>
              <w:rPr>
                <w:rFonts w:ascii="Arial" w:cs="Arial" w:eastAsia="Arial" w:hAnsi="Arial"/>
                <w:sz w:val="18"/>
                <w:szCs w:val="18"/>
                <w:b w:val="1"/>
                <w:bCs w:val="1"/>
                <w:color w:val="FF0000"/>
                <w:strike w:val="1"/>
                <w:w w:val="93"/>
              </w:rPr>
              <w:t>2.75%</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FF0000"/>
                <w:strike w:val="1"/>
                <w:w w:val="97"/>
              </w:rPr>
              <w:t>1.75%</w:t>
            </w:r>
          </w:p>
        </w:tc>
        <w:tc>
          <w:tcPr>
            <w:tcW w:w="2140" w:type="dxa"/>
            <w:vAlign w:val="bottom"/>
          </w:tcPr>
          <w:p>
            <w:pPr>
              <w:jc w:val="center"/>
              <w:ind w:left="510"/>
              <w:spacing w:after="0"/>
              <w:rPr>
                <w:sz w:val="20"/>
                <w:szCs w:val="20"/>
                <w:color w:val="auto"/>
              </w:rPr>
            </w:pPr>
            <w:r>
              <w:rPr>
                <w:rFonts w:ascii="Arial" w:cs="Arial" w:eastAsia="Arial" w:hAnsi="Arial"/>
                <w:sz w:val="18"/>
                <w:szCs w:val="18"/>
                <w:b w:val="1"/>
                <w:bCs w:val="1"/>
                <w:color w:val="FF0000"/>
                <w:strike w:val="1"/>
                <w:w w:val="97"/>
              </w:rPr>
              <w:t>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800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151" w:lineRule="exact"/>
        <w:rPr>
          <w:sz w:val="20"/>
          <w:szCs w:val="20"/>
          <w:color w:val="auto"/>
        </w:rPr>
      </w:pPr>
    </w:p>
    <w:p>
      <w:pPr>
        <w:jc w:val="both"/>
        <w:ind w:left="780" w:right="20" w:firstLine="645"/>
        <w:spacing w:after="0" w:line="261" w:lineRule="auto"/>
        <w:tabs>
          <w:tab w:leader="none" w:pos="2035" w:val="left"/>
        </w:tabs>
        <w:numPr>
          <w:ilvl w:val="0"/>
          <w:numId w:val="22"/>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on and after the A&amp;R Credit Agreement Third Amendment Effective Date, in respect of (x) (i) Revolving Credit Loans under the Revolving Credit Facility, the percentage per annum determined by reference to the Borrower Leverage Ratio in effect from time to time as set forth below and (ii) the Applicable Fee Rate, a percentage per annum determined by reference to the Borrower Leverage Ratio in effect from time to time as set forth below:</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211"/>
        </w:trPr>
        <w:tc>
          <w:tcPr>
            <w:tcW w:w="1500" w:type="dxa"/>
            <w:vAlign w:val="bottom"/>
            <w:tcBorders>
              <w:top w:val="single" w:sz="8" w:color="auto"/>
              <w:left w:val="single" w:sz="8" w:color="auto"/>
              <w:right w:val="single" w:sz="8" w:color="auto"/>
            </w:tcBorders>
            <w:shd w:val="clear" w:color="auto" w:fill="C0C0C0"/>
          </w:tcPr>
          <w:p>
            <w:pPr>
              <w:spacing w:after="0"/>
              <w:rPr>
                <w:sz w:val="18"/>
                <w:szCs w:val="18"/>
                <w:color w:val="auto"/>
              </w:rPr>
            </w:pPr>
          </w:p>
        </w:tc>
        <w:tc>
          <w:tcPr>
            <w:tcW w:w="1460" w:type="dxa"/>
            <w:vAlign w:val="bottom"/>
            <w:tcBorders>
              <w:top w:val="single" w:sz="8" w:color="auto"/>
              <w:right w:val="single" w:sz="8" w:color="auto"/>
            </w:tcBorders>
            <w:shd w:val="clear" w:color="auto" w:fill="C0C0C0"/>
          </w:tcPr>
          <w:p>
            <w:pPr>
              <w:spacing w:after="0"/>
              <w:rPr>
                <w:sz w:val="18"/>
                <w:szCs w:val="18"/>
                <w:color w:val="auto"/>
              </w:rPr>
            </w:pPr>
          </w:p>
        </w:tc>
        <w:tc>
          <w:tcPr>
            <w:tcW w:w="540" w:type="dxa"/>
            <w:vAlign w:val="bottom"/>
            <w:tcBorders>
              <w:top w:val="single" w:sz="8" w:color="auto"/>
            </w:tcBorders>
            <w:shd w:val="clear" w:color="auto" w:fill="C0C0C0"/>
          </w:tcPr>
          <w:p>
            <w:pPr>
              <w:spacing w:after="0"/>
              <w:rPr>
                <w:sz w:val="18"/>
                <w:szCs w:val="18"/>
                <w:color w:val="auto"/>
              </w:rPr>
            </w:pPr>
          </w:p>
        </w:tc>
        <w:tc>
          <w:tcPr>
            <w:tcW w:w="1740" w:type="dxa"/>
            <w:vAlign w:val="bottom"/>
            <w:tcBorders>
              <w:top w:val="single" w:sz="8" w:color="auto"/>
            </w:tcBorders>
            <w:gridSpan w:val="7"/>
            <w:shd w:val="clear" w:color="auto" w:fill="C0C0C0"/>
          </w:tcPr>
          <w:p>
            <w:pPr>
              <w:jc w:val="center"/>
              <w:spacing w:after="0"/>
              <w:rPr>
                <w:sz w:val="20"/>
                <w:szCs w:val="20"/>
                <w:color w:val="auto"/>
              </w:rPr>
            </w:pPr>
            <w:r>
              <w:rPr>
                <w:rFonts w:ascii="Arial" w:cs="Arial" w:eastAsia="Arial" w:hAnsi="Arial"/>
                <w:sz w:val="18"/>
                <w:szCs w:val="18"/>
                <w:b w:val="1"/>
                <w:bCs w:val="1"/>
                <w:color w:val="FF0000"/>
                <w:strike w:val="1"/>
                <w:w w:val="92"/>
              </w:rPr>
              <w:t>Applicable Rate for</w:t>
            </w:r>
          </w:p>
        </w:tc>
        <w:tc>
          <w:tcPr>
            <w:tcW w:w="640" w:type="dxa"/>
            <w:vAlign w:val="bottom"/>
            <w:tcBorders>
              <w:top w:val="single" w:sz="8" w:color="auto"/>
              <w:right w:val="single" w:sz="8" w:color="auto"/>
            </w:tcBorders>
            <w:shd w:val="clear" w:color="auto" w:fill="C0C0C0"/>
          </w:tcPr>
          <w:p>
            <w:pPr>
              <w:spacing w:after="0"/>
              <w:rPr>
                <w:sz w:val="18"/>
                <w:szCs w:val="18"/>
                <w:color w:val="auto"/>
              </w:rPr>
            </w:pPr>
          </w:p>
        </w:tc>
        <w:tc>
          <w:tcPr>
            <w:tcW w:w="2680" w:type="dxa"/>
            <w:vAlign w:val="bottom"/>
            <w:tcBorders>
              <w:top w:val="single" w:sz="8" w:color="auto"/>
              <w:right w:val="single" w:sz="8" w:color="auto"/>
            </w:tcBorders>
            <w:shd w:val="clear" w:color="auto" w:fill="C0C0C0"/>
          </w:tcPr>
          <w:p>
            <w:pPr>
              <w:spacing w:after="0"/>
              <w:rPr>
                <w:sz w:val="18"/>
                <w:szCs w:val="18"/>
                <w:color w:val="auto"/>
              </w:rPr>
            </w:pPr>
          </w:p>
        </w:tc>
        <w:tc>
          <w:tcPr>
            <w:tcW w:w="2680" w:type="dxa"/>
            <w:vAlign w:val="bottom"/>
            <w:tcBorders>
              <w:top w:val="single" w:sz="8" w:color="auto"/>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00" w:type="dxa"/>
            <w:vAlign w:val="bottom"/>
            <w:tcBorders>
              <w:left w:val="single" w:sz="8" w:color="auto"/>
              <w:right w:val="single" w:sz="8" w:color="auto"/>
            </w:tcBorders>
            <w:shd w:val="clear" w:color="auto" w:fill="C0C0C0"/>
          </w:tcPr>
          <w:p>
            <w:pPr>
              <w:spacing w:after="0"/>
              <w:rPr>
                <w:sz w:val="18"/>
                <w:szCs w:val="18"/>
                <w:color w:val="auto"/>
              </w:rPr>
            </w:pPr>
          </w:p>
        </w:tc>
        <w:tc>
          <w:tcPr>
            <w:tcW w:w="1460" w:type="dxa"/>
            <w:vAlign w:val="bottom"/>
            <w:tcBorders>
              <w:right w:val="single" w:sz="8" w:color="auto"/>
            </w:tcBorders>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920" w:type="dxa"/>
            <w:vAlign w:val="bottom"/>
            <w:tcBorders>
              <w:right w:val="single" w:sz="8" w:color="C0C0C0"/>
            </w:tcBorders>
            <w:gridSpan w:val="4"/>
            <w:shd w:val="clear" w:color="auto" w:fill="C0C0C0"/>
          </w:tcPr>
          <w:p>
            <w:pPr>
              <w:ind w:left="60"/>
              <w:spacing w:after="0" w:line="194" w:lineRule="exact"/>
              <w:rPr>
                <w:sz w:val="20"/>
                <w:szCs w:val="20"/>
                <w:color w:val="auto"/>
              </w:rPr>
            </w:pPr>
            <w:r>
              <w:rPr>
                <w:rFonts w:ascii="Arial" w:cs="Arial" w:eastAsia="Arial" w:hAnsi="Arial"/>
                <w:sz w:val="18"/>
                <w:szCs w:val="18"/>
                <w:b w:val="1"/>
                <w:bCs w:val="1"/>
                <w:color w:val="FF0000"/>
                <w:strike w:val="1"/>
                <w:w w:val="91"/>
              </w:rPr>
              <w:t>Eurodollar</w:t>
            </w:r>
          </w:p>
        </w:tc>
        <w:tc>
          <w:tcPr>
            <w:tcW w:w="1460" w:type="dxa"/>
            <w:vAlign w:val="bottom"/>
            <w:tcBorders>
              <w:right w:val="single" w:sz="8" w:color="auto"/>
            </w:tcBorders>
            <w:gridSpan w:val="4"/>
            <w:shd w:val="clear" w:color="auto" w:fill="C0C0C0"/>
          </w:tcPr>
          <w:p>
            <w:pPr>
              <w:spacing w:after="0" w:line="194" w:lineRule="exact"/>
              <w:rPr>
                <w:sz w:val="20"/>
                <w:szCs w:val="20"/>
                <w:color w:val="auto"/>
              </w:rPr>
            </w:pPr>
            <w:r>
              <w:rPr>
                <w:rFonts w:ascii="Arial" w:cs="Arial" w:eastAsia="Arial" w:hAnsi="Arial"/>
                <w:sz w:val="18"/>
                <w:szCs w:val="18"/>
                <w:b w:val="1"/>
                <w:bCs w:val="1"/>
                <w:color w:val="0000FF"/>
              </w:rPr>
              <w:t>Applicable</w:t>
            </w:r>
          </w:p>
        </w:tc>
        <w:tc>
          <w:tcPr>
            <w:tcW w:w="2680" w:type="dxa"/>
            <w:vAlign w:val="bottom"/>
            <w:tcBorders>
              <w:right w:val="single" w:sz="8" w:color="auto"/>
            </w:tcBorders>
            <w:shd w:val="clear" w:color="auto" w:fill="C0C0C0"/>
          </w:tcPr>
          <w:p>
            <w:pPr>
              <w:spacing w:after="0"/>
              <w:rPr>
                <w:sz w:val="18"/>
                <w:szCs w:val="18"/>
                <w:color w:val="auto"/>
              </w:rPr>
            </w:pPr>
          </w:p>
        </w:tc>
        <w:tc>
          <w:tcPr>
            <w:tcW w:w="2680" w:type="dxa"/>
            <w:vAlign w:val="bottom"/>
            <w:tcBorders>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0C0C0"/>
              <w:left w:val="single" w:sz="8" w:color="auto"/>
              <w:right w:val="single" w:sz="8" w:color="auto"/>
            </w:tcBorders>
            <w:shd w:val="clear" w:color="auto" w:fill="C0C0C0"/>
          </w:tcPr>
          <w:p>
            <w:pPr>
              <w:spacing w:after="0" w:line="20" w:lineRule="exact"/>
              <w:rPr>
                <w:sz w:val="1"/>
                <w:szCs w:val="1"/>
                <w:color w:val="auto"/>
              </w:rPr>
            </w:pPr>
          </w:p>
        </w:tc>
        <w:tc>
          <w:tcPr>
            <w:tcW w:w="1460" w:type="dxa"/>
            <w:vAlign w:val="bottom"/>
            <w:tcBorders>
              <w:top w:val="single" w:sz="8" w:color="C0C0C0"/>
              <w:right w:val="single" w:sz="8" w:color="auto"/>
            </w:tcBorders>
            <w:shd w:val="clear" w:color="auto" w:fill="C0C0C0"/>
          </w:tcPr>
          <w:p>
            <w:pPr>
              <w:spacing w:after="0" w:line="20" w:lineRule="exact"/>
              <w:rPr>
                <w:sz w:val="1"/>
                <w:szCs w:val="1"/>
                <w:color w:val="auto"/>
              </w:rPr>
            </w:pPr>
          </w:p>
        </w:tc>
        <w:tc>
          <w:tcPr>
            <w:tcW w:w="5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tcBorders>
            <w:shd w:val="clear" w:color="auto" w:fill="C0C0C0"/>
          </w:tcPr>
          <w:p>
            <w:pPr>
              <w:spacing w:after="0" w:line="20" w:lineRule="exact"/>
              <w:rPr>
                <w:sz w:val="1"/>
                <w:szCs w:val="1"/>
                <w:color w:val="auto"/>
              </w:rPr>
            </w:pPr>
          </w:p>
        </w:tc>
        <w:tc>
          <w:tcPr>
            <w:tcW w:w="260" w:type="dxa"/>
            <w:vAlign w:val="bottom"/>
            <w:tcBorders>
              <w:top w:val="single" w:sz="8" w:color="C0C0C0"/>
            </w:tcBorders>
            <w:shd w:val="clear" w:color="auto" w:fill="C0C0C0"/>
          </w:tcPr>
          <w:p>
            <w:pPr>
              <w:spacing w:after="0" w:line="20" w:lineRule="exact"/>
              <w:rPr>
                <w:sz w:val="1"/>
                <w:szCs w:val="1"/>
                <w:color w:val="auto"/>
              </w:rPr>
            </w:pPr>
          </w:p>
        </w:tc>
        <w:tc>
          <w:tcPr>
            <w:tcW w:w="3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C0C0C0"/>
              <w:right w:val="single" w:sz="8" w:color="0000FF"/>
            </w:tcBorders>
            <w:shd w:val="clear" w:color="auto" w:fill="C0C0C0"/>
          </w:tcPr>
          <w:p>
            <w:pPr>
              <w:spacing w:after="0" w:line="20" w:lineRule="exact"/>
              <w:rPr>
                <w:sz w:val="1"/>
                <w:szCs w:val="1"/>
                <w:color w:val="auto"/>
              </w:rPr>
            </w:pPr>
          </w:p>
        </w:tc>
        <w:tc>
          <w:tcPr>
            <w:tcW w:w="520" w:type="dxa"/>
            <w:vAlign w:val="bottom"/>
            <w:tcBorders>
              <w:top w:val="single" w:sz="8" w:color="0000FF"/>
            </w:tcBorders>
            <w:shd w:val="clear" w:color="auto" w:fill="0000FF"/>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640" w:type="dxa"/>
            <w:vAlign w:val="bottom"/>
            <w:tcBorders>
              <w:top w:val="single" w:sz="8" w:color="C0C0C0"/>
              <w:right w:val="single" w:sz="8" w:color="auto"/>
            </w:tcBorders>
            <w:vMerge w:val="restart"/>
            <w:shd w:val="clear" w:color="auto" w:fill="C0C0C0"/>
          </w:tcPr>
          <w:p>
            <w:pPr>
              <w:spacing w:after="0" w:line="20" w:lineRule="exact"/>
              <w:rPr>
                <w:sz w:val="1"/>
                <w:szCs w:val="1"/>
                <w:color w:val="auto"/>
              </w:rPr>
            </w:pPr>
          </w:p>
        </w:tc>
        <w:tc>
          <w:tcPr>
            <w:tcW w:w="2680" w:type="dxa"/>
            <w:vAlign w:val="bottom"/>
            <w:tcBorders>
              <w:top w:val="single" w:sz="8" w:color="C0C0C0"/>
              <w:right w:val="single" w:sz="8" w:color="auto"/>
            </w:tcBorders>
            <w:shd w:val="clear" w:color="auto" w:fill="C0C0C0"/>
          </w:tcPr>
          <w:p>
            <w:pPr>
              <w:spacing w:after="0" w:line="20" w:lineRule="exact"/>
              <w:rPr>
                <w:sz w:val="1"/>
                <w:szCs w:val="1"/>
                <w:color w:val="auto"/>
              </w:rPr>
            </w:pPr>
          </w:p>
        </w:tc>
        <w:tc>
          <w:tcPr>
            <w:tcW w:w="2680" w:type="dxa"/>
            <w:vAlign w:val="bottom"/>
            <w:tcBorders>
              <w:top w:val="single" w:sz="8" w:color="C0C0C0"/>
              <w:right w:val="single" w:sz="8" w:color="auto"/>
            </w:tcBorders>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00" w:type="dxa"/>
            <w:vAlign w:val="bottom"/>
            <w:tcBorders>
              <w:left w:val="single" w:sz="8" w:color="auto"/>
              <w:right w:val="single" w:sz="8" w:color="auto"/>
            </w:tcBorders>
            <w:shd w:val="clear" w:color="auto" w:fill="C0C0C0"/>
          </w:tcPr>
          <w:p>
            <w:pPr>
              <w:spacing w:after="0"/>
              <w:rPr>
                <w:sz w:val="13"/>
                <w:szCs w:val="13"/>
                <w:color w:val="auto"/>
              </w:rPr>
            </w:pPr>
          </w:p>
        </w:tc>
        <w:tc>
          <w:tcPr>
            <w:tcW w:w="1460" w:type="dxa"/>
            <w:vAlign w:val="bottom"/>
            <w:tcBorders>
              <w:right w:val="single" w:sz="8" w:color="auto"/>
            </w:tcBorders>
            <w:shd w:val="clear" w:color="auto" w:fill="C0C0C0"/>
          </w:tcPr>
          <w:p>
            <w:pPr>
              <w:spacing w:after="0"/>
              <w:rPr>
                <w:sz w:val="13"/>
                <w:szCs w:val="13"/>
                <w:color w:val="auto"/>
              </w:rPr>
            </w:pPr>
          </w:p>
        </w:tc>
        <w:tc>
          <w:tcPr>
            <w:tcW w:w="540" w:type="dxa"/>
            <w:vAlign w:val="bottom"/>
            <w:shd w:val="clear" w:color="auto" w:fill="C0C0C0"/>
          </w:tcPr>
          <w:p>
            <w:pPr>
              <w:spacing w:after="0"/>
              <w:rPr>
                <w:sz w:val="13"/>
                <w:szCs w:val="13"/>
                <w:color w:val="auto"/>
              </w:rPr>
            </w:pPr>
          </w:p>
        </w:tc>
        <w:tc>
          <w:tcPr>
            <w:tcW w:w="160" w:type="dxa"/>
            <w:vAlign w:val="bottom"/>
            <w:shd w:val="clear" w:color="auto" w:fill="C0C0C0"/>
          </w:tcPr>
          <w:p>
            <w:pPr>
              <w:spacing w:after="0"/>
              <w:rPr>
                <w:sz w:val="13"/>
                <w:szCs w:val="13"/>
                <w:color w:val="auto"/>
              </w:rPr>
            </w:pPr>
          </w:p>
        </w:tc>
        <w:tc>
          <w:tcPr>
            <w:tcW w:w="1580" w:type="dxa"/>
            <w:vAlign w:val="bottom"/>
            <w:gridSpan w:val="6"/>
            <w:shd w:val="clear" w:color="auto" w:fill="C0C0C0"/>
          </w:tcPr>
          <w:p>
            <w:pPr>
              <w:jc w:val="center"/>
              <w:ind w:right="100"/>
              <w:spacing w:after="0" w:line="156" w:lineRule="exact"/>
              <w:rPr>
                <w:sz w:val="20"/>
                <w:szCs w:val="20"/>
                <w:color w:val="auto"/>
              </w:rPr>
            </w:pPr>
            <w:r>
              <w:rPr>
                <w:rFonts w:ascii="Arial" w:cs="Arial" w:eastAsia="Arial" w:hAnsi="Arial"/>
                <w:sz w:val="18"/>
                <w:szCs w:val="18"/>
                <w:b w:val="1"/>
                <w:bCs w:val="1"/>
                <w:color w:val="auto"/>
                <w:w w:val="92"/>
              </w:rPr>
              <w:t xml:space="preserve">Rate </w:t>
            </w:r>
            <w:r>
              <w:rPr>
                <w:rFonts w:ascii="Arial" w:cs="Arial" w:eastAsia="Arial" w:hAnsi="Arial"/>
                <w:sz w:val="18"/>
                <w:szCs w:val="18"/>
                <w:b w:val="1"/>
                <w:bCs w:val="1"/>
                <w:color w:val="0000FF"/>
                <w:w w:val="92"/>
              </w:rPr>
              <w:t>for Term</w:t>
            </w:r>
          </w:p>
        </w:tc>
        <w:tc>
          <w:tcPr>
            <w:tcW w:w="640" w:type="dxa"/>
            <w:vAlign w:val="bottom"/>
            <w:tcBorders>
              <w:right w:val="single" w:sz="8" w:color="auto"/>
            </w:tcBorders>
            <w:vMerge w:val="continue"/>
            <w:shd w:val="clear" w:color="auto" w:fill="C0C0C0"/>
          </w:tcPr>
          <w:p>
            <w:pPr>
              <w:spacing w:after="0"/>
              <w:rPr>
                <w:sz w:val="13"/>
                <w:szCs w:val="13"/>
                <w:color w:val="auto"/>
              </w:rPr>
            </w:pPr>
          </w:p>
        </w:tc>
        <w:tc>
          <w:tcPr>
            <w:tcW w:w="2680" w:type="dxa"/>
            <w:vAlign w:val="bottom"/>
            <w:tcBorders>
              <w:right w:val="single" w:sz="8" w:color="auto"/>
            </w:tcBorders>
            <w:shd w:val="clear" w:color="auto" w:fill="C0C0C0"/>
          </w:tcPr>
          <w:p>
            <w:pPr>
              <w:spacing w:after="0"/>
              <w:rPr>
                <w:sz w:val="13"/>
                <w:szCs w:val="13"/>
                <w:color w:val="auto"/>
              </w:rPr>
            </w:pPr>
          </w:p>
        </w:tc>
        <w:tc>
          <w:tcPr>
            <w:tcW w:w="2680" w:type="dxa"/>
            <w:vAlign w:val="bottom"/>
            <w:tcBorders>
              <w:right w:val="single" w:sz="8" w:color="auto"/>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00" w:type="dxa"/>
            <w:vAlign w:val="bottom"/>
            <w:tcBorders>
              <w:left w:val="single" w:sz="8" w:color="auto"/>
              <w:right w:val="single" w:sz="8" w:color="auto"/>
            </w:tcBorders>
            <w:shd w:val="clear" w:color="auto" w:fill="C0C0C0"/>
          </w:tcPr>
          <w:p>
            <w:pPr>
              <w:spacing w:after="0"/>
              <w:rPr>
                <w:sz w:val="2"/>
                <w:szCs w:val="2"/>
                <w:color w:val="auto"/>
              </w:rPr>
            </w:pPr>
          </w:p>
        </w:tc>
        <w:tc>
          <w:tcPr>
            <w:tcW w:w="1460" w:type="dxa"/>
            <w:vAlign w:val="bottom"/>
            <w:tcBorders>
              <w:right w:val="single" w:sz="8" w:color="auto"/>
            </w:tcBorders>
            <w:shd w:val="clear" w:color="auto" w:fill="C0C0C0"/>
          </w:tcPr>
          <w:p>
            <w:pPr>
              <w:spacing w:after="0"/>
              <w:rPr>
                <w:sz w:val="2"/>
                <w:szCs w:val="2"/>
                <w:color w:val="auto"/>
              </w:rPr>
            </w:pPr>
          </w:p>
        </w:tc>
        <w:tc>
          <w:tcPr>
            <w:tcW w:w="540" w:type="dxa"/>
            <w:vAlign w:val="bottom"/>
            <w:shd w:val="clear" w:color="auto" w:fill="C0C0C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340" w:type="dxa"/>
            <w:vAlign w:val="bottom"/>
            <w:shd w:val="clear" w:color="auto" w:fill="C0C0C0"/>
          </w:tcPr>
          <w:p>
            <w:pPr>
              <w:spacing w:after="0"/>
              <w:rPr>
                <w:sz w:val="2"/>
                <w:szCs w:val="2"/>
                <w:color w:val="auto"/>
              </w:rPr>
            </w:pPr>
          </w:p>
        </w:tc>
        <w:tc>
          <w:tcPr>
            <w:tcW w:w="680" w:type="dxa"/>
            <w:vAlign w:val="bottom"/>
            <w:gridSpan w:val="2"/>
            <w:shd w:val="clear" w:color="auto" w:fill="0000FF"/>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640" w:type="dxa"/>
            <w:vAlign w:val="bottom"/>
            <w:tcBorders>
              <w:right w:val="single" w:sz="8" w:color="auto"/>
            </w:tcBorders>
            <w:shd w:val="clear" w:color="auto" w:fill="C0C0C0"/>
          </w:tcPr>
          <w:p>
            <w:pPr>
              <w:spacing w:after="0"/>
              <w:rPr>
                <w:sz w:val="2"/>
                <w:szCs w:val="2"/>
                <w:color w:val="auto"/>
              </w:rPr>
            </w:pPr>
          </w:p>
        </w:tc>
        <w:tc>
          <w:tcPr>
            <w:tcW w:w="2680" w:type="dxa"/>
            <w:vAlign w:val="bottom"/>
            <w:tcBorders>
              <w:right w:val="single" w:sz="8" w:color="auto"/>
            </w:tcBorders>
            <w:shd w:val="clear" w:color="auto" w:fill="C0C0C0"/>
          </w:tcPr>
          <w:p>
            <w:pPr>
              <w:spacing w:after="0"/>
              <w:rPr>
                <w:sz w:val="2"/>
                <w:szCs w:val="2"/>
                <w:color w:val="auto"/>
              </w:rPr>
            </w:pPr>
          </w:p>
        </w:tc>
        <w:tc>
          <w:tcPr>
            <w:tcW w:w="2680" w:type="dxa"/>
            <w:vAlign w:val="bottom"/>
            <w:tcBorders>
              <w:right w:val="single" w:sz="8" w:color="auto"/>
            </w:tcBorders>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left w:val="single" w:sz="8" w:color="auto"/>
              <w:bottom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146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Borrower</w:t>
            </w:r>
          </w:p>
        </w:tc>
        <w:tc>
          <w:tcPr>
            <w:tcW w:w="540" w:type="dxa"/>
            <w:vAlign w:val="bottom"/>
            <w:tcBorders>
              <w:bottom w:val="single" w:sz="8" w:color="C0C0C0"/>
            </w:tcBorders>
            <w:shd w:val="clear" w:color="auto" w:fill="C0C0C0"/>
          </w:tcPr>
          <w:p>
            <w:pPr>
              <w:spacing w:after="0"/>
              <w:rPr>
                <w:sz w:val="17"/>
                <w:szCs w:val="17"/>
                <w:color w:val="auto"/>
              </w:rPr>
            </w:pPr>
          </w:p>
        </w:tc>
        <w:tc>
          <w:tcPr>
            <w:tcW w:w="160" w:type="dxa"/>
            <w:vAlign w:val="bottom"/>
            <w:tcBorders>
              <w:bottom w:val="single" w:sz="8" w:color="C0C0C0"/>
            </w:tcBorders>
            <w:shd w:val="clear" w:color="auto" w:fill="C0C0C0"/>
          </w:tcPr>
          <w:p>
            <w:pPr>
              <w:spacing w:after="0"/>
              <w:rPr>
                <w:sz w:val="17"/>
                <w:szCs w:val="17"/>
                <w:color w:val="auto"/>
              </w:rPr>
            </w:pPr>
          </w:p>
        </w:tc>
        <w:tc>
          <w:tcPr>
            <w:tcW w:w="1480" w:type="dxa"/>
            <w:vAlign w:val="bottom"/>
            <w:tcBorders>
              <w:bottom w:val="single" w:sz="8" w:color="0000FF"/>
            </w:tcBorders>
            <w:gridSpan w:val="5"/>
            <w:shd w:val="clear" w:color="auto" w:fill="C0C0C0"/>
          </w:tcPr>
          <w:p>
            <w:pPr>
              <w:jc w:val="center"/>
              <w:spacing w:after="0" w:line="189" w:lineRule="exact"/>
              <w:rPr>
                <w:sz w:val="20"/>
                <w:szCs w:val="20"/>
                <w:color w:val="auto"/>
              </w:rPr>
            </w:pPr>
            <w:r>
              <w:rPr>
                <w:rFonts w:ascii="Arial" w:cs="Arial" w:eastAsia="Arial" w:hAnsi="Arial"/>
                <w:sz w:val="18"/>
                <w:szCs w:val="18"/>
                <w:b w:val="1"/>
                <w:bCs w:val="1"/>
                <w:color w:val="0000FF"/>
                <w:w w:val="90"/>
              </w:rPr>
              <w:t>Benchmark Loans,</w:t>
            </w:r>
          </w:p>
        </w:tc>
        <w:tc>
          <w:tcPr>
            <w:tcW w:w="740" w:type="dxa"/>
            <w:vAlign w:val="bottom"/>
            <w:tcBorders>
              <w:bottom w:val="single" w:sz="8" w:color="C0C0C0"/>
              <w:right w:val="single" w:sz="8" w:color="auto"/>
            </w:tcBorders>
            <w:gridSpan w:val="2"/>
            <w:shd w:val="clear" w:color="auto" w:fill="C0C0C0"/>
          </w:tcPr>
          <w:p>
            <w:pPr>
              <w:spacing w:after="0"/>
              <w:rPr>
                <w:sz w:val="17"/>
                <w:szCs w:val="17"/>
                <w:color w:val="auto"/>
              </w:rPr>
            </w:pPr>
          </w:p>
        </w:tc>
        <w:tc>
          <w:tcPr>
            <w:tcW w:w="268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Applicable Rate for Base Rate</w:t>
            </w:r>
          </w:p>
        </w:tc>
        <w:tc>
          <w:tcPr>
            <w:tcW w:w="2680" w:type="dxa"/>
            <w:vAlign w:val="bottom"/>
            <w:tcBorders>
              <w:bottom w:val="single" w:sz="8" w:color="C0C0C0"/>
              <w:right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right w:val="single" w:sz="8" w:color="auto"/>
            </w:tcBorders>
            <w:vMerge w:val="continue"/>
            <w:shd w:val="clear" w:color="auto" w:fill="C0C0C0"/>
          </w:tcPr>
          <w:p>
            <w:pPr>
              <w:spacing w:after="0"/>
              <w:rPr>
                <w:sz w:val="18"/>
                <w:szCs w:val="18"/>
                <w:color w:val="auto"/>
              </w:rPr>
            </w:pPr>
          </w:p>
        </w:tc>
        <w:tc>
          <w:tcPr>
            <w:tcW w:w="1460" w:type="dxa"/>
            <w:vAlign w:val="bottom"/>
            <w:tcBorders>
              <w:right w:val="single" w:sz="8" w:color="auto"/>
            </w:tcBorders>
            <w:vMerge w:val="continue"/>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640" w:type="dxa"/>
            <w:vAlign w:val="bottom"/>
            <w:gridSpan w:val="6"/>
            <w:shd w:val="clear" w:color="auto" w:fill="C0C0C0"/>
          </w:tcPr>
          <w:p>
            <w:pPr>
              <w:spacing w:after="0" w:line="189" w:lineRule="exact"/>
              <w:rPr>
                <w:sz w:val="20"/>
                <w:szCs w:val="20"/>
                <w:color w:val="auto"/>
              </w:rPr>
            </w:pPr>
            <w:r>
              <w:rPr>
                <w:rFonts w:ascii="Arial" w:cs="Arial" w:eastAsia="Arial" w:hAnsi="Arial"/>
                <w:sz w:val="18"/>
                <w:szCs w:val="18"/>
                <w:b w:val="1"/>
                <w:bCs w:val="1"/>
                <w:color w:val="0000FF"/>
                <w:w w:val="86"/>
              </w:rPr>
              <w:t xml:space="preserve">RFR </w:t>
            </w:r>
            <w:r>
              <w:rPr>
                <w:rFonts w:ascii="Arial" w:cs="Arial" w:eastAsia="Arial" w:hAnsi="Arial"/>
                <w:sz w:val="18"/>
                <w:szCs w:val="18"/>
                <w:b w:val="1"/>
                <w:bCs w:val="1"/>
                <w:color w:val="000000"/>
                <w:w w:val="86"/>
              </w:rPr>
              <w:t>Loans and Letter</w:t>
            </w:r>
          </w:p>
        </w:tc>
        <w:tc>
          <w:tcPr>
            <w:tcW w:w="100" w:type="dxa"/>
            <w:vAlign w:val="bottom"/>
            <w:shd w:val="clear" w:color="auto" w:fill="C0C0C0"/>
          </w:tcPr>
          <w:p>
            <w:pPr>
              <w:spacing w:after="0"/>
              <w:rPr>
                <w:sz w:val="18"/>
                <w:szCs w:val="18"/>
                <w:color w:val="auto"/>
              </w:rPr>
            </w:pPr>
          </w:p>
        </w:tc>
        <w:tc>
          <w:tcPr>
            <w:tcW w:w="640" w:type="dxa"/>
            <w:vAlign w:val="bottom"/>
            <w:tcBorders>
              <w:right w:val="single" w:sz="8" w:color="auto"/>
            </w:tcBorders>
            <w:shd w:val="clear" w:color="auto" w:fill="C0C0C0"/>
          </w:tcPr>
          <w:p>
            <w:pPr>
              <w:spacing w:after="0"/>
              <w:rPr>
                <w:sz w:val="18"/>
                <w:szCs w:val="18"/>
                <w:color w:val="auto"/>
              </w:rPr>
            </w:pPr>
          </w:p>
        </w:tc>
        <w:tc>
          <w:tcPr>
            <w:tcW w:w="2680" w:type="dxa"/>
            <w:vAlign w:val="bottom"/>
            <w:tcBorders>
              <w:right w:val="single" w:sz="8" w:color="auto"/>
            </w:tcBorders>
            <w:vMerge w:val="continue"/>
            <w:shd w:val="clear" w:color="auto" w:fill="C0C0C0"/>
          </w:tcPr>
          <w:p>
            <w:pPr>
              <w:spacing w:after="0"/>
              <w:rPr>
                <w:sz w:val="18"/>
                <w:szCs w:val="18"/>
                <w:color w:val="auto"/>
              </w:rPr>
            </w:pPr>
          </w:p>
        </w:tc>
        <w:tc>
          <w:tcPr>
            <w:tcW w:w="2680" w:type="dxa"/>
            <w:vAlign w:val="bottom"/>
            <w:tcBorders>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0C0C0"/>
              <w:left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Level</w:t>
            </w:r>
          </w:p>
        </w:tc>
        <w:tc>
          <w:tcPr>
            <w:tcW w:w="1460" w:type="dxa"/>
            <w:vAlign w:val="bottom"/>
            <w:tcBorders>
              <w:top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Leverage Ratio</w:t>
            </w:r>
          </w:p>
        </w:tc>
        <w:tc>
          <w:tcPr>
            <w:tcW w:w="54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1320" w:type="dxa"/>
            <w:vAlign w:val="bottom"/>
            <w:tcBorders>
              <w:top w:val="single" w:sz="8" w:color="C0C0C0"/>
            </w:tcBorders>
            <w:gridSpan w:val="5"/>
            <w:shd w:val="clear" w:color="auto" w:fill="C0C0C0"/>
          </w:tcPr>
          <w:p>
            <w:pPr>
              <w:spacing w:after="0" w:line="20" w:lineRule="exact"/>
              <w:rPr>
                <w:sz w:val="1"/>
                <w:szCs w:val="1"/>
                <w:color w:val="auto"/>
              </w:rPr>
            </w:pPr>
          </w:p>
        </w:tc>
        <w:tc>
          <w:tcPr>
            <w:tcW w:w="640" w:type="dxa"/>
            <w:vAlign w:val="bottom"/>
            <w:tcBorders>
              <w:top w:val="single" w:sz="8" w:color="C0C0C0"/>
              <w:right w:val="single" w:sz="8" w:color="auto"/>
            </w:tcBorders>
            <w:shd w:val="clear" w:color="auto" w:fill="C0C0C0"/>
          </w:tcPr>
          <w:p>
            <w:pPr>
              <w:spacing w:after="0" w:line="20" w:lineRule="exact"/>
              <w:rPr>
                <w:sz w:val="1"/>
                <w:szCs w:val="1"/>
                <w:color w:val="auto"/>
              </w:rPr>
            </w:pPr>
          </w:p>
        </w:tc>
        <w:tc>
          <w:tcPr>
            <w:tcW w:w="2680" w:type="dxa"/>
            <w:vAlign w:val="bottom"/>
            <w:tcBorders>
              <w:top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Loans</w:t>
            </w:r>
          </w:p>
        </w:tc>
        <w:tc>
          <w:tcPr>
            <w:tcW w:w="2680" w:type="dxa"/>
            <w:vAlign w:val="bottom"/>
            <w:tcBorders>
              <w:top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Applicable Fee Rate</w:t>
            </w:r>
          </w:p>
        </w:tc>
        <w:tc>
          <w:tcPr>
            <w:tcW w:w="0" w:type="dxa"/>
            <w:vAlign w:val="bottom"/>
          </w:tcPr>
          <w:p>
            <w:pPr>
              <w:spacing w:after="0" w:line="20" w:lineRule="exact"/>
              <w:rPr>
                <w:sz w:val="1"/>
                <w:szCs w:val="1"/>
                <w:color w:val="auto"/>
              </w:rPr>
            </w:pPr>
          </w:p>
        </w:tc>
      </w:tr>
      <w:tr>
        <w:trPr>
          <w:trHeight w:val="196"/>
        </w:trPr>
        <w:tc>
          <w:tcPr>
            <w:tcW w:w="1500" w:type="dxa"/>
            <w:vAlign w:val="bottom"/>
            <w:tcBorders>
              <w:left w:val="single" w:sz="8" w:color="auto"/>
              <w:bottom w:val="single" w:sz="8" w:color="auto"/>
              <w:right w:val="single" w:sz="8" w:color="auto"/>
            </w:tcBorders>
            <w:vMerge w:val="continue"/>
            <w:shd w:val="clear" w:color="auto" w:fill="C0C0C0"/>
          </w:tcPr>
          <w:p>
            <w:pPr>
              <w:spacing w:after="0"/>
              <w:rPr>
                <w:sz w:val="17"/>
                <w:szCs w:val="17"/>
                <w:color w:val="auto"/>
              </w:rPr>
            </w:pPr>
          </w:p>
        </w:tc>
        <w:tc>
          <w:tcPr>
            <w:tcW w:w="146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540" w:type="dxa"/>
            <w:vAlign w:val="bottom"/>
            <w:tcBorders>
              <w:bottom w:val="single" w:sz="8" w:color="auto"/>
            </w:tcBorders>
            <w:shd w:val="clear" w:color="auto" w:fill="C0C0C0"/>
          </w:tcPr>
          <w:p>
            <w:pPr>
              <w:spacing w:after="0"/>
              <w:rPr>
                <w:sz w:val="17"/>
                <w:szCs w:val="17"/>
                <w:color w:val="auto"/>
              </w:rPr>
            </w:pPr>
          </w:p>
        </w:tc>
        <w:tc>
          <w:tcPr>
            <w:tcW w:w="160" w:type="dxa"/>
            <w:vAlign w:val="bottom"/>
            <w:tcBorders>
              <w:bottom w:val="single" w:sz="8" w:color="auto"/>
            </w:tcBorders>
            <w:shd w:val="clear" w:color="auto" w:fill="C0C0C0"/>
          </w:tcPr>
          <w:p>
            <w:pPr>
              <w:spacing w:after="0"/>
              <w:rPr>
                <w:sz w:val="17"/>
                <w:szCs w:val="17"/>
                <w:color w:val="auto"/>
              </w:rPr>
            </w:pPr>
          </w:p>
        </w:tc>
        <w:tc>
          <w:tcPr>
            <w:tcW w:w="2220" w:type="dxa"/>
            <w:vAlign w:val="bottom"/>
            <w:tcBorders>
              <w:bottom w:val="single" w:sz="8" w:color="auto"/>
              <w:right w:val="single" w:sz="8" w:color="auto"/>
            </w:tcBorders>
            <w:gridSpan w:val="7"/>
            <w:shd w:val="clear" w:color="auto" w:fill="C0C0C0"/>
          </w:tcPr>
          <w:p>
            <w:pPr>
              <w:jc w:val="center"/>
              <w:ind w:right="740"/>
              <w:spacing w:after="0" w:line="196" w:lineRule="exact"/>
              <w:rPr>
                <w:sz w:val="20"/>
                <w:szCs w:val="20"/>
                <w:color w:val="auto"/>
              </w:rPr>
            </w:pPr>
            <w:r>
              <w:rPr>
                <w:rFonts w:ascii="Arial" w:cs="Arial" w:eastAsia="Arial" w:hAnsi="Arial"/>
                <w:sz w:val="18"/>
                <w:szCs w:val="18"/>
                <w:b w:val="1"/>
                <w:bCs w:val="1"/>
                <w:color w:val="auto"/>
                <w:w w:val="89"/>
              </w:rPr>
              <w:t>of Credit Fees</w:t>
            </w:r>
          </w:p>
        </w:tc>
        <w:tc>
          <w:tcPr>
            <w:tcW w:w="268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2680" w:type="dxa"/>
            <w:vAlign w:val="bottom"/>
            <w:tcBorders>
              <w:bottom w:val="single" w:sz="8" w:color="auto"/>
              <w:right w:val="single" w:sz="8" w:color="auto"/>
            </w:tcBorders>
            <w:vMerge w:val="continue"/>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&lt; 3.75:1.00</w:t>
            </w:r>
          </w:p>
        </w:tc>
        <w:tc>
          <w:tcPr>
            <w:tcW w:w="198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color w:val="auto"/>
                <w:w w:val="93"/>
              </w:rPr>
              <w:t>1.50%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195"/>
        </w:trPr>
        <w:tc>
          <w:tcPr>
            <w:tcW w:w="15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≥3.75:1.00</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but ≤</w:t>
            </w:r>
          </w:p>
        </w:tc>
        <w:tc>
          <w:tcPr>
            <w:tcW w:w="1980" w:type="dxa"/>
            <w:vAlign w:val="bottom"/>
            <w:gridSpan w:val="6"/>
          </w:tcPr>
          <w:p>
            <w:pPr>
              <w:jc w:val="center"/>
              <w:ind w:left="810"/>
              <w:spacing w:after="0"/>
              <w:rPr>
                <w:sz w:val="20"/>
                <w:szCs w:val="20"/>
                <w:color w:val="auto"/>
              </w:rPr>
            </w:pPr>
            <w:r>
              <w:rPr>
                <w:rFonts w:ascii="Arial" w:cs="Arial" w:eastAsia="Arial" w:hAnsi="Arial"/>
                <w:sz w:val="18"/>
                <w:szCs w:val="18"/>
                <w:color w:val="auto"/>
                <w:w w:val="93"/>
              </w:rPr>
              <w:t>1.75%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2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0.30%</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4.75:1.00</w:t>
            </w: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&gt; 4.75:1.00</w:t>
            </w:r>
          </w:p>
        </w:tc>
        <w:tc>
          <w:tcPr>
            <w:tcW w:w="198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color w:val="auto"/>
                <w:w w:val="93"/>
              </w:rPr>
              <w:t>2.00%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-1550670</wp:posOffset>
            </wp:positionV>
            <wp:extent cx="7123430" cy="1543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3430" cy="1543050"/>
                    </a:xfrm>
                    <a:prstGeom prst="rect">
                      <a:avLst/>
                    </a:prstGeom>
                    <a:noFill/>
                  </pic:spPr>
                </pic:pic>
              </a:graphicData>
            </a:graphic>
          </wp:anchor>
        </w:drawing>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and</w:t>
      </w:r>
    </w:p>
    <w:p>
      <w:pPr>
        <w:spacing w:after="0" w:line="221"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c</w:t>
      </w:r>
      <w:r>
        <w:rPr>
          <w:rFonts w:ascii="Arial" w:cs="Arial" w:eastAsia="Arial" w:hAnsi="Arial"/>
          <w:sz w:val="18"/>
          <w:szCs w:val="18"/>
          <w:b w:val="1"/>
          <w:bCs w:val="1"/>
          <w:u w:val="single" w:color="auto"/>
          <w:color w:val="0000FF"/>
        </w:rPr>
        <w:t>b</w:t>
      </w:r>
      <w:r>
        <w:rPr>
          <w:rFonts w:ascii="Arial" w:cs="Arial" w:eastAsia="Arial" w:hAnsi="Arial"/>
          <w:sz w:val="18"/>
          <w:szCs w:val="18"/>
          <w:color w:val="auto"/>
        </w:rPr>
        <w:t>) in respect of (i) Revolving Credit Loans made under an Incremental Revolving Credit Commitment that constitute a separate Revolving Credit Facility, the applicable percentages per annum set forth in the relevant Incremental Amendment, and (ii) any Series of Incremental Term Loans or any separate Class of Incremental Revolving Loans, the applicable percentages per annum set forth in the relevant Incremental Amendment.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Any increase or decrease in the Applicable Rate or the Applicable Fee Rate resulting from a change in the Borrower Leverage Ratio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a Compliance Certificate is not delivered when due in accordance with such Section or (b) while any Event of Default exists, then in each case, upon the request of the Required Revolving Credit Lenders, Pricing Level 3 shall apply in respect of clause (x) above as of the first Business Day after the date on which such Compliance Certificate was required to have been delivered and shall remain in effect until the date on which such Compliance Certificate is delivered.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Rate or the Applicable Fee Rate for any period shall be subject to the provisions of </w:t>
      </w:r>
      <w:r>
        <w:rPr>
          <w:rFonts w:ascii="Arial" w:cs="Arial" w:eastAsia="Arial" w:hAnsi="Arial"/>
          <w:sz w:val="18"/>
          <w:szCs w:val="18"/>
          <w:u w:val="single" w:color="auto"/>
          <w:color w:val="auto"/>
        </w:rPr>
        <w:t>Section 2.07(d)</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 in respect of the Revolving Credit Facilities (considered collectively) at such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a given Revolving Credit Facility or any Series of Incremental Term Loans, a Lender that has a Commitment with respect to such Facility or holds a Revolving Credit Loan or an Incremental Term Loan, respectively, at such time and (b) with respect to the Letter of Credit Sublimit, (i) the L/C Issuers and (ii) if any Letters of Credit have been issued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the Revolving Credit Lenders.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JPM, in its capacity as sole lead arranger and sole book runner.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or any other form approved by the Administrative Agent.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Parent and its Subsidiaries for the fiscal year ended December 31, 2013, and the related consolidated statements of income or operations, shareholders’ equity and cash flows for such fiscal year of Parent and its consolidated Subsidiaries, including the notes thereto.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in respect of any Revolving Credit Facility, the period from and including the Closing Date to the earliest of (i) the Maturity Date of such Revolving Credit Facility, (ii) the date of termination of the Revolving Credit Commitments in respect of such Revolving Credit Facility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(iii) the date of termination of the commitment of each Revolving Credit Lender to make Revolving Credit Loans and of the obligation of each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w:t>
      </w:r>
      <w:r>
        <w:rPr>
          <w:rFonts w:ascii="Arial" w:cs="Arial" w:eastAsia="Arial" w:hAnsi="Arial"/>
          <w:sz w:val="16"/>
          <w:szCs w:val="16"/>
          <w:color w:val="auto"/>
        </w:rPr>
        <w:t xml:space="preserve">” means, as of any date of determination </w:t>
      </w:r>
      <w:r>
        <w:rPr>
          <w:rFonts w:ascii="Arial" w:cs="Arial" w:eastAsia="Arial" w:hAnsi="Arial"/>
          <w:sz w:val="16"/>
          <w:szCs w:val="16"/>
          <w:b w:val="1"/>
          <w:bCs w:val="1"/>
          <w:color w:val="FF0000"/>
          <w:strike w:val="1"/>
        </w:rPr>
        <w:t>(a) prior to the A&amp;R Credit Agreement Third Amendment Effective Date, an amount equal</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 xml:space="preserve">to (i) the sum of (x) the Distributed Cash received by the Borrower after the Closing Date, (y) the aggregate amount of contributions to the common capital of the Borrower received in cash after the Closing Date (other than as a result of the exercise of the Cure Right) and (z) $399,000,000, </w:t>
      </w:r>
      <w:r>
        <w:rPr>
          <w:rFonts w:ascii="Arial" w:cs="Arial" w:eastAsia="Arial" w:hAnsi="Arial"/>
          <w:sz w:val="16"/>
          <w:szCs w:val="16"/>
          <w:b w:val="1"/>
          <w:bCs w:val="1"/>
          <w:i w:val="1"/>
          <w:iCs w:val="1"/>
          <w:color w:val="FF0000"/>
          <w:strike w:val="1"/>
        </w:rPr>
        <w:t>minus</w:t>
      </w:r>
      <w:r>
        <w:rPr>
          <w:rFonts w:ascii="Arial" w:cs="Arial" w:eastAsia="Arial" w:hAnsi="Arial"/>
          <w:sz w:val="16"/>
          <w:szCs w:val="16"/>
          <w:b w:val="1"/>
          <w:bCs w:val="1"/>
          <w:color w:val="FF0000"/>
          <w:strike w:val="1"/>
        </w:rPr>
        <w:t xml:space="preserve"> (ii) any amounts thereof used to make Investments pursuant to Section </w:t>
      </w:r>
      <w:r>
        <w:rPr>
          <w:rFonts w:ascii="Arial" w:cs="Arial" w:eastAsia="Arial" w:hAnsi="Arial"/>
          <w:sz w:val="16"/>
          <w:szCs w:val="16"/>
          <w:b w:val="1"/>
          <w:bCs w:val="1"/>
          <w:u w:val="single" w:color="auto"/>
          <w:color w:val="FF0000"/>
          <w:strike w:val="1"/>
        </w:rPr>
        <w:t>7.03(c)(iii)(B)</w:t>
      </w:r>
      <w:r>
        <w:rPr>
          <w:rFonts w:ascii="Arial" w:cs="Arial" w:eastAsia="Arial" w:hAnsi="Arial"/>
          <w:sz w:val="16"/>
          <w:szCs w:val="16"/>
          <w:b w:val="1"/>
          <w:bCs w:val="1"/>
          <w:color w:val="FF0000"/>
          <w:strike w:val="1"/>
        </w:rPr>
        <w:t xml:space="preserve"> prior to such date and after the Closing Date, </w:t>
      </w:r>
      <w:r>
        <w:rPr>
          <w:rFonts w:ascii="Arial" w:cs="Arial" w:eastAsia="Arial" w:hAnsi="Arial"/>
          <w:sz w:val="16"/>
          <w:szCs w:val="16"/>
          <w:b w:val="1"/>
          <w:bCs w:val="1"/>
          <w:i w:val="1"/>
          <w:iCs w:val="1"/>
          <w:color w:val="FF0000"/>
          <w:strike w:val="1"/>
        </w:rPr>
        <w:t>minus</w:t>
      </w:r>
      <w:r>
        <w:rPr>
          <w:rFonts w:ascii="Arial" w:cs="Arial" w:eastAsia="Arial" w:hAnsi="Arial"/>
          <w:sz w:val="16"/>
          <w:szCs w:val="16"/>
          <w:b w:val="1"/>
          <w:bCs w:val="1"/>
          <w:color w:val="FF0000"/>
          <w:strike w:val="1"/>
        </w:rPr>
        <w:t xml:space="preserve"> (iii) the aggregate amount of Restricted Payments made by the Borrower prior to such date and after the Closing Date pursuant to </w:t>
      </w:r>
      <w:r>
        <w:rPr>
          <w:rFonts w:ascii="Arial" w:cs="Arial" w:eastAsia="Arial" w:hAnsi="Arial"/>
          <w:sz w:val="16"/>
          <w:szCs w:val="16"/>
          <w:b w:val="1"/>
          <w:bCs w:val="1"/>
          <w:u w:val="single" w:color="auto"/>
          <w:color w:val="FF0000"/>
          <w:strike w:val="1"/>
        </w:rPr>
        <w:t xml:space="preserve">Section 7.06(f) </w:t>
      </w:r>
      <w:r>
        <w:rPr>
          <w:rFonts w:ascii="Arial" w:cs="Arial" w:eastAsia="Arial" w:hAnsi="Arial"/>
          <w:sz w:val="16"/>
          <w:szCs w:val="16"/>
          <w:b w:val="1"/>
          <w:bCs w:val="1"/>
          <w:i w:val="1"/>
          <w:iCs w:val="1"/>
          <w:color w:val="FF0000"/>
          <w:strike w:val="1"/>
        </w:rPr>
        <w:t>minus</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b w:val="1"/>
          <w:bCs w:val="1"/>
          <w:color w:val="FF0000"/>
          <w:strike w:val="1"/>
        </w:rPr>
        <w:t>(iv) prepayments or repayments of Indebtedness pursuant to</w:t>
      </w:r>
      <w:r>
        <w:rPr>
          <w:rFonts w:ascii="Arial" w:cs="Arial" w:eastAsia="Arial" w:hAnsi="Arial"/>
          <w:sz w:val="16"/>
          <w:szCs w:val="16"/>
          <w:b w:val="1"/>
          <w:bCs w:val="1"/>
          <w:u w:val="single" w:color="auto"/>
          <w:color w:val="FF0000"/>
          <w:strike w:val="1"/>
        </w:rPr>
        <w:t xml:space="preserve"> Section 7.15(b)</w:t>
      </w:r>
      <w:r>
        <w:rPr>
          <w:rFonts w:ascii="Arial" w:cs="Arial" w:eastAsia="Arial" w:hAnsi="Arial"/>
          <w:sz w:val="16"/>
          <w:szCs w:val="16"/>
          <w:b w:val="1"/>
          <w:bCs w:val="1"/>
          <w:color w:val="FF0000"/>
          <w:strike w:val="1"/>
        </w:rPr>
        <w:t>; or (b) on or following the A&amp;R Credit</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b w:val="1"/>
          <w:bCs w:val="1"/>
          <w:color w:val="FF0000"/>
          <w:strike w:val="1"/>
        </w:rPr>
        <w:t>Agreement Third Amendment Effective Date,</w:t>
      </w:r>
      <w:r>
        <w:rPr>
          <w:rFonts w:ascii="Arial" w:cs="Arial" w:eastAsia="Arial" w:hAnsi="Arial"/>
          <w:sz w:val="16"/>
          <w:szCs w:val="16"/>
          <w:b w:val="1"/>
          <w:bCs w:val="1"/>
          <w:u w:val="single" w:color="auto"/>
          <w:color w:val="0000FF"/>
          <w:strike w:val="1"/>
        </w:rPr>
        <w:t>,</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an amount equal to (i) the sum of (x) the Distributed Cash received by the Borrower after the A&amp;R Credit</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 xml:space="preserve">Agreement Third Amendment Effective Date, (y) the aggregate amount of contributions to the common capital of the Borrower received in cash after the A&amp;R Credit Agreement Third Amendment Effective Date (other than as a result of the exercise of the Cure Right) and (z) $1,160,000,000, </w:t>
      </w:r>
      <w:r>
        <w:rPr>
          <w:rFonts w:ascii="Arial" w:cs="Arial" w:eastAsia="Arial" w:hAnsi="Arial"/>
          <w:sz w:val="16"/>
          <w:szCs w:val="16"/>
          <w:i w:val="1"/>
          <w:iCs w:val="1"/>
          <w:color w:val="000000"/>
          <w:strike w:val="1"/>
        </w:rPr>
        <w:t>minus</w:t>
      </w:r>
      <w:r>
        <w:rPr>
          <w:rFonts w:ascii="Arial" w:cs="Arial" w:eastAsia="Arial" w:hAnsi="Arial"/>
          <w:sz w:val="16"/>
          <w:szCs w:val="16"/>
          <w:color w:val="000000"/>
          <w:strike w:val="1"/>
        </w:rPr>
        <w:t xml:space="preserve"> (ii) any amounts thereof used to make Investments pursuant to </w:t>
      </w:r>
      <w:r>
        <w:rPr>
          <w:rFonts w:ascii="Arial" w:cs="Arial" w:eastAsia="Arial" w:hAnsi="Arial"/>
          <w:sz w:val="16"/>
          <w:szCs w:val="16"/>
          <w:u w:val="single" w:color="auto"/>
          <w:color w:val="000000"/>
          <w:strike w:val="1"/>
        </w:rPr>
        <w:t>Section 7.03(c)(iii)(B)</w:t>
      </w:r>
      <w:r>
        <w:rPr>
          <w:rFonts w:ascii="Arial" w:cs="Arial" w:eastAsia="Arial" w:hAnsi="Arial"/>
          <w:sz w:val="16"/>
          <w:szCs w:val="16"/>
          <w:color w:val="000000"/>
          <w:strike w:val="1"/>
        </w:rPr>
        <w:t xml:space="preserve"> prior to such date and after the A&amp;R Credit Agreement Third Amendment Effective Date, </w:t>
      </w:r>
      <w:r>
        <w:rPr>
          <w:rFonts w:ascii="Arial" w:cs="Arial" w:eastAsia="Arial" w:hAnsi="Arial"/>
          <w:sz w:val="16"/>
          <w:szCs w:val="16"/>
          <w:i w:val="1"/>
          <w:iCs w:val="1"/>
          <w:color w:val="000000"/>
          <w:strike w:val="1"/>
        </w:rPr>
        <w:t>minus</w:t>
      </w:r>
      <w:r>
        <w:rPr>
          <w:rFonts w:ascii="Arial" w:cs="Arial" w:eastAsia="Arial" w:hAnsi="Arial"/>
          <w:sz w:val="16"/>
          <w:szCs w:val="16"/>
          <w:color w:val="000000"/>
          <w:strike w:val="1"/>
        </w:rPr>
        <w:t xml:space="preserve"> (iii) the aggregate amount of Restricted Payments made by the Borrower prior to such date and after the A&amp;R Credit Agreement Third Amendment </w:t>
      </w:r>
      <w:r>
        <w:rPr>
          <w:rFonts w:ascii="Arial" w:cs="Arial" w:eastAsia="Arial" w:hAnsi="Arial"/>
          <w:sz w:val="16"/>
          <w:szCs w:val="16"/>
          <w:b w:val="1"/>
          <w:bCs w:val="1"/>
          <w:u w:val="single" w:color="auto"/>
          <w:color w:val="0000FF"/>
          <w:strike w:val="1"/>
        </w:rPr>
        <w:t>Effective</w:t>
      </w:r>
      <w:r>
        <w:rPr>
          <w:rFonts w:ascii="Arial" w:cs="Arial" w:eastAsia="Arial" w:hAnsi="Arial"/>
          <w:sz w:val="16"/>
          <w:szCs w:val="16"/>
          <w:color w:val="000000"/>
          <w:strike w:val="1"/>
        </w:rPr>
        <w:t xml:space="preserve"> Date pursuant to </w:t>
      </w:r>
      <w:r>
        <w:rPr>
          <w:rFonts w:ascii="Arial" w:cs="Arial" w:eastAsia="Arial" w:hAnsi="Arial"/>
          <w:sz w:val="16"/>
          <w:szCs w:val="16"/>
          <w:u w:val="single" w:color="auto"/>
          <w:color w:val="000000"/>
          <w:strike w:val="1"/>
        </w:rPr>
        <w:t>Section 7.06(f)</w:t>
      </w:r>
      <w:r>
        <w:rPr>
          <w:rFonts w:ascii="Arial" w:cs="Arial" w:eastAsia="Arial" w:hAnsi="Arial"/>
          <w:sz w:val="16"/>
          <w:szCs w:val="16"/>
          <w:color w:val="000000"/>
          <w:strike w:val="1"/>
        </w:rPr>
        <w:t xml:space="preserve"> </w:t>
      </w:r>
      <w:r>
        <w:rPr>
          <w:rFonts w:ascii="Arial" w:cs="Arial" w:eastAsia="Arial" w:hAnsi="Arial"/>
          <w:sz w:val="16"/>
          <w:szCs w:val="16"/>
          <w:i w:val="1"/>
          <w:iCs w:val="1"/>
          <w:color w:val="000000"/>
          <w:strike w:val="1"/>
        </w:rPr>
        <w:t>minus</w:t>
      </w:r>
      <w:r>
        <w:rPr>
          <w:rFonts w:ascii="Arial" w:cs="Arial" w:eastAsia="Arial" w:hAnsi="Arial"/>
          <w:sz w:val="16"/>
          <w:szCs w:val="16"/>
          <w:color w:val="000000"/>
          <w:strike w:val="1"/>
        </w:rPr>
        <w:t xml:space="preserve"> (iv) prepayments or repayments of Indebtedness </w:t>
      </w:r>
      <w:r>
        <w:rPr>
          <w:rFonts w:ascii="Arial" w:cs="Arial" w:eastAsia="Arial" w:hAnsi="Arial"/>
          <w:sz w:val="16"/>
          <w:szCs w:val="16"/>
          <w:b w:val="1"/>
          <w:bCs w:val="1"/>
          <w:u w:val="single" w:color="auto"/>
          <w:color w:val="0000FF"/>
          <w:strike w:val="1"/>
        </w:rPr>
        <w:t>made by the Borrower prior to such</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0000FF"/>
          <w:strike w:val="1"/>
        </w:rPr>
        <w:t>date and after the A&amp;R Credit Agreement Third Amendment Effective Date</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pursuant to</w:t>
      </w:r>
      <w:r>
        <w:rPr>
          <w:rFonts w:ascii="Arial" w:cs="Arial" w:eastAsia="Arial" w:hAnsi="Arial"/>
          <w:sz w:val="16"/>
          <w:szCs w:val="16"/>
          <w:b w:val="1"/>
          <w:bCs w:val="1"/>
          <w:color w:val="0000FF"/>
          <w:strike w:val="1"/>
        </w:rPr>
        <w:t xml:space="preserve"> </w:t>
      </w:r>
      <w:r>
        <w:rPr>
          <w:rFonts w:ascii="Arial" w:cs="Arial" w:eastAsia="Arial" w:hAnsi="Arial"/>
          <w:sz w:val="16"/>
          <w:szCs w:val="16"/>
          <w:u w:val="single" w:color="auto"/>
          <w:color w:val="000000"/>
          <w:strike w:val="1"/>
        </w:rPr>
        <w:t>Section 7.15(b)</w:t>
      </w:r>
      <w:r>
        <w:rPr>
          <w:rFonts w:ascii="Arial" w:cs="Arial" w:eastAsia="Arial" w:hAnsi="Arial"/>
          <w:sz w:val="16"/>
          <w:szCs w:val="16"/>
          <w:color w:val="000000"/>
          <w:strike w:val="1"/>
        </w:rPr>
        <w:t>.</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jc w:val="both"/>
        <w:spacing w:after="0" w:line="298" w:lineRule="auto"/>
        <w:rPr>
          <w:sz w:val="20"/>
          <w:szCs w:val="20"/>
          <w:color w:val="auto"/>
        </w:rPr>
      </w:pPr>
      <w:r>
        <w:rPr>
          <w:rFonts w:ascii="Arial" w:cs="Arial" w:eastAsia="Arial" w:hAnsi="Arial"/>
          <w:sz w:val="16"/>
          <w:szCs w:val="16"/>
          <w:b w:val="1"/>
          <w:bCs w:val="1"/>
          <w:u w:val="single" w:color="auto"/>
          <w:color w:val="0000FF"/>
        </w:rPr>
        <w:t>“Available Tenor”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2.18.</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for any day,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greatest of (a) the Prime Rate in effect on such day, (b) the Federal Funds Rate in effect on such day plus ½ of 1% and (c) the </w:t>
      </w:r>
      <w:r>
        <w:rPr>
          <w:rFonts w:ascii="Arial" w:cs="Arial" w:eastAsia="Arial" w:hAnsi="Arial"/>
          <w:sz w:val="17"/>
          <w:szCs w:val="17"/>
          <w:b w:val="1"/>
          <w:bCs w:val="1"/>
          <w:color w:val="FF0000"/>
          <w:strike w:val="1"/>
        </w:rPr>
        <w:t>Eurodollar</w:t>
      </w:r>
      <w:r>
        <w:rPr>
          <w:rFonts w:ascii="Arial" w:cs="Arial" w:eastAsia="Arial" w:hAnsi="Arial"/>
          <w:sz w:val="17"/>
          <w:szCs w:val="17"/>
          <w:b w:val="1"/>
          <w:bCs w:val="1"/>
          <w:u w:val="single" w:color="auto"/>
          <w:color w:val="0000FF"/>
        </w:rPr>
        <w:t>Adjusted Term SOFR</w:t>
      </w:r>
      <w:r>
        <w:rPr>
          <w:rFonts w:ascii="Arial" w:cs="Arial" w:eastAsia="Arial" w:hAnsi="Arial"/>
          <w:sz w:val="17"/>
          <w:szCs w:val="17"/>
          <w:color w:val="auto"/>
        </w:rPr>
        <w:t xml:space="preserve"> Rate for a one month Interest Period </w:t>
      </w:r>
      <w:r>
        <w:rPr>
          <w:rFonts w:ascii="Arial" w:cs="Arial" w:eastAsia="Arial" w:hAnsi="Arial"/>
          <w:sz w:val="17"/>
          <w:szCs w:val="17"/>
          <w:b w:val="1"/>
          <w:bCs w:val="1"/>
          <w:color w:val="FF0000"/>
          <w:strike w:val="1"/>
        </w:rPr>
        <w:t>on</w:t>
      </w:r>
      <w:r>
        <w:rPr>
          <w:rFonts w:ascii="Arial" w:cs="Arial" w:eastAsia="Arial" w:hAnsi="Arial"/>
          <w:sz w:val="17"/>
          <w:szCs w:val="17"/>
          <w:b w:val="1"/>
          <w:bCs w:val="1"/>
          <w:u w:val="single" w:color="auto"/>
          <w:color w:val="0000FF"/>
        </w:rPr>
        <w:t>as published two U.S. Government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Securities Business Days prior to</w:t>
      </w:r>
      <w:r>
        <w:rPr>
          <w:rFonts w:ascii="Arial" w:cs="Arial" w:eastAsia="Arial" w:hAnsi="Arial"/>
          <w:sz w:val="17"/>
          <w:szCs w:val="17"/>
          <w:b w:val="1"/>
          <w:bCs w:val="1"/>
          <w:color w:val="0000FF"/>
        </w:rPr>
        <w:t xml:space="preserve"> </w:t>
      </w:r>
      <w:r>
        <w:rPr>
          <w:rFonts w:ascii="Arial" w:cs="Arial" w:eastAsia="Arial" w:hAnsi="Arial"/>
          <w:sz w:val="17"/>
          <w:szCs w:val="17"/>
          <w:color w:val="000000"/>
        </w:rPr>
        <w:t>such day (or if such day is not a</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U.S. Government Securities</w:t>
      </w:r>
      <w:r>
        <w:rPr>
          <w:rFonts w:ascii="Arial" w:cs="Arial" w:eastAsia="Arial" w:hAnsi="Arial"/>
          <w:sz w:val="17"/>
          <w:szCs w:val="17"/>
          <w:b w:val="1"/>
          <w:bCs w:val="1"/>
          <w:color w:val="0000FF"/>
        </w:rPr>
        <w:t xml:space="preserve"> </w:t>
      </w:r>
      <w:r>
        <w:rPr>
          <w:rFonts w:ascii="Arial" w:cs="Arial" w:eastAsia="Arial" w:hAnsi="Arial"/>
          <w:sz w:val="17"/>
          <w:szCs w:val="17"/>
          <w:color w:val="000000"/>
        </w:rPr>
        <w:t>Business Day, the immediately preceding</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U.S.</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Government Securities</w:t>
      </w:r>
      <w:r>
        <w:rPr>
          <w:rFonts w:ascii="Arial" w:cs="Arial" w:eastAsia="Arial" w:hAnsi="Arial"/>
          <w:sz w:val="17"/>
          <w:szCs w:val="17"/>
          <w:b w:val="1"/>
          <w:bCs w:val="1"/>
          <w:color w:val="0000FF"/>
        </w:rPr>
        <w:t xml:space="preserve"> </w:t>
      </w:r>
      <w:r>
        <w:rPr>
          <w:rFonts w:ascii="Arial" w:cs="Arial" w:eastAsia="Arial" w:hAnsi="Arial"/>
          <w:sz w:val="17"/>
          <w:szCs w:val="17"/>
          <w:color w:val="000000"/>
        </w:rPr>
        <w:t>Business Day) plus 1%, provided that for the purpose of this definition, the</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Eurodollar</w:t>
      </w:r>
      <w:r>
        <w:rPr>
          <w:rFonts w:ascii="Arial" w:cs="Arial" w:eastAsia="Arial" w:hAnsi="Arial"/>
          <w:sz w:val="17"/>
          <w:szCs w:val="17"/>
          <w:b w:val="1"/>
          <w:bCs w:val="1"/>
          <w:u w:val="single" w:color="auto"/>
          <w:color w:val="0000FF"/>
        </w:rPr>
        <w:t>Adjusted Term SOFR</w:t>
      </w:r>
      <w:r>
        <w:rPr>
          <w:rFonts w:ascii="Arial" w:cs="Arial" w:eastAsia="Arial" w:hAnsi="Arial"/>
          <w:sz w:val="17"/>
          <w:szCs w:val="17"/>
          <w:b w:val="1"/>
          <w:bCs w:val="1"/>
          <w:color w:val="0000FF"/>
        </w:rPr>
        <w:t xml:space="preserve"> </w:t>
      </w:r>
      <w:r>
        <w:rPr>
          <w:rFonts w:ascii="Arial" w:cs="Arial" w:eastAsia="Arial" w:hAnsi="Arial"/>
          <w:sz w:val="17"/>
          <w:szCs w:val="17"/>
          <w:color w:val="000000"/>
        </w:rPr>
        <w:t>Rate for any day</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shall be based on the </w:t>
      </w:r>
      <w:r>
        <w:rPr>
          <w:rFonts w:ascii="Arial" w:cs="Arial" w:eastAsia="Arial" w:hAnsi="Arial"/>
          <w:sz w:val="17"/>
          <w:szCs w:val="17"/>
          <w:b w:val="1"/>
          <w:bCs w:val="1"/>
          <w:color w:val="FF0000"/>
          <w:strike w:val="1"/>
        </w:rPr>
        <w:t>LIBO Screen Rate (or if the LIBO Screen Rate is not available for such one month Interest Period, the Interpolated</w:t>
      </w:r>
      <w:r>
        <w:rPr>
          <w:rFonts w:ascii="Arial" w:cs="Arial" w:eastAsia="Arial" w:hAnsi="Arial"/>
          <w:sz w:val="17"/>
          <w:szCs w:val="17"/>
          <w:color w:val="000000"/>
        </w:rPr>
        <w:t xml:space="preserve"> </w:t>
      </w:r>
      <w:r>
        <w:rPr>
          <w:rFonts w:ascii="Arial" w:cs="Arial" w:eastAsia="Arial" w:hAnsi="Arial"/>
          <w:sz w:val="17"/>
          <w:szCs w:val="17"/>
          <w:b w:val="1"/>
          <w:bCs w:val="1"/>
          <w:color w:val="FF0000"/>
          <w:strike w:val="1"/>
        </w:rPr>
        <w:t>Rate)</w:t>
      </w:r>
      <w:r>
        <w:rPr>
          <w:rFonts w:ascii="Arial" w:cs="Arial" w:eastAsia="Arial" w:hAnsi="Arial"/>
          <w:sz w:val="17"/>
          <w:szCs w:val="17"/>
          <w:b w:val="1"/>
          <w:bCs w:val="1"/>
          <w:u w:val="single" w:color="auto"/>
          <w:color w:val="0000FF"/>
        </w:rPr>
        <w:t>Term SOFR Reference Rate</w:t>
      </w:r>
      <w:r>
        <w:rPr>
          <w:rFonts w:ascii="Arial" w:cs="Arial" w:eastAsia="Arial" w:hAnsi="Arial"/>
          <w:sz w:val="17"/>
          <w:szCs w:val="17"/>
          <w:b w:val="1"/>
          <w:bCs w:val="1"/>
          <w:color w:val="FF0000"/>
        </w:rPr>
        <w:t xml:space="preserve"> </w:t>
      </w:r>
      <w:r>
        <w:rPr>
          <w:rFonts w:ascii="Arial" w:cs="Arial" w:eastAsia="Arial" w:hAnsi="Arial"/>
          <w:sz w:val="17"/>
          <w:szCs w:val="17"/>
          <w:color w:val="000000"/>
        </w:rPr>
        <w:t>at approximately</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11:00 a.m. London</w:t>
      </w:r>
      <w:r>
        <w:rPr>
          <w:rFonts w:ascii="Arial" w:cs="Arial" w:eastAsia="Arial" w:hAnsi="Arial"/>
          <w:sz w:val="17"/>
          <w:szCs w:val="17"/>
          <w:b w:val="1"/>
          <w:bCs w:val="1"/>
          <w:u w:val="single" w:color="auto"/>
          <w:color w:val="0000FF"/>
        </w:rPr>
        <w:t>5:00 a.m. Chicago</w:t>
      </w:r>
      <w:r>
        <w:rPr>
          <w:rFonts w:ascii="Arial" w:cs="Arial" w:eastAsia="Arial" w:hAnsi="Arial"/>
          <w:sz w:val="17"/>
          <w:szCs w:val="17"/>
          <w:b w:val="1"/>
          <w:bCs w:val="1"/>
          <w:color w:val="FF0000"/>
        </w:rPr>
        <w:t xml:space="preserve"> </w:t>
      </w:r>
      <w:r>
        <w:rPr>
          <w:rFonts w:ascii="Arial" w:cs="Arial" w:eastAsia="Arial" w:hAnsi="Arial"/>
          <w:sz w:val="17"/>
          <w:szCs w:val="17"/>
          <w:color w:val="000000"/>
        </w:rPr>
        <w:t>time on such day</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0000FF"/>
        </w:rPr>
        <w:t>(or any amended publication time for the</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0000FF"/>
        </w:rPr>
        <w:t>Term SOFR Reference Rate, as specified by the CME Term SOFR Administrator in the Term SOFR Reference Rate methodology)</w:t>
      </w:r>
      <w:r>
        <w:rPr>
          <w:rFonts w:ascii="Arial" w:cs="Arial" w:eastAsia="Arial" w:hAnsi="Arial"/>
          <w:sz w:val="17"/>
          <w:szCs w:val="17"/>
          <w:color w:val="000000"/>
        </w:rPr>
        <w:t>. Any change in</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the Base Rate due to a change in the Prime Rate, the Federal Funds Rate or the </w:t>
      </w:r>
      <w:r>
        <w:rPr>
          <w:rFonts w:ascii="Arial" w:cs="Arial" w:eastAsia="Arial" w:hAnsi="Arial"/>
          <w:sz w:val="17"/>
          <w:szCs w:val="17"/>
          <w:b w:val="1"/>
          <w:bCs w:val="1"/>
          <w:color w:val="FF0000"/>
          <w:strike w:val="1"/>
        </w:rPr>
        <w:t>Eurodollar</w:t>
      </w:r>
      <w:r>
        <w:rPr>
          <w:rFonts w:ascii="Arial" w:cs="Arial" w:eastAsia="Arial" w:hAnsi="Arial"/>
          <w:sz w:val="17"/>
          <w:szCs w:val="17"/>
          <w:b w:val="1"/>
          <w:bCs w:val="1"/>
          <w:u w:val="single" w:color="auto"/>
          <w:color w:val="0000FF"/>
        </w:rPr>
        <w:t>Adjusted Term SOFR</w:t>
      </w:r>
      <w:r>
        <w:rPr>
          <w:rFonts w:ascii="Arial" w:cs="Arial" w:eastAsia="Arial" w:hAnsi="Arial"/>
          <w:sz w:val="17"/>
          <w:szCs w:val="17"/>
          <w:color w:val="000000"/>
        </w:rPr>
        <w:t xml:space="preserve"> Rate shall be effective from and including the effective date of such change in the Prime Rate, the Federal Funds Rate or the </w:t>
      </w:r>
      <w:r>
        <w:rPr>
          <w:rFonts w:ascii="Arial" w:cs="Arial" w:eastAsia="Arial" w:hAnsi="Arial"/>
          <w:sz w:val="17"/>
          <w:szCs w:val="17"/>
          <w:b w:val="1"/>
          <w:bCs w:val="1"/>
          <w:color w:val="FF0000"/>
          <w:strike w:val="1"/>
        </w:rPr>
        <w:t>Eurodollar</w:t>
      </w:r>
      <w:r>
        <w:rPr>
          <w:rFonts w:ascii="Arial" w:cs="Arial" w:eastAsia="Arial" w:hAnsi="Arial"/>
          <w:sz w:val="17"/>
          <w:szCs w:val="17"/>
          <w:b w:val="1"/>
          <w:bCs w:val="1"/>
          <w:u w:val="single" w:color="auto"/>
          <w:color w:val="0000FF"/>
        </w:rPr>
        <w:t>Adjusted Term SOFR</w:t>
      </w:r>
      <w:r>
        <w:rPr>
          <w:rFonts w:ascii="Arial" w:cs="Arial" w:eastAsia="Arial" w:hAnsi="Arial"/>
          <w:sz w:val="17"/>
          <w:szCs w:val="17"/>
          <w:color w:val="000000"/>
        </w:rPr>
        <w:t xml:space="preserve"> Rate, respectively. If the Base Rate is being used as an alternative rate of interest pursuant to </w:t>
      </w:r>
      <w:r>
        <w:rPr>
          <w:rFonts w:ascii="Arial" w:cs="Arial" w:eastAsia="Arial" w:hAnsi="Arial"/>
          <w:sz w:val="17"/>
          <w:szCs w:val="17"/>
          <w:u w:val="single" w:color="auto"/>
          <w:color w:val="000000"/>
        </w:rPr>
        <w:t>Section</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FF0000"/>
          <w:strike w:val="1"/>
        </w:rPr>
        <w:t>3.03</w:t>
      </w:r>
      <w:r>
        <w:rPr>
          <w:rFonts w:ascii="Arial" w:cs="Arial" w:eastAsia="Arial" w:hAnsi="Arial"/>
          <w:sz w:val="17"/>
          <w:szCs w:val="17"/>
          <w:b w:val="1"/>
          <w:bCs w:val="1"/>
          <w:u w:val="single" w:color="auto"/>
          <w:color w:val="0000FF"/>
        </w:rPr>
        <w:t>2.18 (for the avoidance of doubt, only until the Benchmark</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Replacement has been determined pursuant to Section 2.18(b))</w:t>
      </w:r>
      <w:r>
        <w:rPr>
          <w:rFonts w:ascii="Arial" w:cs="Arial" w:eastAsia="Arial" w:hAnsi="Arial"/>
          <w:sz w:val="17"/>
          <w:szCs w:val="17"/>
          <w:color w:val="000000"/>
        </w:rPr>
        <w:t>, then the Base Rate shall be the greater of</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000000"/>
        </w:rPr>
        <w:t>clauses (a)</w:t>
      </w:r>
      <w:r>
        <w:rPr>
          <w:rFonts w:ascii="Arial" w:cs="Arial" w:eastAsia="Arial" w:hAnsi="Arial"/>
          <w:sz w:val="17"/>
          <w:szCs w:val="17"/>
          <w:b w:val="1"/>
          <w:bCs w:val="1"/>
          <w:color w:val="0000FF"/>
        </w:rPr>
        <w:t xml:space="preserve"> </w:t>
      </w:r>
      <w:r>
        <w:rPr>
          <w:rFonts w:ascii="Arial" w:cs="Arial" w:eastAsia="Arial" w:hAnsi="Arial"/>
          <w:sz w:val="17"/>
          <w:szCs w:val="17"/>
          <w:color w:val="000000"/>
        </w:rPr>
        <w:t>and</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000000"/>
        </w:rPr>
        <w:t>(b)</w:t>
      </w:r>
      <w:r>
        <w:rPr>
          <w:rFonts w:ascii="Arial" w:cs="Arial" w:eastAsia="Arial" w:hAnsi="Arial"/>
          <w:sz w:val="17"/>
          <w:szCs w:val="17"/>
          <w:b w:val="1"/>
          <w:bCs w:val="1"/>
          <w:color w:val="0000FF"/>
        </w:rPr>
        <w:t xml:space="preserve"> </w:t>
      </w:r>
      <w:r>
        <w:rPr>
          <w:rFonts w:ascii="Arial" w:cs="Arial" w:eastAsia="Arial" w:hAnsi="Arial"/>
          <w:sz w:val="17"/>
          <w:szCs w:val="17"/>
          <w:color w:val="000000"/>
        </w:rPr>
        <w:t>above and shall be</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determined without reference to </w:t>
      </w:r>
      <w:r>
        <w:rPr>
          <w:rFonts w:ascii="Arial" w:cs="Arial" w:eastAsia="Arial" w:hAnsi="Arial"/>
          <w:sz w:val="17"/>
          <w:szCs w:val="17"/>
          <w:u w:val="single" w:color="auto"/>
          <w:color w:val="000000"/>
        </w:rPr>
        <w:t>clause (c)</w:t>
      </w:r>
      <w:r>
        <w:rPr>
          <w:rFonts w:ascii="Arial" w:cs="Arial" w:eastAsia="Arial" w:hAnsi="Arial"/>
          <w:sz w:val="17"/>
          <w:szCs w:val="17"/>
          <w:color w:val="000000"/>
        </w:rPr>
        <w:t xml:space="preserve"> above. For the avoidance of doubt, if the Base Rate as so determined would be less than zero, such rate shall be deemed to be zero for purposes of this Agreement.</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Credit Loan, an Incremental Revolving Credit Loan or an Incremental Term Loan that bears interest based on the Base Rate.</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u w:val="single" w:color="auto"/>
          <w:color w:val="0000FF"/>
        </w:rPr>
        <w:t xml:space="preserve">“Benchmark” means, initially, with respect to any (i) RFR Loan, the Daily Simple SOFR or (ii) Term Benchmark Loan, the Term SOFR Rate; </w:t>
      </w:r>
      <w:r>
        <w:rPr>
          <w:rFonts w:ascii="Arial" w:cs="Arial" w:eastAsia="Arial" w:hAnsi="Arial"/>
          <w:sz w:val="16"/>
          <w:szCs w:val="16"/>
          <w:b w:val="1"/>
          <w:bCs w:val="1"/>
          <w:i w:val="1"/>
          <w:iCs w:val="1"/>
          <w:u w:val="single" w:color="auto"/>
          <w:color w:val="0000FF"/>
        </w:rPr>
        <w:t xml:space="preserve">provided </w:t>
      </w:r>
      <w:r>
        <w:rPr>
          <w:rFonts w:ascii="Arial" w:cs="Arial" w:eastAsia="Arial" w:hAnsi="Arial"/>
          <w:sz w:val="16"/>
          <w:szCs w:val="16"/>
          <w:b w:val="1"/>
          <w:bCs w:val="1"/>
          <w:u w:val="single" w:color="auto"/>
          <w:color w:val="0000FF"/>
        </w:rPr>
        <w:t>that if a Benchmark Transition Event and the related Benchmark Replacement Date have occurred with respect to the Daily Simple</w:t>
      </w:r>
      <w:r>
        <w:rPr>
          <w:rFonts w:ascii="Arial" w:cs="Arial" w:eastAsia="Arial" w:hAnsi="Arial"/>
          <w:sz w:val="16"/>
          <w:szCs w:val="16"/>
          <w:b w:val="1"/>
          <w:bCs w:val="1"/>
          <w:i w:val="1"/>
          <w:iCs w:val="1"/>
          <w:u w:val="single" w:color="auto"/>
          <w:color w:val="0000FF"/>
        </w:rPr>
        <w:t xml:space="preserve"> </w:t>
      </w:r>
      <w:r>
        <w:rPr>
          <w:rFonts w:ascii="Arial" w:cs="Arial" w:eastAsia="Arial" w:hAnsi="Arial"/>
          <w:sz w:val="16"/>
          <w:szCs w:val="16"/>
          <w:b w:val="1"/>
          <w:bCs w:val="1"/>
          <w:u w:val="single" w:color="auto"/>
          <w:color w:val="0000FF"/>
        </w:rPr>
        <w:t>SOFR or the Term SOFR Rate, as applicable, or the then-current Benchmark, then “Benchmark” means the applicable Benchmark Replacement to the extent that such Benchmark Replacement has replaced such prior benchmark rate pursuant to clause (b) of Section 2.18.</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0000FF"/>
        </w:rPr>
        <w:t>“Benchmark Replacement” means, for any Available Tenor,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0000FF"/>
        </w:rPr>
        <w:t>If the Benchmark Replacement as determined pursuant to the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u w:val="single" w:color="auto"/>
          <w:color w:val="0000FF"/>
        </w:rPr>
        <w:t>“Benchmark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jc w:val="both"/>
        <w:spacing w:after="0" w:line="289" w:lineRule="auto"/>
        <w:rPr>
          <w:sz w:val="20"/>
          <w:szCs w:val="20"/>
          <w:color w:val="auto"/>
        </w:rPr>
      </w:pPr>
      <w:r>
        <w:rPr>
          <w:rFonts w:ascii="Arial" w:cs="Arial" w:eastAsia="Arial" w:hAnsi="Arial"/>
          <w:sz w:val="16"/>
          <w:szCs w:val="16"/>
          <w:b w:val="1"/>
          <w:bCs w:val="1"/>
          <w:u w:val="single" w:color="auto"/>
          <w:color w:val="0000FF"/>
        </w:rPr>
        <w:t>“Benchmark Replacement Conforming Changes” means, with respect to any Benchmark Replacement and/or any Term Benchmark Revolving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in consultation with the Borrower, decides is reasonably necessary in connection with the administration of this Agreement and the other Loan Documents).</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0000FF"/>
        </w:rPr>
        <w:t>“Benchmark Replacement Date” means, with respect to any Benchmark, the earliest to occur of the following events with respect to such then-current Benchmark:</w:t>
      </w:r>
    </w:p>
    <w:p>
      <w:pPr>
        <w:spacing w:after="0" w:line="162" w:lineRule="exact"/>
        <w:rPr>
          <w:sz w:val="20"/>
          <w:szCs w:val="20"/>
          <w:color w:val="auto"/>
        </w:rPr>
      </w:pPr>
    </w:p>
    <w:p>
      <w:pPr>
        <w:jc w:val="both"/>
        <w:ind w:firstLine="8"/>
        <w:spacing w:after="0" w:line="314" w:lineRule="auto"/>
        <w:tabs>
          <w:tab w:leader="none" w:pos="929" w:val="left"/>
        </w:tabs>
        <w:numPr>
          <w:ilvl w:val="0"/>
          <w:numId w:val="23"/>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41" w:lineRule="exact"/>
        <w:rPr>
          <w:rFonts w:ascii="Arial" w:cs="Arial" w:eastAsia="Arial" w:hAnsi="Arial"/>
          <w:sz w:val="16"/>
          <w:szCs w:val="16"/>
          <w:b w:val="1"/>
          <w:bCs w:val="1"/>
          <w:u w:val="single" w:color="auto"/>
          <w:color w:val="0000FF"/>
        </w:rPr>
      </w:pPr>
    </w:p>
    <w:p>
      <w:pPr>
        <w:jc w:val="both"/>
        <w:ind w:firstLine="8"/>
        <w:spacing w:after="0" w:line="258" w:lineRule="auto"/>
        <w:tabs>
          <w:tab w:leader="none" w:pos="875" w:val="left"/>
        </w:tabs>
        <w:numPr>
          <w:ilvl w:val="0"/>
          <w:numId w:val="23"/>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0000FF"/>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spacing w:after="0" w:line="282" w:lineRule="auto"/>
        <w:rPr>
          <w:sz w:val="20"/>
          <w:szCs w:val="20"/>
          <w:color w:val="auto"/>
        </w:rPr>
      </w:pPr>
      <w:r>
        <w:rPr>
          <w:rFonts w:ascii="Arial" w:cs="Arial" w:eastAsia="Arial" w:hAnsi="Arial"/>
          <w:sz w:val="18"/>
          <w:szCs w:val="18"/>
          <w:b w:val="1"/>
          <w:bCs w:val="1"/>
          <w:u w:val="single" w:color="auto"/>
          <w:color w:val="0000FF"/>
        </w:rPr>
        <w:t>“Benchmark Transition Event” means, with respect to any Benchmark, the occurrence of one or more of the following events with respect to such then-current Benchmark:</w:t>
      </w:r>
    </w:p>
    <w:p>
      <w:pPr>
        <w:spacing w:after="0" w:line="162" w:lineRule="exact"/>
        <w:rPr>
          <w:sz w:val="20"/>
          <w:szCs w:val="20"/>
          <w:color w:val="auto"/>
        </w:rPr>
      </w:pPr>
    </w:p>
    <w:p>
      <w:pPr>
        <w:jc w:val="both"/>
        <w:ind w:firstLine="8"/>
        <w:spacing w:after="0" w:line="281" w:lineRule="auto"/>
        <w:tabs>
          <w:tab w:leader="none" w:pos="344" w:val="left"/>
        </w:tabs>
        <w:numPr>
          <w:ilvl w:val="0"/>
          <w:numId w:val="24"/>
        </w:numPr>
        <w:rPr>
          <w:rFonts w:ascii="Arial" w:cs="Arial" w:eastAsia="Arial" w:hAnsi="Arial"/>
          <w:sz w:val="17"/>
          <w:szCs w:val="17"/>
          <w:b w:val="1"/>
          <w:bCs w:val="1"/>
          <w:u w:val="single" w:color="auto"/>
          <w:color w:val="0000FF"/>
        </w:rPr>
      </w:pPr>
      <w:r>
        <w:rPr>
          <w:rFonts w:ascii="Arial" w:cs="Arial" w:eastAsia="Arial" w:hAnsi="Arial"/>
          <w:sz w:val="17"/>
          <w:szCs w:val="17"/>
          <w:b w:val="1"/>
          <w:bCs w:val="1"/>
          <w:u w:val="single" w:color="auto"/>
          <w:color w:val="0000FF"/>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4" w:lineRule="exact"/>
        <w:rPr>
          <w:rFonts w:ascii="Arial" w:cs="Arial" w:eastAsia="Arial" w:hAnsi="Arial"/>
          <w:sz w:val="17"/>
          <w:szCs w:val="17"/>
          <w:b w:val="1"/>
          <w:bCs w:val="1"/>
          <w:u w:val="single" w:color="auto"/>
          <w:color w:val="0000FF"/>
        </w:rPr>
      </w:pPr>
    </w:p>
    <w:p>
      <w:pPr>
        <w:jc w:val="both"/>
        <w:ind w:firstLine="8"/>
        <w:spacing w:after="0" w:line="254" w:lineRule="auto"/>
        <w:tabs>
          <w:tab w:leader="none" w:pos="444" w:val="left"/>
        </w:tabs>
        <w:numPr>
          <w:ilvl w:val="0"/>
          <w:numId w:val="24"/>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b w:val="1"/>
          <w:bCs w:val="1"/>
          <w:u w:val="single" w:color="auto"/>
          <w:color w:val="0000FF"/>
        </w:rPr>
        <w:t xml:space="preserve"> that, at the time of such statement or publication, there is no successor administrator that will continue to provide any Available Tenor of such Benchmark (or such component thereof); or</w:t>
      </w:r>
    </w:p>
    <w:p>
      <w:pPr>
        <w:spacing w:after="0" w:line="191" w:lineRule="exact"/>
        <w:rPr>
          <w:rFonts w:ascii="Arial" w:cs="Arial" w:eastAsia="Arial" w:hAnsi="Arial"/>
          <w:sz w:val="18"/>
          <w:szCs w:val="18"/>
          <w:b w:val="1"/>
          <w:bCs w:val="1"/>
          <w:u w:val="single" w:color="auto"/>
          <w:color w:val="0000FF"/>
        </w:rPr>
      </w:pPr>
    </w:p>
    <w:p>
      <w:pPr>
        <w:jc w:val="both"/>
        <w:ind w:firstLine="8"/>
        <w:spacing w:after="0" w:line="266" w:lineRule="auto"/>
        <w:tabs>
          <w:tab w:leader="none" w:pos="444" w:val="left"/>
        </w:tabs>
        <w:numPr>
          <w:ilvl w:val="0"/>
          <w:numId w:val="24"/>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0000FF"/>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0000FF"/>
        </w:rPr>
        <w:t>“Benchmark Unavailability Period” means, with respect to any Benchmark, the period (if any) (x) beginning at the time that a Benchmark Replacement Date has occurred if, at such time, no Benchmark Replacement has replaced such then-current Benchmark for all purposes hereunder and under any Loan Document in accordance with Section 2.18 and (y) ending at the time that a Benchmark Replacement has replaced such then-current Benchmark for all purposes hereunder and under any Loan Document in accordance with Section 2.18.</w:t>
      </w:r>
    </w:p>
    <w:p>
      <w:pPr>
        <w:spacing w:after="0" w:line="169" w:lineRule="exact"/>
        <w:rPr>
          <w:sz w:val="20"/>
          <w:szCs w:val="20"/>
          <w:color w:val="auto"/>
        </w:rPr>
      </w:pPr>
    </w:p>
    <w:p>
      <w:pPr>
        <w:jc w:val="center"/>
        <w:ind w:right="580"/>
        <w:spacing w:after="0" w:line="4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shall mean a certification regarding beneficial ownership as required by the Beneficial Ownership Regulation.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shall mean 31 C.F.R. § 1010.230.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United States Federal Reserve System, or any successor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Cash Flow</w:t>
      </w:r>
      <w:r>
        <w:rPr>
          <w:rFonts w:ascii="Arial" w:cs="Arial" w:eastAsia="Arial" w:hAnsi="Arial"/>
          <w:sz w:val="17"/>
          <w:szCs w:val="17"/>
          <w:color w:val="auto"/>
        </w:rPr>
        <w:t xml:space="preserve">” means, at any date of determination, an amount equal to the Distributed Cash received by the Borrower during the most recently completed Measurement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has acquired or disposed of any Equity Interests in a Project Company or the Borrower or any of its Subsidiaries (including any Project Company) has acquired or disposed of any property with a value in excess of $5,000,000 at any time after the first day of such Measurement Period, the determinations of Borrower Cash Flow shall be made giving pro forma effect to such acquisition or disposition as if such acquisition or disposition had occurred on the first day of such Measurement Period.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Interest Coverage Ratio</w:t>
      </w:r>
      <w:r>
        <w:rPr>
          <w:rFonts w:ascii="Arial" w:cs="Arial" w:eastAsia="Arial" w:hAnsi="Arial"/>
          <w:sz w:val="18"/>
          <w:szCs w:val="18"/>
          <w:color w:val="auto"/>
        </w:rPr>
        <w:t>” means, as of any date of determination, the ratio of (a) Borrower Cash Flow to (b) Interest Charges, in each case, for the most recently completed Measurement Period.</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Leverage Ratio</w:t>
      </w:r>
      <w:r>
        <w:rPr>
          <w:rFonts w:ascii="Arial" w:cs="Arial" w:eastAsia="Arial" w:hAnsi="Arial"/>
          <w:sz w:val="18"/>
          <w:szCs w:val="18"/>
          <w:color w:val="auto"/>
        </w:rPr>
        <w:t>” means, as of any date of determination, the ratio of (a) Total Debt as of such date (net of up to $</w:t>
      </w:r>
      <w:r>
        <w:rPr>
          <w:rFonts w:ascii="Arial" w:cs="Arial" w:eastAsia="Arial" w:hAnsi="Arial"/>
          <w:sz w:val="18"/>
          <w:szCs w:val="18"/>
          <w:b w:val="1"/>
          <w:bCs w:val="1"/>
          <w:color w:val="FF0000"/>
          <w:strike w:val="1"/>
        </w:rPr>
        <w:t>100,000,000</w:t>
      </w:r>
      <w:r>
        <w:rPr>
          <w:rFonts w:ascii="Arial" w:cs="Arial" w:eastAsia="Arial" w:hAnsi="Arial"/>
          <w:sz w:val="18"/>
          <w:szCs w:val="18"/>
          <w:b w:val="1"/>
          <w:bCs w:val="1"/>
          <w:u w:val="single" w:color="auto"/>
          <w:color w:val="0000FF"/>
        </w:rPr>
        <w:t>120,000,000</w:t>
      </w:r>
      <w:r>
        <w:rPr>
          <w:rFonts w:ascii="Arial" w:cs="Arial" w:eastAsia="Arial" w:hAnsi="Arial"/>
          <w:sz w:val="18"/>
          <w:szCs w:val="18"/>
          <w:color w:val="auto"/>
        </w:rPr>
        <w:t xml:space="preserve"> of cash that constitutes Borrower Cash Flow from a Measurement Period other than the most recently completed Measurement Period) to (b) Borrower Cash Flow for the most recently completed Measurement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an Incremental Borrowing, an Extended Borrowing or a Refinancing Borrowing, as the context may require.</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FF0000"/>
          <w:strike w:val="1"/>
        </w:rPr>
        <w:t>Bridge Financing</w:t>
      </w:r>
      <w:r>
        <w:rPr>
          <w:rFonts w:ascii="Arial" w:cs="Arial" w:eastAsia="Arial" w:hAnsi="Arial"/>
          <w:sz w:val="16"/>
          <w:szCs w:val="16"/>
          <w:b w:val="1"/>
          <w:bCs w:val="1"/>
          <w:color w:val="FF0000"/>
          <w:strike w:val="1"/>
        </w:rPr>
        <w:t xml:space="preserve">” means Indebtedness of the Borrower or any other Loan Party not exceeding an aggregate principal amount of $1,500,000,000 evidenced by any of, or a combination of, (a) a senior unsecured bridge loan facility, (b) senior unsecured debt securities issued pursuant to a public offering, Rule 144A or other private placement, (c) senior unsecured term loans or (d) any other unsecured Indebtedness incurred or issued by the Borrower or any other Loan Party, in each case the proceeds of which will be used solely to (i) repay,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and the Existing Senior Notes, (ii) make payments of principal or interest under the Parent CSN Proceeds Loan in accordance with </w:t>
      </w:r>
      <w:r>
        <w:rPr>
          <w:rFonts w:ascii="Arial" w:cs="Arial" w:eastAsia="Arial" w:hAnsi="Arial"/>
          <w:sz w:val="16"/>
          <w:szCs w:val="16"/>
          <w:b w:val="1"/>
          <w:bCs w:val="1"/>
          <w:u w:val="single" w:color="auto"/>
          <w:color w:val="FF0000"/>
          <w:strike w:val="1"/>
        </w:rPr>
        <w:t>Section 7.06(j)(i)</w:t>
      </w:r>
      <w:r>
        <w:rPr>
          <w:rFonts w:ascii="Arial" w:cs="Arial" w:eastAsia="Arial" w:hAnsi="Arial"/>
          <w:sz w:val="16"/>
          <w:szCs w:val="16"/>
          <w:b w:val="1"/>
          <w:bCs w:val="1"/>
          <w:color w:val="FF0000"/>
          <w:strike w:val="1"/>
        </w:rPr>
        <w:t xml:space="preserve"> and</w:t>
      </w:r>
    </w:p>
    <w:p>
      <w:pPr>
        <w:spacing w:after="0" w:line="1" w:lineRule="exact"/>
        <w:rPr>
          <w:sz w:val="20"/>
          <w:szCs w:val="20"/>
          <w:color w:val="auto"/>
        </w:rPr>
      </w:pPr>
    </w:p>
    <w:p>
      <w:pPr>
        <w:jc w:val="both"/>
        <w:ind w:firstLine="8"/>
        <w:spacing w:after="0" w:line="255" w:lineRule="auto"/>
        <w:tabs>
          <w:tab w:leader="none" w:pos="330" w:val="left"/>
        </w:tabs>
        <w:numPr>
          <w:ilvl w:val="0"/>
          <w:numId w:val="25"/>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make dividend payments or other distributions (including any repayment of intercompany indebtedness) to Holdings to enable Holdings to make dividend payments or other distributions (including any repayment of intercompany indebtedness) to the Parent in accordance with </w:t>
      </w:r>
      <w:r>
        <w:rPr>
          <w:rFonts w:ascii="Arial" w:cs="Arial" w:eastAsia="Arial" w:hAnsi="Arial"/>
          <w:sz w:val="18"/>
          <w:szCs w:val="18"/>
          <w:b w:val="1"/>
          <w:bCs w:val="1"/>
          <w:u w:val="single" w:color="auto"/>
          <w:color w:val="FF0000"/>
          <w:strike w:val="1"/>
        </w:rPr>
        <w:t>Section</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7.06(j)(ii)</w:t>
      </w:r>
      <w:r>
        <w:rPr>
          <w:rFonts w:ascii="Arial" w:cs="Arial" w:eastAsia="Arial" w:hAnsi="Arial"/>
          <w:sz w:val="18"/>
          <w:szCs w:val="18"/>
          <w:b w:val="1"/>
          <w:bCs w:val="1"/>
          <w:color w:val="FF0000"/>
          <w:strike w:val="1"/>
        </w:rPr>
        <w:t>.</w:t>
      </w:r>
    </w:p>
    <w:p>
      <w:pPr>
        <w:spacing w:after="0" w:line="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jc w:val="both"/>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a Saturday, Sunday or other day on which commercial banks are authorized to close under the Laws of, or are in fact closed in, the state where the Administrative Agent’s Office is located </w:t>
      </w:r>
      <w:r>
        <w:rPr>
          <w:rFonts w:ascii="Arial" w:cs="Arial" w:eastAsia="Arial" w:hAnsi="Arial"/>
          <w:sz w:val="16"/>
          <w:szCs w:val="16"/>
          <w:b w:val="1"/>
          <w:bCs w:val="1"/>
          <w:color w:val="FF0000"/>
        </w:rPr>
        <w:t>and, if such day relates to any Eurodollar Rate Loan, means any such day</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on which dealings in Dollar deposits are conducted by and between banks in the London interbank eurodollar market.</w:t>
      </w:r>
      <w:r>
        <w:rPr>
          <w:rFonts w:ascii="Arial" w:cs="Arial" w:eastAsia="Arial" w:hAnsi="Arial"/>
          <w:sz w:val="16"/>
          <w:szCs w:val="16"/>
          <w:b w:val="1"/>
          <w:bCs w:val="1"/>
          <w:u w:val="single" w:color="auto"/>
          <w:color w:val="0000FF"/>
          <w:strike w:val="1"/>
        </w:rPr>
        <w:t>; provided that,</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notwithstanding the foregoing, a Business Day shall be a day that is a U.S. Government Securities Business Day (a) in relation to RFR Loans and any interest rate settings, fundings, disbursements, settlements or payments of any such RFR Loan, or any other dealings of such RFR Loan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-487045</wp:posOffset>
            </wp:positionV>
            <wp:extent cx="36741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74110" cy="8255"/>
                    </a:xfrm>
                    <a:prstGeom prst="rect">
                      <a:avLst/>
                    </a:prstGeom>
                    <a:noFill/>
                  </pic:spPr>
                </pic:pic>
              </a:graphicData>
            </a:graphic>
          </wp:anchor>
        </w:drawing>
      </w:r>
    </w:p>
    <w:p>
      <w:pPr>
        <w:jc w:val="both"/>
        <w:ind w:firstLine="8"/>
        <w:spacing w:after="0" w:line="255" w:lineRule="auto"/>
        <w:tabs>
          <w:tab w:leader="none" w:pos="304" w:val="left"/>
        </w:tabs>
        <w:numPr>
          <w:ilvl w:val="0"/>
          <w:numId w:val="26"/>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xml:space="preserve">” means, with respect to any Person, all leases that have been or are required to be, in accordance with GAAP (but only as in effect on </w:t>
      </w:r>
      <w:r>
        <w:rPr>
          <w:rFonts w:ascii="Arial" w:cs="Arial" w:eastAsia="Arial" w:hAnsi="Arial"/>
          <w:sz w:val="18"/>
          <w:szCs w:val="18"/>
          <w:b w:val="1"/>
          <w:bCs w:val="1"/>
          <w:color w:val="FF0000"/>
          <w:strike w:val="1"/>
        </w:rPr>
        <w:t>the date hereof</w:t>
      </w:r>
      <w:r>
        <w:rPr>
          <w:rFonts w:ascii="Arial" w:cs="Arial" w:eastAsia="Arial" w:hAnsi="Arial"/>
          <w:sz w:val="18"/>
          <w:szCs w:val="18"/>
          <w:b w:val="1"/>
          <w:bCs w:val="1"/>
          <w:u w:val="single" w:color="auto"/>
          <w:color w:val="0000FF"/>
        </w:rPr>
        <w:t>December 31, 2018</w:t>
      </w:r>
      <w:r>
        <w:rPr>
          <w:rFonts w:ascii="Arial" w:cs="Arial" w:eastAsia="Arial" w:hAnsi="Arial"/>
          <w:sz w:val="18"/>
          <w:szCs w:val="18"/>
          <w:color w:val="000000"/>
        </w:rPr>
        <w:t>, and not giving effect to any changes to GAAP occurring after</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the date hereof</w:t>
      </w:r>
      <w:r>
        <w:rPr>
          <w:rFonts w:ascii="Arial" w:cs="Arial" w:eastAsia="Arial" w:hAnsi="Arial"/>
          <w:sz w:val="18"/>
          <w:szCs w:val="18"/>
          <w:b w:val="1"/>
          <w:bCs w:val="1"/>
          <w:u w:val="single" w:color="auto"/>
          <w:color w:val="0000FF"/>
        </w:rPr>
        <w:t>December 31, 2018</w:t>
      </w:r>
      <w:r>
        <w:rPr>
          <w:rFonts w:ascii="Arial" w:cs="Arial" w:eastAsia="Arial" w:hAnsi="Arial"/>
          <w:sz w:val="18"/>
          <w:szCs w:val="18"/>
          <w:color w:val="000000"/>
        </w:rPr>
        <w:t>), recorded as</w:t>
      </w:r>
      <w:r>
        <w:rPr>
          <w:rFonts w:ascii="Arial" w:cs="Arial" w:eastAsia="Arial" w:hAnsi="Arial"/>
          <w:sz w:val="18"/>
          <w:szCs w:val="18"/>
          <w:b w:val="1"/>
          <w:bCs w:val="1"/>
          <w:color w:val="FF0000"/>
        </w:rPr>
        <w:t xml:space="preserve"> </w:t>
      </w:r>
      <w:r>
        <w:rPr>
          <w:rFonts w:ascii="Arial" w:cs="Arial" w:eastAsia="Arial" w:hAnsi="Arial"/>
          <w:sz w:val="18"/>
          <w:szCs w:val="18"/>
          <w:color w:val="000000"/>
        </w:rPr>
        <w:t>capitalized leases on the balance sheet of such Person.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deposit in a Controlled Account or to pledge and deposit with or deliver to the Administrative Agent, for the benefit of one or more of the L/C Issuers or Lenders, as collateral for L/C Obligations or obligations of Lenders to fund participations in respect of L/C Obligations, cash or deposit account balances or, if the Administrative Agent and each applicable L/C Issuer shall agree in their sole discretion, other credit support, in each case pursuant to documentation in form and substance reasonably satisfactory to the Administrative Agent and each applicable L/C Issuer. “Cash Collateral” shall have a meaning correlative to the foregoing and shall include the proceeds of such cash collateral and other credit support.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any of the following types of Investments, to the extent owned by the Borrower or any of the Company Group Parties:</w:t>
      </w:r>
    </w:p>
    <w:p>
      <w:pPr>
        <w:spacing w:after="0" w:line="237" w:lineRule="exact"/>
        <w:rPr>
          <w:sz w:val="20"/>
          <w:szCs w:val="20"/>
          <w:color w:val="auto"/>
        </w:rPr>
      </w:pPr>
    </w:p>
    <w:p>
      <w:pPr>
        <w:jc w:val="both"/>
        <w:ind w:left="66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183"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and (ii) has combined capital and surplus of at least $1,000,000,000, in each case with maturities of not more than 90 days from the date of acquisition thereof;</w:t>
      </w:r>
    </w:p>
    <w:p>
      <w:pPr>
        <w:spacing w:after="0" w:line="187"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12 months from the date of acquisition thereof;</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jc w:val="both"/>
        <w:ind w:left="660" w:hanging="652"/>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Investments in money market investment programs registered under the Investment Company Act of 1940, which are administered by financial institutions that have one of the two highest ratings obtainable from either Moody’s or S&amp;P, and the portfolios of which are limited solely to Investments of the character, quality and maturity described in clauses (a), (b) and (c) of this definition; and</w:t>
      </w:r>
    </w:p>
    <w:p>
      <w:pPr>
        <w:spacing w:after="0" w:line="183"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United States dollars, Euros, any other currency of countries members of the Organization for Economic Co-operation and Development or, in the case of any foreign Subsidiary, any local currencies held by it from time to time.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depositary, overdraft, credit or debit card, electronic funds transfer and other cash management arrangements.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designated by the Borrower as such that, either (a) on the Closing Date, is a party to a Cash Management Agreement with a Loan Party and is an Agent, an Arranger, a Lender or an Affiliate of the foregoing, or (b) at the time it enters into a Cash Management Agreement with a Loan Party, is an Agent, an Arranger, a Lender or an Affiliate of the foregoing, in the case of each of clauses (a) and (b), its capacity as a party to such Cash Management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CERCLIS</w:t>
      </w:r>
      <w:r>
        <w:rPr>
          <w:rFonts w:ascii="Arial" w:cs="Arial" w:eastAsia="Arial" w:hAnsi="Arial"/>
          <w:sz w:val="18"/>
          <w:szCs w:val="18"/>
          <w:color w:val="auto"/>
        </w:rPr>
        <w:t>” means the Comprehensive Environmental Response, Compensation and Liability Information System maintained by the U.S. Environmental Protection Agency.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under Section 957 of the Code.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248" w:lineRule="exact"/>
        <w:rPr>
          <w:sz w:val="20"/>
          <w:szCs w:val="20"/>
          <w:color w:val="auto"/>
        </w:rPr>
      </w:pPr>
    </w:p>
    <w:p>
      <w:pPr>
        <w:jc w:val="both"/>
        <w:ind w:left="660" w:hanging="652"/>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FF0000"/>
          <w:strike w:val="1"/>
        </w:rPr>
        <w:t>Equity Investor</w:t>
      </w:r>
      <w:r>
        <w:rPr>
          <w:rFonts w:ascii="Arial" w:cs="Arial" w:eastAsia="Arial" w:hAnsi="Arial"/>
          <w:sz w:val="18"/>
          <w:szCs w:val="18"/>
          <w:b w:val="1"/>
          <w:bCs w:val="1"/>
          <w:u w:val="single" w:color="auto"/>
          <w:color w:val="0000FF"/>
        </w:rPr>
        <w:t>Sponsor</w:t>
      </w:r>
      <w:r>
        <w:rPr>
          <w:rFonts w:ascii="Arial" w:cs="Arial" w:eastAsia="Arial" w:hAnsi="Arial"/>
          <w:sz w:val="18"/>
          <w:szCs w:val="18"/>
          <w:b w:val="1"/>
          <w:bCs w:val="1"/>
          <w:color w:val="FF0000"/>
        </w:rPr>
        <w:t xml:space="preserve"> </w:t>
      </w:r>
      <w:r>
        <w:rPr>
          <w:rFonts w:ascii="Arial" w:cs="Arial" w:eastAsia="Arial" w:hAnsi="Arial"/>
          <w:sz w:val="18"/>
          <w:szCs w:val="18"/>
          <w:color w:val="000000"/>
        </w:rPr>
        <w:t>and TotalEnergies shall cease to collectively own, directly or indirectly, at least 35% (as measured by voting power</w:t>
      </w:r>
      <w:r>
        <w:rPr>
          <w:rFonts w:ascii="Arial" w:cs="Arial" w:eastAsia="Arial" w:hAnsi="Arial"/>
          <w:sz w:val="18"/>
          <w:szCs w:val="18"/>
          <w:b w:val="1"/>
          <w:bCs w:val="1"/>
          <w:color w:val="FF0000"/>
        </w:rPr>
        <w:t xml:space="preserve"> </w:t>
      </w:r>
      <w:r>
        <w:rPr>
          <w:rFonts w:ascii="Arial" w:cs="Arial" w:eastAsia="Arial" w:hAnsi="Arial"/>
          <w:sz w:val="18"/>
          <w:szCs w:val="18"/>
          <w:color w:val="000000"/>
        </w:rPr>
        <w:t>rather than number of shares or other equity securities) of the equity securities of Parent entitled to vote for members of the board of directors or equivalent governing body of Parent on a fully-diluted basis (and taking into account all such securities that such “person” or “group” has the right to acquire pursuant to any option right); or</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[reserved]; or</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c</w:t>
      </w:r>
      <w:r>
        <w:rPr>
          <w:rFonts w:ascii="Arial" w:cs="Arial" w:eastAsia="Arial" w:hAnsi="Arial"/>
          <w:sz w:val="18"/>
          <w:szCs w:val="18"/>
          <w:b w:val="1"/>
          <w:bCs w:val="1"/>
          <w:u w:val="single" w:color="auto"/>
          <w:color w:val="0000FF"/>
        </w:rPr>
        <w:t>b</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Parent, </w:t>
      </w:r>
      <w:r>
        <w:rPr>
          <w:rFonts w:ascii="Arial" w:cs="Arial" w:eastAsia="Arial" w:hAnsi="Arial"/>
          <w:sz w:val="18"/>
          <w:szCs w:val="18"/>
          <w:b w:val="1"/>
          <w:bCs w:val="1"/>
          <w:color w:val="FF0000"/>
          <w:strike w:val="1"/>
        </w:rPr>
        <w:t>Equity Investor</w:t>
      </w:r>
      <w:r>
        <w:rPr>
          <w:rFonts w:ascii="Arial" w:cs="Arial" w:eastAsia="Arial" w:hAnsi="Arial"/>
          <w:sz w:val="18"/>
          <w:szCs w:val="18"/>
          <w:b w:val="1"/>
          <w:bCs w:val="1"/>
          <w:u w:val="single" w:color="auto"/>
          <w:color w:val="0000FF"/>
        </w:rPr>
        <w:t>Sponsor</w:t>
      </w:r>
      <w:r>
        <w:rPr>
          <w:rFonts w:ascii="Arial" w:cs="Arial" w:eastAsia="Arial" w:hAnsi="Arial"/>
          <w:sz w:val="18"/>
          <w:szCs w:val="18"/>
          <w:color w:val="auto"/>
        </w:rPr>
        <w:t xml:space="preserve"> and TotalEnergies collectively shall cease to, directly or indirectly, own and control legally and beneficially all of the Equity Interests in Holdings; or</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d</w:t>
      </w:r>
      <w:r>
        <w:rPr>
          <w:rFonts w:ascii="Arial" w:cs="Arial" w:eastAsia="Arial" w:hAnsi="Arial"/>
          <w:sz w:val="18"/>
          <w:szCs w:val="18"/>
          <w:b w:val="1"/>
          <w:bCs w:val="1"/>
          <w:u w:val="single" w:color="auto"/>
          <w:color w:val="0000FF"/>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Holdings shall cease to directly own and control legally and beneficially all of the Equity Interests in the Borrower.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means (i) with respect to Revolving Credit Lenders, Revolving Credit Lenders with Revolving Credit Commitments and Revolving Credit Loans that expire on the same Maturity Date, (ii) with respect to Incremental Term Loan Lenders, Incremental Term Loan Lenders with Incremental Term Loan Commitments and Incremental Term Loans that expire on the same Maturity Date, (iii) with respect to the Lenders under any Extended Facility, Lenders with Extended Commitments and Extended Loans that expire on the same Maturity Date, (iv) with respect to Refinancing Lenders, Refinancing Lenders with Refinancing Commitments and Refinancing Loans that expire on the same Maturity Date, (v) with respect to Revolving Credit Commitments and Revolving Credit Loans, respectively, Revolving Credit Commitments and Revolving Credit Loans (as applicable) that mature on the same Maturity Date,</w:t>
      </w:r>
    </w:p>
    <w:p>
      <w:pPr>
        <w:spacing w:after="0" w:line="4" w:lineRule="exact"/>
        <w:rPr>
          <w:sz w:val="20"/>
          <w:szCs w:val="20"/>
          <w:color w:val="auto"/>
        </w:rPr>
      </w:pPr>
    </w:p>
    <w:p>
      <w:pPr>
        <w:jc w:val="both"/>
        <w:ind w:firstLine="8"/>
        <w:spacing w:after="0" w:line="253" w:lineRule="auto"/>
        <w:tabs>
          <w:tab w:leader="none" w:pos="3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Incremental Term Loan Commitments and Incremental Term Loans, respectively, Incremental Term Loan Commitments and Incremental Term Loans (as applicable) that mature on the same Maturity Date, (vii) with respect to Extended Commitments and Extended Loans, respectively, Extended Commitments and Extended Loans (as applicable) that mature on the same Maturity Date and (viii) with respect to Refinancing Commitments and Refinancing Loans, respectively, Refinancing Commitments and Refinancing Loans (as applicable) that mature on the same Maturity Date.</w:t>
      </w:r>
    </w:p>
    <w:p>
      <w:pPr>
        <w:spacing w:after="0" w:line="18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w:t>
      </w:r>
      <w:r>
        <w:rPr>
          <w:rFonts w:ascii="Arial" w:cs="Arial" w:eastAsia="Arial" w:hAnsi="Arial"/>
          <w:sz w:val="18"/>
          <w:szCs w:val="18"/>
          <w:b w:val="1"/>
          <w:bCs w:val="1"/>
          <w:color w:val="FF0000"/>
          <w:strike w:val="1"/>
        </w:rPr>
        <w:t>the first date all the conditions precedent 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Section 4.01</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are satisfied or waived in accordance with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Section 11.01</w:t>
      </w:r>
      <w:r>
        <w:rPr>
          <w:rFonts w:ascii="Arial" w:cs="Arial" w:eastAsia="Arial" w:hAnsi="Arial"/>
          <w:sz w:val="18"/>
          <w:szCs w:val="18"/>
          <w:b w:val="1"/>
          <w:bCs w:val="1"/>
          <w:u w:val="single" w:color="auto"/>
          <w:color w:val="0000FF"/>
        </w:rPr>
        <w:t>August 25,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2014</w:t>
      </w:r>
      <w:r>
        <w:rPr>
          <w:rFonts w:ascii="Arial" w:cs="Arial" w:eastAsia="Arial" w:hAnsi="Arial"/>
          <w:sz w:val="18"/>
          <w:szCs w:val="18"/>
          <w:color w:val="000000"/>
        </w:rPr>
        <w: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Projections</w:t>
      </w:r>
      <w:r>
        <w:rPr>
          <w:rFonts w:ascii="Arial" w:cs="Arial" w:eastAsia="Arial" w:hAnsi="Arial"/>
          <w:sz w:val="18"/>
          <w:szCs w:val="18"/>
          <w:color w:val="auto"/>
        </w:rPr>
        <w:t>” means the projections of Parent and its Subsidiaries for the period of fiscal year 2014 through and including fiscal year 2018 delivered to the Administrative Agent prior to the Closing Date.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ind w:right="20"/>
        <w:spacing w:after="0" w:line="282" w:lineRule="auto"/>
        <w:rPr>
          <w:sz w:val="20"/>
          <w:szCs w:val="20"/>
          <w:color w:val="auto"/>
        </w:rPr>
      </w:pPr>
      <w:r>
        <w:rPr>
          <w:rFonts w:ascii="Arial" w:cs="Arial" w:eastAsia="Arial" w:hAnsi="Arial"/>
          <w:sz w:val="18"/>
          <w:szCs w:val="18"/>
          <w:b w:val="1"/>
          <w:bCs w:val="1"/>
          <w:u w:val="single" w:color="auto"/>
          <w:color w:val="0000FF"/>
        </w:rPr>
        <w:t>“CME Term SOFR Administrator” means CME Group Benchmark Administration Limited as administrator of the forward-looking term Secured Overnight Financing Rate (SOFR) (or a successor administrator).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(unless otherwise provided herein).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each of the Security Agreement Supplements, security agreements, pledge agreements, Account Control Agreements, Securities Account Control Agreements,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or perfect a Lien in favor of the Administrative Agent for the benefit of the Secured Parties.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Questionnaire</w:t>
      </w:r>
      <w:r>
        <w:rPr>
          <w:rFonts w:ascii="Arial" w:cs="Arial" w:eastAsia="Arial" w:hAnsi="Arial"/>
          <w:sz w:val="18"/>
          <w:szCs w:val="18"/>
          <w:color w:val="auto"/>
        </w:rPr>
        <w:t xml:space="preserve">” means a certificate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that provides information with respect to the personal or mixed property of each Loan Party.</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0000FF"/>
        </w:rPr>
        <w:t>“Commitment” means a Revolving Credit Commitment, an Incremental Revolving Credit Commitment, an Incremental Term Loan Commitment, an Extended Commitment or a Refinancing Commitment, as the context may require.</w:t>
      </w:r>
    </w:p>
    <w:p>
      <w:pPr>
        <w:spacing w:after="0" w:line="16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Committed Loan Notice</w:t>
      </w:r>
      <w:r>
        <w:rPr>
          <w:rFonts w:ascii="Arial" w:cs="Arial" w:eastAsia="Arial" w:hAnsi="Arial"/>
          <w:sz w:val="16"/>
          <w:szCs w:val="16"/>
          <w:color w:val="auto"/>
        </w:rPr>
        <w:t xml:space="preserve">” means a notice of (a) a Borrowing, (b) a conversion of Loans from one Type to the other, or (c) a continuation of </w:t>
      </w:r>
      <w:r>
        <w:rPr>
          <w:rFonts w:ascii="Arial" w:cs="Arial" w:eastAsia="Arial" w:hAnsi="Arial"/>
          <w:sz w:val="16"/>
          <w:szCs w:val="16"/>
          <w:b w:val="1"/>
          <w:bCs w:val="1"/>
          <w:color w:val="FF0000"/>
          <w:strike w:val="1"/>
        </w:rPr>
        <w:t>Eurodollar</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Rate</w:t>
      </w:r>
      <w:r>
        <w:rPr>
          <w:rFonts w:ascii="Arial" w:cs="Arial" w:eastAsia="Arial" w:hAnsi="Arial"/>
          <w:sz w:val="16"/>
          <w:szCs w:val="16"/>
          <w:b w:val="1"/>
          <w:bCs w:val="1"/>
          <w:u w:val="single" w:color="auto"/>
          <w:color w:val="0000FF"/>
        </w:rPr>
        <w:t>Term Benchmark Loans or RFR</w:t>
      </w:r>
      <w:r>
        <w:rPr>
          <w:rFonts w:ascii="Arial" w:cs="Arial" w:eastAsia="Arial" w:hAnsi="Arial"/>
          <w:sz w:val="16"/>
          <w:szCs w:val="16"/>
          <w:b w:val="1"/>
          <w:bCs w:val="1"/>
          <w:color w:val="FF0000"/>
        </w:rPr>
        <w:t xml:space="preserve"> </w:t>
      </w:r>
      <w:r>
        <w:rPr>
          <w:rFonts w:ascii="Arial" w:cs="Arial" w:eastAsia="Arial" w:hAnsi="Arial"/>
          <w:sz w:val="16"/>
          <w:szCs w:val="16"/>
          <w:color w:val="000000"/>
        </w:rPr>
        <w:t>Loans, pursuant to</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Section 2.02(a)</w:t>
      </w:r>
      <w:r>
        <w:rPr>
          <w:rFonts w:ascii="Arial" w:cs="Arial" w:eastAsia="Arial" w:hAnsi="Arial"/>
          <w:sz w:val="16"/>
          <w:szCs w:val="16"/>
          <w:color w:val="000000"/>
        </w:rPr>
        <w:t>, which, if in writing, shall be substantially in the form of</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Exhibit A</w:t>
      </w:r>
      <w:r>
        <w:rPr>
          <w:rFonts w:ascii="Arial" w:cs="Arial" w:eastAsia="Arial" w:hAnsi="Arial"/>
          <w:sz w:val="16"/>
          <w:szCs w:val="16"/>
          <w:color w:val="000000"/>
        </w:rPr>
        <w:t>.</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Commitment</w:t>
      </w:r>
      <w:r>
        <w:rPr>
          <w:rFonts w:ascii="Arial" w:cs="Arial" w:eastAsia="Arial" w:hAnsi="Arial"/>
          <w:sz w:val="18"/>
          <w:szCs w:val="18"/>
          <w:b w:val="1"/>
          <w:bCs w:val="1"/>
          <w:color w:val="FF0000"/>
          <w:strike w:val="1"/>
        </w:rPr>
        <w:t>” means a Revolving Credit Commitment, an Incremental Revolving Credit Commitment, an Incremental Term Loan Commitment, an Extended Commitment or a Refinancing Commitment, as the context may require.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means the Commodity Exchange Act (7 U.S.C. § 1 et seq.), as amended from time to time, and any successor statute.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 Parties</w:t>
      </w:r>
      <w:r>
        <w:rPr>
          <w:rFonts w:ascii="Arial" w:cs="Arial" w:eastAsia="Arial" w:hAnsi="Arial"/>
          <w:sz w:val="18"/>
          <w:szCs w:val="18"/>
          <w:color w:val="auto"/>
        </w:rPr>
        <w:t>” means each direct and indirect Subsidiary of the Borrower, other than any Project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Obligations</w:t>
      </w:r>
      <w:r>
        <w:rPr>
          <w:rFonts w:ascii="Arial" w:cs="Arial" w:eastAsia="Arial" w:hAnsi="Arial"/>
          <w:sz w:val="18"/>
          <w:szCs w:val="18"/>
          <w:color w:val="auto"/>
        </w:rPr>
        <w:t>” means indemnities and other contingent Obligations that pursuant to their express terms survive repayment in full of principal and interest on the Loans and termination of the Commitments under this Agreement.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means each deposit account or securities account that is subject to an Account Control Agreement or Securities Account Control Agreement in form and substance reasonably satisfactory to the applicable L/C Issuer.</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FF0000"/>
          <w:strike w:val="1"/>
        </w:rPr>
        <w:t>Convertible Senior Notes</w:t>
      </w:r>
      <w:r>
        <w:rPr>
          <w:rFonts w:ascii="Arial" w:cs="Arial" w:eastAsia="Arial" w:hAnsi="Arial"/>
          <w:sz w:val="16"/>
          <w:szCs w:val="16"/>
          <w:b w:val="1"/>
          <w:bCs w:val="1"/>
          <w:color w:val="FF0000"/>
          <w:strike w:val="1"/>
        </w:rPr>
        <w:t>” means (a) the unsecured Convertible Senior Notes due 2019 issued by Parent in an aggregate principal amount of US $345,000,000 (the “</w:t>
      </w:r>
      <w:r>
        <w:rPr>
          <w:rFonts w:ascii="Arial" w:cs="Arial" w:eastAsia="Arial" w:hAnsi="Arial"/>
          <w:sz w:val="16"/>
          <w:szCs w:val="16"/>
          <w:b w:val="1"/>
          <w:bCs w:val="1"/>
          <w:u w:val="single" w:color="auto"/>
          <w:color w:val="FF0000"/>
          <w:strike w:val="1"/>
        </w:rPr>
        <w:t>Original Convertible Senior Notes</w:t>
      </w:r>
      <w:r>
        <w:rPr>
          <w:rFonts w:ascii="Arial" w:cs="Arial" w:eastAsia="Arial" w:hAnsi="Arial"/>
          <w:sz w:val="16"/>
          <w:szCs w:val="16"/>
          <w:b w:val="1"/>
          <w:bCs w:val="1"/>
          <w:color w:val="FF0000"/>
          <w:strike w:val="1"/>
        </w:rPr>
        <w:t>”); (b) the unsecured Convertible Senior Notes due 2020 issued by Parent in an aggregate principal amount of up to US $350,000,000 (the “</w:t>
      </w:r>
      <w:r>
        <w:rPr>
          <w:rFonts w:ascii="Arial" w:cs="Arial" w:eastAsia="Arial" w:hAnsi="Arial"/>
          <w:sz w:val="16"/>
          <w:szCs w:val="16"/>
          <w:b w:val="1"/>
          <w:bCs w:val="1"/>
          <w:u w:val="single" w:color="auto"/>
          <w:color w:val="FF0000"/>
          <w:strike w:val="1"/>
        </w:rPr>
        <w:t>2020 Convertible Senior Notes</w:t>
      </w:r>
      <w:r>
        <w:rPr>
          <w:rFonts w:ascii="Arial" w:cs="Arial" w:eastAsia="Arial" w:hAnsi="Arial"/>
          <w:sz w:val="16"/>
          <w:szCs w:val="16"/>
          <w:b w:val="1"/>
          <w:bCs w:val="1"/>
          <w:color w:val="FF0000"/>
          <w:strike w:val="1"/>
        </w:rPr>
        <w:t>”); and (c) any amendments, modifications, replacements or refinancings of the Indebtedness described in the foregoing clauses (a) and (b) or any Indebtedness incurred pursuant to this clause (c) from time to time, including any such replacement or refinancing Indebtedness to the extent the relevant portion of the proceeds thereof is irrevocably deposited in a segregated account pursuant to an escrow (or similar) agreement in form and substance reasonably acceptable to the Administrative Agent pending application to the repayment of the Indebtedness being refinanced or replaced (the “</w:t>
      </w:r>
      <w:r>
        <w:rPr>
          <w:rFonts w:ascii="Arial" w:cs="Arial" w:eastAsia="Arial" w:hAnsi="Arial"/>
          <w:sz w:val="16"/>
          <w:szCs w:val="16"/>
          <w:b w:val="1"/>
          <w:bCs w:val="1"/>
          <w:u w:val="single" w:color="auto"/>
          <w:color w:val="FF0000"/>
          <w:strike w:val="1"/>
        </w:rPr>
        <w:t>Permitted Refinancing</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FF0000"/>
          <w:strike w:val="1"/>
        </w:rPr>
        <w:t>Convertible Senior Notes</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that (i) the aggregate principal amount (or accreted value, if applicable) of such Permitted Refinancing Convertible Senior Notes does not exceed the aggregate outstanding principal amount (or accreted value, if applicable) of the Indebtedness being amended, modified, replaced or refinanced (plus all accrued interest and original issue discount in the nature of interest on such Indebtedness and the amount of all expenses and premiums, underwriting, issuance, commitment, syndication and other similar fees, costs and expenses incurred in connection therewith) unless another available exception under Section 7.02 is then utilized with respect to any excess (in which case the entire principal amount (or accreted value, if applicable) thereof will constitute Convertible Senior Notes after incurrence), (ii) such Permitted Refinancing Convertible Senior Notes have a Weighted Average Life to Maturity equal to or greater than the Weighted Average Life to Maturity of the applicable Convertible Senior Notes being refinanced, (iii) the Permitted Refinancing Convertible Senior Notes have a Stated Maturity on or later than the maturity date of the applicable Convertible Senior Notes being refinanced, (iv) the obligations in respect of such Permitted Refinancing Convertible Senior Notes shall continue to be unsecured and (v) the primary obligor in respect of such Permitted Refinancing Convertible Senior Notes shall be the Parent; provided, further, that, in the case of each of clauses (a), (b) and (c) above, the net proceeds (after giving effect to any refinancing) shall be loaned to the Borrower as a Parent CSN Proceeds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-1603375</wp:posOffset>
            </wp:positionV>
            <wp:extent cx="18567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firstLine="648"/>
        <w:spacing w:after="0" w:line="282" w:lineRule="auto"/>
        <w:rPr>
          <w:sz w:val="20"/>
          <w:szCs w:val="20"/>
          <w:color w:val="auto"/>
        </w:rPr>
      </w:pPr>
      <w:r>
        <w:rPr>
          <w:rFonts w:ascii="Arial" w:cs="Arial" w:eastAsia="Arial" w:hAnsi="Arial"/>
          <w:sz w:val="18"/>
          <w:szCs w:val="18"/>
          <w:b w:val="1"/>
          <w:bCs w:val="1"/>
          <w:u w:val="single" w:color="auto"/>
          <w:color w:val="0000FF"/>
        </w:rPr>
        <w:t>“Corresponding Tenor” with respect to any Available Tenor means, as applicable, either a tenor (including overnight) or an interest payment period having approximately the same length (disregarding business day adjustment) as such Available Tenor.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Counterpart Agreement</w:t>
      </w:r>
      <w:r>
        <w:rPr>
          <w:rFonts w:ascii="Arial" w:cs="Arial" w:eastAsia="Arial" w:hAnsi="Arial"/>
          <w:sz w:val="17"/>
          <w:szCs w:val="17"/>
          <w:color w:val="auto"/>
        </w:rPr>
        <w:t xml:space="preserve">” means a Counterpart Agreement substantially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delivered by a Subsidiary pursuant to </w:t>
      </w:r>
      <w:r>
        <w:rPr>
          <w:rFonts w:ascii="Arial" w:cs="Arial" w:eastAsia="Arial" w:hAnsi="Arial"/>
          <w:sz w:val="17"/>
          <w:szCs w:val="17"/>
          <w:u w:val="single" w:color="auto"/>
          <w:color w:val="auto"/>
        </w:rPr>
        <w:t>Section 6.12(d)</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0000FF"/>
        </w:rPr>
        <w:t>“Daily Simple SOFR” means, for any day (a “SOFR Rate Day”), a rate per annum equal to SOFR for the day (such day, a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 interest rate equal to (i) the Base Rate </w:t>
      </w:r>
      <w:r>
        <w:rPr>
          <w:rFonts w:ascii="Arial" w:cs="Arial" w:eastAsia="Arial" w:hAnsi="Arial"/>
          <w:sz w:val="18"/>
          <w:szCs w:val="18"/>
          <w:b w:val="1"/>
          <w:bCs w:val="1"/>
          <w:color w:val="FF0000"/>
        </w:rPr>
        <w:t>or the</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 the Adjusted Term SOFR Rate or the Adjusted Daily Simple 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Rate (as applicable or, if</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neither is</w:t>
      </w:r>
      <w:r>
        <w:rPr>
          <w:rFonts w:ascii="Arial" w:cs="Arial" w:eastAsia="Arial" w:hAnsi="Arial"/>
          <w:sz w:val="18"/>
          <w:szCs w:val="18"/>
          <w:b w:val="1"/>
          <w:bCs w:val="1"/>
          <w:u w:val="single" w:color="auto"/>
          <w:color w:val="0000FF"/>
        </w:rPr>
        <w:t>none are</w:t>
      </w:r>
      <w:r>
        <w:rPr>
          <w:rFonts w:ascii="Arial" w:cs="Arial" w:eastAsia="Arial" w:hAnsi="Arial"/>
          <w:sz w:val="18"/>
          <w:szCs w:val="18"/>
          <w:b w:val="1"/>
          <w:bCs w:val="1"/>
          <w:color w:val="FF0000"/>
        </w:rPr>
        <w:t xml:space="preserve"> </w:t>
      </w:r>
      <w:r>
        <w:rPr>
          <w:rFonts w:ascii="Arial" w:cs="Arial" w:eastAsia="Arial" w:hAnsi="Arial"/>
          <w:sz w:val="18"/>
          <w:szCs w:val="18"/>
          <w:color w:val="000000"/>
        </w:rPr>
        <w:t>directly applicable, the</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Base Rate),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(ii) the relevant Applicable Rate,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(iii) 2% per annum; and (b) when used with respect to Letter of Credit Fees, a rate equal to the relevant Applicable Rate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2%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6776085</wp:posOffset>
            </wp:positionH>
            <wp:positionV relativeFrom="paragraph">
              <wp:posOffset>-499745</wp:posOffset>
            </wp:positionV>
            <wp:extent cx="3600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(a) that has failed to timely fund any portion of the Loans or participations in L/C Obligations required to be funded by it on the terms set forth herein for such payment, unless such Lender notifies the Administrative Agent and the Borrower in writing that such failure is the result of such Lender’s good faith reasonable determination that one or more conditions precedent to funding (which conditions precedent, together with the applicable default, if any, shall be specifically identified in such writing) has not been satisfied, (b) that has otherwise failed to timely pay over to the Administrative Agent, any L/C Issuer or any other Lender any other amount required to be paid by it hereunder (including in respect of its participation in Letters of Credit) on the terms set forth herein for such payment, unless the subject of a good faith dispute, (c) that has notified the Borrower, the Administrative Agent or any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reasonable determination that a condition precedent to funding (which condition precedent, together with the applicable default, if any, shall be specifically identified in such writing or public statement) cannot be satisfied), (d) that has failed, within two Business Days after written request by the Administrative Agent, the Borrower or the applicable L/C Issuer, to confirm in writing to the Administrative Agent, such L/C Issuer,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(d) upon receipt of such written confirmation by the Administrative Agent, the applicable L/C Issuer and the Borrower), or (e) in respect of which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that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FF0000"/>
          <w:strike w:val="1"/>
        </w:rPr>
        <w:t>Designated Jurisdiction</w:t>
      </w:r>
      <w:r>
        <w:rPr>
          <w:rFonts w:ascii="Arial" w:cs="Arial" w:eastAsia="Arial" w:hAnsi="Arial"/>
          <w:sz w:val="17"/>
          <w:szCs w:val="17"/>
          <w:b w:val="1"/>
          <w:bCs w:val="1"/>
          <w:color w:val="FF0000"/>
          <w:strike w:val="1"/>
        </w:rPr>
        <w:t>” means any country or territory to the extent that such country or territory itself is the subject of any Sanction.</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Discharge of the Secured Obligations</w:t>
      </w:r>
      <w:r>
        <w:rPr>
          <w:rFonts w:ascii="Arial" w:cs="Arial" w:eastAsia="Arial" w:hAnsi="Arial"/>
          <w:sz w:val="17"/>
          <w:szCs w:val="17"/>
          <w:color w:val="auto"/>
        </w:rPr>
        <w:t>” means and shall have occurred when (i) all Secured Obligations shall have been paid in full in cash and all other obligations under the Loan Documents shall have been performed (other than (a) those constituting Contingent Obligations as to which no claim has been asserted and (b) obligations and liabilities under Secured Cash Management Agreements and Secured Hedge Agreements as to which arrangements reasonably satisfactory to the applicable Cash Management Bank or Hedge Bank shall have been made), (ii) no Letters of Credit shall be outstanding (other than Letters of Credit which have been Cash Collateralized or as to which other arrangements reasonably satisfactory to the applicable L/C Issuer shall have been made) and (iii) all Commitments shall have terminated or expired.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w:t>
      </w:r>
      <w:r>
        <w:rPr>
          <w:rFonts w:ascii="Arial" w:cs="Arial" w:eastAsia="Arial" w:hAnsi="Arial"/>
          <w:sz w:val="17"/>
          <w:szCs w:val="17"/>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91 days after the Latest Maturity Date of all Classes of Loans and Commitments. Notwithstanding the preceding sentence, any Equity Interests that would constitute Disqualified Equity Interests solely because the holders of the Equity Interests have the right to require the Borrower to repurchase such Equity Interests upon the occurrence of a change of control or an asset sale will not constitute Disqualified Equity Interests if the terms of such Equity Interests provide that the Borrower may not repurchase or redeem any such Equity Interests pursuant to such provisions unless such repurchase or redemption complies with </w:t>
      </w:r>
      <w:r>
        <w:rPr>
          <w:rFonts w:ascii="Arial" w:cs="Arial" w:eastAsia="Arial" w:hAnsi="Arial"/>
          <w:sz w:val="17"/>
          <w:szCs w:val="17"/>
          <w:u w:val="single" w:color="auto"/>
          <w:color w:val="auto"/>
        </w:rPr>
        <w:t>Section 7.06</w:t>
      </w:r>
      <w:r>
        <w:rPr>
          <w:rFonts w:ascii="Arial" w:cs="Arial" w:eastAsia="Arial" w:hAnsi="Arial"/>
          <w:sz w:val="17"/>
          <w:szCs w:val="17"/>
          <w:color w:val="auto"/>
        </w:rPr>
        <w:t>. The amount of Disqualified Equity Interests deemed to be outstanding at any time for purposes of this Agreement will be the maximum amount that the Borrower may become obligated to pay upon the maturity of, or pursuant to any mandatory redemption provisions of, such Disqualified Equity Interests, exclusive of accrued dividends.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Distributed Cash</w:t>
      </w:r>
      <w:r>
        <w:rPr>
          <w:rFonts w:ascii="Arial" w:cs="Arial" w:eastAsia="Arial" w:hAnsi="Arial"/>
          <w:sz w:val="16"/>
          <w:szCs w:val="16"/>
          <w:color w:val="auto"/>
        </w:rPr>
        <w:t>” means, without duplication, internally generated cash and Cash Equivalents distributed by the Project Companies and the Guarantors (other than Holdings and the Borrower), directly or indirectly, to the Borrower in respect of the Equity Interests of the Project Companies and the Guarantors (other than Holdings and the Borrower) owned, directly or indirectly, by the Borrower (other than dividends or other distributions that are funded, directly or indirectly, with substantially concurrent cash Investments, or cash Investments that were not intended to be used by a Project Company or a Guarantor for capital expenditures or for operational purposes, by the Borrower or any of its Subsidiaries in a Project Company or a Guarantor), excluding (a) the proceeds of any extraordinary receipts (including cash payments or proceeds received (i) from any Disposition by the Borrower or any of its Subsidiaries, (ii) under any casualty insurance policy in respect of a covered loss thereunder or (iii) as a result of the taking of any assets of the Borrower or any of its Subsidiaries by any Person pursuant to the power of eminent domain, condemnation or otherwise, or pursuant to a sale of any such assets to a purchaser with such power under threat of such a taking, in each case in excess of $</w:t>
      </w:r>
      <w:r>
        <w:rPr>
          <w:rFonts w:ascii="Arial" w:cs="Arial" w:eastAsia="Arial" w:hAnsi="Arial"/>
          <w:sz w:val="16"/>
          <w:szCs w:val="16"/>
          <w:b w:val="1"/>
          <w:bCs w:val="1"/>
          <w:color w:val="FF0000"/>
          <w:strike w:val="1"/>
        </w:rPr>
        <w:t>2,000,000</w:t>
      </w:r>
      <w:r>
        <w:rPr>
          <w:rFonts w:ascii="Arial" w:cs="Arial" w:eastAsia="Arial" w:hAnsi="Arial"/>
          <w:sz w:val="16"/>
          <w:szCs w:val="16"/>
          <w:b w:val="1"/>
          <w:bCs w:val="1"/>
          <w:u w:val="single" w:color="auto"/>
          <w:color w:val="0000FF"/>
        </w:rPr>
        <w:t>2,400,000</w:t>
      </w:r>
      <w:r>
        <w:rPr>
          <w:rFonts w:ascii="Arial" w:cs="Arial" w:eastAsia="Arial" w:hAnsi="Arial"/>
          <w:sz w:val="16"/>
          <w:szCs w:val="16"/>
          <w:color w:val="auto"/>
        </w:rPr>
        <w:t xml:space="preserve"> and (b) any cash that is derived from (i) cash grants and similar items to the Project Companies and the Guarantors, (ii) any incurrence of Indebtedness by Project Companies and the Guarantors, (iii) any issuance of Equity Interests by Project Companies and the Guarantors or (iv) any capital contribution to the Project Companies and the Guarantors.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a Subsidiary of the Borrower incorporated or organized under the laws of the United States of America, any state thereof or the District of Columbia, but excluding (i) any direct or indirect subsidiary of a CFC and (ii) any Foreign Subsidiary Holding Company.</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0000FF"/>
        </w:rPr>
        <w:t>“Drop-Down Transaction” means an acquisition of property or assets (including Equity Interests) by the Borrower or any Company Group Party from Clearway Energy Group LLC or its Affiliates in one or a series of related transactions.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Engagement Letter</w:t>
      </w:r>
      <w:r>
        <w:rPr>
          <w:rFonts w:ascii="Arial" w:cs="Arial" w:eastAsia="Arial" w:hAnsi="Arial"/>
          <w:sz w:val="18"/>
          <w:szCs w:val="18"/>
          <w:color w:val="auto"/>
        </w:rPr>
        <w:t xml:space="preserve">” means the Senior </w:t>
      </w:r>
      <w:r>
        <w:rPr>
          <w:rFonts w:ascii="Arial" w:cs="Arial" w:eastAsia="Arial" w:hAnsi="Arial"/>
          <w:sz w:val="18"/>
          <w:szCs w:val="18"/>
          <w:b w:val="1"/>
          <w:bCs w:val="1"/>
          <w:color w:val="FF0000"/>
          <w:strike w:val="1"/>
        </w:rPr>
        <w:t>Secured</w:t>
      </w:r>
      <w:r>
        <w:rPr>
          <w:rFonts w:ascii="Arial" w:cs="Arial" w:eastAsia="Arial" w:hAnsi="Arial"/>
          <w:sz w:val="18"/>
          <w:szCs w:val="18"/>
          <w:color w:val="auto"/>
        </w:rPr>
        <w:t xml:space="preserve"> Credit Facility Engagement Letter, dated </w:t>
      </w:r>
      <w:r>
        <w:rPr>
          <w:rFonts w:ascii="Arial" w:cs="Arial" w:eastAsia="Arial" w:hAnsi="Arial"/>
          <w:sz w:val="18"/>
          <w:szCs w:val="18"/>
          <w:b w:val="1"/>
          <w:bCs w:val="1"/>
          <w:color w:val="FF0000"/>
          <w:strike w:val="1"/>
        </w:rPr>
        <w:t>April 11</w:t>
      </w:r>
      <w:r>
        <w:rPr>
          <w:rFonts w:ascii="Arial" w:cs="Arial" w:eastAsia="Arial" w:hAnsi="Arial"/>
          <w:sz w:val="18"/>
          <w:szCs w:val="18"/>
          <w:b w:val="1"/>
          <w:bCs w:val="1"/>
          <w:u w:val="single" w:color="auto"/>
          <w:color w:val="0000FF"/>
        </w:rPr>
        <w:t>February 10</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2018</w:t>
      </w:r>
      <w:r>
        <w:rPr>
          <w:rFonts w:ascii="Arial" w:cs="Arial" w:eastAsia="Arial" w:hAnsi="Arial"/>
          <w:sz w:val="18"/>
          <w:szCs w:val="18"/>
          <w:b w:val="1"/>
          <w:bCs w:val="1"/>
          <w:u w:val="single" w:color="auto"/>
          <w:color w:val="0000FF"/>
        </w:rPr>
        <w:t>2023</w:t>
      </w:r>
      <w:r>
        <w:rPr>
          <w:rFonts w:ascii="Arial" w:cs="Arial" w:eastAsia="Arial" w:hAnsi="Arial"/>
          <w:sz w:val="18"/>
          <w:szCs w:val="18"/>
          <w:color w:val="auto"/>
        </w:rPr>
        <w:t>, among Holdings, the Borrower and JPMorgan.</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state, local, and foreign statutes, laws, regulations, ordinances, rules, judgments, orders, decrees, or governmental regulations relating to pollution and the protection of the environment, including natural resources such as flora and fauna, or the release of any materials into the environment, including those related to hazardous substances or wastes, air emissions and discharges to waste or public systems.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w:t>
      </w:r>
    </w:p>
    <w:p>
      <w:pPr>
        <w:jc w:val="both"/>
        <w:ind w:right="20" w:firstLine="8"/>
        <w:spacing w:after="0" w:line="277" w:lineRule="auto"/>
        <w:tabs>
          <w:tab w:leader="none" w:pos="261" w:val="left"/>
        </w:tabs>
        <w:numPr>
          <w:ilvl w:val="0"/>
          <w:numId w:val="31"/>
        </w:numPr>
        <w:rPr>
          <w:rFonts w:ascii="Arial" w:cs="Arial" w:eastAsia="Arial" w:hAnsi="Arial"/>
          <w:sz w:val="17"/>
          <w:szCs w:val="17"/>
          <w:color w:val="auto"/>
        </w:rPr>
      </w:pPr>
      <w:r>
        <w:rPr>
          <w:rFonts w:ascii="Arial" w:cs="Arial" w:eastAsia="Arial" w:hAnsi="Arial"/>
          <w:sz w:val="17"/>
          <w:szCs w:val="17"/>
          <w:color w:val="auto"/>
        </w:rPr>
        <w:t>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Permit</w:t>
      </w:r>
      <w:r>
        <w:rPr>
          <w:rFonts w:ascii="Arial" w:cs="Arial" w:eastAsia="Arial" w:hAnsi="Arial"/>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jc w:val="both"/>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Equity Investor</w:t>
      </w:r>
      <w:r>
        <w:rPr>
          <w:rFonts w:ascii="Arial" w:cs="Arial" w:eastAsia="Arial" w:hAnsi="Arial"/>
          <w:sz w:val="18"/>
          <w:szCs w:val="18"/>
          <w:b w:val="1"/>
          <w:bCs w:val="1"/>
          <w:color w:val="FF0000"/>
          <w:strike w:val="1"/>
        </w:rPr>
        <w:t>” means (a) prior to the Acquisition Closing Date, NRG Energy, Inc., a Delaware corporation, and (b) on or after the Acquisition Closing Date, the Sponsors.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Equity Investor Subsidiary</w:t>
      </w:r>
      <w:r>
        <w:rPr>
          <w:rFonts w:ascii="Arial" w:cs="Arial" w:eastAsia="Arial" w:hAnsi="Arial"/>
          <w:sz w:val="18"/>
          <w:szCs w:val="18"/>
          <w:b w:val="1"/>
          <w:bCs w:val="1"/>
          <w:color w:val="FF0000"/>
          <w:strike w:val="1"/>
        </w:rPr>
        <w:t xml:space="preserve">” means the entities listed on </w:t>
      </w:r>
      <w:r>
        <w:rPr>
          <w:rFonts w:ascii="Arial" w:cs="Arial" w:eastAsia="Arial" w:hAnsi="Arial"/>
          <w:sz w:val="18"/>
          <w:szCs w:val="18"/>
          <w:b w:val="1"/>
          <w:bCs w:val="1"/>
          <w:u w:val="single" w:color="auto"/>
          <w:color w:val="FF0000"/>
          <w:strike w:val="1"/>
        </w:rPr>
        <w:t>Schedule 1.01</w:t>
      </w:r>
      <w:r>
        <w:rPr>
          <w:rFonts w:ascii="Arial" w:cs="Arial" w:eastAsia="Arial" w:hAnsi="Arial"/>
          <w:sz w:val="18"/>
          <w:szCs w:val="18"/>
          <w:b w:val="1"/>
          <w:bCs w:val="1"/>
          <w:color w:val="FF0000"/>
          <w:strike w:val="1"/>
        </w:rPr>
        <w:t xml:space="preserve"> and their respective Subsidiaries as of the A&amp;R Credit Agreement Third Amendment Effective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the Borrower within the meaning of Section 414(b) or (c) of the Code (and Sections 414(m) and (o) of the Code solely for purposes of provisions relating to Section 412 of the Code).</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of the Borrower or any ERISA Affiliate is in reorganization; (d) the filing of a notice of intent to terminate, the treatment of a plan amendment as a termination under Section 4041 or 4041A of ERISA, or the commencement of proceedings by the PBGC to terminate a Pension Plan or Multiemployer Plan; or (e) an event or condition which constitutes grounds under Section 4042 of ERISA for the termination of, or the appointment of a trustee to administer, any Pension Plan or Multiemployer Plan.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FF0000"/>
          <w:strike w:val="1"/>
        </w:rPr>
        <w:t>Eurodollar Rate</w:t>
      </w:r>
      <w:r>
        <w:rPr>
          <w:rFonts w:ascii="Arial" w:cs="Arial" w:eastAsia="Arial" w:hAnsi="Arial"/>
          <w:sz w:val="16"/>
          <w:szCs w:val="16"/>
          <w:b w:val="1"/>
          <w:bCs w:val="1"/>
          <w:color w:val="FF0000"/>
          <w:strike w:val="1"/>
        </w:rPr>
        <w:t xml:space="preserve">” means, for any Interest Period with respect to a Eurodollar Rate Loan, the rate per annum equal to the LIBO Screen Rate, expressed on the basis of a year of 360 days, determined by the Administrative Agent at approximately 11:00 a.m. (London time), on the date that is two Business Days prior to the commencement of such Interest Period for a period equal to such Interest Period;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that if a LIBO Screen Rate shall not be available at such time for such Interest Period, the Eurodollar Rate for such Interest Period shall be the Interpolated Rate;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FF0000"/>
          <w:strike w:val="1"/>
        </w:rPr>
        <w:t>further</w:t>
      </w:r>
      <w:r>
        <w:rPr>
          <w:rFonts w:ascii="Arial" w:cs="Arial" w:eastAsia="Arial" w:hAnsi="Arial"/>
          <w:sz w:val="16"/>
          <w:szCs w:val="16"/>
          <w:b w:val="1"/>
          <w:bCs w:val="1"/>
          <w:color w:val="FF0000"/>
          <w:strike w:val="1"/>
        </w:rPr>
        <w:t>, that, if such rate is below zero, Eurodollar Rate will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60312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123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Eurodollar Rate Loan</w:t>
      </w:r>
      <w:r>
        <w:rPr>
          <w:rFonts w:ascii="Arial" w:cs="Arial" w:eastAsia="Arial" w:hAnsi="Arial"/>
          <w:sz w:val="18"/>
          <w:szCs w:val="18"/>
          <w:b w:val="1"/>
          <w:bCs w:val="1"/>
          <w:color w:val="FF0000"/>
          <w:strike w:val="1"/>
        </w:rPr>
        <w:t>” means a Loan that bears interest at a rate based on the Eurodollar Rate.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and any successor statute.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xml:space="preserve">” means the Amended and Restated Exchange Agreement dated as of May 14, 2015, by and among NRG Energy, Inc. (and its successors), Parent and Holdings, and each of the other parties thereto from time to time, as amended, supplemented, modified or otherwise replaced from time to time, including by that certain Assignment and Assumption Agreement, </w:t>
      </w:r>
      <w:r>
        <w:rPr>
          <w:rFonts w:ascii="Arial" w:cs="Arial" w:eastAsia="Arial" w:hAnsi="Arial"/>
          <w:sz w:val="18"/>
          <w:szCs w:val="18"/>
          <w:b w:val="1"/>
          <w:bCs w:val="1"/>
          <w:color w:val="FF0000"/>
          <w:strike w:val="1"/>
        </w:rPr>
        <w:t>to be</w:t>
      </w:r>
      <w:r>
        <w:rPr>
          <w:rFonts w:ascii="Arial" w:cs="Arial" w:eastAsia="Arial" w:hAnsi="Arial"/>
          <w:sz w:val="18"/>
          <w:szCs w:val="18"/>
          <w:color w:val="auto"/>
        </w:rPr>
        <w:t xml:space="preserve"> dated </w:t>
      </w:r>
      <w:r>
        <w:rPr>
          <w:rFonts w:ascii="Arial" w:cs="Arial" w:eastAsia="Arial" w:hAnsi="Arial"/>
          <w:sz w:val="18"/>
          <w:szCs w:val="18"/>
          <w:b w:val="1"/>
          <w:bCs w:val="1"/>
          <w:color w:val="FF0000"/>
          <w:strike w:val="1"/>
        </w:rPr>
        <w:t>on or about the Acquisition Closing Date</w:t>
      </w:r>
      <w:r>
        <w:rPr>
          <w:rFonts w:ascii="Arial" w:cs="Arial" w:eastAsia="Arial" w:hAnsi="Arial"/>
          <w:sz w:val="18"/>
          <w:szCs w:val="18"/>
          <w:b w:val="1"/>
          <w:bCs w:val="1"/>
          <w:u w:val="single" w:color="auto"/>
          <w:color w:val="0000FF"/>
        </w:rPr>
        <w:t>as of August 31,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2018</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substantially in the form provided to the Administrative Agent prior to</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the A&amp;R Credit Agreement Third Amendment Effective Date</w:t>
      </w:r>
      <w:r>
        <w:rPr>
          <w:rFonts w:ascii="Arial" w:cs="Arial" w:eastAsia="Arial" w:hAnsi="Arial"/>
          <w:sz w:val="18"/>
          <w:szCs w:val="18"/>
          <w:b w:val="1"/>
          <w:bCs w:val="1"/>
          <w:u w:val="single" w:color="auto"/>
          <w:color w:val="0000FF"/>
        </w:rPr>
        <w:t>April</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30, 2018</w:t>
      </w:r>
      <w:r>
        <w:rPr>
          <w:rFonts w:ascii="Arial" w:cs="Arial" w:eastAsia="Arial" w:hAnsi="Arial"/>
          <w:sz w:val="18"/>
          <w:szCs w:val="18"/>
          <w:color w:val="000000"/>
        </w:rPr>
        <w:t>, other than any such amendments, supplements, modifications or replacements that would be materially adverse to the interests of the Lenders in</w:t>
      </w:r>
      <w:r>
        <w:rPr>
          <w:rFonts w:ascii="Arial" w:cs="Arial" w:eastAsia="Arial" w:hAnsi="Arial"/>
          <w:sz w:val="18"/>
          <w:szCs w:val="18"/>
          <w:b w:val="1"/>
          <w:bCs w:val="1"/>
          <w:color w:val="0000FF"/>
        </w:rPr>
        <w:t xml:space="preserve"> </w:t>
      </w:r>
      <w:r>
        <w:rPr>
          <w:rFonts w:ascii="Arial" w:cs="Arial" w:eastAsia="Arial" w:hAnsi="Arial"/>
          <w:sz w:val="18"/>
          <w:szCs w:val="18"/>
          <w:color w:val="000000"/>
        </w:rPr>
        <w:t>their capacity as such.</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would otherwise have become effective with respect to such related Swap Obligation but for such Guarantor’s failure to constitute an “eligible contract participant” at such time.</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any L/C Issuer or any other recipient of any payment to be made by or on account of any obligation of the Borrower hereunder, (a) taxes imposed on or measured by its net income (however denominated), and franchise taxes imposed on it (in lieu of net income taxes), by the United States or by the jurisdiction (or any political subdivision thereof) under the Laws of which such recipient is organized or in which its principal office is located or, in the case of any Lender, in which its applicable Lending Office is located, or as a result of any present or former connection between such Lender or L/C Issuer or the Administrative Agent </w:t>
      </w:r>
      <w:r>
        <w:rPr>
          <w:rFonts w:ascii="Arial" w:cs="Arial" w:eastAsia="Arial" w:hAnsi="Arial"/>
          <w:sz w:val="16"/>
          <w:szCs w:val="16"/>
          <w:b w:val="1"/>
          <w:bCs w:val="1"/>
          <w:color w:val="FF0000"/>
          <w:strike w:val="1"/>
        </w:rPr>
        <w:t>and such</w:t>
      </w:r>
      <w:r>
        <w:rPr>
          <w:rFonts w:ascii="Arial" w:cs="Arial" w:eastAsia="Arial" w:hAnsi="Arial"/>
          <w:sz w:val="16"/>
          <w:szCs w:val="16"/>
          <w:b w:val="1"/>
          <w:bCs w:val="1"/>
          <w:u w:val="single" w:color="auto"/>
          <w:color w:val="0000FF"/>
        </w:rPr>
        <w:t>or other recipient and the</w:t>
      </w:r>
      <w:r>
        <w:rPr>
          <w:rFonts w:ascii="Arial" w:cs="Arial" w:eastAsia="Arial" w:hAnsi="Arial"/>
          <w:sz w:val="16"/>
          <w:szCs w:val="16"/>
          <w:color w:val="auto"/>
        </w:rPr>
        <w:t xml:space="preserve"> jurisdiction </w:t>
      </w:r>
      <w:r>
        <w:rPr>
          <w:rFonts w:ascii="Arial" w:cs="Arial" w:eastAsia="Arial" w:hAnsi="Arial"/>
          <w:sz w:val="16"/>
          <w:szCs w:val="16"/>
          <w:b w:val="1"/>
          <w:bCs w:val="1"/>
          <w:u w:val="single" w:color="auto"/>
          <w:color w:val="0000FF"/>
        </w:rPr>
        <w:t>imposing the Tax</w:t>
      </w:r>
      <w:r>
        <w:rPr>
          <w:rFonts w:ascii="Arial" w:cs="Arial" w:eastAsia="Arial" w:hAnsi="Arial"/>
          <w:sz w:val="16"/>
          <w:szCs w:val="16"/>
          <w:b w:val="1"/>
          <w:bCs w:val="1"/>
          <w:color w:val="0000FF"/>
        </w:rPr>
        <w:t xml:space="preserve"> </w:t>
      </w:r>
      <w:r>
        <w:rPr>
          <w:rFonts w:ascii="Arial" w:cs="Arial" w:eastAsia="Arial" w:hAnsi="Arial"/>
          <w:sz w:val="16"/>
          <w:szCs w:val="16"/>
          <w:color w:val="000000"/>
        </w:rPr>
        <w:t>(other than any connection arising solely from executing, delivering,</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being</w:t>
      </w:r>
      <w:r>
        <w:rPr>
          <w:rFonts w:ascii="Arial" w:cs="Arial" w:eastAsia="Arial" w:hAnsi="Arial"/>
          <w:sz w:val="16"/>
          <w:szCs w:val="16"/>
          <w:b w:val="1"/>
          <w:bCs w:val="1"/>
          <w:u w:val="single" w:color="auto"/>
          <w:color w:val="0000FF"/>
        </w:rPr>
        <w:t>becoming</w:t>
      </w:r>
      <w:r>
        <w:rPr>
          <w:rFonts w:ascii="Arial" w:cs="Arial" w:eastAsia="Arial" w:hAnsi="Arial"/>
          <w:sz w:val="16"/>
          <w:szCs w:val="16"/>
          <w:b w:val="1"/>
          <w:bCs w:val="1"/>
          <w:color w:val="0000FF"/>
        </w:rPr>
        <w:t xml:space="preserve"> </w:t>
      </w:r>
      <w:r>
        <w:rPr>
          <w:rFonts w:ascii="Arial" w:cs="Arial" w:eastAsia="Arial" w:hAnsi="Arial"/>
          <w:sz w:val="16"/>
          <w:szCs w:val="16"/>
          <w:color w:val="000000"/>
        </w:rPr>
        <w:t>a party to, engaging in any transactions pursuant</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to, performing its obligations under, receiving or perfecting a security interest under, receiving payments under, and/or enforcing, any Loan Document, or selling or assigning an interest in any Loan, Commitment or Loan Document), (b) any branch profits taxes imposed by the United States or any </w:t>
      </w:r>
      <w:r>
        <w:rPr>
          <w:rFonts w:ascii="Arial" w:cs="Arial" w:eastAsia="Arial" w:hAnsi="Arial"/>
          <w:sz w:val="16"/>
          <w:szCs w:val="16"/>
          <w:color w:val="FF0000"/>
          <w:strike w:val="1"/>
        </w:rPr>
        <w:t>similar</w:t>
      </w:r>
      <w:r>
        <w:rPr>
          <w:rFonts w:ascii="Arial" w:cs="Arial" w:eastAsia="Arial" w:hAnsi="Arial"/>
          <w:sz w:val="16"/>
          <w:szCs w:val="16"/>
          <w:b w:val="1"/>
          <w:bCs w:val="1"/>
          <w:u w:val="single" w:color="auto"/>
          <w:color w:val="0000FF"/>
        </w:rPr>
        <w:t>branch profits</w:t>
      </w:r>
      <w:r>
        <w:rPr>
          <w:rFonts w:ascii="Arial" w:cs="Arial" w:eastAsia="Arial" w:hAnsi="Arial"/>
          <w:sz w:val="16"/>
          <w:szCs w:val="16"/>
          <w:color w:val="FF0000"/>
        </w:rPr>
        <w:t xml:space="preserve"> </w:t>
      </w:r>
      <w:r>
        <w:rPr>
          <w:rFonts w:ascii="Arial" w:cs="Arial" w:eastAsia="Arial" w:hAnsi="Arial"/>
          <w:sz w:val="16"/>
          <w:szCs w:val="16"/>
          <w:color w:val="000000"/>
        </w:rPr>
        <w:t>tax imposed by any other jurisdiction described in clause (a), (c) any backup withholding tax that is required by the Code to be</w:t>
      </w:r>
      <w:r>
        <w:rPr>
          <w:rFonts w:ascii="Arial" w:cs="Arial" w:eastAsia="Arial" w:hAnsi="Arial"/>
          <w:sz w:val="16"/>
          <w:szCs w:val="16"/>
          <w:color w:val="FF0000"/>
        </w:rPr>
        <w:t xml:space="preserve"> </w:t>
      </w:r>
      <w:r>
        <w:rPr>
          <w:rFonts w:ascii="Arial" w:cs="Arial" w:eastAsia="Arial" w:hAnsi="Arial"/>
          <w:sz w:val="16"/>
          <w:szCs w:val="16"/>
          <w:color w:val="000000"/>
        </w:rPr>
        <w:t xml:space="preserve">withheld from amounts payable to a Lender that has failed to comply with clause (A) of </w:t>
      </w:r>
      <w:r>
        <w:rPr>
          <w:rFonts w:ascii="Arial" w:cs="Arial" w:eastAsia="Arial" w:hAnsi="Arial"/>
          <w:sz w:val="16"/>
          <w:szCs w:val="16"/>
          <w:u w:val="single" w:color="auto"/>
          <w:color w:val="000000"/>
        </w:rPr>
        <w:t>Section 3.01(e)(ii)</w:t>
      </w:r>
      <w:r>
        <w:rPr>
          <w:rFonts w:ascii="Arial" w:cs="Arial" w:eastAsia="Arial" w:hAnsi="Arial"/>
          <w:sz w:val="16"/>
          <w:szCs w:val="16"/>
          <w:color w:val="000000"/>
        </w:rPr>
        <w:t>, (d) in the case of a Lender</w:t>
      </w:r>
      <w:r>
        <w:rPr>
          <w:rFonts w:ascii="Arial" w:cs="Arial" w:eastAsia="Arial" w:hAnsi="Arial"/>
          <w:sz w:val="16"/>
          <w:szCs w:val="16"/>
          <w:b w:val="1"/>
          <w:bCs w:val="1"/>
          <w:u w:val="single" w:color="auto"/>
          <w:color w:val="0000FF"/>
        </w:rPr>
        <w:t>, any United States</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federal withholding tax imposed on amounts payable to or for the account of such Lender pursuant to the Laws in effect at the time: (i) such Lender acquires an interest in a Loan or Commitment</w:t>
      </w:r>
      <w:r>
        <w:rPr>
          <w:rFonts w:ascii="Arial" w:cs="Arial" w:eastAsia="Arial" w:hAnsi="Arial"/>
          <w:sz w:val="16"/>
          <w:szCs w:val="16"/>
          <w:b w:val="1"/>
          <w:bCs w:val="1"/>
          <w:color w:val="0000FF"/>
        </w:rPr>
        <w:t xml:space="preserve"> </w:t>
      </w:r>
      <w:r>
        <w:rPr>
          <w:rFonts w:ascii="Arial" w:cs="Arial" w:eastAsia="Arial" w:hAnsi="Arial"/>
          <w:sz w:val="16"/>
          <w:szCs w:val="16"/>
          <w:color w:val="000000"/>
        </w:rPr>
        <w:t>(other than an assignee pursuant to a request by the Borrower under</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Section 11.13</w:t>
      </w:r>
      <w:r>
        <w:rPr>
          <w:rFonts w:ascii="Arial" w:cs="Arial" w:eastAsia="Arial" w:hAnsi="Arial"/>
          <w:sz w:val="16"/>
          <w:szCs w:val="16"/>
          <w:color w:val="000000"/>
        </w:rPr>
        <w:t>)</w:t>
      </w:r>
      <w:r>
        <w:rPr>
          <w:rFonts w:ascii="Arial" w:cs="Arial" w:eastAsia="Arial" w:hAnsi="Arial"/>
          <w:sz w:val="16"/>
          <w:szCs w:val="16"/>
          <w:b w:val="1"/>
          <w:bCs w:val="1"/>
          <w:color w:val="FF0000"/>
          <w:strike w:val="1"/>
        </w:rPr>
        <w:t>, any United</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States federal withholding tax that (i) is required to be imposed on amounts payable to</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or (ii)</w:t>
      </w:r>
      <w:r>
        <w:rPr>
          <w:rFonts w:ascii="Arial" w:cs="Arial" w:eastAsia="Arial" w:hAnsi="Arial"/>
          <w:sz w:val="16"/>
          <w:szCs w:val="16"/>
          <w:b w:val="1"/>
          <w:bCs w:val="1"/>
          <w:color w:val="FF0000"/>
        </w:rPr>
        <w:t xml:space="preserve"> </w:t>
      </w:r>
      <w:r>
        <w:rPr>
          <w:rFonts w:ascii="Arial" w:cs="Arial" w:eastAsia="Arial" w:hAnsi="Arial"/>
          <w:sz w:val="16"/>
          <w:szCs w:val="16"/>
          <w:color w:val="000000"/>
        </w:rPr>
        <w:t>such Lender</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pursuant to the Laws in force at the time</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such Lender becomes a party hereto (or</w:t>
      </w:r>
      <w:r>
        <w:rPr>
          <w:rFonts w:ascii="Arial" w:cs="Arial" w:eastAsia="Arial" w:hAnsi="Arial"/>
          <w:sz w:val="16"/>
          <w:szCs w:val="16"/>
          <w:b w:val="1"/>
          <w:bCs w:val="1"/>
          <w:color w:val="FF0000"/>
        </w:rPr>
        <w:t xml:space="preserve"> </w:t>
      </w:r>
      <w:r>
        <w:rPr>
          <w:rFonts w:ascii="Arial" w:cs="Arial" w:eastAsia="Arial" w:hAnsi="Arial"/>
          <w:sz w:val="16"/>
          <w:szCs w:val="16"/>
          <w:color w:val="000000"/>
        </w:rPr>
        <w:t>designates a new Lending Office</w:t>
      </w:r>
      <w:r>
        <w:rPr>
          <w:rFonts w:ascii="Arial" w:cs="Arial" w:eastAsia="Arial" w:hAnsi="Arial"/>
          <w:sz w:val="16"/>
          <w:szCs w:val="16"/>
          <w:b w:val="1"/>
          <w:bCs w:val="1"/>
          <w:color w:val="FF0000"/>
          <w:strike w:val="1"/>
        </w:rPr>
        <w:t>) or (ii)</w:t>
      </w:r>
      <w:r>
        <w:rPr>
          <w:rFonts w:ascii="Arial" w:cs="Arial" w:eastAsia="Arial" w:hAnsi="Arial"/>
          <w:sz w:val="16"/>
          <w:szCs w:val="16"/>
          <w:b w:val="1"/>
          <w:bCs w:val="1"/>
          <w:u w:val="single" w:color="auto"/>
          <w:color w:val="0000FF"/>
        </w:rPr>
        <w:t>,</w:t>
      </w:r>
      <w:r>
        <w:rPr>
          <w:rFonts w:ascii="Arial" w:cs="Arial" w:eastAsia="Arial" w:hAnsi="Arial"/>
          <w:sz w:val="16"/>
          <w:szCs w:val="16"/>
          <w:b w:val="1"/>
          <w:bCs w:val="1"/>
          <w:color w:val="FF0000"/>
        </w:rPr>
        <w:t xml:space="preserve"> </w:t>
      </w:r>
      <w:r>
        <w:rPr>
          <w:rFonts w:ascii="Arial" w:cs="Arial" w:eastAsia="Arial" w:hAnsi="Arial"/>
          <w:sz w:val="16"/>
          <w:szCs w:val="16"/>
          <w:color w:val="000000"/>
        </w:rPr>
        <w:t>in</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the</w:t>
      </w:r>
      <w:r>
        <w:rPr>
          <w:rFonts w:ascii="Arial" w:cs="Arial" w:eastAsia="Arial" w:hAnsi="Arial"/>
          <w:sz w:val="16"/>
          <w:szCs w:val="16"/>
          <w:b w:val="1"/>
          <w:bCs w:val="1"/>
          <w:u w:val="single" w:color="auto"/>
          <w:color w:val="0000FF"/>
        </w:rPr>
        <w:t>each</w:t>
      </w:r>
      <w:r>
        <w:rPr>
          <w:rFonts w:ascii="Arial" w:cs="Arial" w:eastAsia="Arial" w:hAnsi="Arial"/>
          <w:sz w:val="16"/>
          <w:szCs w:val="16"/>
          <w:b w:val="1"/>
          <w:bCs w:val="1"/>
          <w:color w:val="FF0000"/>
        </w:rPr>
        <w:t xml:space="preserve"> </w:t>
      </w:r>
      <w:r>
        <w:rPr>
          <w:rFonts w:ascii="Arial" w:cs="Arial" w:eastAsia="Arial" w:hAnsi="Arial"/>
          <w:sz w:val="16"/>
          <w:szCs w:val="16"/>
          <w:color w:val="000000"/>
        </w:rPr>
        <w:t>case</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of a Foreign Lender, is attributable to such Foreign</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Lender’s failure or inability (other than as a result of a Change in Law) to comply with clause (B) of</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FF0000"/>
          <w:strike w:val="1"/>
        </w:rPr>
        <w:t>Section 3.01(e)(ii)</w:t>
      </w:r>
      <w:r>
        <w:rPr>
          <w:rFonts w:ascii="Arial" w:cs="Arial" w:eastAsia="Arial" w:hAnsi="Arial"/>
          <w:sz w:val="16"/>
          <w:szCs w:val="16"/>
          <w:color w:val="FF0000"/>
          <w:strike w:val="1"/>
        </w:rPr>
        <w:t>,</w:t>
      </w:r>
      <w:r>
        <w:rPr>
          <w:rFonts w:ascii="Arial" w:cs="Arial" w:eastAsia="Arial" w:hAnsi="Arial"/>
          <w:sz w:val="16"/>
          <w:szCs w:val="16"/>
          <w:b w:val="1"/>
          <w:bCs w:val="1"/>
          <w:color w:val="FF0000"/>
        </w:rPr>
        <w:t xml:space="preserve"> </w:t>
      </w:r>
      <w:r>
        <w:rPr>
          <w:rFonts w:ascii="Arial" w:cs="Arial" w:eastAsia="Arial" w:hAnsi="Arial"/>
          <w:sz w:val="16"/>
          <w:szCs w:val="16"/>
          <w:color w:val="000000"/>
        </w:rPr>
        <w:t>except to the extent that such</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Foreign</w:t>
      </w:r>
      <w:r>
        <w:rPr>
          <w:rFonts w:ascii="Arial" w:cs="Arial" w:eastAsia="Arial" w:hAnsi="Arial"/>
          <w:sz w:val="16"/>
          <w:szCs w:val="16"/>
          <w:b w:val="1"/>
          <w:bCs w:val="1"/>
          <w:color w:val="FF0000"/>
        </w:rPr>
        <w:t xml:space="preserve"> </w:t>
      </w:r>
      <w:r>
        <w:rPr>
          <w:rFonts w:ascii="Arial" w:cs="Arial" w:eastAsia="Arial" w:hAnsi="Arial"/>
          <w:sz w:val="16"/>
          <w:szCs w:val="16"/>
          <w:color w:val="000000"/>
        </w:rPr>
        <w:t>Lender (or its assignor, if any) was entitled, at the time of designation of a new</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Lending Office</w:t>
      </w:r>
      <w:r>
        <w:rPr>
          <w:rFonts w:ascii="Arial" w:cs="Arial" w:eastAsia="Arial" w:hAnsi="Arial"/>
          <w:sz w:val="16"/>
          <w:szCs w:val="16"/>
          <w:b w:val="1"/>
          <w:bCs w:val="1"/>
          <w:u w:val="single" w:color="auto"/>
          <w:color w:val="0000FF"/>
        </w:rPr>
        <w:t>lending office</w:t>
      </w:r>
      <w:r>
        <w:rPr>
          <w:rFonts w:ascii="Arial" w:cs="Arial" w:eastAsia="Arial" w:hAnsi="Arial"/>
          <w:sz w:val="16"/>
          <w:szCs w:val="16"/>
          <w:b w:val="1"/>
          <w:bCs w:val="1"/>
          <w:color w:val="FF0000"/>
        </w:rPr>
        <w:t xml:space="preserve"> </w:t>
      </w:r>
      <w:r>
        <w:rPr>
          <w:rFonts w:ascii="Arial" w:cs="Arial" w:eastAsia="Arial" w:hAnsi="Arial"/>
          <w:sz w:val="16"/>
          <w:szCs w:val="16"/>
          <w:color w:val="000000"/>
        </w:rPr>
        <w:t>(or assignment), to receive</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additional amounts with respect to such withholding tax pursuant to </w:t>
      </w:r>
      <w:r>
        <w:rPr>
          <w:rFonts w:ascii="Arial" w:cs="Arial" w:eastAsia="Arial" w:hAnsi="Arial"/>
          <w:sz w:val="16"/>
          <w:szCs w:val="16"/>
          <w:u w:val="single" w:color="auto"/>
          <w:color w:val="000000"/>
        </w:rPr>
        <w:t>Section 3.01</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r>
        <w:rPr>
          <w:rFonts w:ascii="Arial" w:cs="Arial" w:eastAsia="Arial" w:hAnsi="Arial"/>
          <w:sz w:val="16"/>
          <w:szCs w:val="16"/>
          <w:color w:val="000000"/>
        </w:rPr>
        <w:t xml:space="preserve"> (e) </w:t>
      </w:r>
      <w:r>
        <w:rPr>
          <w:rFonts w:ascii="Arial" w:cs="Arial" w:eastAsia="Arial" w:hAnsi="Arial"/>
          <w:sz w:val="16"/>
          <w:szCs w:val="16"/>
          <w:b w:val="1"/>
          <w:bCs w:val="1"/>
          <w:u w:val="single" w:color="auto"/>
          <w:color w:val="0000FF"/>
        </w:rPr>
        <w:t>Taxes attributable to such recipient’s failure or inability to</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comply with Section 3.01(e), (f)</w:t>
      </w:r>
      <w:r>
        <w:rPr>
          <w:rFonts w:ascii="Arial" w:cs="Arial" w:eastAsia="Arial" w:hAnsi="Arial"/>
          <w:sz w:val="16"/>
          <w:szCs w:val="16"/>
          <w:b w:val="1"/>
          <w:bCs w:val="1"/>
          <w:color w:val="0000FF"/>
        </w:rPr>
        <w:t xml:space="preserve"> </w:t>
      </w:r>
      <w:r>
        <w:rPr>
          <w:rFonts w:ascii="Arial" w:cs="Arial" w:eastAsia="Arial" w:hAnsi="Arial"/>
          <w:sz w:val="16"/>
          <w:szCs w:val="16"/>
          <w:color w:val="000000"/>
        </w:rPr>
        <w:t>any United States federal withholding taxes imposed under FATCA and (</w:t>
      </w:r>
      <w:r>
        <w:rPr>
          <w:rFonts w:ascii="Arial" w:cs="Arial" w:eastAsia="Arial" w:hAnsi="Arial"/>
          <w:sz w:val="16"/>
          <w:szCs w:val="16"/>
          <w:b w:val="1"/>
          <w:bCs w:val="1"/>
          <w:color w:val="FF0000"/>
          <w:strike w:val="1"/>
        </w:rPr>
        <w:t>f</w:t>
      </w:r>
      <w:r>
        <w:rPr>
          <w:rFonts w:ascii="Arial" w:cs="Arial" w:eastAsia="Arial" w:hAnsi="Arial"/>
          <w:sz w:val="16"/>
          <w:szCs w:val="16"/>
          <w:b w:val="1"/>
          <w:bCs w:val="1"/>
          <w:u w:val="single" w:color="auto"/>
          <w:color w:val="0000FF"/>
        </w:rPr>
        <w:t>g</w:t>
      </w:r>
      <w:r>
        <w:rPr>
          <w:rFonts w:ascii="Arial" w:cs="Arial" w:eastAsia="Arial" w:hAnsi="Arial"/>
          <w:sz w:val="16"/>
          <w:szCs w:val="16"/>
          <w:color w:val="000000"/>
        </w:rPr>
        <w:t>) any United States federal withholding tax</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that is required by the Code to be withheld from amounts payable to the Administrative Agent attributable to the Administrative Agent’s failure to comply with </w:t>
      </w:r>
      <w:r>
        <w:rPr>
          <w:rFonts w:ascii="Arial" w:cs="Arial" w:eastAsia="Arial" w:hAnsi="Arial"/>
          <w:sz w:val="16"/>
          <w:szCs w:val="16"/>
          <w:u w:val="single" w:color="auto"/>
          <w:color w:val="000000"/>
        </w:rPr>
        <w:t>Section 3.01(g)</w:t>
      </w:r>
      <w:r>
        <w:rPr>
          <w:rFonts w:ascii="Arial" w:cs="Arial" w:eastAsia="Arial" w:hAnsi="Arial"/>
          <w:sz w:val="16"/>
          <w:szCs w:val="16"/>
          <w:color w:val="000000"/>
        </w:rPr>
        <w:t xml:space="preserve"> (other than amounts payable to the Administrative Agent that should reasonably be considered, as determined in good faith by the Borrower, as payments under Treas. Reg. </w:t>
      </w:r>
      <w:r>
        <w:rPr>
          <w:rFonts w:ascii="Arial" w:cs="Arial" w:eastAsia="Arial" w:hAnsi="Arial"/>
          <w:sz w:val="16"/>
          <w:szCs w:val="16"/>
          <w:b w:val="1"/>
          <w:bCs w:val="1"/>
          <w:color w:val="FF0000"/>
          <w:strike w:val="1"/>
        </w:rPr>
        <w:t>1.1441-1T</w:t>
      </w:r>
      <w:r>
        <w:rPr>
          <w:rFonts w:ascii="Arial" w:cs="Arial" w:eastAsia="Arial" w:hAnsi="Arial"/>
          <w:sz w:val="16"/>
          <w:szCs w:val="16"/>
          <w:b w:val="1"/>
          <w:bCs w:val="1"/>
          <w:u w:val="single" w:color="auto"/>
          <w:color w:val="0000FF"/>
        </w:rPr>
        <w:t>1.1441-1</w:t>
      </w:r>
      <w:r>
        <w:rPr>
          <w:rFonts w:ascii="Arial" w:cs="Arial" w:eastAsia="Arial" w:hAnsi="Arial"/>
          <w:sz w:val="16"/>
          <w:szCs w:val="16"/>
          <w:color w:val="000000"/>
        </w:rPr>
        <w:t>(b)(2)(iv)(B)(2) (or any successor provision that is substantively comparable)).</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Class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Preliminary Statements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Project-Level Indebtedness</w:t>
      </w:r>
      <w:r>
        <w:rPr>
          <w:rFonts w:ascii="Arial" w:cs="Arial" w:eastAsia="Arial" w:hAnsi="Arial"/>
          <w:sz w:val="18"/>
          <w:szCs w:val="18"/>
          <w:color w:val="auto"/>
        </w:rPr>
        <w:t xml:space="preserve">” means the Indebtedness of the Project Companies existing on the A&amp;R Credit Agreement </w:t>
      </w:r>
      <w:r>
        <w:rPr>
          <w:rFonts w:ascii="Arial" w:cs="Arial" w:eastAsia="Arial" w:hAnsi="Arial"/>
          <w:sz w:val="18"/>
          <w:szCs w:val="18"/>
          <w:b w:val="1"/>
          <w:bCs w:val="1"/>
          <w:color w:val="FF0000"/>
          <w:strike w:val="1"/>
        </w:rPr>
        <w:t>Third</w:t>
      </w:r>
      <w:r>
        <w:rPr>
          <w:rFonts w:ascii="Arial" w:cs="Arial" w:eastAsia="Arial" w:hAnsi="Arial"/>
          <w:sz w:val="18"/>
          <w:szCs w:val="18"/>
          <w:b w:val="1"/>
          <w:bCs w:val="1"/>
          <w:u w:val="single" w:color="auto"/>
          <w:color w:val="0000FF"/>
        </w:rPr>
        <w:t>Eighth</w:t>
      </w:r>
      <w:r>
        <w:rPr>
          <w:rFonts w:ascii="Arial" w:cs="Arial" w:eastAsia="Arial" w:hAnsi="Arial"/>
          <w:sz w:val="18"/>
          <w:szCs w:val="18"/>
          <w:color w:val="auto"/>
        </w:rPr>
        <w:t xml:space="preserve"> Amendment Effective Date listed on </w:t>
      </w:r>
      <w:r>
        <w:rPr>
          <w:rFonts w:ascii="Arial" w:cs="Arial" w:eastAsia="Arial" w:hAnsi="Arial"/>
          <w:sz w:val="18"/>
          <w:szCs w:val="18"/>
          <w:u w:val="single" w:color="auto"/>
          <w:color w:val="auto"/>
        </w:rPr>
        <w:t>Schedule 7.02(a)</w:t>
      </w:r>
      <w:r>
        <w:rPr>
          <w:rFonts w:ascii="Arial" w:cs="Arial" w:eastAsia="Arial" w:hAnsi="Arial"/>
          <w:sz w:val="18"/>
          <w:szCs w:val="18"/>
          <w:color w:val="auto"/>
        </w:rPr>
        <w:t>.</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Security Agreement</w:t>
      </w:r>
      <w:r>
        <w:rPr>
          <w:rFonts w:ascii="Arial" w:cs="Arial" w:eastAsia="Arial" w:hAnsi="Arial"/>
          <w:sz w:val="16"/>
          <w:szCs w:val="16"/>
          <w:color w:val="auto"/>
        </w:rPr>
        <w:t>” means the Pledge and Security Agreement, dated as of the Original Closing Date, among the Borrower, Holdings, Bank of America, as administrative agent, and the other parties thereto, as amended, restated, supplemented or otherwise modified prior to the Closing Date.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Notes</w:t>
      </w:r>
      <w:r>
        <w:rPr>
          <w:rFonts w:ascii="Arial" w:cs="Arial" w:eastAsia="Arial" w:hAnsi="Arial"/>
          <w:sz w:val="18"/>
          <w:szCs w:val="18"/>
          <w:color w:val="auto"/>
        </w:rPr>
        <w:t>” means (a) the unsecured Senior Notes due 2024 issued by the Borrower in an aggregate principal amount of US$500,000,000 (the “</w:t>
      </w:r>
      <w:r>
        <w:rPr>
          <w:rFonts w:ascii="Arial" w:cs="Arial" w:eastAsia="Arial" w:hAnsi="Arial"/>
          <w:sz w:val="18"/>
          <w:szCs w:val="18"/>
          <w:u w:val="single" w:color="auto"/>
          <w:color w:val="auto"/>
        </w:rPr>
        <w:t>2024 Senior Notes</w:t>
      </w:r>
      <w:r>
        <w:rPr>
          <w:rFonts w:ascii="Arial" w:cs="Arial" w:eastAsia="Arial" w:hAnsi="Arial"/>
          <w:sz w:val="18"/>
          <w:szCs w:val="18"/>
          <w:color w:val="auto"/>
        </w:rPr>
        <w:t>”) and (b) the unsecured Senior Notes due 2026 issued by the Borrower in an aggregate principal amount of US$350,000,000 (the “</w:t>
      </w:r>
      <w:r>
        <w:rPr>
          <w:rFonts w:ascii="Arial" w:cs="Arial" w:eastAsia="Arial" w:hAnsi="Arial"/>
          <w:sz w:val="18"/>
          <w:szCs w:val="18"/>
          <w:u w:val="single" w:color="auto"/>
          <w:color w:val="auto"/>
        </w:rPr>
        <w:t>2026 Senior Notes</w:t>
      </w:r>
      <w:r>
        <w:rPr>
          <w:rFonts w:ascii="Arial" w:cs="Arial" w:eastAsia="Arial" w:hAnsi="Arial"/>
          <w:sz w:val="18"/>
          <w:szCs w:val="18"/>
          <w:color w:val="auto"/>
        </w:rPr>
        <w: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Exposure</w:t>
      </w:r>
      <w:r>
        <w:rPr>
          <w:rFonts w:ascii="Arial" w:cs="Arial" w:eastAsia="Arial" w:hAnsi="Arial"/>
          <w:sz w:val="18"/>
          <w:szCs w:val="18"/>
          <w:color w:val="auto"/>
        </w:rPr>
        <w:t>” means, as to any Lender at any time, the aggregate principal amount at such time of its outstanding Loans and such Lender’s participation in L/C Obligations at such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Borrowing</w:t>
      </w:r>
      <w:r>
        <w:rPr>
          <w:rFonts w:ascii="Arial" w:cs="Arial" w:eastAsia="Arial" w:hAnsi="Arial"/>
          <w:sz w:val="18"/>
          <w:szCs w:val="18"/>
          <w:color w:val="auto"/>
        </w:rPr>
        <w:t>” means a borrowing of Extended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Facility</w:t>
      </w:r>
      <w:r>
        <w:rPr>
          <w:rFonts w:ascii="Arial" w:cs="Arial" w:eastAsia="Arial" w:hAnsi="Arial"/>
          <w:sz w:val="18"/>
          <w:szCs w:val="18"/>
          <w:color w:val="auto"/>
        </w:rPr>
        <w:t>” means, at any time, as the context may require, the aggregate amount of the Lenders’ Extended Commitments and/or Extended Loans of a given Class at such time and, in each case, but without duplication, the Credit Extensions made thereunder.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Maturity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Amendments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w:t>
      </w:r>
      <w:r>
        <w:rPr>
          <w:rFonts w:ascii="Arial" w:cs="Arial" w:eastAsia="Arial" w:hAnsi="Arial"/>
          <w:sz w:val="16"/>
          <w:szCs w:val="16"/>
          <w:color w:val="auto"/>
        </w:rPr>
        <w:t>” means a Revolving Credit Facility, an Incremental Term Loan Facility, an Extended Facility or a Refinancing Facility as the context may require.</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“Federal Funds Rate” means the rate for a federal funds transaction quoted at 11:00 a.m. on such day received by the Administrative Agent from a federal funds broker of recognized standing selected by it; provided, further, that if any of the aforesaid rates as so determined be less than zero, such rate shall be deemed to be zero for purposes of this Agreement.</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means the </w:t>
      </w:r>
      <w:r>
        <w:rPr>
          <w:rFonts w:ascii="Arial" w:cs="Arial" w:eastAsia="Arial" w:hAnsi="Arial"/>
          <w:sz w:val="18"/>
          <w:szCs w:val="18"/>
          <w:b w:val="1"/>
          <w:bCs w:val="1"/>
          <w:color w:val="FF0000"/>
          <w:strike w:val="1"/>
        </w:rPr>
        <w:t>letter agreement</w:t>
      </w:r>
      <w:r>
        <w:rPr>
          <w:rFonts w:ascii="Arial" w:cs="Arial" w:eastAsia="Arial" w:hAnsi="Arial"/>
          <w:sz w:val="18"/>
          <w:szCs w:val="18"/>
          <w:b w:val="1"/>
          <w:bCs w:val="1"/>
          <w:u w:val="single" w:color="auto"/>
          <w:color w:val="0000FF"/>
        </w:rPr>
        <w:t>Senior Credit Facility Fee Letter</w:t>
      </w:r>
      <w:r>
        <w:rPr>
          <w:rFonts w:ascii="Arial" w:cs="Arial" w:eastAsia="Arial" w:hAnsi="Arial"/>
          <w:sz w:val="18"/>
          <w:szCs w:val="18"/>
          <w:color w:val="auto"/>
        </w:rPr>
        <w:t xml:space="preserve">, dated </w:t>
      </w:r>
      <w:r>
        <w:rPr>
          <w:rFonts w:ascii="Arial" w:cs="Arial" w:eastAsia="Arial" w:hAnsi="Arial"/>
          <w:sz w:val="18"/>
          <w:szCs w:val="18"/>
          <w:b w:val="1"/>
          <w:bCs w:val="1"/>
          <w:color w:val="FF0000"/>
          <w:strike w:val="1"/>
        </w:rPr>
        <w:t>April 11</w:t>
      </w:r>
      <w:r>
        <w:rPr>
          <w:rFonts w:ascii="Arial" w:cs="Arial" w:eastAsia="Arial" w:hAnsi="Arial"/>
          <w:sz w:val="18"/>
          <w:szCs w:val="18"/>
          <w:b w:val="1"/>
          <w:bCs w:val="1"/>
          <w:u w:val="single" w:color="auto"/>
          <w:color w:val="0000FF"/>
        </w:rPr>
        <w:t>February 10</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2018</w:t>
      </w:r>
      <w:r>
        <w:rPr>
          <w:rFonts w:ascii="Arial" w:cs="Arial" w:eastAsia="Arial" w:hAnsi="Arial"/>
          <w:sz w:val="18"/>
          <w:szCs w:val="18"/>
          <w:b w:val="1"/>
          <w:bCs w:val="1"/>
          <w:u w:val="single" w:color="auto"/>
          <w:color w:val="0000FF"/>
        </w:rPr>
        <w:t>2023</w:t>
      </w:r>
      <w:r>
        <w:rPr>
          <w:rFonts w:ascii="Arial" w:cs="Arial" w:eastAsia="Arial" w:hAnsi="Arial"/>
          <w:sz w:val="18"/>
          <w:szCs w:val="18"/>
          <w:color w:val="auto"/>
        </w:rPr>
        <w:t>, among Holdings, the Borrower and JPMorgan.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First Amendment</w:t>
      </w:r>
      <w:r>
        <w:rPr>
          <w:rFonts w:ascii="Arial" w:cs="Arial" w:eastAsia="Arial" w:hAnsi="Arial"/>
          <w:sz w:val="18"/>
          <w:szCs w:val="18"/>
          <w:b w:val="1"/>
          <w:bCs w:val="1"/>
          <w:color w:val="FF0000"/>
          <w:strike w:val="1"/>
        </w:rPr>
        <w:t>” means that certain First Amendment to Credit Agreement dated as of January 31, 2014, among the Borrower, Holdings, Bank of America, as administrative agent, and the financial institutions listed on the signature pages thereto.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First Amendment Effective Date</w:t>
      </w:r>
      <w:r>
        <w:rPr>
          <w:rFonts w:ascii="Arial" w:cs="Arial" w:eastAsia="Arial" w:hAnsi="Arial"/>
          <w:sz w:val="18"/>
          <w:szCs w:val="18"/>
          <w:b w:val="1"/>
          <w:bCs w:val="1"/>
          <w:color w:val="FF0000"/>
          <w:strike w:val="1"/>
        </w:rPr>
        <w:t>” means the date of satisfaction of the conditions referred to in Section III of the First 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jc w:val="both"/>
        <w:spacing w:after="0" w:line="261" w:lineRule="auto"/>
        <w:rPr>
          <w:sz w:val="20"/>
          <w:szCs w:val="20"/>
          <w:color w:val="auto"/>
        </w:rPr>
      </w:pPr>
      <w:r>
        <w:rPr>
          <w:rFonts w:ascii="Arial" w:cs="Arial" w:eastAsia="Arial" w:hAnsi="Arial"/>
          <w:sz w:val="18"/>
          <w:szCs w:val="18"/>
          <w:b w:val="1"/>
          <w:bCs w:val="1"/>
          <w:u w:val="single" w:color="auto"/>
          <w:color w:val="0000FF"/>
        </w:rPr>
        <w:t>“Floor” means the benchmark rate floor, if any, provided in this Agreement initially (as of the execution of this Agreement, the modification, amendment or renewal of this Agreement or otherwise) with respect to the Adjusted Term SOFR Rate or the Adjusted Daily Simple SOFR Rate, as applicable. For the avoidance of doubt the initial Floor for each of the Adjusted Term SOFR Rate and the Adjusted Daily Simple SOFR Rate shall be 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U.S.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of the Borrower that is not a Domestic Subsidiary.</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 Holding Company</w:t>
      </w:r>
      <w:r>
        <w:rPr>
          <w:rFonts w:ascii="Arial" w:cs="Arial" w:eastAsia="Arial" w:hAnsi="Arial"/>
          <w:sz w:val="17"/>
          <w:szCs w:val="17"/>
          <w:color w:val="auto"/>
        </w:rPr>
        <w:t>” means any Subsidiary of the Borrower that</w:t>
      </w:r>
      <w:r>
        <w:rPr>
          <w:rFonts w:ascii="Arial" w:cs="Arial" w:eastAsia="Arial" w:hAnsi="Arial"/>
          <w:sz w:val="17"/>
          <w:szCs w:val="17"/>
          <w:b w:val="1"/>
          <w:bCs w:val="1"/>
          <w:u w:val="single" w:color="auto"/>
          <w:color w:val="0000FF"/>
        </w:rPr>
        <w:t>: (i)</w:t>
      </w:r>
      <w:r>
        <w:rPr>
          <w:rFonts w:ascii="Arial" w:cs="Arial" w:eastAsia="Arial" w:hAnsi="Arial"/>
          <w:sz w:val="17"/>
          <w:szCs w:val="17"/>
          <w:color w:val="auto"/>
        </w:rPr>
        <w:t xml:space="preserve"> has no material assets other than the equity interests </w:t>
      </w:r>
      <w:r>
        <w:rPr>
          <w:rFonts w:ascii="Arial" w:cs="Arial" w:eastAsia="Arial" w:hAnsi="Arial"/>
          <w:sz w:val="17"/>
          <w:szCs w:val="17"/>
          <w:b w:val="1"/>
          <w:bCs w:val="1"/>
          <w:u w:val="single" w:color="auto"/>
          <w:color w:val="0000FF"/>
        </w:rPr>
        <w:t>(or debt and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equity interests)</w:t>
      </w:r>
      <w:r>
        <w:rPr>
          <w:rFonts w:ascii="Arial" w:cs="Arial" w:eastAsia="Arial" w:hAnsi="Arial"/>
          <w:sz w:val="17"/>
          <w:szCs w:val="17"/>
          <w:b w:val="1"/>
          <w:bCs w:val="1"/>
          <w:color w:val="0000FF"/>
        </w:rPr>
        <w:t xml:space="preserve"> </w:t>
      </w:r>
      <w:r>
        <w:rPr>
          <w:rFonts w:ascii="Arial" w:cs="Arial" w:eastAsia="Arial" w:hAnsi="Arial"/>
          <w:sz w:val="17"/>
          <w:szCs w:val="17"/>
          <w:color w:val="000000"/>
        </w:rPr>
        <w:t>of one or more CFCs</w:t>
      </w: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0000FF"/>
        </w:rPr>
        <w:t>, or (ii) has no material assets other than direct or direct equity interests (or debt and equity interests) of one</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or more CFCs and/or direct or indirect equity interests (or debt and equity interests) of any entity described in clause (i).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of 1935,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FPA-Jurisdictional Generation Portfolio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 MBR Authorizations, Exemptions and Waivers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with respect to the L/C Issuers, such Defaulting Lender’s Applicable Revolving Credit Percentage of the outstanding L/C Obligations other than L/C Obligations as to which such Defaulting Lender’s participation obligation has been reallocated to other Revolving Credit Lenders or Cash Collateralized in accordance with the terms hereof.</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Generation Portfolio Companies</w:t>
      </w:r>
      <w:r>
        <w:rPr>
          <w:rFonts w:ascii="Arial" w:cs="Arial" w:eastAsia="Arial" w:hAnsi="Arial"/>
          <w:sz w:val="18"/>
          <w:szCs w:val="18"/>
          <w:color w:val="auto"/>
        </w:rPr>
        <w:t xml:space="preserve">” means the entities listed on </w:t>
      </w:r>
      <w:r>
        <w:rPr>
          <w:rFonts w:ascii="Arial" w:cs="Arial" w:eastAsia="Arial" w:hAnsi="Arial"/>
          <w:sz w:val="18"/>
          <w:szCs w:val="18"/>
          <w:u w:val="single" w:color="auto"/>
          <w:color w:val="auto"/>
        </w:rPr>
        <w:t>Schedule 5.17(a)</w:t>
      </w:r>
      <w:r>
        <w:rPr>
          <w:rFonts w:ascii="Arial" w:cs="Arial" w:eastAsia="Arial" w:hAnsi="Arial"/>
          <w:sz w:val="18"/>
          <w:szCs w:val="18"/>
          <w:color w:val="auto"/>
        </w:rPr>
        <w:t xml:space="preserve"> and the owner of any other facility that either (i) generates electric energy and sells electric energy, capacity or ancillary services at wholesale or (ii) generates thermal energy for sale (in the form of steam, hot water, chilled water, or other forms), in which the Borrower directly or indirectly owns, controls or holds the power to vote 10% or more of the outstanding voting securities in such owner or facility.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any (a)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Lien on any assets of such Person securing any Indebtedness or other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(after giving effect to any indemnities, rights of contribution, subrogation or other similar rights in favor of such guarantor)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Holdings and each Company Group Party (unless, in the case of a Company Group Party that is not wholly owned by a Loan Party or Affiliate thereof, such Company Group Party’s Organization Documents prohibit the guarantee by such Company Group Party of the Obligations pursuant to the Guaranty or the granting of a security interest by such Company Group Party to secure the Obligations), whether owned on the Closing Date or thereafter acquired, other than any Foreign Subsidiary.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 favor of the Secured Parties.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and all other substances or wastes of any nature, in each case regulated pursuant to any Environmental Law.</w:t>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Bank</w:t>
      </w:r>
      <w:r>
        <w:rPr>
          <w:rFonts w:ascii="Arial" w:cs="Arial" w:eastAsia="Arial" w:hAnsi="Arial"/>
          <w:sz w:val="17"/>
          <w:szCs w:val="17"/>
          <w:color w:val="auto"/>
        </w:rPr>
        <w:t xml:space="preserve">” means any Person designated by the Borrower as such that, at the time it enters into an interest rate </w:t>
      </w:r>
      <w:r>
        <w:rPr>
          <w:rFonts w:ascii="Arial" w:cs="Arial" w:eastAsia="Arial" w:hAnsi="Arial"/>
          <w:sz w:val="17"/>
          <w:szCs w:val="17"/>
          <w:b w:val="1"/>
          <w:bCs w:val="1"/>
          <w:u w:val="single" w:color="auto"/>
          <w:color w:val="0000FF"/>
        </w:rPr>
        <w:t>or commodity</w:t>
      </w:r>
      <w:r>
        <w:rPr>
          <w:rFonts w:ascii="Arial" w:cs="Arial" w:eastAsia="Arial" w:hAnsi="Arial"/>
          <w:sz w:val="17"/>
          <w:szCs w:val="17"/>
          <w:color w:val="auto"/>
        </w:rPr>
        <w:t xml:space="preserve"> Swap Contract permitted under </w:t>
      </w:r>
      <w:r>
        <w:rPr>
          <w:rFonts w:ascii="Arial" w:cs="Arial" w:eastAsia="Arial" w:hAnsi="Arial"/>
          <w:sz w:val="17"/>
          <w:szCs w:val="17"/>
          <w:u w:val="single" w:color="auto"/>
          <w:color w:val="auto"/>
        </w:rPr>
        <w:t>Article VII</w:t>
      </w:r>
      <w:r>
        <w:rPr>
          <w:rFonts w:ascii="Arial" w:cs="Arial" w:eastAsia="Arial" w:hAnsi="Arial"/>
          <w:sz w:val="17"/>
          <w:szCs w:val="17"/>
          <w:color w:val="auto"/>
        </w:rPr>
        <w:t>, is an Agent, an Arranger, a Lender or an Affiliate of the foregoing, in its capacity as a party to such Swap Contract.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 Tax Equity Credit Support</w:t>
      </w:r>
      <w:r>
        <w:rPr>
          <w:rFonts w:ascii="Arial" w:cs="Arial" w:eastAsia="Arial" w:hAnsi="Arial"/>
          <w:sz w:val="16"/>
          <w:szCs w:val="16"/>
          <w:color w:val="auto"/>
        </w:rPr>
        <w:t xml:space="preserve">” means unsecured indemnification, unsecured guarantee and other unsecured credit support obligations of Holdings entered into by Holdings in favor of (x) a Tax Equity Partner or (y) the </w:t>
      </w:r>
      <w:r>
        <w:rPr>
          <w:rFonts w:ascii="Arial" w:cs="Arial" w:eastAsia="Arial" w:hAnsi="Arial"/>
          <w:sz w:val="16"/>
          <w:szCs w:val="16"/>
          <w:b w:val="1"/>
          <w:bCs w:val="1"/>
          <w:color w:val="FF0000"/>
          <w:strike w:val="1"/>
        </w:rPr>
        <w:t>Equity Investor</w:t>
      </w:r>
      <w:r>
        <w:rPr>
          <w:rFonts w:ascii="Arial" w:cs="Arial" w:eastAsia="Arial" w:hAnsi="Arial"/>
          <w:sz w:val="16"/>
          <w:szCs w:val="16"/>
          <w:b w:val="1"/>
          <w:bCs w:val="1"/>
          <w:u w:val="single" w:color="auto"/>
          <w:color w:val="0000FF"/>
        </w:rPr>
        <w:t>Sponsor</w:t>
      </w:r>
      <w:r>
        <w:rPr>
          <w:rFonts w:ascii="Arial" w:cs="Arial" w:eastAsia="Arial" w:hAnsi="Arial"/>
          <w:sz w:val="16"/>
          <w:szCs w:val="16"/>
          <w:color w:val="auto"/>
        </w:rPr>
        <w:t xml:space="preserve"> or an Affiliate of the </w:t>
      </w:r>
      <w:r>
        <w:rPr>
          <w:rFonts w:ascii="Arial" w:cs="Arial" w:eastAsia="Arial" w:hAnsi="Arial"/>
          <w:sz w:val="16"/>
          <w:szCs w:val="16"/>
          <w:b w:val="1"/>
          <w:bCs w:val="1"/>
          <w:color w:val="FF0000"/>
          <w:strike w:val="1"/>
        </w:rPr>
        <w:t>Equity Investor</w:t>
      </w:r>
      <w:r>
        <w:rPr>
          <w:rFonts w:ascii="Arial" w:cs="Arial" w:eastAsia="Arial" w:hAnsi="Arial"/>
          <w:sz w:val="16"/>
          <w:szCs w:val="16"/>
          <w:b w:val="1"/>
          <w:bCs w:val="1"/>
          <w:u w:val="single" w:color="auto"/>
          <w:color w:val="0000FF"/>
        </w:rPr>
        <w:t>Sponsor</w:t>
      </w:r>
      <w:r>
        <w:rPr>
          <w:rFonts w:ascii="Arial" w:cs="Arial" w:eastAsia="Arial" w:hAnsi="Arial"/>
          <w:sz w:val="16"/>
          <w:szCs w:val="16"/>
          <w:color w:val="auto"/>
        </w:rPr>
        <w:t xml:space="preserve"> that has itself indemnified or provided other credit support to such Tax Equity Partner, in the case of each of clauses (x) and (y), in connection with a Permitted Tax Equity Financing of a Project Company (and/or a Company Group Party that is a direct or indirect parent company of such Project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Tax Equity Payments</w:t>
      </w:r>
      <w:r>
        <w:rPr>
          <w:rFonts w:ascii="Arial" w:cs="Arial" w:eastAsia="Arial" w:hAnsi="Arial"/>
          <w:sz w:val="18"/>
          <w:szCs w:val="18"/>
          <w:color w:val="auto"/>
        </w:rPr>
        <w:t>” means payments actually made by Holdings pursuant to Holdings Tax Equity Credit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Impacted Loans</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3.03</w:t>
      </w:r>
      <w:r>
        <w:rPr>
          <w:rFonts w:ascii="Arial" w:cs="Arial" w:eastAsia="Arial" w:hAnsi="Arial"/>
          <w:sz w:val="18"/>
          <w:szCs w:val="18"/>
          <w:b w:val="1"/>
          <w:bCs w:val="1"/>
          <w:color w:val="FF0000"/>
          <w:strike w:val="1"/>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means an amendment to this Agreement, executed by the Borrower, each Incremental Revolving Credit Lender or Incremental Term Loan Lender providing an Incremental Revolving Credit Commitment or an Incremental Term Loan Commitment, as applicable, and the Administrative Agent.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Borrowing</w:t>
      </w:r>
      <w:r>
        <w:rPr>
          <w:rFonts w:ascii="Arial" w:cs="Arial" w:eastAsia="Arial" w:hAnsi="Arial"/>
          <w:sz w:val="18"/>
          <w:szCs w:val="18"/>
          <w:color w:val="auto"/>
        </w:rPr>
        <w:t>” means a borrowing of Incremental Revolving Credit Loans or Incremental Term Loans, as the context requires.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b w:val="1"/>
          <w:bCs w:val="1"/>
          <w:u w:val="single" w:color="auto"/>
          <w:color w:val="FF0000"/>
          <w:strike w:val="1"/>
        </w:rPr>
        <w:t>p</w:t>
      </w:r>
      <w:r>
        <w:rPr>
          <w:rFonts w:ascii="Arial" w:cs="Arial" w:eastAsia="Arial" w:hAnsi="Arial"/>
          <w:sz w:val="18"/>
          <w:szCs w:val="18"/>
          <w:b w:val="1"/>
          <w:bCs w:val="1"/>
          <w:u w:val="single" w:color="auto"/>
          <w:color w:val="0000FF"/>
        </w:rPr>
        <w:t>o</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means, at any time, as the context may require, the aggregate amount of the Incremental Revolving Credit Lenders’ Incremental Revolving Credit Commitments and/or the Incremental Term Loan Lenders’ Incremental Term Loan Commitments at such time and, in each case, but without duplication, the Credit Extensions made thereunder.</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Amount</w:t>
      </w:r>
      <w:r>
        <w:rPr>
          <w:rFonts w:ascii="Arial" w:cs="Arial" w:eastAsia="Arial" w:hAnsi="Arial"/>
          <w:sz w:val="18"/>
          <w:szCs w:val="18"/>
          <w:color w:val="auto"/>
        </w:rPr>
        <w:t>” has the meaning specified in Section 2.13.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w:t>
      </w:r>
      <w:r>
        <w:rPr>
          <w:rFonts w:ascii="Arial" w:cs="Arial" w:eastAsia="Arial" w:hAnsi="Arial"/>
          <w:sz w:val="18"/>
          <w:szCs w:val="18"/>
          <w:color w:val="auto"/>
        </w:rPr>
        <w:t xml:space="preserve">” means an extension of credit by an Incremental Revolving Credit Lender or an Incremental Term Loan Lender to the Borrower under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in the form of an Incremental Revolving Credit Loan or an Incremental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Commitments</w:t>
      </w:r>
      <w:r>
        <w:rPr>
          <w:rFonts w:ascii="Arial" w:cs="Arial" w:eastAsia="Arial" w:hAnsi="Arial"/>
          <w:sz w:val="18"/>
          <w:szCs w:val="18"/>
          <w:color w:val="auto"/>
        </w:rPr>
        <w:t>” has the meaning specified in Section 2.13.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Lender</w:t>
      </w:r>
      <w:r>
        <w:rPr>
          <w:rFonts w:ascii="Arial" w:cs="Arial" w:eastAsia="Arial" w:hAnsi="Arial"/>
          <w:sz w:val="18"/>
          <w:szCs w:val="18"/>
          <w:color w:val="auto"/>
        </w:rPr>
        <w:t>” has the meaning specified in Section 2.13.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Loans</w:t>
      </w:r>
      <w:r>
        <w:rPr>
          <w:rFonts w:ascii="Arial" w:cs="Arial" w:eastAsia="Arial" w:hAnsi="Arial"/>
          <w:sz w:val="18"/>
          <w:szCs w:val="18"/>
          <w:color w:val="auto"/>
        </w:rPr>
        <w:t>” means a Revolving Credit Loan made pursuant to an increase to the existing Revolving Credit Facility or a Revolving Credit Loan made pursuant to a separate Class of Revolving Credit Commitments, as the context requires.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 has the meaning specified in Section 2.13.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Facility</w:t>
      </w:r>
      <w:r>
        <w:rPr>
          <w:rFonts w:ascii="Arial" w:cs="Arial" w:eastAsia="Arial" w:hAnsi="Arial"/>
          <w:sz w:val="18"/>
          <w:szCs w:val="18"/>
          <w:color w:val="auto"/>
        </w:rPr>
        <w:t>” means, at any time, the aggregate amount of the Incremental Term Loan Lenders’ Incremental Term Loan Commitments of a given Series at such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Lender</w:t>
      </w:r>
      <w:r>
        <w:rPr>
          <w:rFonts w:ascii="Arial" w:cs="Arial" w:eastAsia="Arial" w:hAnsi="Arial"/>
          <w:sz w:val="18"/>
          <w:szCs w:val="18"/>
          <w:color w:val="auto"/>
        </w:rPr>
        <w:t>” has the meaning specified in Section 2.13.</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Maturity Date</w:t>
      </w:r>
      <w:r>
        <w:rPr>
          <w:rFonts w:ascii="Arial" w:cs="Arial" w:eastAsia="Arial" w:hAnsi="Arial"/>
          <w:sz w:val="18"/>
          <w:szCs w:val="18"/>
          <w:color w:val="auto"/>
        </w:rPr>
        <w:t>” means the date on which Incremental Term Loans of a given Series shall become due and payable in full hereunder, as specified in the applicable Incremental Amendment (except to the extent extended pursuant to Section 2.15), including by acceleration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has the meaning specified in Section 2.14.</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 and not past due for more than 180 days after the date on which such trade account was created);</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ind w:left="660" w:right="2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Attributable Indebtedness in respect of Capitalized Leases and Synthetic Lease Obligations of such Person and all Synthetic Debt of such Person;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obligations in respect of any Disqualified Equity Interests;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jc w:val="both"/>
        <w:ind w:firstLine="650"/>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Taxes other than Excluded Taxes </w:t>
      </w:r>
      <w:r>
        <w:rPr>
          <w:rFonts w:ascii="Arial" w:cs="Arial" w:eastAsia="Arial" w:hAnsi="Arial"/>
          <w:sz w:val="18"/>
          <w:szCs w:val="18"/>
          <w:b w:val="1"/>
          <w:bCs w:val="1"/>
          <w:u w:val="single" w:color="auto"/>
          <w:color w:val="0000FF"/>
        </w:rPr>
        <w:t>imposed on or with respect to any payment made by or on account of the Borrower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under any Loan Document</w:t>
      </w:r>
      <w:r>
        <w:rPr>
          <w:rFonts w:ascii="Arial" w:cs="Arial" w:eastAsia="Arial" w:hAnsi="Arial"/>
          <w:sz w:val="18"/>
          <w:szCs w:val="18"/>
          <w:color w:val="00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Charges</w:t>
      </w:r>
      <w:r>
        <w:rPr>
          <w:rFonts w:ascii="Arial" w:cs="Arial" w:eastAsia="Arial" w:hAnsi="Arial"/>
          <w:sz w:val="16"/>
          <w:szCs w:val="16"/>
          <w:color w:val="auto"/>
        </w:rPr>
        <w:t>” means, for any Measurement Period, the excess of (A) the sum of (a) cash interest, cash premium payments, cash debt discount and other similar cash fees and charges in connection with borrowed money or in connection with the deferred purchase price of assets, in each case to the extent treated as interest in accordance with GAAP, (b) cash interest paid or payable with respect to discontinued operations and (c) the portion of rent expense under Capitalized Leases that is treated as cash interest in accordance with GAAP, in each case, of or by the Borrower and the Guarantors on a standalone basis for the most recently completed Measurement Period over (B) any cash interest income received by the Borrower and the Guarantors on a standalone basis during such Measurement Period</w:t>
      </w:r>
      <w:r>
        <w:rPr>
          <w:rFonts w:ascii="Arial" w:cs="Arial" w:eastAsia="Arial" w:hAnsi="Arial"/>
          <w:sz w:val="16"/>
          <w:szCs w:val="16"/>
          <w:b w:val="1"/>
          <w:bCs w:val="1"/>
          <w:color w:val="FF0000"/>
          <w:strike w:val="1"/>
        </w:rPr>
        <w:t>; provided that, for so long as the Borrower guarantees the Indebtedness represented by the</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FF0000"/>
          <w:strike w:val="1"/>
        </w:rPr>
        <w:t>Convertible Senior Notes, (x) the items referred to in the preceding clause (A) of the Parent in respect of the Convertible Senior Notes shall be included in the preceding clause (A) and (y) the items referred to in the preceding clause (A) of the Borrower in respect of the Parent CSN Proceeds Loan shall be excluded from the preceding clause (A) to the extent they do not exceed the amount calculated pursuant to clause (x) of this proviso.</w:t>
      </w:r>
      <w:r>
        <w:rPr>
          <w:rFonts w:ascii="Arial" w:cs="Arial" w:eastAsia="Arial" w:hAnsi="Arial"/>
          <w:sz w:val="18"/>
          <w:szCs w:val="18"/>
          <w:b w:val="1"/>
          <w:bCs w:val="1"/>
          <w:u w:val="single" w:color="auto"/>
          <w:color w:val="0000FF"/>
          <w:strike w:val="1"/>
        </w:rPr>
        <w:t>.</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w:t>
      </w:r>
      <w:r>
        <w:rPr>
          <w:rFonts w:ascii="Arial" w:cs="Arial" w:eastAsia="Arial" w:hAnsi="Arial"/>
          <w:sz w:val="16"/>
          <w:szCs w:val="16"/>
          <w:b w:val="1"/>
          <w:bCs w:val="1"/>
          <w:color w:val="FF0000"/>
          <w:strike w:val="1"/>
        </w:rPr>
        <w:t>,</w:t>
      </w:r>
      <w:r>
        <w:rPr>
          <w:rFonts w:ascii="Arial" w:cs="Arial" w:eastAsia="Arial" w:hAnsi="Arial"/>
          <w:sz w:val="16"/>
          <w:szCs w:val="16"/>
          <w:color w:val="auto"/>
        </w:rPr>
        <w:t xml:space="preserve"> (a) </w:t>
      </w:r>
      <w:r>
        <w:rPr>
          <w:rFonts w:ascii="Arial" w:cs="Arial" w:eastAsia="Arial" w:hAnsi="Arial"/>
          <w:sz w:val="16"/>
          <w:szCs w:val="16"/>
          <w:b w:val="1"/>
          <w:bCs w:val="1"/>
          <w:color w:val="FF0000"/>
          <w:strike w:val="1"/>
        </w:rPr>
        <w:t>as to any Eurodollar Rate Loan, the last day of each Interest Period applicable to such Loan and the Maturity</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 xml:space="preserve">Date in respect thereof;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that if any Interest Period for a Eurodollar Rate Loan exceeds three months, the respective dates that fall every three months after the beginning of such Interest Period shall also be Interest Payment Dates; and (b) as</w:t>
      </w:r>
      <w:r>
        <w:rPr>
          <w:rFonts w:ascii="Arial" w:cs="Arial" w:eastAsia="Arial" w:hAnsi="Arial"/>
          <w:sz w:val="16"/>
          <w:szCs w:val="16"/>
          <w:b w:val="1"/>
          <w:bCs w:val="1"/>
          <w:u w:val="single" w:color="auto"/>
          <w:color w:val="0000FF"/>
          <w:strike w:val="1"/>
        </w:rPr>
        <w:t>with respect</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to any Base Rate Loan</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color w:val="0000FF"/>
          <w:strike w:val="1"/>
        </w:rPr>
        <w:t>or RFR</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Loan</w:t>
      </w:r>
      <w:r>
        <w:rPr>
          <w:rFonts w:ascii="Arial" w:cs="Arial" w:eastAsia="Arial" w:hAnsi="Arial"/>
          <w:sz w:val="16"/>
          <w:szCs w:val="16"/>
          <w:color w:val="000000"/>
          <w:strike w:val="1"/>
        </w:rPr>
        <w:t>, the last Business Day of each March, June, September and December and the Maturity Date in respect thereof</w:t>
      </w:r>
      <w:r>
        <w:rPr>
          <w:rFonts w:ascii="Arial" w:cs="Arial" w:eastAsia="Arial" w:hAnsi="Arial"/>
          <w:sz w:val="16"/>
          <w:szCs w:val="16"/>
          <w:b w:val="1"/>
          <w:bCs w:val="1"/>
          <w:color w:val="FF0000"/>
          <w:strike w:val="1"/>
        </w:rPr>
        <w:t>.</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and (b) with respect to any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-143510</wp:posOffset>
            </wp:positionV>
            <wp:extent cx="4114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6727190</wp:posOffset>
            </wp:positionH>
            <wp:positionV relativeFrom="paragraph">
              <wp:posOffset>-160655</wp:posOffset>
            </wp:positionV>
            <wp:extent cx="4083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8305" cy="889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7"/>
          <w:szCs w:val="17"/>
          <w:b w:val="1"/>
          <w:bCs w:val="1"/>
          <w:u w:val="single" w:color="auto"/>
          <w:color w:val="0000FF"/>
        </w:rPr>
        <w:t>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in respect thereof.</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t>
      </w:r>
      <w:r>
        <w:rPr>
          <w:rFonts w:ascii="Arial" w:cs="Arial" w:eastAsia="Arial" w:hAnsi="Arial"/>
          <w:sz w:val="18"/>
          <w:szCs w:val="18"/>
          <w:b w:val="1"/>
          <w:bCs w:val="1"/>
          <w:color w:val="FF0000"/>
          <w:strike w:val="1"/>
        </w:rPr>
        <w:t>as</w:t>
      </w:r>
      <w:r>
        <w:rPr>
          <w:rFonts w:ascii="Arial" w:cs="Arial" w:eastAsia="Arial" w:hAnsi="Arial"/>
          <w:sz w:val="18"/>
          <w:szCs w:val="18"/>
          <w:b w:val="1"/>
          <w:bCs w:val="1"/>
          <w:u w:val="single" w:color="auto"/>
          <w:color w:val="0000FF"/>
        </w:rPr>
        <w:t>with respect</w:t>
      </w:r>
      <w:r>
        <w:rPr>
          <w:rFonts w:ascii="Arial" w:cs="Arial" w:eastAsia="Arial" w:hAnsi="Arial"/>
          <w:sz w:val="18"/>
          <w:szCs w:val="18"/>
          <w:color w:val="auto"/>
        </w:rPr>
        <w:t xml:space="preserve"> to each </w:t>
      </w:r>
      <w:r>
        <w:rPr>
          <w:rFonts w:ascii="Arial" w:cs="Arial" w:eastAsia="Arial" w:hAnsi="Arial"/>
          <w:sz w:val="18"/>
          <w:szCs w:val="18"/>
          <w:b w:val="1"/>
          <w:bCs w:val="1"/>
          <w:color w:val="FF0000"/>
          <w:strike w:val="1"/>
        </w:rPr>
        <w:t>Eurodollar Rate</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 </w:t>
      </w: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period </w:t>
      </w:r>
      <w:r>
        <w:rPr>
          <w:rFonts w:ascii="Arial" w:cs="Arial" w:eastAsia="Arial" w:hAnsi="Arial"/>
          <w:sz w:val="18"/>
          <w:szCs w:val="18"/>
          <w:b w:val="1"/>
          <w:bCs w:val="1"/>
          <w:color w:val="FF0000"/>
          <w:strike w:val="1"/>
        </w:rPr>
        <w:t>commencing on the date such Eurodollar Rate</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Loan is disbursed or converted to or continued as a Eurodollar Rate Loan and ending on the date</w:t>
      </w:r>
      <w:r>
        <w:rPr>
          <w:rFonts w:ascii="Arial" w:cs="Arial" w:eastAsia="Arial" w:hAnsi="Arial"/>
          <w:sz w:val="18"/>
          <w:szCs w:val="18"/>
          <w:b w:val="1"/>
          <w:bCs w:val="1"/>
          <w:u w:val="single" w:color="auto"/>
          <w:color w:val="0000FF"/>
        </w:rPr>
        <w:t>of</w:t>
      </w:r>
      <w:r>
        <w:rPr>
          <w:rFonts w:ascii="Arial" w:cs="Arial" w:eastAsia="Arial" w:hAnsi="Arial"/>
          <w:sz w:val="18"/>
          <w:szCs w:val="18"/>
          <w:b w:val="1"/>
          <w:bCs w:val="1"/>
          <w:color w:val="FF0000"/>
        </w:rPr>
        <w:t xml:space="preserve"> </w:t>
      </w:r>
      <w:r>
        <w:rPr>
          <w:rFonts w:ascii="Arial" w:cs="Arial" w:eastAsia="Arial" w:hAnsi="Arial"/>
          <w:sz w:val="18"/>
          <w:szCs w:val="18"/>
          <w:color w:val="000000"/>
        </w:rPr>
        <w:t>one, three or six months</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thereafter</w:t>
      </w:r>
      <w:r>
        <w:rPr>
          <w:rFonts w:ascii="Arial" w:cs="Arial" w:eastAsia="Arial" w:hAnsi="Arial"/>
          <w:sz w:val="18"/>
          <w:szCs w:val="18"/>
          <w:b w:val="1"/>
          <w:bCs w:val="1"/>
          <w:color w:val="FF0000"/>
        </w:rPr>
        <w:t xml:space="preserve"> </w:t>
      </w:r>
      <w:r>
        <w:rPr>
          <w:rFonts w:ascii="Arial" w:cs="Arial" w:eastAsia="Arial" w:hAnsi="Arial"/>
          <w:sz w:val="18"/>
          <w:szCs w:val="18"/>
          <w:color w:val="000000"/>
        </w:rPr>
        <w:t>(in each case,</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subject to </w:t>
      </w:r>
      <w:r>
        <w:rPr>
          <w:rFonts w:ascii="Arial" w:cs="Arial" w:eastAsia="Arial" w:hAnsi="Arial"/>
          <w:sz w:val="18"/>
          <w:szCs w:val="18"/>
          <w:b w:val="1"/>
          <w:bCs w:val="1"/>
          <w:u w:val="single" w:color="auto"/>
          <w:color w:val="0000FF"/>
        </w:rPr>
        <w:t>the</w:t>
      </w:r>
      <w:r>
        <w:rPr>
          <w:rFonts w:ascii="Arial" w:cs="Arial" w:eastAsia="Arial" w:hAnsi="Arial"/>
          <w:sz w:val="18"/>
          <w:szCs w:val="18"/>
          <w:color w:val="000000"/>
        </w:rPr>
        <w:t xml:space="preserve"> availability</w:t>
      </w:r>
      <w:r>
        <w:rPr>
          <w:rFonts w:ascii="Arial" w:cs="Arial" w:eastAsia="Arial" w:hAnsi="Arial"/>
          <w:sz w:val="18"/>
          <w:szCs w:val="18"/>
          <w:b w:val="1"/>
          <w:bCs w:val="1"/>
          <w:color w:val="FF0000"/>
          <w:strike w:val="1"/>
        </w:rPr>
        <w:t>) (or twelve months or shorter, if available to all applicable Lenders),</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thereof)</w:t>
      </w:r>
      <w:r>
        <w:rPr>
          <w:rFonts w:ascii="Arial" w:cs="Arial" w:eastAsia="Arial" w:hAnsi="Arial"/>
          <w:sz w:val="18"/>
          <w:szCs w:val="18"/>
          <w:color w:val="000000"/>
        </w:rPr>
        <w:t xml:space="preserve"> as selected by the Borrower </w:t>
      </w:r>
      <w:r>
        <w:rPr>
          <w:rFonts w:ascii="Arial" w:cs="Arial" w:eastAsia="Arial" w:hAnsi="Arial"/>
          <w:sz w:val="18"/>
          <w:szCs w:val="18"/>
          <w:b w:val="1"/>
          <w:bCs w:val="1"/>
          <w:color w:val="FF0000"/>
          <w:strike w:val="1"/>
        </w:rPr>
        <w:t>in its Committed</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Loan Notice</w:t>
      </w:r>
      <w:r>
        <w:rPr>
          <w:rFonts w:ascii="Arial" w:cs="Arial" w:eastAsia="Arial" w:hAnsi="Arial"/>
          <w:sz w:val="18"/>
          <w:szCs w:val="18"/>
          <w:color w:val="000000"/>
        </w:rPr>
        <w:t>;</w:t>
      </w:r>
      <w:r>
        <w:rPr>
          <w:rFonts w:ascii="Arial" w:cs="Arial" w:eastAsia="Arial" w:hAnsi="Arial"/>
          <w:sz w:val="18"/>
          <w:szCs w:val="18"/>
          <w:b w:val="1"/>
          <w:bCs w:val="1"/>
          <w:color w:val="FF0000"/>
        </w:rPr>
        <w:t xml:space="preserve"> </w:t>
      </w:r>
      <w:r>
        <w:rPr>
          <w:rFonts w:ascii="Arial" w:cs="Arial" w:eastAsia="Arial" w:hAnsi="Arial"/>
          <w:sz w:val="18"/>
          <w:szCs w:val="18"/>
          <w:u w:val="single" w:color="auto"/>
          <w:color w:val="000000"/>
        </w:rPr>
        <w:t>provided</w:t>
      </w:r>
      <w:r>
        <w:rPr>
          <w:rFonts w:ascii="Arial" w:cs="Arial" w:eastAsia="Arial" w:hAnsi="Arial"/>
          <w:sz w:val="18"/>
          <w:szCs w:val="18"/>
          <w:b w:val="1"/>
          <w:bCs w:val="1"/>
          <w:u w:val="single" w:color="auto"/>
          <w:color w:val="0000FF"/>
        </w:rPr>
        <w:t>, however,</w:t>
      </w:r>
      <w:r>
        <w:rPr>
          <w:rFonts w:ascii="Arial" w:cs="Arial" w:eastAsia="Arial" w:hAnsi="Arial"/>
          <w:sz w:val="18"/>
          <w:szCs w:val="18"/>
          <w:b w:val="1"/>
          <w:bCs w:val="1"/>
          <w:color w:val="FF0000"/>
        </w:rPr>
        <w:t xml:space="preserve"> </w:t>
      </w:r>
      <w:r>
        <w:rPr>
          <w:rFonts w:ascii="Arial" w:cs="Arial" w:eastAsia="Arial" w:hAnsi="Arial"/>
          <w:sz w:val="18"/>
          <w:szCs w:val="18"/>
          <w:color w:val="000000"/>
        </w:rPr>
        <w:t>that</w:t>
      </w:r>
      <w:r>
        <w:rPr>
          <w:rFonts w:ascii="Arial" w:cs="Arial" w:eastAsia="Arial" w:hAnsi="Arial"/>
          <w:sz w:val="18"/>
          <w:szCs w:val="18"/>
          <w:b w:val="1"/>
          <w:bCs w:val="1"/>
          <w:color w:val="FF0000"/>
          <w:strike w:val="1"/>
        </w:rPr>
        <w:t>:</w:t>
      </w:r>
    </w:p>
    <w:p>
      <w:pPr>
        <w:spacing w:after="0" w:line="180" w:lineRule="exact"/>
        <w:rPr>
          <w:sz w:val="20"/>
          <w:szCs w:val="20"/>
          <w:color w:val="auto"/>
        </w:rPr>
      </w:pPr>
    </w:p>
    <w:p>
      <w:pPr>
        <w:jc w:val="both"/>
        <w:ind w:left="660" w:hanging="652"/>
        <w:spacing w:after="0" w:line="266" w:lineRule="auto"/>
        <w:tabs>
          <w:tab w:leader="none" w:pos="660" w:val="left"/>
        </w:tabs>
        <w:numPr>
          <w:ilvl w:val="0"/>
          <w:numId w:val="34"/>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6" w:lineRule="exact"/>
        <w:rPr>
          <w:sz w:val="20"/>
          <w:szCs w:val="20"/>
          <w:color w:val="auto"/>
        </w:rPr>
      </w:pPr>
    </w:p>
    <w:p>
      <w:pPr>
        <w:jc w:val="both"/>
        <w:ind w:left="660" w:hanging="4"/>
        <w:spacing w:after="0" w:line="314" w:lineRule="auto"/>
        <w:tabs>
          <w:tab w:leader="none" w:pos="920" w:val="left"/>
        </w:tabs>
        <w:numPr>
          <w:ilvl w:val="0"/>
          <w:numId w:val="35"/>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the initial Interest Period for any Borrowing of a Term Benchmark Loan shall commence on the date of such Borrowing (the date of a Borrowing resulting from a conversion or continuation shall be the date of such conversion or continuation) and each Interest Period occurring thereafter in respect of such Borrowing shall commence on the day on which the next preceding Interest Period expires;</w:t>
      </w:r>
    </w:p>
    <w:p>
      <w:pPr>
        <w:spacing w:after="0" w:line="142"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b</w:t>
      </w:r>
      <w:r>
        <w:rPr>
          <w:rFonts w:ascii="Arial" w:cs="Arial" w:eastAsia="Arial" w:hAnsi="Arial"/>
          <w:sz w:val="18"/>
          <w:szCs w:val="18"/>
          <w:b w:val="1"/>
          <w:bCs w:val="1"/>
          <w:u w:val="single" w:color="auto"/>
          <w:color w:val="0000FF"/>
        </w:rPr>
        <w:t>ii</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if</w:t>
      </w:r>
      <w:r>
        <w:rPr>
          <w:rFonts w:ascii="Arial" w:cs="Arial" w:eastAsia="Arial" w:hAnsi="Arial"/>
          <w:sz w:val="18"/>
          <w:szCs w:val="18"/>
          <w:color w:val="auto"/>
        </w:rPr>
        <w:t xml:space="preserve"> any Interest Period </w:t>
      </w:r>
      <w:r>
        <w:rPr>
          <w:rFonts w:ascii="Arial" w:cs="Arial" w:eastAsia="Arial" w:hAnsi="Arial"/>
          <w:sz w:val="18"/>
          <w:szCs w:val="18"/>
          <w:b w:val="1"/>
          <w:bCs w:val="1"/>
          <w:color w:val="FF0000"/>
          <w:strike w:val="1"/>
        </w:rPr>
        <w:t>that</w:t>
      </w:r>
      <w:r>
        <w:rPr>
          <w:rFonts w:ascii="Arial" w:cs="Arial" w:eastAsia="Arial" w:hAnsi="Arial"/>
          <w:sz w:val="18"/>
          <w:szCs w:val="18"/>
          <w:color w:val="auto"/>
        </w:rPr>
        <w:t xml:space="preserve"> begins </w:t>
      </w:r>
      <w:r>
        <w:rPr>
          <w:rFonts w:ascii="Arial" w:cs="Arial" w:eastAsia="Arial" w:hAnsi="Arial"/>
          <w:sz w:val="18"/>
          <w:szCs w:val="18"/>
          <w:b w:val="1"/>
          <w:bCs w:val="1"/>
          <w:color w:val="FF0000"/>
          <w:strike w:val="1"/>
        </w:rPr>
        <w:t>on the last Business Day of a calendar month (or</w:t>
      </w:r>
      <w:r>
        <w:rPr>
          <w:rFonts w:ascii="Arial" w:cs="Arial" w:eastAsia="Arial" w:hAnsi="Arial"/>
          <w:sz w:val="18"/>
          <w:szCs w:val="18"/>
          <w:color w:val="auto"/>
        </w:rPr>
        <w:t xml:space="preserve"> on a day for which there is no numerically corresponding day in the calendar month at the end of such Interest Period</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 such Interest Period</w:t>
      </w:r>
      <w:r>
        <w:rPr>
          <w:rFonts w:ascii="Arial" w:cs="Arial" w:eastAsia="Arial" w:hAnsi="Arial"/>
          <w:sz w:val="18"/>
          <w:szCs w:val="18"/>
          <w:color w:val="auto"/>
        </w:rPr>
        <w:t xml:space="preserve"> shall end on the last Business Day of </w:t>
      </w:r>
      <w:r>
        <w:rPr>
          <w:rFonts w:ascii="Arial" w:cs="Arial" w:eastAsia="Arial" w:hAnsi="Arial"/>
          <w:sz w:val="18"/>
          <w:szCs w:val="18"/>
          <w:b w:val="1"/>
          <w:bCs w:val="1"/>
          <w:color w:val="FF0000"/>
          <w:strike w:val="1"/>
        </w:rPr>
        <w:t>the</w:t>
      </w:r>
      <w:r>
        <w:rPr>
          <w:rFonts w:ascii="Arial" w:cs="Arial" w:eastAsia="Arial" w:hAnsi="Arial"/>
          <w:sz w:val="18"/>
          <w:szCs w:val="18"/>
          <w:b w:val="1"/>
          <w:bCs w:val="1"/>
          <w:u w:val="single" w:color="auto"/>
          <w:color w:val="0000FF"/>
        </w:rPr>
        <w:t>such</w:t>
      </w:r>
      <w:r>
        <w:rPr>
          <w:rFonts w:ascii="Arial" w:cs="Arial" w:eastAsia="Arial" w:hAnsi="Arial"/>
          <w:sz w:val="18"/>
          <w:szCs w:val="18"/>
          <w:color w:val="auto"/>
        </w:rPr>
        <w:t xml:space="preserve"> calendar month </w:t>
      </w:r>
      <w:r>
        <w:rPr>
          <w:rFonts w:ascii="Arial" w:cs="Arial" w:eastAsia="Arial" w:hAnsi="Arial"/>
          <w:sz w:val="18"/>
          <w:szCs w:val="18"/>
          <w:b w:val="1"/>
          <w:bCs w:val="1"/>
          <w:color w:val="FF0000"/>
          <w:strike w:val="1"/>
        </w:rPr>
        <w:t>at the end of such Interest Period; and</w:t>
      </w:r>
      <w:r>
        <w:rPr>
          <w:rFonts w:ascii="Arial" w:cs="Arial" w:eastAsia="Arial" w:hAnsi="Arial"/>
          <w:sz w:val="18"/>
          <w:szCs w:val="18"/>
          <w:b w:val="1"/>
          <w:bCs w:val="1"/>
          <w:u w:val="single" w:color="auto"/>
          <w:color w:val="0000FF"/>
        </w:rPr>
        <w:t>;</w:t>
      </w:r>
    </w:p>
    <w:p>
      <w:pPr>
        <w:spacing w:after="0" w:line="176" w:lineRule="exact"/>
        <w:rPr>
          <w:sz w:val="20"/>
          <w:szCs w:val="20"/>
          <w:color w:val="auto"/>
        </w:rPr>
      </w:pPr>
    </w:p>
    <w:p>
      <w:pPr>
        <w:jc w:val="both"/>
        <w:ind w:left="660" w:hanging="4"/>
        <w:spacing w:after="0" w:line="261" w:lineRule="auto"/>
        <w:tabs>
          <w:tab w:leader="none" w:pos="1002" w:val="left"/>
        </w:tabs>
        <w:numPr>
          <w:ilvl w:val="0"/>
          <w:numId w:val="36"/>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if any Interest Period would otherwise expire on a day that is not a Business Day, such Interest Period shall expire on the next succeeding Business Day; provided, however, that if any Interest Period would otherwise expire on a day that is not a Business Day but is a day of the month after which no further Business Day occurs in such month, such Interest Period shall expire on the next preceding Business Day;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c</w:t>
      </w:r>
      <w:r>
        <w:rPr>
          <w:rFonts w:ascii="Arial" w:cs="Arial" w:eastAsia="Arial" w:hAnsi="Arial"/>
          <w:sz w:val="18"/>
          <w:szCs w:val="18"/>
          <w:b w:val="1"/>
          <w:bCs w:val="1"/>
          <w:u w:val="single" w:color="auto"/>
          <w:color w:val="0000FF"/>
        </w:rPr>
        <w:t>iv</w:t>
      </w:r>
      <w:r>
        <w:rPr>
          <w:rFonts w:ascii="Arial" w:cs="Arial" w:eastAsia="Arial" w:hAnsi="Arial"/>
          <w:sz w:val="18"/>
          <w:szCs w:val="18"/>
          <w:color w:val="auto"/>
        </w:rPr>
        <w:t>) no Interest Period shall extend beyond the Maturity Date applicable to such Loan.</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FF0000"/>
          <w:strike w:val="1"/>
        </w:rPr>
        <w:t>Interpolated Rate</w:t>
      </w:r>
      <w:r>
        <w:rPr>
          <w:rFonts w:ascii="Arial" w:cs="Arial" w:eastAsia="Arial" w:hAnsi="Arial"/>
          <w:sz w:val="16"/>
          <w:szCs w:val="16"/>
          <w:b w:val="1"/>
          <w:bCs w:val="1"/>
          <w:color w:val="FF0000"/>
          <w:strike w:val="1"/>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such Interest Period; and (b) the LIBO Screen Rate for the shortest period (for which the LIBO Screen Rate is available for the applicable currency) that exceeds such Interest Period, in each case, at such time.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as to any Person, any direct or indirect acquisition or investment by such Person in another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Except as otherwise expressly provided in this Agreement, the amount of an Investment will be the fair market value of such Investment determined at the time the Investment is made and without giving effect to subsequent changes in value;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if any, that a Guarantee, other guarantee, and/or credit support results in an Investment, the amount of such Investment (x) will be the fair market value thereof determined first as of the time such Investment is made and thereafter on an annual basis, (y) will be zero upon such Guarantee, other guarantee and/or credit support being released or terminated and (z) will be the fair market value of such Guarantee, other guarantee and/or credit support determined as of the time of any modification thereof, if modified or amended. Notwithstanding anything to the contrary herein, in the case of any Investment made by the Borrower or a Company Group Party in a Person substantially concurrently with a cash distribution by such Person to the Borrower or such Company Group Party, as the case may be (a “</w:t>
      </w:r>
      <w:r>
        <w:rPr>
          <w:rFonts w:ascii="Arial" w:cs="Arial" w:eastAsia="Arial" w:hAnsi="Arial"/>
          <w:sz w:val="17"/>
          <w:szCs w:val="17"/>
          <w:u w:val="single" w:color="auto"/>
          <w:color w:val="auto"/>
        </w:rPr>
        <w:t>Concurrent Cash</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Distribution</w:t>
      </w:r>
      <w:r>
        <w:rPr>
          <w:rFonts w:ascii="Arial" w:cs="Arial" w:eastAsia="Arial" w:hAnsi="Arial"/>
          <w:sz w:val="17"/>
          <w:szCs w:val="17"/>
          <w:color w:val="auto"/>
        </w:rPr>
        <w:t>”), then the amount of such Investment shall be deemed to be the fair market value of the Investment, less the amount of the Concurrent Cash Distribution.</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means Intellectual Property (as defined in the Security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and distribution of certain of the Equity Interests of Parent pursuant to an effective registration statement under the Securities Act of 1933.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any L/C Issuer and the Borrower or in favor of such L/C Issuer and relating to such Letter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w:t>
      </w:r>
      <w:r>
        <w:rPr>
          <w:rFonts w:ascii="Arial" w:cs="Arial" w:eastAsia="Arial" w:hAnsi="Arial"/>
          <w:sz w:val="18"/>
          <w:szCs w:val="18"/>
          <w:color w:val="auto"/>
        </w:rPr>
        <w:t>” means JPMorgan Chase Bank, N.A. and its successors.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Kennedy Project Companies</w:t>
      </w:r>
      <w:r>
        <w:rPr>
          <w:rFonts w:ascii="Arial" w:cs="Arial" w:eastAsia="Arial" w:hAnsi="Arial"/>
          <w:sz w:val="18"/>
          <w:szCs w:val="18"/>
          <w:b w:val="1"/>
          <w:bCs w:val="1"/>
          <w:color w:val="FF0000"/>
          <w:strike w:val="1"/>
        </w:rPr>
        <w:t>” means PESD Energy, LLC, a Delaware limited liability company, FUSD Energy, LLC, a Delaware limited liability company, Wildcat Energy, LLC, a Delaware limited liability company, Continental Energy, LLC, a Delaware limited liability company, Longhorn Energy, LLC, a Delaware limited liability company, El Mirage Energy, LLC, a Delaware limited liability company, Vail Energy, LLC, a Delaware limited liability company, Monster Energy, LLC, a Delaware limited liability company, and SCWFD Energy, LLC, a Delaware limited liability company.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maturity or expiration date applicable to any Loan or Commitment hereunder at such time, in each case as extended in accordance with this Agreement from time to time.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binding judicial precedents or authorities, 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Commitment</w:t>
      </w:r>
      <w:r>
        <w:rPr>
          <w:rFonts w:ascii="Arial" w:cs="Arial" w:eastAsia="Arial" w:hAnsi="Arial"/>
          <w:sz w:val="17"/>
          <w:szCs w:val="17"/>
          <w:color w:val="auto"/>
        </w:rPr>
        <w:t xml:space="preserve">” means, as to each L/C Issuer, its obligation to issue Letters of Credit for the account of the Borrower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in an aggregate face amount at any one time outstanding not to exceed the amount set forth opposite such L/C Issuer’s name on </w:t>
      </w:r>
      <w:r>
        <w:rPr>
          <w:rFonts w:ascii="Arial" w:cs="Arial" w:eastAsia="Arial" w:hAnsi="Arial"/>
          <w:sz w:val="17"/>
          <w:szCs w:val="17"/>
          <w:u w:val="single" w:color="auto"/>
          <w:color w:val="auto"/>
        </w:rPr>
        <w:t>Schedule 2.03</w:t>
      </w:r>
      <w:r>
        <w:rPr>
          <w:rFonts w:ascii="Arial" w:cs="Arial" w:eastAsia="Arial" w:hAnsi="Arial"/>
          <w:sz w:val="17"/>
          <w:szCs w:val="17"/>
          <w:color w:val="auto"/>
        </w:rPr>
        <w:t xml:space="preserve"> under the caption “L/C Commitment”, as applicable, as such amount may be adjusted from time to time in accordance with this Agreement.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xml:space="preserve">” means each of </w:t>
      </w:r>
      <w:r>
        <w:rPr>
          <w:rFonts w:ascii="Arial" w:cs="Arial" w:eastAsia="Arial" w:hAnsi="Arial"/>
          <w:sz w:val="18"/>
          <w:szCs w:val="18"/>
          <w:b w:val="1"/>
          <w:bCs w:val="1"/>
          <w:color w:val="FF0000"/>
          <w:strike w:val="1"/>
        </w:rPr>
        <w:t>RBC</w:t>
      </w:r>
      <w:r>
        <w:rPr>
          <w:rFonts w:ascii="Arial" w:cs="Arial" w:eastAsia="Arial" w:hAnsi="Arial"/>
          <w:sz w:val="18"/>
          <w:szCs w:val="18"/>
          <w:b w:val="1"/>
          <w:bCs w:val="1"/>
          <w:u w:val="single" w:color="auto"/>
          <w:color w:val="0000FF"/>
        </w:rPr>
        <w:t>JPMorgan Chase Bank, N.A., MUFG Bank, LTD.</w:t>
      </w:r>
      <w:r>
        <w:rPr>
          <w:rFonts w:ascii="Arial" w:cs="Arial" w:eastAsia="Arial" w:hAnsi="Arial"/>
          <w:sz w:val="18"/>
          <w:szCs w:val="18"/>
          <w:color w:val="auto"/>
        </w:rPr>
        <w:t xml:space="preserve">, Bank of America, </w:t>
      </w:r>
      <w:r>
        <w:rPr>
          <w:rFonts w:ascii="Arial" w:cs="Arial" w:eastAsia="Arial" w:hAnsi="Arial"/>
          <w:sz w:val="18"/>
          <w:szCs w:val="18"/>
          <w:b w:val="1"/>
          <w:bCs w:val="1"/>
          <w:color w:val="FF0000"/>
          <w:strike w:val="1"/>
        </w:rPr>
        <w:t>JPMorgan Chase Bank,</w:t>
      </w:r>
      <w:r>
        <w:rPr>
          <w:rFonts w:ascii="Arial" w:cs="Arial" w:eastAsia="Arial" w:hAnsi="Arial"/>
          <w:sz w:val="18"/>
          <w:szCs w:val="18"/>
          <w:b w:val="1"/>
          <w:bCs w:val="1"/>
          <w:u w:val="single" w:color="auto"/>
          <w:color w:val="0000FF"/>
        </w:rPr>
        <w:t>N.A., Citibank, N.A.,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Royal Bank of Canada, Keybank</w:t>
      </w:r>
      <w:r>
        <w:rPr>
          <w:rFonts w:ascii="Arial" w:cs="Arial" w:eastAsia="Arial" w:hAnsi="Arial"/>
          <w:sz w:val="18"/>
          <w:szCs w:val="18"/>
          <w:b w:val="1"/>
          <w:bCs w:val="1"/>
          <w:color w:val="0000FF"/>
        </w:rPr>
        <w:t xml:space="preserve"> </w:t>
      </w:r>
      <w:r>
        <w:rPr>
          <w:rFonts w:ascii="Arial" w:cs="Arial" w:eastAsia="Arial" w:hAnsi="Arial"/>
          <w:sz w:val="18"/>
          <w:szCs w:val="18"/>
          <w:color w:val="000000"/>
        </w:rPr>
        <w:t>National Association,</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Barclays</w:t>
      </w:r>
      <w:r>
        <w:rPr>
          <w:rFonts w:ascii="Arial" w:cs="Arial" w:eastAsia="Arial" w:hAnsi="Arial"/>
          <w:sz w:val="18"/>
          <w:szCs w:val="18"/>
          <w:b w:val="1"/>
          <w:bCs w:val="1"/>
          <w:u w:val="single" w:color="auto"/>
          <w:color w:val="0000FF"/>
        </w:rPr>
        <w:t>Morgan Stanley</w:t>
      </w:r>
      <w:r>
        <w:rPr>
          <w:rFonts w:ascii="Arial" w:cs="Arial" w:eastAsia="Arial" w:hAnsi="Arial"/>
          <w:sz w:val="18"/>
          <w:szCs w:val="18"/>
          <w:b w:val="1"/>
          <w:bCs w:val="1"/>
          <w:color w:val="0000FF"/>
        </w:rPr>
        <w:t xml:space="preserve"> </w:t>
      </w:r>
      <w:r>
        <w:rPr>
          <w:rFonts w:ascii="Arial" w:cs="Arial" w:eastAsia="Arial" w:hAnsi="Arial"/>
          <w:sz w:val="18"/>
          <w:szCs w:val="18"/>
          <w:color w:val="000000"/>
        </w:rPr>
        <w:t>Bank</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PLC</w:t>
      </w:r>
      <w:r>
        <w:rPr>
          <w:rFonts w:ascii="Arial" w:cs="Arial" w:eastAsia="Arial" w:hAnsi="Arial"/>
          <w:sz w:val="18"/>
          <w:szCs w:val="18"/>
          <w:b w:val="1"/>
          <w:bCs w:val="1"/>
          <w:u w:val="single" w:color="auto"/>
          <w:color w:val="0000FF"/>
        </w:rPr>
        <w:t>, N.A., BNP Paribas</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any Additional L/C Issuers, each</w:t>
      </w:r>
      <w:r>
        <w:rPr>
          <w:rFonts w:ascii="Arial" w:cs="Arial" w:eastAsia="Arial" w:hAnsi="Arial"/>
          <w:sz w:val="18"/>
          <w:szCs w:val="18"/>
          <w:b w:val="1"/>
          <w:bCs w:val="1"/>
          <w:color w:val="0000FF"/>
        </w:rPr>
        <w:t xml:space="preserve"> </w:t>
      </w:r>
      <w:r>
        <w:rPr>
          <w:rFonts w:ascii="Arial" w:cs="Arial" w:eastAsia="Arial" w:hAnsi="Arial"/>
          <w:sz w:val="18"/>
          <w:szCs w:val="18"/>
          <w:color w:val="000000"/>
        </w:rPr>
        <w:t>in its capacity as an issuer of Letters of Credit hereunder, or any successor issuer(s) of Letters of Credit hereunder. Any reference to “L/C Issuer” herein shall be to the applicable L/C issuer, as appropriate.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as at any date of determination (determined without duplication), the aggregate amount available to be drawn under all outstanding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1.08(a)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any L/C Issuer.</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xml:space="preserve">” means the day that is seven Business Days prior to the fifth anniversary of the A&amp;R Credit Agreement </w:t>
      </w:r>
      <w:r>
        <w:rPr>
          <w:rFonts w:ascii="Arial" w:cs="Arial" w:eastAsia="Arial" w:hAnsi="Arial"/>
          <w:sz w:val="18"/>
          <w:szCs w:val="18"/>
          <w:b w:val="1"/>
          <w:bCs w:val="1"/>
          <w:color w:val="FF0000"/>
          <w:strike w:val="1"/>
        </w:rPr>
        <w:t>Third</w:t>
      </w:r>
      <w:r>
        <w:rPr>
          <w:rFonts w:ascii="Arial" w:cs="Arial" w:eastAsia="Arial" w:hAnsi="Arial"/>
          <w:sz w:val="18"/>
          <w:szCs w:val="18"/>
          <w:b w:val="1"/>
          <w:bCs w:val="1"/>
          <w:u w:val="single" w:color="auto"/>
          <w:color w:val="0000FF"/>
        </w:rPr>
        <w:t>Eighth</w:t>
      </w:r>
      <w:r>
        <w:rPr>
          <w:rFonts w:ascii="Arial" w:cs="Arial" w:eastAsia="Arial" w:hAnsi="Arial"/>
          <w:sz w:val="18"/>
          <w:szCs w:val="18"/>
          <w:color w:val="auto"/>
        </w:rPr>
        <w:t xml:space="preserve"> Amendment Effective Date (or, if such day is not a Business Day, the next preceding Business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2.03(i)</w:t>
      </w:r>
      <w:r>
        <w:rPr>
          <w:rFonts w:ascii="Arial" w:cs="Arial" w:eastAsia="Arial" w:hAnsi="Arial"/>
          <w:sz w:val="18"/>
          <w:szCs w:val="18"/>
          <w:color w:val="auto"/>
        </w:rPr>
        <w: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w:t>
      </w:r>
      <w:r>
        <w:rPr>
          <w:rFonts w:ascii="Arial" w:cs="Arial" w:eastAsia="Arial" w:hAnsi="Arial"/>
          <w:sz w:val="18"/>
          <w:szCs w:val="18"/>
          <w:b w:val="1"/>
          <w:bCs w:val="1"/>
          <w:color w:val="FF0000"/>
          <w:strike w:val="1"/>
        </w:rPr>
        <w:t>495,000,000</w:t>
      </w:r>
      <w:r>
        <w:rPr>
          <w:rFonts w:ascii="Arial" w:cs="Arial" w:eastAsia="Arial" w:hAnsi="Arial"/>
          <w:sz w:val="18"/>
          <w:szCs w:val="18"/>
          <w:b w:val="1"/>
          <w:bCs w:val="1"/>
          <w:u w:val="single" w:color="auto"/>
          <w:color w:val="0000FF"/>
        </w:rPr>
        <w:t>594,000,000</w:t>
      </w:r>
      <w:r>
        <w:rPr>
          <w:rFonts w:ascii="Arial" w:cs="Arial" w:eastAsia="Arial" w:hAnsi="Arial"/>
          <w:sz w:val="18"/>
          <w:szCs w:val="18"/>
          <w:color w:val="auto"/>
        </w:rPr>
        <w:t>. The Letter of Credit Sublimit is part of, and not in addition to, the Revolving Credit Facility.</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FF0000"/>
          <w:strike w:val="1"/>
        </w:rPr>
        <w:t>Leverage Period Termination Date</w:t>
      </w:r>
      <w:r>
        <w:rPr>
          <w:rFonts w:ascii="Arial" w:cs="Arial" w:eastAsia="Arial" w:hAnsi="Arial"/>
          <w:sz w:val="17"/>
          <w:szCs w:val="17"/>
          <w:b w:val="1"/>
          <w:bCs w:val="1"/>
          <w:color w:val="FF0000"/>
          <w:strike w:val="1"/>
        </w:rPr>
        <w:t>” means the earliest to occur of (a) two Business Days following the consummation of the disposition contemplated by the Thor PSA, (b) the 120th day following the termination or expiration of the Thor PSA and (c) November 29, 2022.</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FF0000"/>
          <w:strike w:val="1"/>
        </w:rPr>
        <w:t>LIBO Screen Rate</w:t>
      </w:r>
      <w:r>
        <w:rPr>
          <w:rFonts w:ascii="Arial" w:cs="Arial" w:eastAsia="Arial" w:hAnsi="Arial"/>
          <w:sz w:val="17"/>
          <w:szCs w:val="17"/>
          <w:b w:val="1"/>
          <w:bCs w:val="1"/>
          <w:color w:val="FF0000"/>
          <w:strike w:val="1"/>
        </w:rPr>
        <w:t>” means, for any day and time, with respect to any Eurodollar Rate Loans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zero, such rate shall be deemed to zero for the purposes of this Agreement.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 any acquisition or other Investment not prohibited hereunder by the Borrower or one or more of its Company Group Parties of any assets, business or Person that the Borrower or one or more of its Company Group Parties is contractually committed to consummate (it being understood that such commitment may be subject to conditions precedent, which conditions precedent may be amended, satisfied or waived in accordance with the terms of the applicable agreement), or (b) repayment, repurchase or refinancing of Indebtedness not prohibited hereunder with respect to which an irrevocable notice of repayment (or similar irrevocable notice) is delivered, in each case whose consummation is not conditioned on the availability of, or on obtaining, third party financing (or, if such a condition does exist, the Borrower or any Company Group Party, as applicable, would be required to pay any fee, liquidated damages or other amount or be subject to any indemnity, claim or other liability as a result of such third party financing not having been available or obtained).</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 extension of credit by a Lender to the Borrower under Article 2 in the form of a Revolving Credit Loan, an Incremental Revolving Loan, an Incremental Term Loan, an Extended Loan or a Refinancing Loan.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collectively, (a) this Agreement, (b) the Notes, (c) the Collateral Documents, (d) the Fee Letter, (e) each Issuer Document and</w:t>
      </w:r>
    </w:p>
    <w:p>
      <w:pPr>
        <w:spacing w:after="0" w:line="46" w:lineRule="exact"/>
        <w:rPr>
          <w:sz w:val="20"/>
          <w:szCs w:val="20"/>
          <w:color w:val="auto"/>
        </w:rPr>
      </w:pPr>
    </w:p>
    <w:p>
      <w:pPr>
        <w:ind w:right="5980" w:firstLine="8"/>
        <w:spacing w:after="0" w:line="551" w:lineRule="auto"/>
        <w:tabs>
          <w:tab w:leader="none" w:pos="22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any subordination agreement entered into pursuant to </w:t>
      </w:r>
      <w:r>
        <w:rPr>
          <w:rFonts w:ascii="Arial" w:cs="Arial" w:eastAsia="Arial" w:hAnsi="Arial"/>
          <w:sz w:val="16"/>
          <w:szCs w:val="16"/>
          <w:u w:val="single" w:color="auto"/>
          <w:color w:val="auto"/>
        </w:rPr>
        <w:t>Section 7.02(n)</w:t>
      </w:r>
      <w:r>
        <w:rPr>
          <w:rFonts w:ascii="Arial" w:cs="Arial" w:eastAsia="Arial" w:hAnsi="Arial"/>
          <w:sz w:val="16"/>
          <w:szCs w:val="16"/>
          <w:color w:val="auto"/>
        </w:rPr>
        <w:t>. “</w:t>
      </w:r>
      <w:r>
        <w:rPr>
          <w:rFonts w:ascii="Arial" w:cs="Arial" w:eastAsia="Arial" w:hAnsi="Arial"/>
          <w:sz w:val="16"/>
          <w:szCs w:val="16"/>
          <w:u w:val="single" w:color="auto"/>
          <w:color w:val="auto"/>
        </w:rPr>
        <w:t>Loan Parties</w:t>
      </w:r>
      <w:r>
        <w:rPr>
          <w:rFonts w:ascii="Arial" w:cs="Arial" w:eastAsia="Arial" w:hAnsi="Arial"/>
          <w:sz w:val="16"/>
          <w:szCs w:val="16"/>
          <w:color w:val="auto"/>
        </w:rPr>
        <w:t>” means, collectively, the Borrower and the Guarantors.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Services Agreement</w:t>
      </w:r>
      <w:r>
        <w:rPr>
          <w:rFonts w:ascii="Arial" w:cs="Arial" w:eastAsia="Arial" w:hAnsi="Arial"/>
          <w:sz w:val="18"/>
          <w:szCs w:val="18"/>
          <w:color w:val="auto"/>
        </w:rPr>
        <w:t xml:space="preserve">” means </w:t>
      </w:r>
      <w:r>
        <w:rPr>
          <w:rFonts w:ascii="Arial" w:cs="Arial" w:eastAsia="Arial" w:hAnsi="Arial"/>
          <w:sz w:val="18"/>
          <w:szCs w:val="18"/>
          <w:b w:val="1"/>
          <w:bCs w:val="1"/>
          <w:color w:val="FF0000"/>
          <w:strike w:val="1"/>
        </w:rPr>
        <w:t>(a) prior to the Acquisition Closing Date, the Management Services Agreement dated as of the Original</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 xml:space="preserve">Closing Date by and among NRG Energy, Inc. (and its successors), Parent, Holdings and the Borrower and (b) on and after the Acquisition Closing Date, </w:t>
      </w:r>
      <w:r>
        <w:rPr>
          <w:rFonts w:ascii="Arial" w:cs="Arial" w:eastAsia="Arial" w:hAnsi="Arial"/>
          <w:sz w:val="18"/>
          <w:szCs w:val="18"/>
          <w:color w:val="000000"/>
          <w:strike w:val="1"/>
        </w:rPr>
        <w:t>the Master Services Agreement,</w:t>
      </w:r>
      <w:r>
        <w:rPr>
          <w:rFonts w:ascii="Arial" w:cs="Arial" w:eastAsia="Arial" w:hAnsi="Arial"/>
          <w:sz w:val="18"/>
          <w:szCs w:val="18"/>
          <w:b w:val="1"/>
          <w:bCs w:val="1"/>
          <w:color w:val="FF0000"/>
          <w:strike w:val="1"/>
        </w:rPr>
        <w:t xml:space="preserve"> to be </w:t>
      </w:r>
      <w:r>
        <w:rPr>
          <w:rFonts w:ascii="Arial" w:cs="Arial" w:eastAsia="Arial" w:hAnsi="Arial"/>
          <w:sz w:val="18"/>
          <w:szCs w:val="18"/>
          <w:color w:val="000000"/>
          <w:strike w:val="1"/>
        </w:rPr>
        <w:t>dated</w:t>
      </w:r>
      <w:r>
        <w:rPr>
          <w:rFonts w:ascii="Arial" w:cs="Arial" w:eastAsia="Arial" w:hAnsi="Arial"/>
          <w:sz w:val="18"/>
          <w:szCs w:val="18"/>
          <w:b w:val="1"/>
          <w:bCs w:val="1"/>
          <w:color w:val="FF0000"/>
          <w:strike w:val="1"/>
        </w:rPr>
        <w:t xml:space="preserve"> on or about the Acquisition Closing Date</w:t>
      </w:r>
      <w:r>
        <w:rPr>
          <w:rFonts w:ascii="Arial" w:cs="Arial" w:eastAsia="Arial" w:hAnsi="Arial"/>
          <w:sz w:val="18"/>
          <w:szCs w:val="18"/>
          <w:b w:val="1"/>
          <w:bCs w:val="1"/>
          <w:u w:val="single" w:color="auto"/>
          <w:color w:val="0000FF"/>
          <w:strike w:val="1"/>
        </w:rPr>
        <w:t>as of August 31, 2018</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and substantially in the form</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 xml:space="preserve">provided to the Administrative Agent prior to </w:t>
      </w:r>
      <w:r>
        <w:rPr>
          <w:rFonts w:ascii="Arial" w:cs="Arial" w:eastAsia="Arial" w:hAnsi="Arial"/>
          <w:sz w:val="18"/>
          <w:szCs w:val="18"/>
          <w:b w:val="1"/>
          <w:bCs w:val="1"/>
          <w:color w:val="FF0000"/>
          <w:strike w:val="1"/>
        </w:rPr>
        <w:t>the A&amp;R Credit Agreement Third Amendment Effective Date</w:t>
      </w:r>
      <w:r>
        <w:rPr>
          <w:rFonts w:ascii="Arial" w:cs="Arial" w:eastAsia="Arial" w:hAnsi="Arial"/>
          <w:sz w:val="18"/>
          <w:szCs w:val="18"/>
          <w:b w:val="1"/>
          <w:bCs w:val="1"/>
          <w:u w:val="single" w:color="auto"/>
          <w:color w:val="0000FF"/>
          <w:strike w:val="1"/>
        </w:rPr>
        <w:t>April 30, 2018</w:t>
      </w:r>
      <w:r>
        <w:rPr>
          <w:rFonts w:ascii="Arial" w:cs="Arial" w:eastAsia="Arial" w:hAnsi="Arial"/>
          <w:sz w:val="18"/>
          <w:szCs w:val="18"/>
          <w:color w:val="000000"/>
          <w:strike w:val="1"/>
        </w:rPr>
        <w:t>, by and among Parent, Holdings, the Borrower and a Sponsor Affiliate (and its successors), in each case as amended, supplemented, modified or otherwise replaced from time to time, other than any such amendments, supplements, modifications or replacements that would be materially adverse to the interests of the Lenders in their capacity as such.</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results of operations, properties, liabilities or financial condition of the Loan Parties and their respective Subsidiaries taken as a whole; (b) a material impairment of the rights and remedies of the Administrative Agent or any Lender under any material Loan Document, or of the ability of any Loan Party to perform its material obligations under any Loan Document to which it is a party; or (c) a material adverse effect upon the legality, validity, binding effect or enforceability against any Loan Party of any material Loan Document to which it is a party.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Company Group Party</w:t>
      </w:r>
      <w:r>
        <w:rPr>
          <w:rFonts w:ascii="Arial" w:cs="Arial" w:eastAsia="Arial" w:hAnsi="Arial"/>
          <w:sz w:val="18"/>
          <w:szCs w:val="18"/>
          <w:color w:val="auto"/>
        </w:rPr>
        <w:t xml:space="preserve">” means as of any date, any Company Group Party that would be a “significant subsidiary” as defined in Article 1, Rule 1-02 of Regulation S-X, as such Regulation is in effect on the A&amp;R Credit Agreement </w:t>
      </w:r>
      <w:r>
        <w:rPr>
          <w:rFonts w:ascii="Arial" w:cs="Arial" w:eastAsia="Arial" w:hAnsi="Arial"/>
          <w:sz w:val="18"/>
          <w:szCs w:val="18"/>
          <w:b w:val="1"/>
          <w:bCs w:val="1"/>
          <w:color w:val="FF0000"/>
          <w:strike w:val="1"/>
        </w:rPr>
        <w:t>Third</w:t>
      </w:r>
      <w:r>
        <w:rPr>
          <w:rFonts w:ascii="Arial" w:cs="Arial" w:eastAsia="Arial" w:hAnsi="Arial"/>
          <w:sz w:val="18"/>
          <w:szCs w:val="18"/>
          <w:b w:val="1"/>
          <w:bCs w:val="1"/>
          <w:u w:val="single" w:color="auto"/>
          <w:color w:val="0000FF"/>
        </w:rPr>
        <w:t>Eighth</w:t>
      </w:r>
      <w:r>
        <w:rPr>
          <w:rFonts w:ascii="Arial" w:cs="Arial" w:eastAsia="Arial" w:hAnsi="Arial"/>
          <w:sz w:val="18"/>
          <w:szCs w:val="18"/>
          <w:color w:val="auto"/>
        </w:rPr>
        <w:t xml:space="preserve"> Amendment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Project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8.01(e)</w:t>
      </w:r>
      <w:r>
        <w:rPr>
          <w:rFonts w:ascii="Arial" w:cs="Arial" w:eastAsia="Arial" w:hAnsi="Arial"/>
          <w:sz w:val="18"/>
          <w:szCs w:val="18"/>
          <w:color w:val="auto"/>
        </w:rPr>
        <w:t>.</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(i) with respect to the Revolving Credit Facility </w:t>
      </w:r>
      <w:r>
        <w:rPr>
          <w:rFonts w:ascii="Arial" w:cs="Arial" w:eastAsia="Arial" w:hAnsi="Arial"/>
          <w:sz w:val="17"/>
          <w:szCs w:val="17"/>
          <w:b w:val="1"/>
          <w:bCs w:val="1"/>
          <w:color w:val="FF0000"/>
          <w:strike w:val="1"/>
        </w:rPr>
        <w:t>established on the Closing</w:t>
      </w:r>
      <w:r>
        <w:rPr>
          <w:rFonts w:ascii="Arial" w:cs="Arial" w:eastAsia="Arial" w:hAnsi="Arial"/>
          <w:sz w:val="17"/>
          <w:szCs w:val="17"/>
          <w:b w:val="1"/>
          <w:bCs w:val="1"/>
          <w:u w:val="single" w:color="auto"/>
          <w:color w:val="0000FF"/>
        </w:rPr>
        <w:t>in effect on the A&amp;R Credit Agreement Eighth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Amendment Effective</w:t>
      </w:r>
      <w:r>
        <w:rPr>
          <w:rFonts w:ascii="Arial" w:cs="Arial" w:eastAsia="Arial" w:hAnsi="Arial"/>
          <w:sz w:val="17"/>
          <w:szCs w:val="17"/>
          <w:b w:val="1"/>
          <w:bCs w:val="1"/>
          <w:color w:val="0000FF"/>
        </w:rPr>
        <w:t xml:space="preserve"> </w:t>
      </w:r>
      <w:r>
        <w:rPr>
          <w:rFonts w:ascii="Arial" w:cs="Arial" w:eastAsia="Arial" w:hAnsi="Arial"/>
          <w:sz w:val="17"/>
          <w:szCs w:val="17"/>
          <w:color w:val="000000"/>
        </w:rPr>
        <w:t>Date, except to the extent extended pursuant to</w:t>
      </w:r>
      <w:r>
        <w:rPr>
          <w:rFonts w:ascii="Arial" w:cs="Arial" w:eastAsia="Arial" w:hAnsi="Arial"/>
          <w:sz w:val="17"/>
          <w:szCs w:val="17"/>
          <w:b w:val="1"/>
          <w:bCs w:val="1"/>
          <w:color w:val="0000FF"/>
        </w:rPr>
        <w:t xml:space="preserve"> </w:t>
      </w:r>
      <w:r>
        <w:rPr>
          <w:rFonts w:ascii="Arial" w:cs="Arial" w:eastAsia="Arial" w:hAnsi="Arial"/>
          <w:sz w:val="17"/>
          <w:szCs w:val="17"/>
          <w:u w:val="single" w:color="auto"/>
          <w:color w:val="000000"/>
        </w:rPr>
        <w:t>Section 2.15</w:t>
      </w:r>
      <w:r>
        <w:rPr>
          <w:rFonts w:ascii="Arial" w:cs="Arial" w:eastAsia="Arial" w:hAnsi="Arial"/>
          <w:sz w:val="17"/>
          <w:szCs w:val="17"/>
          <w:color w:val="000000"/>
        </w:rPr>
        <w:t>, the date that is five (5) years following the A&amp;R Credit Agreement</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Third</w:t>
      </w:r>
      <w:r>
        <w:rPr>
          <w:rFonts w:ascii="Arial" w:cs="Arial" w:eastAsia="Arial" w:hAnsi="Arial"/>
          <w:sz w:val="17"/>
          <w:szCs w:val="17"/>
          <w:b w:val="1"/>
          <w:bCs w:val="1"/>
          <w:u w:val="single" w:color="auto"/>
          <w:color w:val="0000FF"/>
        </w:rPr>
        <w:t>Eighth</w:t>
      </w:r>
      <w:r>
        <w:rPr>
          <w:rFonts w:ascii="Arial" w:cs="Arial" w:eastAsia="Arial" w:hAnsi="Arial"/>
          <w:sz w:val="17"/>
          <w:szCs w:val="17"/>
          <w:b w:val="1"/>
          <w:bCs w:val="1"/>
          <w:color w:val="FF0000"/>
        </w:rPr>
        <w:t xml:space="preserve"> </w:t>
      </w:r>
      <w:r>
        <w:rPr>
          <w:rFonts w:ascii="Arial" w:cs="Arial" w:eastAsia="Arial" w:hAnsi="Arial"/>
          <w:sz w:val="17"/>
          <w:szCs w:val="17"/>
          <w:color w:val="000000"/>
        </w:rPr>
        <w:t>Amendment Effective Date (ii) with respect to any other Revolving Credit Facility established pursuant to</w:t>
      </w:r>
      <w:r>
        <w:rPr>
          <w:rFonts w:ascii="Arial" w:cs="Arial" w:eastAsia="Arial" w:hAnsi="Arial"/>
          <w:sz w:val="17"/>
          <w:szCs w:val="17"/>
          <w:b w:val="1"/>
          <w:bCs w:val="1"/>
          <w:color w:val="FF0000"/>
        </w:rPr>
        <w:t xml:space="preserve"> </w:t>
      </w:r>
      <w:r>
        <w:rPr>
          <w:rFonts w:ascii="Arial" w:cs="Arial" w:eastAsia="Arial" w:hAnsi="Arial"/>
          <w:sz w:val="17"/>
          <w:szCs w:val="17"/>
          <w:u w:val="single" w:color="auto"/>
          <w:color w:val="000000"/>
        </w:rPr>
        <w:t>Section 2.13</w:t>
      </w:r>
      <w:r>
        <w:rPr>
          <w:rFonts w:ascii="Arial" w:cs="Arial" w:eastAsia="Arial" w:hAnsi="Arial"/>
          <w:sz w:val="17"/>
          <w:szCs w:val="17"/>
          <w:color w:val="000000"/>
        </w:rPr>
        <w:t>, except to the extent</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extended pursuant to </w:t>
      </w:r>
      <w:r>
        <w:rPr>
          <w:rFonts w:ascii="Arial" w:cs="Arial" w:eastAsia="Arial" w:hAnsi="Arial"/>
          <w:sz w:val="17"/>
          <w:szCs w:val="17"/>
          <w:u w:val="single" w:color="auto"/>
          <w:color w:val="000000"/>
        </w:rPr>
        <w:t>Section 2.15</w:t>
      </w:r>
      <w:r>
        <w:rPr>
          <w:rFonts w:ascii="Arial" w:cs="Arial" w:eastAsia="Arial" w:hAnsi="Arial"/>
          <w:sz w:val="17"/>
          <w:szCs w:val="17"/>
          <w:color w:val="000000"/>
        </w:rPr>
        <w:t xml:space="preserve">, the maturity date with respect thereto set forth in the Incremental Amendment pursuant to which such Revolving Credit Facility is established, (iii) with respect to any Incremental Term Loans, each Incremental Term Loan Maturity Date applicable thereto, (iv) with respect to any Extended Loans, the final maturity date as specified in the applicable Extension Amendment and (v) with respect to any Refinancing Loans, the final maturity date as specified in the applicable Refinancing Amendment;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in each case, if such date is not a Business Day, the Maturity Date shall be the next preceding Business Day.</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Measurement Period</w:t>
      </w:r>
      <w:r>
        <w:rPr>
          <w:rFonts w:ascii="Arial" w:cs="Arial" w:eastAsia="Arial" w:hAnsi="Arial"/>
          <w:sz w:val="17"/>
          <w:szCs w:val="17"/>
          <w:color w:val="auto"/>
        </w:rPr>
        <w:t xml:space="preserve">” means, at any date of determination, the period of the most recently completed four fiscal quarters of the Borrower ended on or prior to such date or, if fewer than four consecutive fiscal quarters of the Borrower have been completed since the Original Closing Date, the fiscal quarters of the Borrower that have been completed since the Original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for purposes of determining an amount of any item included in the calculation of a financial ratio or financial covenant for the fiscal quarter ended March 31, 2014, such amount for the Measurement Period then ended shall equal such item for the two fiscal quarters then ended multiplied by two and (b) for purposes of determining an amount of any item included in the calculation of a financial ratio or financial covenant for the fiscal quarter ended June 30, 2014, such amount for the Measurement Period then ended shall equal such item for the three fiscal quarters then ended multiplied by 4/3.</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xml:space="preserve">” means, at any time, (i) with respect to Cash Collateral consisting of cash or deposit account balances provided to reduce or eliminate Fronting Exposure when any Revolving Credit Lender is a Defaulting Lender, an amount equal to 100% of the Fronting Exposure at such time (provided that if such amount is insufficient to cover any other amounts due in respect of Letters of Credit hereunder, an additional amount equal to such deficiency), (ii) with respect to Cash Collateral consisting of cash or deposit account balances provided in accordance with the provisions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2.03(g)(i)(A)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an amount equal to 100% of the Outstanding Amount of all L/C Obligations and, with respect to Cash Collateral provided in accordance with the provisions of Section 2.03(g)(i)(C), the amount required pursuant to Section 8.02(c) (provided that if such amount is insufficient to cover any other amounts due in respect of Letters of Credit hereunder, an additional amount equal to such deficiency) and (iii) otherwise, an amount determined by the Administrative Agent and the applicable L/C Issuer in their reasonable judgment exercised in good faith.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Policies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of the type described in Section 4001(a)(3) of ERISA to which the Borrower makes or is obligated to make contributions or during the preceding five plan years has made or been obligated to make contributions or with respect to which the Borrower has current or contingent liability as a result of being considered a single employer with any ERISA Affiliate.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means, with respect to the incurrence or issuance of any Indebtedness by any Loan Party or any Company Group Party, the excess of</w:t>
      </w:r>
    </w:p>
    <w:p>
      <w:pPr>
        <w:spacing w:after="0" w:line="46" w:lineRule="exact"/>
        <w:rPr>
          <w:sz w:val="20"/>
          <w:szCs w:val="20"/>
          <w:color w:val="auto"/>
        </w:rPr>
      </w:pPr>
    </w:p>
    <w:p>
      <w:pPr>
        <w:ind w:firstLine="8"/>
        <w:spacing w:after="0" w:line="323" w:lineRule="auto"/>
        <w:tabs>
          <w:tab w:leader="none" w:pos="2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sum of the cash and Cash Equivalents received in connection with such transaction over (ii) the fees, underwriting discounts and commissions, taxes, and other reasonable and customary out-of-pocket costs and expenses incurred by such Loan Party or such Company Group Party in connection therewith.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Non-FPA-Jurisdictional Generation Portfolio Companies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Non-FPA Sales Authorizations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Non-Refinanced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Non-Refinanced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means a promissory note made by the Borrower (x) in favor of a Revolving Credit Lender evidencing Revolving Credit Loans or Incremental Revolving Credit Loans made by such Revolving Credit Lender, substantially in the form of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or (y) in favor of an Incremental Term Loan Lender, evidencing Incremental Term Loans made by such Incremental Term Loan Lender, substantially in the form of </w:t>
      </w:r>
      <w:r>
        <w:rPr>
          <w:rFonts w:ascii="Arial" w:cs="Arial" w:eastAsia="Arial" w:hAnsi="Arial"/>
          <w:sz w:val="17"/>
          <w:szCs w:val="17"/>
          <w:u w:val="single" w:color="auto"/>
          <w:color w:val="auto"/>
        </w:rPr>
        <w:t>Exhibit B-2</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NPL</w:t>
      </w:r>
      <w:r>
        <w:rPr>
          <w:rFonts w:ascii="Arial" w:cs="Arial" w:eastAsia="Arial" w:hAnsi="Arial"/>
          <w:sz w:val="18"/>
          <w:szCs w:val="18"/>
          <w:color w:val="auto"/>
        </w:rPr>
        <w:t>” means the National Priorities List under CERCLA.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O&amp;M Obligations</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Permitted Operating Guarantees</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(including those acquired by assumption), whether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“Obligations” shall exclude all Excluded Swap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July 22,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Original Convertible Senior Notes</w:t>
      </w:r>
      <w:r>
        <w:rPr>
          <w:rFonts w:ascii="Arial" w:cs="Arial" w:eastAsia="Arial" w:hAnsi="Arial"/>
          <w:sz w:val="18"/>
          <w:szCs w:val="18"/>
          <w:b w:val="1"/>
          <w:bCs w:val="1"/>
          <w:color w:val="FF0000"/>
          <w:strike w:val="1"/>
        </w:rPr>
        <w:t>” has the meaning set forth in the definition of “Convertible Senior Notes”.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0000FF"/>
        </w:rPr>
        <w:t>“Other Connection Taxes” means Taxes imposed as a result of a present or former connection between a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Permitted Guarantees</w:t>
      </w:r>
      <w:r>
        <w:rPr>
          <w:rFonts w:ascii="Arial" w:cs="Arial" w:eastAsia="Arial" w:hAnsi="Arial"/>
          <w:sz w:val="16"/>
          <w:szCs w:val="16"/>
          <w:color w:val="auto"/>
        </w:rPr>
        <w:t>” means unsecured guarantees and/or other unsecured credit support by Holdings, the Borrower or any Company Group Party of (a) obligations of Project Companies (including obligations of Project Companies in respect of Swap Contracts that were not entered into for speculative purposes) that do not constitute Permitted Operating Guarantees, which obligations were incurred in the ordinary course of business of the Project Companies, and (b) any indemnification obligations (or similar obligations and guarantees) made by a Project Company or a Company Group Party that is a direct or indirect parent company of such Project Company that has entered into a Permitted Tax Equity Financing in favor of (i) its Tax Equity Partner or</w:t>
      </w:r>
    </w:p>
    <w:p>
      <w:pPr>
        <w:spacing w:after="0" w:line="2" w:lineRule="exact"/>
        <w:rPr>
          <w:sz w:val="20"/>
          <w:szCs w:val="20"/>
          <w:color w:val="auto"/>
        </w:rPr>
      </w:pPr>
    </w:p>
    <w:p>
      <w:pPr>
        <w:jc w:val="both"/>
        <w:ind w:firstLine="8"/>
        <w:spacing w:after="0" w:line="252" w:lineRule="auto"/>
        <w:tabs>
          <w:tab w:leader="none" w:pos="2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FF0000"/>
          <w:strike w:val="1"/>
        </w:rPr>
        <w:t>Equity Investor</w:t>
      </w:r>
      <w:r>
        <w:rPr>
          <w:rFonts w:ascii="Arial" w:cs="Arial" w:eastAsia="Arial" w:hAnsi="Arial"/>
          <w:sz w:val="18"/>
          <w:szCs w:val="18"/>
          <w:b w:val="1"/>
          <w:bCs w:val="1"/>
          <w:u w:val="single" w:color="auto"/>
          <w:color w:val="0000FF"/>
        </w:rPr>
        <w:t>Sponsor</w:t>
      </w:r>
      <w:r>
        <w:rPr>
          <w:rFonts w:ascii="Arial" w:cs="Arial" w:eastAsia="Arial" w:hAnsi="Arial"/>
          <w:sz w:val="18"/>
          <w:szCs w:val="18"/>
          <w:color w:val="auto"/>
        </w:rPr>
        <w:t xml:space="preserve"> or an Affiliate of the </w:t>
      </w:r>
      <w:r>
        <w:rPr>
          <w:rFonts w:ascii="Arial" w:cs="Arial" w:eastAsia="Arial" w:hAnsi="Arial"/>
          <w:sz w:val="18"/>
          <w:szCs w:val="18"/>
          <w:b w:val="1"/>
          <w:bCs w:val="1"/>
          <w:color w:val="FF0000"/>
          <w:strike w:val="1"/>
        </w:rPr>
        <w:t>Equity Investor</w:t>
      </w:r>
      <w:r>
        <w:rPr>
          <w:rFonts w:ascii="Arial" w:cs="Arial" w:eastAsia="Arial" w:hAnsi="Arial"/>
          <w:sz w:val="18"/>
          <w:szCs w:val="18"/>
          <w:b w:val="1"/>
          <w:bCs w:val="1"/>
          <w:u w:val="single" w:color="auto"/>
          <w:color w:val="0000FF"/>
        </w:rPr>
        <w:t>Sponsor</w:t>
      </w:r>
      <w:r>
        <w:rPr>
          <w:rFonts w:ascii="Arial" w:cs="Arial" w:eastAsia="Arial" w:hAnsi="Arial"/>
          <w:sz w:val="18"/>
          <w:szCs w:val="18"/>
          <w:color w:val="auto"/>
        </w:rPr>
        <w:t xml:space="preserve"> that has itself indemnified or provided other credit support to such Tax Equity Partner in respect of such Project Company or Company Group Party, in the case of each of clauses (i) and (ii), in respect of representations and warranties and/or other obligations not covered by clause (B) of the definition of “Permitted Operating Guarantees”;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guaranteed pursuant to Other Permitted Guarantees shall not, at any one time, exceed the sum of, solely in the case of Other Permitted Guarantees entered into after the A&amp;R Credit Agreement </w:t>
      </w:r>
      <w:r>
        <w:rPr>
          <w:rFonts w:ascii="Arial" w:cs="Arial" w:eastAsia="Arial" w:hAnsi="Arial"/>
          <w:sz w:val="18"/>
          <w:szCs w:val="18"/>
          <w:b w:val="1"/>
          <w:bCs w:val="1"/>
          <w:color w:val="FF0000"/>
          <w:strike w:val="1"/>
        </w:rPr>
        <w:t>First</w:t>
      </w:r>
      <w:r>
        <w:rPr>
          <w:rFonts w:ascii="Arial" w:cs="Arial" w:eastAsia="Arial" w:hAnsi="Arial"/>
          <w:sz w:val="18"/>
          <w:szCs w:val="18"/>
          <w:b w:val="1"/>
          <w:bCs w:val="1"/>
          <w:u w:val="single" w:color="auto"/>
          <w:color w:val="0000FF"/>
        </w:rPr>
        <w:t>Eighth</w:t>
      </w:r>
      <w:r>
        <w:rPr>
          <w:rFonts w:ascii="Arial" w:cs="Arial" w:eastAsia="Arial" w:hAnsi="Arial"/>
          <w:sz w:val="18"/>
          <w:szCs w:val="18"/>
          <w:color w:val="auto"/>
        </w:rPr>
        <w:t xml:space="preserve"> Amendment Effective Date, (a) $</w:t>
      </w:r>
      <w:r>
        <w:rPr>
          <w:rFonts w:ascii="Arial" w:cs="Arial" w:eastAsia="Arial" w:hAnsi="Arial"/>
          <w:sz w:val="18"/>
          <w:szCs w:val="18"/>
          <w:b w:val="1"/>
          <w:bCs w:val="1"/>
          <w:color w:val="FF0000"/>
          <w:strike w:val="1"/>
        </w:rPr>
        <w:t>110,000,000</w:t>
      </w:r>
      <w:r>
        <w:rPr>
          <w:rFonts w:ascii="Arial" w:cs="Arial" w:eastAsia="Arial" w:hAnsi="Arial"/>
          <w:sz w:val="18"/>
          <w:szCs w:val="18"/>
          <w:b w:val="1"/>
          <w:bCs w:val="1"/>
          <w:u w:val="single" w:color="auto"/>
          <w:color w:val="0000FF"/>
        </w:rPr>
        <w:t>132,000,000</w:t>
      </w:r>
      <w:r>
        <w:rPr>
          <w:rFonts w:ascii="Arial" w:cs="Arial" w:eastAsia="Arial" w:hAnsi="Arial"/>
          <w:sz w:val="18"/>
          <w:szCs w:val="18"/>
          <w:color w:val="auto"/>
        </w:rPr>
        <w:t xml:space="preserve"> and (b) the amount of unrestricted cash that is held by the Borrower (which cash shall be held by the Borrower for so long as such guarantee is in place) and subject to a Lien in favor of the Administrative Agent for the benefit of the Secured Parties.</w:t>
      </w:r>
    </w:p>
    <w:p>
      <w:pPr>
        <w:spacing w:after="0" w:line="18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w:t>
      </w:r>
      <w:r>
        <w:rPr>
          <w:rFonts w:ascii="Arial" w:cs="Arial" w:eastAsia="Arial" w:hAnsi="Arial"/>
          <w:sz w:val="18"/>
          <w:szCs w:val="18"/>
          <w:b w:val="1"/>
          <w:bCs w:val="1"/>
          <w:color w:val="FF0000"/>
          <w:strike w:val="1"/>
        </w:rPr>
        <w:t>or any other excise or property</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Taxes</w:t>
      </w:r>
      <w:r>
        <w:rPr>
          <w:rFonts w:ascii="Arial" w:cs="Arial" w:eastAsia="Arial" w:hAnsi="Arial"/>
          <w:sz w:val="18"/>
          <w:szCs w:val="18"/>
          <w:color w:val="000000"/>
        </w:rPr>
        <w:t>, charges or similar levies arising from any payment made hereunder or under any other Loan Document or from the execution, delivery,</w:t>
      </w:r>
      <w:r>
        <w:rPr>
          <w:rFonts w:ascii="Arial" w:cs="Arial" w:eastAsia="Arial" w:hAnsi="Arial"/>
          <w:sz w:val="18"/>
          <w:szCs w:val="18"/>
          <w:b w:val="1"/>
          <w:bCs w:val="1"/>
          <w:color w:val="FF0000"/>
        </w:rPr>
        <w:t xml:space="preserve"> </w:t>
      </w:r>
      <w:r>
        <w:rPr>
          <w:rFonts w:ascii="Arial" w:cs="Arial" w:eastAsia="Arial" w:hAnsi="Arial"/>
          <w:sz w:val="18"/>
          <w:szCs w:val="18"/>
          <w:color w:val="000000"/>
        </w:rPr>
        <w:t>performance, enforcement or registration of, from the receipt or perfection of a security interest under, or otherwise with respect to, this Agreement or any other Loan Document</w:t>
      </w:r>
      <w:r>
        <w:rPr>
          <w:rFonts w:ascii="Arial" w:cs="Arial" w:eastAsia="Arial" w:hAnsi="Arial"/>
          <w:sz w:val="18"/>
          <w:szCs w:val="18"/>
          <w:b w:val="1"/>
          <w:bCs w:val="1"/>
          <w:u w:val="single" w:color="auto"/>
          <w:color w:val="0000FF"/>
        </w:rPr>
        <w:t>, except any such Taxes that are Other Connection Taxes imposed with respect to an assignment (other than pursuant to an</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assignment made pursuant to Section 11.13)</w:t>
      </w:r>
      <w:r>
        <w:rPr>
          <w:rFonts w:ascii="Arial" w:cs="Arial" w:eastAsia="Arial" w:hAnsi="Arial"/>
          <w:sz w:val="18"/>
          <w:szCs w:val="18"/>
          <w:color w:val="000000"/>
        </w:rPr>
        <w:t>.</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(in each case, determined without duplication) (a) with respect to Revolving Credit Loans, Incremental Revolving Credit Loans and Incremental Term Loans on any date, the aggregate outstanding principal amount thereof after giving effect to any borrowings and prepayments or repayments of Revolving Credit Loans, Incremental Revolving Credit Loans and Incremental Term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xml:space="preserve">” means, for any day, the rate comprised of both overnight federal funds and overnight </w:t>
      </w:r>
      <w:r>
        <w:rPr>
          <w:rFonts w:ascii="Arial" w:cs="Arial" w:eastAsia="Arial" w:hAnsi="Arial"/>
          <w:sz w:val="18"/>
          <w:szCs w:val="18"/>
          <w:b w:val="1"/>
          <w:bCs w:val="1"/>
          <w:color w:val="FF0000"/>
          <w:strike w:val="1"/>
        </w:rPr>
        <w:t>Eurodollar borrowings</w:t>
      </w:r>
      <w:r>
        <w:rPr>
          <w:rFonts w:ascii="Arial" w:cs="Arial" w:eastAsia="Arial" w:hAnsi="Arial"/>
          <w:sz w:val="18"/>
          <w:szCs w:val="18"/>
          <w:b w:val="1"/>
          <w:bCs w:val="1"/>
          <w:u w:val="single" w:color="auto"/>
          <w:color w:val="0000FF"/>
        </w:rPr>
        <w:t>eurodollar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transactions denominated in Dollars</w:t>
      </w:r>
      <w:r>
        <w:rPr>
          <w:rFonts w:ascii="Arial" w:cs="Arial" w:eastAsia="Arial" w:hAnsi="Arial"/>
          <w:sz w:val="18"/>
          <w:szCs w:val="18"/>
          <w:b w:val="1"/>
          <w:bCs w:val="1"/>
          <w:color w:val="0000FF"/>
        </w:rPr>
        <w:t xml:space="preserve"> </w:t>
      </w:r>
      <w:r>
        <w:rPr>
          <w:rFonts w:ascii="Arial" w:cs="Arial" w:eastAsia="Arial" w:hAnsi="Arial"/>
          <w:sz w:val="18"/>
          <w:szCs w:val="18"/>
          <w:color w:val="000000"/>
        </w:rPr>
        <w:t>by U.S.-managed banking offices of depository institutions, as such composite rate shall be determined by the</w:t>
      </w:r>
      <w:r>
        <w:rPr>
          <w:rFonts w:ascii="Arial" w:cs="Arial" w:eastAsia="Arial" w:hAnsi="Arial"/>
          <w:sz w:val="18"/>
          <w:szCs w:val="18"/>
          <w:b w:val="1"/>
          <w:bCs w:val="1"/>
          <w:color w:val="0000FF"/>
        </w:rPr>
        <w:t xml:space="preserve"> </w:t>
      </w:r>
      <w:r>
        <w:rPr>
          <w:rFonts w:ascii="Arial" w:cs="Arial" w:eastAsia="Arial" w:hAnsi="Arial"/>
          <w:sz w:val="18"/>
          <w:szCs w:val="18"/>
          <w:color w:val="000000"/>
        </w:rPr>
        <w:t>NYFRB as set forth on its public website from time to time, and published on the next succeeding Business Day by the NYFRB as an overnight bank funding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Clearway Energy, Inc., a Delaware corporation.</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FF0000"/>
          <w:strike w:val="1"/>
        </w:rPr>
        <w:t>Parent CSN Proceeds Loan</w:t>
      </w:r>
      <w:r>
        <w:rPr>
          <w:rFonts w:ascii="Arial" w:cs="Arial" w:eastAsia="Arial" w:hAnsi="Arial"/>
          <w:sz w:val="16"/>
          <w:szCs w:val="16"/>
          <w:b w:val="1"/>
          <w:bCs w:val="1"/>
          <w:color w:val="FF0000"/>
          <w:strike w:val="1"/>
        </w:rPr>
        <w:t>” means unsecured Indebtedness incurred by the Borrower and owed to the Parent in an aggregate principal amount not to exceed the net proceeds of any Convertible Senior Notes issued by the Parent, the payment terms in respect of which shall be substantially similar to (or more favorable to the Borrower than) the payment obligations of the Parent under such Convertible Senior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 Passu Intercreditor Agreement</w:t>
      </w:r>
      <w:r>
        <w:rPr>
          <w:rFonts w:ascii="Arial" w:cs="Arial" w:eastAsia="Arial" w:hAnsi="Arial"/>
          <w:sz w:val="18"/>
          <w:szCs w:val="18"/>
          <w:color w:val="auto"/>
        </w:rPr>
        <w:t xml:space="preserve">” means a Pari Passu Intercreditor Agreement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such term is defined in Section 3(2) of ERISA), other than a Multiemployer Plan, that is subject to Title IV of ERISA and is sponsored or maintained by the Borrower or to which the Borrower contributes or has an obligation to contribute, or in the case of a multiple employer or other plan described in Section 4064(a) of ERISA, has made contributions at any time during the immediately preceding five plan years, or with respect to which the Borrower has current or contingent liability as a result of being considered a single employer with any ERISA Affiliate.</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Cure Security</w:t>
      </w:r>
      <w:r>
        <w:rPr>
          <w:rFonts w:ascii="Arial" w:cs="Arial" w:eastAsia="Arial" w:hAnsi="Arial"/>
          <w:sz w:val="18"/>
          <w:szCs w:val="18"/>
          <w:color w:val="auto"/>
        </w:rPr>
        <w:t>” means Equity Interests issued by Holdings having no mandatory redemption, repurchase or similar requirements prior to 91 days after the Latest Maturity Date of all Classes of Loans or Commitments then in effect, and upon which all dividends or distributions (if any) shall be payable solely in additional shares of such equity security.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Guarantees</w:t>
      </w:r>
      <w:r>
        <w:rPr>
          <w:rFonts w:ascii="Arial" w:cs="Arial" w:eastAsia="Arial" w:hAnsi="Arial"/>
          <w:sz w:val="18"/>
          <w:szCs w:val="18"/>
          <w:color w:val="auto"/>
        </w:rPr>
        <w:t>” means Permitted Operating Guarantees and Other Permitted Guarantees.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Operating Guarantees</w:t>
      </w:r>
      <w:r>
        <w:rPr>
          <w:rFonts w:ascii="Arial" w:cs="Arial" w:eastAsia="Arial" w:hAnsi="Arial"/>
          <w:sz w:val="16"/>
          <w:szCs w:val="16"/>
          <w:color w:val="auto"/>
        </w:rPr>
        <w:t>” means (A) unsecured guarantees and/or other unsecured credit support by Holdings, the Borrower or any Company Group Party of (i) customary contractual obligations of the Project Companies which have been incurred in the ordinary course of business on fair and reasonable terms substantially as favorable to such Person as would be obtained at the time in a comparable arm’s length transaction in respect of the operation and maintenance of the energy generating, transmission or distribution assets, and assets related thereto, owned or leased by such Person (collectively, “</w:t>
      </w:r>
      <w:r>
        <w:rPr>
          <w:rFonts w:ascii="Arial" w:cs="Arial" w:eastAsia="Arial" w:hAnsi="Arial"/>
          <w:sz w:val="16"/>
          <w:szCs w:val="16"/>
          <w:u w:val="single" w:color="auto"/>
          <w:color w:val="auto"/>
        </w:rPr>
        <w:t>O&amp;M Obligations</w:t>
      </w:r>
      <w:r>
        <w:rPr>
          <w:rFonts w:ascii="Arial" w:cs="Arial" w:eastAsia="Arial" w:hAnsi="Arial"/>
          <w:sz w:val="16"/>
          <w:szCs w:val="16"/>
          <w:color w:val="auto"/>
        </w:rPr>
        <w:t>”), but excluding (a) obligations constituting Indebtedness (unless such obligations which otherwise would have constituted O&amp;M Obligations are Indebtedness solely due to clause (d) of the definition of Indebtedness) and (b) obligations to acquire, construct or remediate assets (including obligations in respect of capital expenditures and other capital improvements) (clauses (a) and (b), “</w:t>
      </w:r>
      <w:r>
        <w:rPr>
          <w:rFonts w:ascii="Arial" w:cs="Arial" w:eastAsia="Arial" w:hAnsi="Arial"/>
          <w:sz w:val="16"/>
          <w:szCs w:val="16"/>
          <w:u w:val="single" w:color="auto"/>
          <w:color w:val="auto"/>
        </w:rPr>
        <w:t>Excluded Obligations</w:t>
      </w:r>
      <w:r>
        <w:rPr>
          <w:rFonts w:ascii="Arial" w:cs="Arial" w:eastAsia="Arial" w:hAnsi="Arial"/>
          <w:sz w:val="16"/>
          <w:szCs w:val="16"/>
          <w:color w:val="auto"/>
        </w:rPr>
        <w:t>”) and</w:t>
      </w:r>
    </w:p>
    <w:p>
      <w:pPr>
        <w:spacing w:after="0" w:line="2" w:lineRule="exact"/>
        <w:rPr>
          <w:sz w:val="20"/>
          <w:szCs w:val="20"/>
          <w:color w:val="auto"/>
        </w:rPr>
      </w:pPr>
    </w:p>
    <w:p>
      <w:pPr>
        <w:jc w:val="both"/>
        <w:ind w:firstLine="8"/>
        <w:spacing w:after="0" w:line="268" w:lineRule="auto"/>
        <w:tabs>
          <w:tab w:leader="none" w:pos="282"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obligations of Project Companies in respect of surety bonds and performance guarantees incurred in the ordinary course of business with respect to O&amp;M Obligations or remediation obligations in respect of the energy generating, transmission and distribution assets, and assets related thereto, owned or leased by such Person and (B) indemnification obligations (or similar obligations and guarantees) made by a Project Company or a Company Group Party that is a direct or indirect parent company of such Project Company that has entered into a Permitted Tax Equity Financing in favor of (x) its Tax Equity Partner or (y) the </w:t>
      </w:r>
      <w:r>
        <w:rPr>
          <w:rFonts w:ascii="Arial" w:cs="Arial" w:eastAsia="Arial" w:hAnsi="Arial"/>
          <w:sz w:val="17"/>
          <w:szCs w:val="17"/>
          <w:b w:val="1"/>
          <w:bCs w:val="1"/>
          <w:color w:val="FF0000"/>
          <w:strike w:val="1"/>
        </w:rPr>
        <w:t>Equity Investor</w:t>
      </w:r>
      <w:r>
        <w:rPr>
          <w:rFonts w:ascii="Arial" w:cs="Arial" w:eastAsia="Arial" w:hAnsi="Arial"/>
          <w:sz w:val="17"/>
          <w:szCs w:val="17"/>
          <w:b w:val="1"/>
          <w:bCs w:val="1"/>
          <w:u w:val="single" w:color="auto"/>
          <w:color w:val="0000FF"/>
        </w:rPr>
        <w:t>Sponsor</w:t>
      </w:r>
      <w:r>
        <w:rPr>
          <w:rFonts w:ascii="Arial" w:cs="Arial" w:eastAsia="Arial" w:hAnsi="Arial"/>
          <w:sz w:val="17"/>
          <w:szCs w:val="17"/>
          <w:color w:val="auto"/>
        </w:rPr>
        <w:t xml:space="preserve"> or an Affiliate of the </w:t>
      </w:r>
      <w:r>
        <w:rPr>
          <w:rFonts w:ascii="Arial" w:cs="Arial" w:eastAsia="Arial" w:hAnsi="Arial"/>
          <w:sz w:val="17"/>
          <w:szCs w:val="17"/>
          <w:b w:val="1"/>
          <w:bCs w:val="1"/>
          <w:color w:val="FF0000"/>
          <w:strike w:val="1"/>
        </w:rPr>
        <w:t>Equity Investor</w:t>
      </w:r>
      <w:r>
        <w:rPr>
          <w:rFonts w:ascii="Arial" w:cs="Arial" w:eastAsia="Arial" w:hAnsi="Arial"/>
          <w:sz w:val="17"/>
          <w:szCs w:val="17"/>
          <w:b w:val="1"/>
          <w:bCs w:val="1"/>
          <w:u w:val="single" w:color="auto"/>
          <w:color w:val="0000FF"/>
        </w:rPr>
        <w:t>Sponsor</w:t>
      </w:r>
      <w:r>
        <w:rPr>
          <w:rFonts w:ascii="Arial" w:cs="Arial" w:eastAsia="Arial" w:hAnsi="Arial"/>
          <w:sz w:val="17"/>
          <w:szCs w:val="17"/>
          <w:color w:val="auto"/>
        </w:rPr>
        <w:t xml:space="preserve"> that has itself indemnified or provided other credit support to such Tax Equity Partner in respect of such Project Company or Company Group Party, in the case of each of clauses (x) and (y), in respect of representations and warranties with respect to (1) O&amp;M Obligations of such Project Company (other than Excluded Obligations) and (2) upstream transfers that adversely affect the tax status of such Project Company, in each case made by (x) such Project Company or (y) a Company Group Party that is a direct or indirect parent company of such Project Company, in each case pursuant to any definitive documentation in respect of the applicable Permitted Tax Equity Financing.</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Prior Liens</w:t>
      </w:r>
      <w:r>
        <w:rPr>
          <w:rFonts w:ascii="Arial" w:cs="Arial" w:eastAsia="Arial" w:hAnsi="Arial"/>
          <w:sz w:val="18"/>
          <w:szCs w:val="18"/>
          <w:color w:val="auto"/>
        </w:rPr>
        <w:t xml:space="preserve">” means (a) in the case of Equity Interests, the Liens described in clauses (b) and (i)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(b) in the case of all other Collateral, the Liens described in clauses (b), (d), (e), (f), (g), (i), (j), (n) and (p) of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Project Company Indebtedness</w:t>
      </w:r>
      <w:r>
        <w:rPr>
          <w:rFonts w:ascii="Arial" w:cs="Arial" w:eastAsia="Arial" w:hAnsi="Arial"/>
          <w:sz w:val="17"/>
          <w:szCs w:val="17"/>
          <w:color w:val="auto"/>
        </w:rPr>
        <w:t xml:space="preserve">” means, with respect to any Project Company, (a) intercompany Indebtedness of such Project Company with any Loan Party to the extent such Loan Party is permitted to make an Investment in such Project Company hereunder in the amount of such Indebtedness and (b) Existing Project-Level Indebtedness and other Project-Level Indebtedness owed to an unrelated Person with respect to which the creditor has no recourse (including by virtue of a Lien, guarantee or otherwise) to any Loan Party (it being understood that such restriction on recourse to a Loan Party shall not restrict (i) any acquisition or contribution agreement (including any equity contribution agreement) with respect to any Investment permitted hereunder entered into by such Loan Party, (ii) rights of such Project Company under a Project Obligation collaterally assigned to such creditor, which rights may be exercised pursuant to such Project Obligation against any Loan Party that is party to such Project Obligation, or (iii) Permitted Guarantees or other Guarantees permitted under </w:t>
      </w:r>
      <w:r>
        <w:rPr>
          <w:rFonts w:ascii="Arial" w:cs="Arial" w:eastAsia="Arial" w:hAnsi="Arial"/>
          <w:sz w:val="17"/>
          <w:szCs w:val="17"/>
          <w:u w:val="single" w:color="auto"/>
          <w:color w:val="auto"/>
        </w:rPr>
        <w:t>Section 7.02)</w:t>
      </w:r>
      <w:r>
        <w:rPr>
          <w:rFonts w:ascii="Arial" w:cs="Arial" w:eastAsia="Arial" w:hAnsi="Arial"/>
          <w:sz w:val="17"/>
          <w:szCs w:val="17"/>
          <w:color w:val="auto"/>
        </w:rPr>
        <w:t>.</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Permitted Refinancing Convertible Senior Notes</w:t>
      </w:r>
      <w:r>
        <w:rPr>
          <w:rFonts w:ascii="Arial" w:cs="Arial" w:eastAsia="Arial" w:hAnsi="Arial"/>
          <w:sz w:val="18"/>
          <w:szCs w:val="18"/>
          <w:b w:val="1"/>
          <w:bCs w:val="1"/>
          <w:color w:val="FF0000"/>
          <w:strike w:val="1"/>
        </w:rPr>
        <w:t>” has the meaning set forth in the definition of “Convertible Senior Notes”.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any Indebtedness of the Borrower or any Company Group Party issued in exchange for, or the net proceeds of which are used to refund, refinance, replace, defease or discharge, other Indebtedness of such Person (other than intercompany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jc w:val="both"/>
        <w:ind w:firstLine="8"/>
        <w:spacing w:after="0" w:line="284" w:lineRule="auto"/>
        <w:tabs>
          <w:tab w:leader="none" w:pos="2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all accrued interest on such Indebtedness and the amount of all expenses and premiums, underwriting, issuance, commitment, syndication and other similar fees, costs and expenses incurred in connection therewith); (b) such Permitted Refinancing Indebtedness has a Weighted Average Life to Maturity equal to or greater than the Weighted Average Life to Maturity of the Indebtedness being extended, refinanced, renewed, replaced, defeased or refunded; (c) if the Indebtedness being extended, refinanced, renewed, replaced, defeased or refunded is subordinated in right of payment to the Obligations, such Permitted Refinancing Indebtedness is subordinated in right of payment to the Obligations on terms at least as favorable to the Lenders as those contained in the documentation governing the Indebtedness being extended, refinanced, renewed, replaced, defeased or refunded; (d)(i) if the Stated Maturity of the Indebtedness being refinanced is earlier than the Latest Maturity Date, the Permitted Refinancing Indebtedness has a Stated Maturity no earlier than the Stated Maturity of the Indebtedness being refinanced or (ii) if the Stated Maturity of the Indebtedness being refinanced is on or later than the Latest Maturity Date, the Permitted Refinancing Indebtedness has a Stated Maturity at least 91 days later than the Latest Maturity Date; (e) (i) if such Indebtedness being extended, refinanced, renewed, replaced, defeased or refunded is secured, the terms of the security documents of such Permitted Refinancing Indebtedness shall be no more favorable to the secured parties in respect of such Permitted Refinancing Indebtedness than the terms of the security documents of such Indebtedness being extended, refinanced, renewed, replaced, defeased or refunded or (ii) if such Indebtedness being extended, refinanced, renewed, replaced, defeased or refunded is unsecured, the obligations in respect of such Permitted Refinancing </w:t>
      </w:r>
      <w:r>
        <w:rPr>
          <w:rFonts w:ascii="Arial" w:cs="Arial" w:eastAsia="Arial" w:hAnsi="Arial"/>
          <w:sz w:val="16"/>
          <w:szCs w:val="16"/>
          <w:b w:val="1"/>
          <w:bCs w:val="1"/>
          <w:color w:val="FF0000"/>
          <w:strike w:val="1"/>
        </w:rPr>
        <w:t>Debt</w:t>
      </w:r>
      <w:r>
        <w:rPr>
          <w:rFonts w:ascii="Arial" w:cs="Arial" w:eastAsia="Arial" w:hAnsi="Arial"/>
          <w:sz w:val="16"/>
          <w:szCs w:val="16"/>
          <w:b w:val="1"/>
          <w:bCs w:val="1"/>
          <w:u w:val="single" w:color="auto"/>
          <w:color w:val="0000FF"/>
        </w:rPr>
        <w:t>Indebtedness</w:t>
      </w:r>
      <w:r>
        <w:rPr>
          <w:rFonts w:ascii="Arial" w:cs="Arial" w:eastAsia="Arial" w:hAnsi="Arial"/>
          <w:sz w:val="16"/>
          <w:szCs w:val="16"/>
          <w:color w:val="auto"/>
        </w:rPr>
        <w:t xml:space="preserve"> shall be unsecured; and (f) (x) if such Indebtedness being extended, refinanced, renewed, replaced, defeased or refunded constitutes Indebtedness of (i) the Borrower, such Permitted Refinancing Indebtedness shall constitute Indebtedness of the Borrower and (ii) any Company Group Party, such Permitted Refinancing Indebtedness shall constitute Indebtedness of such Company Group Party and (y) no additional obligors or guarantors shall be added in respect of such Permitted Refinancing Indebtedness that were not obligors or guarantors of the Indebtedness being extended, refinanced, renewed, replaced, defeased or refunded.</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Tax Equity Financing</w:t>
      </w:r>
      <w:r>
        <w:rPr>
          <w:rFonts w:ascii="Arial" w:cs="Arial" w:eastAsia="Arial" w:hAnsi="Arial"/>
          <w:sz w:val="16"/>
          <w:szCs w:val="16"/>
          <w:color w:val="auto"/>
        </w:rPr>
        <w:t>” means a tax equity financing entered into solely in connection with the acquisition, expansion, upgrade or refurbishment (or refinancing of any of the foregoing or of any Indebtedness incurred in connection therewith) of or by a Project Company (and/or a Company Group Party that is a direct or indirect parent company of such Project Company)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arm’s-length basis.</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Tax Equity Financing Documents</w:t>
      </w:r>
      <w:r>
        <w:rPr>
          <w:rFonts w:ascii="Arial" w:cs="Arial" w:eastAsia="Arial" w:hAnsi="Arial"/>
          <w:sz w:val="18"/>
          <w:szCs w:val="18"/>
          <w:color w:val="auto"/>
        </w:rPr>
        <w:t>” means each of the agreements, instruments, undertakings and other documents evidencing Permitted Tax Equity Financing.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PGC</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5.17(e)</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(as such term is defined in Section 3(3) of ERISA) established by the Borrower or, with respect to any such plan that is subject to Section 412 of the Code or Title IV of ERISA, any ERISA Affiliate, but for the avoidance of doubt, excluding any Multiemployer Plan.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00FF"/>
        </w:rPr>
        <w:t>“Plan Asset Regulations” means 29 CFR § 2510.3-101 et seq., as modified by Section 3(42) of ERISA, as amended from time to time.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Companies</w:t>
      </w:r>
      <w:r>
        <w:rPr>
          <w:rFonts w:ascii="Arial" w:cs="Arial" w:eastAsia="Arial" w:hAnsi="Arial"/>
          <w:sz w:val="18"/>
          <w:szCs w:val="18"/>
          <w:color w:val="auto"/>
        </w:rPr>
        <w:t>” means:</w:t>
      </w:r>
    </w:p>
    <w:p>
      <w:pPr>
        <w:spacing w:after="0" w:line="225" w:lineRule="exact"/>
        <w:rPr>
          <w:sz w:val="20"/>
          <w:szCs w:val="20"/>
          <w:color w:val="auto"/>
        </w:rPr>
      </w:pPr>
    </w:p>
    <w:p>
      <w:pPr>
        <w:ind w:left="2600" w:hanging="648"/>
        <w:spacing w:after="0"/>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each entity listed on Part (e) of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73" w:lineRule="auto"/>
        <w:tabs>
          <w:tab w:leader="none" w:pos="2643"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any new direct or indirect Subsidiary of any Loan Party that (i) is created or acquired by any Loan Party in accordance with the terms hereof, (ii) is the direct owner, lessee or developer or is intended to become the direct owner, lessee or developer of energy generating, transmission or distribution assets, or assets related thereto, or of any other power or energy facility, or any assets relating to any of the foregoing, (iii) has no Subsidiaries and owns no material assets other than those assets necessary for the ownership, leasing, development, construction or operation of the relevant assets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or any activities reasonably related or ancillary thereto, and (iv) has no Indebtedness other than Permitted Project Company Indebtedness; and</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jc w:val="both"/>
        <w:ind w:left="660" w:firstLine="1293"/>
        <w:spacing w:after="0" w:line="259" w:lineRule="auto"/>
        <w:tabs>
          <w:tab w:leader="none" w:pos="27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any direct or indirect parent of any Subsidiary described in clause (b) above that (i) has no Subsidiaries other than Subsidiaries that meet the qualifications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or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(ii) owns no material assets other than those assets of the type described in </w:t>
      </w:r>
      <w:r>
        <w:rPr>
          <w:rFonts w:ascii="Arial" w:cs="Arial" w:eastAsia="Arial" w:hAnsi="Arial"/>
          <w:sz w:val="18"/>
          <w:szCs w:val="18"/>
          <w:u w:val="single" w:color="auto"/>
          <w:color w:val="auto"/>
        </w:rPr>
        <w:t>clause (b)(ii)</w:t>
      </w:r>
      <w:r>
        <w:rPr>
          <w:rFonts w:ascii="Arial" w:cs="Arial" w:eastAsia="Arial" w:hAnsi="Arial"/>
          <w:sz w:val="18"/>
          <w:szCs w:val="18"/>
          <w:color w:val="auto"/>
        </w:rPr>
        <w:t xml:space="preserve"> above, (iii) has no Indebtedness other than Permitted Project Company Indebtedness and (iv) is not a direct Subsidiary of the Borrower;</w:t>
      </w:r>
    </w:p>
    <w:p>
      <w:pPr>
        <w:spacing w:after="0" w:line="18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(x) in no event shall any Loan Party constitute a Project Company and (y) all Project Companies shall be Subsidiaries of the Borrower.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Annual Projections and the Closing Date Projections.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Project-Level Indebtedness</w:t>
      </w:r>
      <w:r>
        <w:rPr>
          <w:rFonts w:ascii="Arial" w:cs="Arial" w:eastAsia="Arial" w:hAnsi="Arial"/>
          <w:sz w:val="17"/>
          <w:szCs w:val="17"/>
          <w:color w:val="auto"/>
        </w:rPr>
        <w:t>” means (a) Existing Project-Level Indebtedness, (b) any additional Indebtedness (including, for purposes of this definition solely when used in the definition of “Permitted Project Company Indebtedness,” trade accounts payable created in the ordinary course of business and not past due for more than 180 days after the date on which such trade account was created, and including any Indebtedness incurred by any Project Company that is the direct parent of another Project Company to finance its equity ownership interest in such Project Company) of any Project Companies incurred after the Closing Date and (c) any of the foregoing that is extended, renewed, replaced or refinanced from time to time.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Project-Level Indebtedness Documents</w:t>
      </w:r>
      <w:r>
        <w:rPr>
          <w:rFonts w:ascii="Arial" w:cs="Arial" w:eastAsia="Arial" w:hAnsi="Arial"/>
          <w:sz w:val="18"/>
          <w:szCs w:val="18"/>
          <w:color w:val="auto"/>
        </w:rPr>
        <w:t>” means each of the agreements, instruments, undertakings and other documents evidencing Project-Level Indebtedness.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Obligation</w:t>
      </w:r>
      <w:r>
        <w:rPr>
          <w:rFonts w:ascii="Arial" w:cs="Arial" w:eastAsia="Arial" w:hAnsi="Arial"/>
          <w:sz w:val="18"/>
          <w:szCs w:val="18"/>
          <w:color w:val="auto"/>
        </w:rPr>
        <w:t>” means, as to Holdings or any of its Subsidiaries, any Contractual Obligations of such Person under power purchase agreements; agreements for the purchase and sale of energy and renewable energy credits, climate change levy exemption certificates, embedded benefits and other environmental attributes; decommissioning agreements; Tax indemnities; operation and maintenance agreements; leases; development contracts; construction contracts; management services contracts; share retention agreements; warranties; bylaws, operating agreements, joint development agreements and other organizational documents; and other similar ordinary course contracts entered into in connection with owning, operating, developing or constructing energy generating, transmission or distribution assets, or assets related thereto, or any other power or energy facility, or any assets relating to any of the foregoing.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5.17(e)</w:t>
      </w:r>
      <w:r>
        <w:rPr>
          <w:rFonts w:ascii="Arial" w:cs="Arial" w:eastAsia="Arial" w:hAnsi="Arial"/>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means the Public Utility Holding Company Act of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PURPA</w:t>
      </w:r>
      <w:r>
        <w:rPr>
          <w:rFonts w:ascii="Arial" w:cs="Arial" w:eastAsia="Arial" w:hAnsi="Arial"/>
          <w:sz w:val="18"/>
          <w:szCs w:val="18"/>
          <w:color w:val="auto"/>
        </w:rPr>
        <w:t>” means the Public Utility Regulatory Policies Act of 1978, as amended.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w:t>
      </w:r>
      <w:r>
        <w:rPr>
          <w:rFonts w:ascii="Arial" w:cs="Arial" w:eastAsia="Arial" w:hAnsi="Arial"/>
          <w:sz w:val="18"/>
          <w:szCs w:val="18"/>
          <w:color w:val="auto"/>
        </w:rPr>
        <w:t xml:space="preserve">” means any one or more transactions (i) pursuant to which the Borrower acquires, for an aggregate purchase price of not less than $200,000,000, a controlling interest (or, if it shall already own a controlling interest in such Person, an additional interest) in excess of 50% of, or property or assets of, or of an operating division or business unit of, any other Person and (ii) which is designated by the Borrower by written notice to the Administrative Agent as a Qualified Acquisition in accordance with </w:t>
      </w:r>
      <w:r>
        <w:rPr>
          <w:rFonts w:ascii="Arial" w:cs="Arial" w:eastAsia="Arial" w:hAnsi="Arial"/>
          <w:sz w:val="18"/>
          <w:szCs w:val="18"/>
          <w:u w:val="single" w:color="auto"/>
          <w:color w:val="auto"/>
        </w:rPr>
        <w:t>Section 6.02(f)</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 Closing Date</w:t>
      </w:r>
      <w:r>
        <w:rPr>
          <w:rFonts w:ascii="Arial" w:cs="Arial" w:eastAsia="Arial" w:hAnsi="Arial"/>
          <w:sz w:val="18"/>
          <w:szCs w:val="18"/>
          <w:color w:val="auto"/>
        </w:rPr>
        <w:t>” has the meaning set forth in the definition of “</w:t>
      </w:r>
      <w:r>
        <w:rPr>
          <w:rFonts w:ascii="Arial" w:cs="Arial" w:eastAsia="Arial" w:hAnsi="Arial"/>
          <w:sz w:val="18"/>
          <w:szCs w:val="18"/>
          <w:u w:val="single" w:color="auto"/>
          <w:color w:val="auto"/>
        </w:rPr>
        <w:t>Acquisition Period</w:t>
      </w:r>
      <w:r>
        <w:rPr>
          <w:rFonts w:ascii="Arial" w:cs="Arial" w:eastAsia="Arial" w:hAnsi="Arial"/>
          <w:sz w:val="18"/>
          <w:szCs w:val="18"/>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Obligations,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RBC</w:t>
      </w:r>
      <w:r>
        <w:rPr>
          <w:rFonts w:ascii="Arial" w:cs="Arial" w:eastAsia="Arial" w:hAnsi="Arial"/>
          <w:sz w:val="18"/>
          <w:szCs w:val="18"/>
          <w:color w:val="auto"/>
        </w:rPr>
        <w:t>” means Royal Bank of Canada and its successors.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Reduction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b w:val="1"/>
          <w:bCs w:val="1"/>
          <w:u w:val="single" w:color="auto"/>
          <w:color w:val="FF0000"/>
          <w:strike w:val="1"/>
        </w:rPr>
        <w:t>iv</w:t>
      </w:r>
      <w:r>
        <w:rPr>
          <w:rFonts w:ascii="Arial" w:cs="Arial" w:eastAsia="Arial" w:hAnsi="Arial"/>
          <w:sz w:val="18"/>
          <w:szCs w:val="18"/>
          <w:b w:val="1"/>
          <w:bCs w:val="1"/>
          <w:u w:val="single" w:color="auto"/>
          <w:color w:val="0000FF"/>
        </w:rPr>
        <w:t>iii</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0000FF"/>
        </w:rPr>
        <w:t>“Reference Time” with respect to any setting of the then-current Benchmark means (1) if such Benchmark is the Term SOFR Rate, 5:00 a.m. (Chicago time) on the day that is two U.S. Government Securities Business Days preceding the date of such setting, (2) if such Benchmark is Daily Simple SOFR, then four Business Days prior to such setting or (3) if such Benchmark is none of the Term SOFR Rate or Daily Simple SOFR, the time determined by the Administrative Agent in its reasonable discretion.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Borrowing</w:t>
      </w:r>
      <w:r>
        <w:rPr>
          <w:rFonts w:ascii="Arial" w:cs="Arial" w:eastAsia="Arial" w:hAnsi="Arial"/>
          <w:sz w:val="18"/>
          <w:szCs w:val="18"/>
          <w:color w:val="auto"/>
        </w:rPr>
        <w:t>” means a borrowing of Refinancing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Commitments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Facility</w:t>
      </w:r>
      <w:r>
        <w:rPr>
          <w:rFonts w:ascii="Arial" w:cs="Arial" w:eastAsia="Arial" w:hAnsi="Arial"/>
          <w:sz w:val="18"/>
          <w:szCs w:val="18"/>
          <w:color w:val="auto"/>
        </w:rPr>
        <w:t>” means, at any time, as the context may require, the aggregate amount of the Refinancing Lenders’ Refinancing Commitments and/or Refinancing Loans at such time and, in each case, but without duplication, the Credit Extensions made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Board of Governors as in effect from time to time and all official rulings and interpretations thereunder or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Board of Governors as in effect from time to time and all official rulings and interpretations thereunder or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Board of Governors as in effect from time to time and all official rulings and interpretations thereunder or thereof.</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advisors, controlling persons, members, successors and assigns of such Person and of such Person’s Affiliates.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0000FF"/>
        </w:rPr>
        <w:t>“Relevant Governmental Body” means the Federal Reserve Board and/or the NYFRB, or a committee officially endorsed or convened by the Federal Reserve Board and/or the NYFRB or, in each case, any successor thereto.</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0000FF"/>
        </w:rPr>
        <w:t>“Relevant Rate” means (i) with respect to any Term Benchmark Borrowing, the Adjusted Term SOFR Rate or (ii) with respect to any RFR Borrowing, the Adjusted Daily Simple SOFR Rate, as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 waived.</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or conversion or continuation of Loans, a Committed Loan Notice and (b) with respect to an L/C Credit Extension, a Letter of Credit Application.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Incremental Term Loan Lenders</w:t>
      </w:r>
      <w:r>
        <w:rPr>
          <w:rFonts w:ascii="Arial" w:cs="Arial" w:eastAsia="Arial" w:hAnsi="Arial"/>
          <w:sz w:val="16"/>
          <w:szCs w:val="16"/>
          <w:color w:val="auto"/>
        </w:rPr>
        <w:t>” means, as of any date of determination, with respect to each Series of Incremental Term Loans, Incremental Term Loan Lenders holding more than 50% of such Series on such date; provided that the portion of such Series of Incremental Term Loans held or deemed held by any Defaulting Lender shall be excluded for purposes of making a determination of Required Incremental Term Loan Lenders.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holding more than 50% of the sum of the (a) Total Outstandings (with the aggregate amount of each Lender’s risk participation and funded participation in L/C Obligations being deemed “held” by such Lender for purposes of this definition) and (b) aggregate unused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Commitment of, and the portion of the Total Outstandings held or deemed held by, any Defaulting Lender shall be excluded for purposes of making a determination of Required Lenders.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Credit Lenders</w:t>
      </w:r>
      <w:r>
        <w:rPr>
          <w:rFonts w:ascii="Arial" w:cs="Arial" w:eastAsia="Arial" w:hAnsi="Arial"/>
          <w:sz w:val="17"/>
          <w:szCs w:val="17"/>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unused Revolving Credit Commitment of, and the portion of the Total Revolving Credit Outstandings held or deemed held by, any Defaulting Lender shall be excluded for purposes of making a determination of Required Revolving Credit Lenders.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assistant treasurer or controller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Borrowing</w:t>
      </w:r>
      <w:r>
        <w:rPr>
          <w:rFonts w:ascii="Arial" w:cs="Arial" w:eastAsia="Arial" w:hAnsi="Arial"/>
          <w:sz w:val="16"/>
          <w:szCs w:val="16"/>
          <w:color w:val="auto"/>
        </w:rPr>
        <w:t xml:space="preserve">” means a borrowing consisting of one or more simultaneous Revolving Credit Loans of the same Type and, in the case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w:t>
      </w:r>
      <w:r>
        <w:rPr>
          <w:rFonts w:ascii="Arial" w:cs="Arial" w:eastAsia="Arial" w:hAnsi="Arial"/>
          <w:sz w:val="16"/>
          <w:szCs w:val="16"/>
          <w:b w:val="1"/>
          <w:bCs w:val="1"/>
          <w:color w:val="FF0000"/>
        </w:rPr>
        <w:t xml:space="preserve"> </w:t>
      </w:r>
      <w:r>
        <w:rPr>
          <w:rFonts w:ascii="Arial" w:cs="Arial" w:eastAsia="Arial" w:hAnsi="Arial"/>
          <w:sz w:val="16"/>
          <w:szCs w:val="16"/>
          <w:color w:val="000000"/>
        </w:rPr>
        <w:t>Loans, having the same Interest Period made by each of the Revolving Credit Lenders pursuant to</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Section 2.01</w:t>
      </w:r>
      <w:r>
        <w:rPr>
          <w:rFonts w:ascii="Arial" w:cs="Arial" w:eastAsia="Arial" w:hAnsi="Arial"/>
          <w:sz w:val="16"/>
          <w:szCs w:val="16"/>
          <w:color w:val="000000"/>
        </w:rPr>
        <w:t>.</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Commitment</w:t>
      </w:r>
      <w:r>
        <w:rPr>
          <w:rFonts w:ascii="Arial" w:cs="Arial" w:eastAsia="Arial" w:hAnsi="Arial"/>
          <w:sz w:val="16"/>
          <w:szCs w:val="16"/>
          <w:color w:val="auto"/>
        </w:rPr>
        <w:t xml:space="preserve">” means, as to each Revolving Credit Lender, its obligation to (a) make Revolving Credit Loans to the Borrower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and (b) purchase participations in L/C Obligations, in an aggregate principal amount at any one time outstanding not to exceed the amount set forth opposite such Revolving Credit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“Revolving Credit Commitment” or opposite such caption in the Assignment and Assumption, Incremental Amendment, Extension Amendment or Refinancing Amendment pursuant to which such Revolving Credit Lender becomes a party hereto, as applicable, as such amount may be adjusted from time to time in accordance with this Agreement.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Revolving Credit Lender at any time, the aggregate principal amount at such time of its outstanding Revolving Credit Loans and such Revolving Credit Lender’s participation in L/C Obligations at such time.</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xml:space="preserve">” means, at any time, the aggregate amount of the Revolving Credit Lenders’ Revolving Credit Commitments of a given Class at such time. For the avoidance of doubt, any Incremental Revolving Credit Commitments may constitute part of an existing Class of Revolving Credit Commitments constituting a Revolving Credit Facility or may constitute a new Revolving Credit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may be no more than two Revolving Credit Facilities in effect at any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any Lender that has a Revolving Credit Commitment at such time or that has Revolving Credit Loans or risk participations in L/C Obligations outstanding at such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FF0000"/>
          <w:strike w:val="1"/>
        </w:rPr>
        <w:t>“</w:t>
      </w:r>
      <w:r>
        <w:rPr>
          <w:rFonts w:ascii="Arial" w:cs="Arial" w:eastAsia="Arial" w:hAnsi="Arial"/>
          <w:sz w:val="17"/>
          <w:szCs w:val="17"/>
          <w:b w:val="1"/>
          <w:bCs w:val="1"/>
          <w:u w:val="single" w:color="auto"/>
          <w:color w:val="FF0000"/>
          <w:strike w:val="1"/>
        </w:rPr>
        <w:t>RoFo Agreement</w:t>
      </w:r>
      <w:r>
        <w:rPr>
          <w:rFonts w:ascii="Arial" w:cs="Arial" w:eastAsia="Arial" w:hAnsi="Arial"/>
          <w:sz w:val="17"/>
          <w:szCs w:val="17"/>
          <w:b w:val="1"/>
          <w:bCs w:val="1"/>
          <w:color w:val="FF0000"/>
          <w:strike w:val="1"/>
        </w:rPr>
        <w:t>” means (a) prior to the Acquisition Closing Date, the Right of First Offer Agreement dated as of the Original Closing Date by and between NRG Energy, Inc. (and its successors) and Parent and (b) on and after the Acquisition Closing Date, the Right of First Offer Agreement, to be dated on or about the Acquisition Closing Date and substantially in the form provided to the Administrative Agent prior to the A&amp;R Credit Agreement Third Amendment Effective Date, among Parent and certain Sponsor Affiliates, in each case as amended, supplemented, modified or otherwise replaced from time to time, other than any such amendments, supplements, modifications or replacements that would be materially adverse to the interest of the Lenders in their capacity as such.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“RFR Borrowing” means, as to any Borrowing, the RFR Loans comprising such Borrowing.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“RFR Loan” means a Loan that bears interest at a rate based on the Adjusted Daily Simple SOFR Rate.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xml:space="preserve">” means Standard &amp; Poor’s </w:t>
      </w:r>
      <w:r>
        <w:rPr>
          <w:rFonts w:ascii="Arial" w:cs="Arial" w:eastAsia="Arial" w:hAnsi="Arial"/>
          <w:sz w:val="18"/>
          <w:szCs w:val="18"/>
          <w:b w:val="1"/>
          <w:bCs w:val="1"/>
          <w:u w:val="single" w:color="auto"/>
          <w:color w:val="0000FF"/>
        </w:rPr>
        <w:t>Rating Services, a Standard &amp; Poor’s</w:t>
      </w:r>
      <w:r>
        <w:rPr>
          <w:rFonts w:ascii="Arial" w:cs="Arial" w:eastAsia="Arial" w:hAnsi="Arial"/>
          <w:sz w:val="18"/>
          <w:szCs w:val="18"/>
          <w:color w:val="auto"/>
        </w:rPr>
        <w:t xml:space="preserve"> Financial Services LLC</w:t>
      </w:r>
      <w:r>
        <w:rPr>
          <w:rFonts w:ascii="Arial" w:cs="Arial" w:eastAsia="Arial" w:hAnsi="Arial"/>
          <w:sz w:val="18"/>
          <w:szCs w:val="18"/>
          <w:b w:val="1"/>
          <w:bCs w:val="1"/>
          <w:color w:val="FF0000"/>
          <w:strike w:val="1"/>
        </w:rPr>
        <w:t>, a subsidiary of The McGraw-Hill Companies, Inc.,</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and any successor thereto</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business</w:t>
      </w:r>
      <w:r>
        <w:rPr>
          <w:rFonts w:ascii="Arial" w:cs="Arial" w:eastAsia="Arial" w:hAnsi="Arial"/>
          <w:sz w:val="18"/>
          <w:szCs w:val="18"/>
          <w:color w:val="000000"/>
        </w:rPr>
        <w: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means, at any time, a country, region or territory which is itself the subject of comprehensive Sanctions (at the time of this Agreement, </w:t>
      </w:r>
      <w:r>
        <w:rPr>
          <w:rFonts w:ascii="Arial" w:cs="Arial" w:eastAsia="Arial" w:hAnsi="Arial"/>
          <w:sz w:val="18"/>
          <w:szCs w:val="18"/>
          <w:b w:val="1"/>
          <w:bCs w:val="1"/>
          <w:u w:val="single" w:color="auto"/>
          <w:color w:val="0000FF"/>
        </w:rPr>
        <w:t>the so-called Donetsk People’s Republic, the so-called Luhansk People’s Republic, the</w:t>
      </w:r>
      <w:r>
        <w:rPr>
          <w:rFonts w:ascii="Arial" w:cs="Arial" w:eastAsia="Arial" w:hAnsi="Arial"/>
          <w:sz w:val="18"/>
          <w:szCs w:val="18"/>
          <w:color w:val="auto"/>
        </w:rPr>
        <w:t xml:space="preserve"> Crimea, </w:t>
      </w:r>
      <w:r>
        <w:rPr>
          <w:rFonts w:ascii="Arial" w:cs="Arial" w:eastAsia="Arial" w:hAnsi="Arial"/>
          <w:sz w:val="18"/>
          <w:szCs w:val="18"/>
          <w:b w:val="1"/>
          <w:bCs w:val="1"/>
          <w:u w:val="single" w:color="auto"/>
          <w:color w:val="0000FF"/>
        </w:rPr>
        <w:t>Zaporizhzhia and Kherson Regions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Ukraine,</w:t>
      </w:r>
      <w:r>
        <w:rPr>
          <w:rFonts w:ascii="Arial" w:cs="Arial" w:eastAsia="Arial" w:hAnsi="Arial"/>
          <w:sz w:val="18"/>
          <w:szCs w:val="18"/>
          <w:b w:val="1"/>
          <w:bCs w:val="1"/>
          <w:color w:val="0000FF"/>
        </w:rPr>
        <w:t xml:space="preserve"> </w:t>
      </w:r>
      <w:r>
        <w:rPr>
          <w:rFonts w:ascii="Arial" w:cs="Arial" w:eastAsia="Arial" w:hAnsi="Arial"/>
          <w:sz w:val="18"/>
          <w:szCs w:val="18"/>
          <w:color w:val="000000"/>
        </w:rPr>
        <w:t>Cuba, Iran, North Korea</w:t>
      </w:r>
      <w:r>
        <w:rPr>
          <w:rFonts w:ascii="Arial" w:cs="Arial" w:eastAsia="Arial" w:hAnsi="Arial"/>
          <w:sz w:val="18"/>
          <w:szCs w:val="18"/>
          <w:b w:val="1"/>
          <w:bCs w:val="1"/>
          <w:color w:val="FF0000"/>
          <w:strike w:val="1"/>
        </w:rPr>
        <w:t>, Sudan</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Syria).</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w:t>
      </w:r>
      <w:r>
        <w:rPr>
          <w:rFonts w:ascii="Arial" w:cs="Arial" w:eastAsia="Arial" w:hAnsi="Arial"/>
          <w:sz w:val="16"/>
          <w:szCs w:val="16"/>
          <w:b w:val="1"/>
          <w:bCs w:val="1"/>
          <w:color w:val="FF0000"/>
          <w:strike w:val="1"/>
        </w:rPr>
        <w:t>member</w:t>
      </w:r>
      <w:r>
        <w:rPr>
          <w:rFonts w:ascii="Arial" w:cs="Arial" w:eastAsia="Arial" w:hAnsi="Arial"/>
          <w:sz w:val="16"/>
          <w:szCs w:val="16"/>
          <w:b w:val="1"/>
          <w:bCs w:val="1"/>
          <w:u w:val="single" w:color="auto"/>
          <w:color w:val="0000FF"/>
        </w:rPr>
        <w:t>Member</w:t>
      </w:r>
      <w:r>
        <w:rPr>
          <w:rFonts w:ascii="Arial" w:cs="Arial" w:eastAsia="Arial" w:hAnsi="Arial"/>
          <w:sz w:val="16"/>
          <w:szCs w:val="16"/>
          <w:color w:val="auto"/>
        </w:rPr>
        <w:t xml:space="preserve"> state </w:t>
      </w:r>
      <w:r>
        <w:rPr>
          <w:rFonts w:ascii="Arial" w:cs="Arial" w:eastAsia="Arial" w:hAnsi="Arial"/>
          <w:sz w:val="16"/>
          <w:szCs w:val="16"/>
          <w:b w:val="1"/>
          <w:bCs w:val="1"/>
          <w:color w:val="FF0000"/>
        </w:rPr>
        <w:t>or Her</w:t>
      </w:r>
      <w:r>
        <w:rPr>
          <w:rFonts w:ascii="Arial" w:cs="Arial" w:eastAsia="Arial" w:hAnsi="Arial"/>
          <w:sz w:val="16"/>
          <w:szCs w:val="16"/>
          <w:b w:val="1"/>
          <w:bCs w:val="1"/>
          <w:u w:val="single" w:color="auto"/>
          <w:color w:val="0000FF"/>
        </w:rPr>
        <w:t>, His</w:t>
      </w:r>
      <w:r>
        <w:rPr>
          <w:rFonts w:ascii="Arial" w:cs="Arial" w:eastAsia="Arial" w:hAnsi="Arial"/>
          <w:sz w:val="16"/>
          <w:szCs w:val="16"/>
          <w:color w:val="auto"/>
        </w:rPr>
        <w:t xml:space="preserve"> Majesty’s Treasury of the United Kingdom</w:t>
      </w:r>
      <w:r>
        <w:rPr>
          <w:rFonts w:ascii="Arial" w:cs="Arial" w:eastAsia="Arial" w:hAnsi="Arial"/>
          <w:sz w:val="16"/>
          <w:szCs w:val="16"/>
          <w:b w:val="1"/>
          <w:bCs w:val="1"/>
          <w:color w:val="FF0000"/>
          <w:strike w:val="1"/>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or the Australian Department of Foreign Affairs and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Trade</w:t>
      </w:r>
      <w:r>
        <w:rPr>
          <w:rFonts w:ascii="Arial" w:cs="Arial" w:eastAsia="Arial" w:hAnsi="Arial"/>
          <w:sz w:val="16"/>
          <w:szCs w:val="16"/>
          <w:b w:val="1"/>
          <w:bCs w:val="1"/>
          <w:color w:val="0000FF"/>
        </w:rPr>
        <w:t xml:space="preserve"> </w:t>
      </w:r>
      <w:r>
        <w:rPr>
          <w:rFonts w:ascii="Arial" w:cs="Arial" w:eastAsia="Arial" w:hAnsi="Arial"/>
          <w:sz w:val="16"/>
          <w:szCs w:val="16"/>
          <w:color w:val="000000"/>
        </w:rPr>
        <w:t>(b) any Person operating, organized or resident in a Sanctioned Country,</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or</w:t>
      </w:r>
      <w:r>
        <w:rPr>
          <w:rFonts w:ascii="Arial" w:cs="Arial" w:eastAsia="Arial" w:hAnsi="Arial"/>
          <w:sz w:val="16"/>
          <w:szCs w:val="16"/>
          <w:b w:val="1"/>
          <w:bCs w:val="1"/>
          <w:color w:val="0000FF"/>
        </w:rPr>
        <w:t xml:space="preserve"> </w:t>
      </w:r>
      <w:r>
        <w:rPr>
          <w:rFonts w:ascii="Arial" w:cs="Arial" w:eastAsia="Arial" w:hAnsi="Arial"/>
          <w:sz w:val="16"/>
          <w:szCs w:val="16"/>
          <w:color w:val="000000"/>
        </w:rPr>
        <w:t>(c) any Person owned</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50%</w:t>
      </w:r>
      <w:r>
        <w:rPr>
          <w:rFonts w:ascii="Arial" w:cs="Arial" w:eastAsia="Arial" w:hAnsi="Arial"/>
          <w:sz w:val="16"/>
          <w:szCs w:val="16"/>
          <w:b w:val="1"/>
          <w:bCs w:val="1"/>
          <w:color w:val="0000FF"/>
        </w:rPr>
        <w:t xml:space="preserve"> </w:t>
      </w:r>
      <w:r>
        <w:rPr>
          <w:rFonts w:ascii="Arial" w:cs="Arial" w:eastAsia="Arial" w:hAnsi="Arial"/>
          <w:sz w:val="16"/>
          <w:szCs w:val="16"/>
          <w:color w:val="000000"/>
        </w:rPr>
        <w:t>or</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controlled</w:t>
      </w:r>
      <w:r>
        <w:rPr>
          <w:rFonts w:ascii="Arial" w:cs="Arial" w:eastAsia="Arial" w:hAnsi="Arial"/>
          <w:sz w:val="16"/>
          <w:szCs w:val="16"/>
          <w:b w:val="1"/>
          <w:bCs w:val="1"/>
          <w:u w:val="single" w:color="auto"/>
          <w:color w:val="0000FF"/>
        </w:rPr>
        <w:t>more</w:t>
      </w:r>
      <w:r>
        <w:rPr>
          <w:rFonts w:ascii="Arial" w:cs="Arial" w:eastAsia="Arial" w:hAnsi="Arial"/>
          <w:sz w:val="16"/>
          <w:szCs w:val="16"/>
          <w:b w:val="1"/>
          <w:bCs w:val="1"/>
          <w:color w:val="0000FF"/>
        </w:rPr>
        <w:t xml:space="preserve"> </w:t>
      </w:r>
      <w:r>
        <w:rPr>
          <w:rFonts w:ascii="Arial" w:cs="Arial" w:eastAsia="Arial" w:hAnsi="Arial"/>
          <w:sz w:val="16"/>
          <w:szCs w:val="16"/>
          <w:color w:val="000000"/>
        </w:rPr>
        <w:t>by any such Person or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Persons described in the foregoing </w:t>
      </w:r>
      <w:r>
        <w:rPr>
          <w:rFonts w:ascii="Arial" w:cs="Arial" w:eastAsia="Arial" w:hAnsi="Arial"/>
          <w:sz w:val="16"/>
          <w:szCs w:val="16"/>
          <w:b w:val="1"/>
          <w:bCs w:val="1"/>
          <w:color w:val="FF0000"/>
          <w:strike w:val="1"/>
        </w:rPr>
        <w:t>clauses</w:t>
      </w:r>
      <w:r>
        <w:rPr>
          <w:rFonts w:ascii="Arial" w:cs="Arial" w:eastAsia="Arial" w:hAnsi="Arial"/>
          <w:sz w:val="16"/>
          <w:szCs w:val="16"/>
          <w:b w:val="1"/>
          <w:bCs w:val="1"/>
          <w:u w:val="single" w:color="auto"/>
          <w:color w:val="0000FF"/>
        </w:rPr>
        <w:t>clause</w:t>
      </w:r>
      <w:r>
        <w:rPr>
          <w:rFonts w:ascii="Arial" w:cs="Arial" w:eastAsia="Arial" w:hAnsi="Arial"/>
          <w:sz w:val="16"/>
          <w:szCs w:val="16"/>
          <w:color w:val="000000"/>
        </w:rPr>
        <w:t xml:space="preserve"> (a) or (</w:t>
      </w:r>
      <w:r>
        <w:rPr>
          <w:rFonts w:ascii="Arial" w:cs="Arial" w:eastAsia="Arial" w:hAnsi="Arial"/>
          <w:sz w:val="16"/>
          <w:szCs w:val="16"/>
          <w:b w:val="1"/>
          <w:bCs w:val="1"/>
          <w:color w:val="FF0000"/>
          <w:strike w:val="1"/>
        </w:rPr>
        <w:t>b</w:t>
      </w:r>
      <w:r>
        <w:rPr>
          <w:rFonts w:ascii="Arial" w:cs="Arial" w:eastAsia="Arial" w:hAnsi="Arial"/>
          <w:sz w:val="16"/>
          <w:szCs w:val="16"/>
          <w:b w:val="1"/>
          <w:bCs w:val="1"/>
          <w:u w:val="single" w:color="auto"/>
          <w:color w:val="0000FF"/>
        </w:rPr>
        <w:t>d</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any Person otherwise the subject of Sanctions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-376555</wp:posOffset>
            </wp:positionV>
            <wp:extent cx="3638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3855" cy="8890"/>
                    </a:xfrm>
                    <a:prstGeom prst="rect">
                      <a:avLst/>
                    </a:prstGeom>
                    <a:noFill/>
                  </pic:spPr>
                </pic:pic>
              </a:graphicData>
            </a:graphic>
          </wp:anchor>
        </w:drawing>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means all economic or financial sanctions or trade embargoes imposed, administered or enforced from time to time by (a) the U.S. government, including those administered by the Office of Foreign Assets Control of the U.S. Department of the Treasury or the U.S. Department of State, </w:t>
      </w:r>
      <w:r>
        <w:rPr>
          <w:rFonts w:ascii="Arial" w:cs="Arial" w:eastAsia="Arial" w:hAnsi="Arial"/>
          <w:sz w:val="18"/>
          <w:szCs w:val="18"/>
          <w:b w:val="1"/>
          <w:bCs w:val="1"/>
          <w:color w:val="FF0000"/>
          <w:strike w:val="1"/>
        </w:rPr>
        <w:t>or</w:t>
      </w:r>
      <w:r>
        <w:rPr>
          <w:rFonts w:ascii="Arial" w:cs="Arial" w:eastAsia="Arial" w:hAnsi="Arial"/>
          <w:sz w:val="18"/>
          <w:szCs w:val="18"/>
          <w:b w:val="1"/>
          <w:bCs w:val="1"/>
          <w:color w:val="FF0000"/>
        </w:rPr>
        <w:t xml:space="preserve"> </w:t>
      </w:r>
      <w:r>
        <w:rPr>
          <w:rFonts w:ascii="Arial" w:cs="Arial" w:eastAsia="Arial" w:hAnsi="Arial"/>
          <w:sz w:val="18"/>
          <w:szCs w:val="18"/>
          <w:color w:val="000000"/>
        </w:rPr>
        <w:t>(b) the United Nations Security Council, the European Union</w:t>
      </w:r>
      <w:r>
        <w:rPr>
          <w:rFonts w:ascii="Arial" w:cs="Arial" w:eastAsia="Arial" w:hAnsi="Arial"/>
          <w:sz w:val="18"/>
          <w:szCs w:val="18"/>
          <w:b w:val="1"/>
          <w:bCs w:val="1"/>
          <w:u w:val="single" w:color="auto"/>
          <w:color w:val="0000FF"/>
        </w:rPr>
        <w:t>, any European Union Member State,</w:t>
      </w:r>
      <w:r>
        <w:rPr>
          <w:rFonts w:ascii="Arial" w:cs="Arial" w:eastAsia="Arial" w:hAnsi="Arial"/>
          <w:sz w:val="18"/>
          <w:szCs w:val="18"/>
          <w:b w:val="1"/>
          <w:bCs w:val="1"/>
          <w:color w:val="FF0000"/>
        </w:rPr>
        <w:t xml:space="preserve"> </w:t>
      </w:r>
      <w:r>
        <w:rPr>
          <w:rFonts w:ascii="Arial" w:cs="Arial" w:eastAsia="Arial" w:hAnsi="Arial"/>
          <w:sz w:val="18"/>
          <w:szCs w:val="18"/>
          <w:color w:val="000000"/>
        </w:rPr>
        <w:t>or the United Kingdom</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0000FF"/>
        </w:rPr>
        <w:t>or (c) the Australian</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Department of Foreign Affairs and Trade</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-154940</wp:posOffset>
            </wp:positionV>
            <wp:extent cx="10718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-172085</wp:posOffset>
            </wp:positionV>
            <wp:extent cx="10731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7315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Intercreditor Agreement</w:t>
      </w:r>
      <w:r>
        <w:rPr>
          <w:rFonts w:ascii="Arial" w:cs="Arial" w:eastAsia="Arial" w:hAnsi="Arial"/>
          <w:sz w:val="18"/>
          <w:szCs w:val="18"/>
          <w:color w:val="auto"/>
        </w:rPr>
        <w:t xml:space="preserve">” means a Second Lien Intercreditor Agreement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the Borrower and any Cash Management Bank and that is designated by the Borrower as such.</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interest rate </w:t>
      </w:r>
      <w:r>
        <w:rPr>
          <w:rFonts w:ascii="Arial" w:cs="Arial" w:eastAsia="Arial" w:hAnsi="Arial"/>
          <w:sz w:val="18"/>
          <w:szCs w:val="18"/>
          <w:b w:val="1"/>
          <w:bCs w:val="1"/>
          <w:u w:val="single" w:color="auto"/>
          <w:color w:val="0000FF"/>
        </w:rPr>
        <w:t>or commodity</w:t>
      </w:r>
      <w:r>
        <w:rPr>
          <w:rFonts w:ascii="Arial" w:cs="Arial" w:eastAsia="Arial" w:hAnsi="Arial"/>
          <w:sz w:val="18"/>
          <w:szCs w:val="18"/>
          <w:color w:val="auto"/>
        </w:rPr>
        <w:t xml:space="preserve"> Swap Contract permitted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is entered into by and between the Borrower and any Hedge Bank and that is designated by the Borrower as such.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 Issuers, the Hedge Banks, the Cash Management Banks, each Indemnitee, and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Agreements</w:t>
      </w:r>
      <w:r>
        <w:rPr>
          <w:rFonts w:ascii="Arial" w:cs="Arial" w:eastAsia="Arial" w:hAnsi="Arial"/>
          <w:sz w:val="18"/>
          <w:szCs w:val="18"/>
          <w:color w:val="auto"/>
        </w:rPr>
        <w:t>” means each amended and restated securities account control agreement entered into by a Loan Party, the Administrative Agent, and the applicable securities intermediary party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“SOFR” means a rate equal to the secured overnight financing rate as administered by the SOFR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“SOFR Administrator” means the NYFRB (or a successor administrator of the secured overnight financing rate).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0000FF"/>
        </w:rPr>
        <w:t>“SOFR Administrator’s Website” means the NYFRB’s website, currently at http://www.newyorkfed.org, or any successor source for the secured overnight financing rate identified as such by the SOFR Administrator from time to time.</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Seventh Amendment</w:t>
      </w:r>
      <w:r>
        <w:rPr>
          <w:rFonts w:ascii="Arial" w:cs="Arial" w:eastAsia="Arial" w:hAnsi="Arial"/>
          <w:sz w:val="18"/>
          <w:szCs w:val="18"/>
          <w:b w:val="1"/>
          <w:bCs w:val="1"/>
          <w:color w:val="FF0000"/>
          <w:strike w:val="1"/>
        </w:rPr>
        <w:t>” means that certain Seventh Amendment to this Agreement, dated as of [ • ],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Seventh Amendment Effective Date</w:t>
      </w:r>
      <w:r>
        <w:rPr>
          <w:rFonts w:ascii="Arial" w:cs="Arial" w:eastAsia="Arial" w:hAnsi="Arial"/>
          <w:sz w:val="18"/>
          <w:szCs w:val="18"/>
          <w:b w:val="1"/>
          <w:bCs w:val="1"/>
          <w:color w:val="FF0000"/>
          <w:strike w:val="1"/>
        </w:rPr>
        <w:t>” has the meaning given to such term in the Seventh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Sixth Amendment</w:t>
      </w:r>
      <w:r>
        <w:rPr>
          <w:rFonts w:ascii="Arial" w:cs="Arial" w:eastAsia="Arial" w:hAnsi="Arial"/>
          <w:sz w:val="18"/>
          <w:szCs w:val="18"/>
          <w:b w:val="1"/>
          <w:bCs w:val="1"/>
          <w:color w:val="FF0000"/>
          <w:strike w:val="1"/>
        </w:rPr>
        <w:t>” means that certain Sixth Amendment to this Agreement, dated as of November 30, 2021.</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FF0000"/>
          <w:strike w:val="1"/>
        </w:rPr>
        <w:t>Sixth Amendment Effective</w:t>
      </w:r>
      <w:r>
        <w:rPr>
          <w:rFonts w:ascii="Arial" w:cs="Arial" w:eastAsia="Arial" w:hAnsi="Arial"/>
          <w:sz w:val="18"/>
          <w:szCs w:val="18"/>
          <w:b w:val="1"/>
          <w:bCs w:val="1"/>
          <w:u w:val="single" w:color="auto"/>
          <w:color w:val="0000FF"/>
        </w:rPr>
        <w:t>SOFR Determination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has the meaning </w:t>
      </w:r>
      <w:r>
        <w:rPr>
          <w:rFonts w:ascii="Arial" w:cs="Arial" w:eastAsia="Arial" w:hAnsi="Arial"/>
          <w:sz w:val="18"/>
          <w:szCs w:val="18"/>
          <w:b w:val="1"/>
          <w:bCs w:val="1"/>
          <w:color w:val="FF0000"/>
          <w:strike w:val="1"/>
        </w:rPr>
        <w:t>given to such term in the Sixth Amendment</w:t>
      </w:r>
      <w:r>
        <w:rPr>
          <w:rFonts w:ascii="Arial" w:cs="Arial" w:eastAsia="Arial" w:hAnsi="Arial"/>
          <w:sz w:val="18"/>
          <w:szCs w:val="18"/>
          <w:b w:val="1"/>
          <w:bCs w:val="1"/>
          <w:u w:val="single" w:color="auto"/>
          <w:color w:val="0000FF"/>
        </w:rPr>
        <w:t>specified in the definition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“Daily Simple SOFR”</w:t>
      </w:r>
      <w:r>
        <w:rPr>
          <w:rFonts w:ascii="Arial" w:cs="Arial" w:eastAsia="Arial" w:hAnsi="Arial"/>
          <w:sz w:val="18"/>
          <w:szCs w:val="18"/>
          <w:color w:val="000000"/>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“SOFR Rate Day” has the meaning specified in the definition of “Daily Simple SOFR”.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and “</w:t>
      </w:r>
      <w:r>
        <w:rPr>
          <w:rFonts w:ascii="Arial" w:cs="Arial" w:eastAsia="Arial" w:hAnsi="Arial"/>
          <w:sz w:val="16"/>
          <w:szCs w:val="16"/>
          <w:u w:val="single" w:color="auto"/>
          <w:color w:val="auto"/>
        </w:rPr>
        <w:t>Solvency</w:t>
      </w:r>
      <w:r>
        <w:rPr>
          <w:rFonts w:ascii="Arial" w:cs="Arial" w:eastAsia="Arial" w:hAnsi="Arial"/>
          <w:sz w:val="16"/>
          <w:szCs w:val="16"/>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w:t>
      </w:r>
    </w:p>
    <w:p>
      <w:pPr>
        <w:spacing w:after="0" w:line="1" w:lineRule="exact"/>
        <w:rPr>
          <w:sz w:val="20"/>
          <w:szCs w:val="20"/>
          <w:color w:val="auto"/>
        </w:rPr>
      </w:pPr>
    </w:p>
    <w:p>
      <w:pPr>
        <w:jc w:val="both"/>
        <w:ind w:firstLine="8"/>
        <w:spacing w:after="0" w:line="253" w:lineRule="auto"/>
        <w:tabs>
          <w:tab w:leader="none" w:pos="2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Person is not engaged in business or a transaction, and is not about to engage in business or a transaction, for which such Person’s property would constitute an unreasonably small capital and (e) such Person is able to pay its debts and liabilities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 and after taking into account any indemnification, contribution, subrogation and other similar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South Trent</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5.17(b)</w:t>
      </w:r>
      <w:r>
        <w:rPr>
          <w:rFonts w:ascii="Arial" w:cs="Arial" w:eastAsia="Arial" w:hAnsi="Arial"/>
          <w:sz w:val="18"/>
          <w:szCs w:val="18"/>
          <w:b w:val="1"/>
          <w:bCs w:val="1"/>
          <w:color w:val="FF0000"/>
          <w:strike w:val="1"/>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w:t>
      </w:r>
      <w:r>
        <w:rPr>
          <w:rFonts w:ascii="Arial" w:cs="Arial" w:eastAsia="Arial" w:hAnsi="Arial"/>
          <w:sz w:val="18"/>
          <w:szCs w:val="18"/>
          <w:color w:val="auto"/>
        </w:rPr>
        <w:t>r” 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Affiliates</w:t>
      </w:r>
      <w:r>
        <w:rPr>
          <w:rFonts w:ascii="Arial" w:cs="Arial" w:eastAsia="Arial" w:hAnsi="Arial"/>
          <w:sz w:val="18"/>
          <w:szCs w:val="18"/>
          <w:color w:val="auto"/>
        </w:rPr>
        <w:t>” means each Affiliate of the Sponsor that is not a portfolio company.</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0000FF"/>
        </w:rPr>
        <w:t>“Sponsor Subsidiary” means the entities listed on Schedule 1.01 and their respective Subsidiaries as of the A&amp;R Credit Agreement Eighth Amendment Effective Date.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means, with respect to the final installment of interest or principal on any series of Indebtedness, the date on which such payment of interest or principal was scheduled to be paid in the documentation governing such Indebtedness, and will not include any contingent obligations to repay, redeem or repurchase any such interest or principal prior to the date originally scheduled for the payment thereof.</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6"/>
          <w:szCs w:val="16"/>
          <w:u w:val="single" w:color="auto"/>
          <w:color w:val="auto"/>
        </w:rPr>
        <w:t>Subsidiary</w:t>
      </w:r>
      <w:r>
        <w:rPr>
          <w:rFonts w:ascii="Arial" w:cs="Arial" w:eastAsia="Arial" w:hAnsi="Arial"/>
          <w:sz w:val="16"/>
          <w:szCs w:val="16"/>
          <w:color w:val="auto"/>
        </w:rPr>
        <w:t>” or to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shall refer to a Subsidiary or Subsidiaries of Holdings and shall exclude all </w:t>
      </w:r>
      <w:r>
        <w:rPr>
          <w:rFonts w:ascii="Arial" w:cs="Arial" w:eastAsia="Arial" w:hAnsi="Arial"/>
          <w:sz w:val="16"/>
          <w:szCs w:val="16"/>
          <w:b w:val="1"/>
          <w:bCs w:val="1"/>
          <w:color w:val="FF0000"/>
          <w:strike w:val="1"/>
        </w:rPr>
        <w:t>Equity Investor</w:t>
      </w:r>
      <w:r>
        <w:rPr>
          <w:rFonts w:ascii="Arial" w:cs="Arial" w:eastAsia="Arial" w:hAnsi="Arial"/>
          <w:sz w:val="16"/>
          <w:szCs w:val="16"/>
          <w:b w:val="1"/>
          <w:bCs w:val="1"/>
          <w:u w:val="single" w:color="auto"/>
          <w:color w:val="0000FF"/>
        </w:rPr>
        <w:t>Sponsor</w:t>
      </w:r>
      <w:r>
        <w:rPr>
          <w:rFonts w:ascii="Arial" w:cs="Arial" w:eastAsia="Arial" w:hAnsi="Arial"/>
          <w:sz w:val="16"/>
          <w:szCs w:val="16"/>
          <w:color w:val="auto"/>
        </w:rPr>
        <w:t xml:space="preserve"> Subsidiaries.</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both"/>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foreign exchange and/or currency hedges, swaps, collars, caps or other similar currency derivatives,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w:t>
      </w:r>
    </w:p>
    <w:p>
      <w:pPr>
        <w:spacing w:after="0" w:line="4" w:lineRule="exact"/>
        <w:rPr>
          <w:sz w:val="20"/>
          <w:szCs w:val="20"/>
          <w:color w:val="auto"/>
        </w:rPr>
      </w:pPr>
    </w:p>
    <w:p>
      <w:pPr>
        <w:jc w:val="both"/>
        <w:ind w:firstLine="8"/>
        <w:spacing w:after="0" w:line="269" w:lineRule="auto"/>
        <w:tabs>
          <w:tab w:leader="none" w:pos="29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swaps, caps, collars, puts, calls, floors, futures, options, spots, forwards, power purchase or sale agreements, emissions credit purchase or sales agreements, power transmission agreements, netting agreements, commercial or trading agreements, each with respect to, or involving the purchase, transmission, distribution, sale, lease or hedge of, any energy, generation capacity or fuel, or any other energy commodity, service or risk, price or price indices for any such commodities and (c)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 Agreement</w:t>
      </w:r>
      <w:r>
        <w:rPr>
          <w:rFonts w:ascii="Arial" w:cs="Arial" w:eastAsia="Arial" w:hAnsi="Arial"/>
          <w:sz w:val="17"/>
          <w:szCs w:val="17"/>
          <w:color w:val="auto"/>
        </w:rPr>
        <w:t>”), including any such obligations or liabilities under any Master Agreement.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SWIFT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2.03(f)</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Arial" w:cs="Arial" w:eastAsia="Arial" w:hAnsi="Arial"/>
          <w:sz w:val="18"/>
          <w:szCs w:val="18"/>
          <w:u w:val="single" w:color="auto"/>
          <w:color w:val="auto"/>
        </w:rPr>
        <w:t>Indebtedness</w:t>
      </w:r>
      <w:r>
        <w:rPr>
          <w:rFonts w:ascii="Arial" w:cs="Arial" w:eastAsia="Arial" w:hAnsi="Arial"/>
          <w:sz w:val="18"/>
          <w:szCs w:val="18"/>
          <w:color w:val="auto"/>
        </w:rPr>
        <w:t>” or as a liability on the consolidated balance sheet of such Person and its Subsidiaries in accordance with GAAP.</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 Obligation</w:t>
      </w:r>
      <w:r>
        <w:rPr>
          <w:rFonts w:ascii="Arial" w:cs="Arial" w:eastAsia="Arial" w:hAnsi="Arial"/>
          <w:sz w:val="18"/>
          <w:szCs w:val="18"/>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Equity Partner</w:t>
      </w:r>
      <w:r>
        <w:rPr>
          <w:rFonts w:ascii="Arial" w:cs="Arial" w:eastAsia="Arial" w:hAnsi="Arial"/>
          <w:sz w:val="17"/>
          <w:szCs w:val="17"/>
          <w:color w:val="auto"/>
        </w:rPr>
        <w:t>” means any tax equity partner that (x) has entered into a joint venture agreement, limited liability company agreement or similar arrangement with a Project Company (and/or a Company Group Party that is a direct or indirect parent company of such Project Company) in connection with the consummation of a Permitted Tax Equity Financing and (y) is not an Affiliate of such Project Company or Company Group Party.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0000FF"/>
        </w:rPr>
        <w:t>“Term Benchmark” when used in reference to any Loan or Borrowing, refers to whether such Loan, or the Loans comprising such Borrowing, are bearing interest at a rate determined by reference to the Adjusted Term SOFR Rate other than pursuant to clause (c) of the definition of “Base Rate”.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“Term SOFR Determination Day” has the meaning specified in the definition of Term SOFR Reference Rate.</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u w:val="single" w:color="auto"/>
          <w:color w:val="0000FF"/>
        </w:rPr>
        <w:t>“Term SOFR Rate”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u w:val="single" w:color="auto"/>
          <w:color w:val="0000FF"/>
        </w:rPr>
        <w:t>“Term SOFR Reference Rate” means, for any day and time (such day, the “Term SOFR Determination Day”), with respect to any Term Benchmark Borrowing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Thermal Utilities</w:t>
      </w:r>
      <w:r>
        <w:rPr>
          <w:rFonts w:ascii="Arial" w:cs="Arial" w:eastAsia="Arial" w:hAnsi="Arial"/>
          <w:sz w:val="17"/>
          <w:szCs w:val="17"/>
          <w:color w:val="auto"/>
        </w:rPr>
        <w:t>” means Generation Portfolio Companies, Project Companies, or Company Group Parties that are regulated as public utilities by state public utility commissions, but only with regard to their production and sale of thermal energy in the form of steam and chilled water.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w:t>
      </w:r>
      <w:r>
        <w:rPr>
          <w:rFonts w:ascii="Arial" w:cs="Arial" w:eastAsia="Arial" w:hAnsi="Arial"/>
          <w:sz w:val="18"/>
          <w:szCs w:val="18"/>
          <w:b w:val="1"/>
          <w:bCs w:val="1"/>
          <w:color w:val="FF0000"/>
          <w:strike w:val="1"/>
        </w:rPr>
        <w:t>100,000,000</w:t>
      </w:r>
      <w:r>
        <w:rPr>
          <w:rFonts w:ascii="Arial" w:cs="Arial" w:eastAsia="Arial" w:hAnsi="Arial"/>
          <w:sz w:val="18"/>
          <w:szCs w:val="18"/>
          <w:b w:val="1"/>
          <w:bCs w:val="1"/>
          <w:u w:val="single" w:color="auto"/>
          <w:color w:val="0000FF"/>
        </w:rPr>
        <w:t>120,000,000</w:t>
      </w:r>
      <w:r>
        <w:rPr>
          <w:rFonts w:ascii="Arial" w:cs="Arial" w:eastAsia="Arial" w:hAnsi="Arial"/>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Thor PSA</w:t>
      </w:r>
      <w:r>
        <w:rPr>
          <w:rFonts w:ascii="Arial" w:cs="Arial" w:eastAsia="Arial" w:hAnsi="Arial"/>
          <w:sz w:val="18"/>
          <w:szCs w:val="18"/>
          <w:b w:val="1"/>
          <w:bCs w:val="1"/>
          <w:color w:val="FF0000"/>
          <w:strike w:val="1"/>
        </w:rPr>
        <w:t>” means the Membership Interest Purchase Agreement, dated as of October 22, 2021, between the Borrower and KKR Thor Bidco, LLC.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Assets</w:t>
      </w:r>
      <w:r>
        <w:rPr>
          <w:rFonts w:ascii="Arial" w:cs="Arial" w:eastAsia="Arial" w:hAnsi="Arial"/>
          <w:sz w:val="16"/>
          <w:szCs w:val="16"/>
          <w:color w:val="auto"/>
        </w:rPr>
        <w:t>” means, as at any date of determination, the tangible assets of the Loan Parties determined on a consolidated basis and without duplication.</w:t>
      </w:r>
    </w:p>
    <w:p>
      <w:pPr>
        <w:spacing w:after="0" w:line="24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Debt</w:t>
      </w:r>
      <w:r>
        <w:rPr>
          <w:rFonts w:ascii="Arial" w:cs="Arial" w:eastAsia="Arial" w:hAnsi="Arial"/>
          <w:sz w:val="16"/>
          <w:szCs w:val="16"/>
          <w:color w:val="auto"/>
        </w:rPr>
        <w:t xml:space="preserve">” means, as of any date of determination, for the Borrower and the Guarantors, the sum of (a) the outstanding principal amount of all obligations, whether current or long-term, for borrowed money (including Obligations hereunder constituting indebtedness for borrowed money) and all obligations evidenced by bonds, debentures, notes, loan agreements or other similar instruments constituting Indebtedness,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constituting Indebtedness, (e) all Attributable Indebtedness, (f) without duplication, all Guarantees with respect to outstanding Indebtedness of the types specified in clauses (a) through (e) above of Persons other than the Borrower and the Guarantors and (g) all Indebtedness of the types referred to in clauses (a) through (f) above of any partnership or joint venture (other than a joint venture that is itself a corporation or limited liability company) in which the Borrower or any Guarantor is a general partner or joint venturer, unless such Indebtedness is expressly made non- recourse or limited recourse to the Borrower and the Guarantors (it being understood that, in respect of limited recourse Indebtedness, Total Debt will be limited to the extent of such recourse). Notwithstanding anything herein to the contrary, (i) the undrawn amount of any Letters of Credit that are outstanding shall be excluded and not be given any effect in the calculation of Total Debt, </w:t>
      </w:r>
      <w:r>
        <w:rPr>
          <w:rFonts w:ascii="Arial" w:cs="Arial" w:eastAsia="Arial" w:hAnsi="Arial"/>
          <w:sz w:val="16"/>
          <w:szCs w:val="16"/>
          <w:b w:val="1"/>
          <w:bCs w:val="1"/>
          <w:u w:val="single" w:color="auto"/>
          <w:color w:val="0000FF"/>
        </w:rPr>
        <w:t>and</w:t>
      </w:r>
      <w:r>
        <w:rPr>
          <w:rFonts w:ascii="Arial" w:cs="Arial" w:eastAsia="Arial" w:hAnsi="Arial"/>
          <w:sz w:val="16"/>
          <w:szCs w:val="16"/>
          <w:color w:val="auto"/>
        </w:rPr>
        <w:t xml:space="preserve"> (ii) the amount of any surety bonds that are outstanding and that are not subject to an outstanding claim shall be excluded and not be given any effect in the calculation of Total Debt</w:t>
      </w:r>
      <w:r>
        <w:rPr>
          <w:rFonts w:ascii="Arial" w:cs="Arial" w:eastAsia="Arial" w:hAnsi="Arial"/>
          <w:sz w:val="16"/>
          <w:szCs w:val="16"/>
          <w:b w:val="1"/>
          <w:bCs w:val="1"/>
          <w:color w:val="FF0000"/>
          <w:strike w:val="1"/>
        </w:rPr>
        <w:t>, (iii) for so long as the Borrower guarantees the Indebtedness represented by the Convertible Senior Notes, the</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FF0000"/>
          <w:strike w:val="1"/>
        </w:rPr>
        <w:t>Parent CSN Proceeds Loan shall not constitute Total Debt, except to the extent the aggregate principal amount of the Parent CSN Proceeds Loan exceeds the aggregate principal amount guaranteed by the Borrower in respect of the Indebtedness represented by the Convertible Senior Notes (in which case the amount of such excess shall constitute Total Debt in addition to the amount guaranteed by the Borrower in respect of the Indebtedness represented by the Convertible Senior Notes) and (iv) solely for any Measurement Period ending on or prior to December 31, 2018, Guarantees with respect to Permitted Refinancing Convertible Senior Notes issued, in whole or in part, to refinance the Original Convertible Senior Notes, or Parent CSN Proceeds Loans relating thereto, shall not constitute Total Debt to the extent of the portion of the proceeds of such Permitted Refinancing Convertible Senior Notes irrevocably deposited by the Parent in a segregated account pursuant to an escrow (or similar) agreement in form and substance reasonably acceptable to the Administrative Agent pending application to the repayment of the Original Convertible Senior Notes at the stated maturity thereof.</w:t>
      </w:r>
      <w:r>
        <w:rPr>
          <w:rFonts w:ascii="Arial" w:cs="Arial" w:eastAsia="Arial" w:hAnsi="Arial"/>
          <w:sz w:val="17"/>
          <w:szCs w:val="17"/>
          <w:b w:val="1"/>
          <w:bCs w:val="1"/>
          <w:u w:val="single" w:color="auto"/>
          <w:color w:val="0000FF"/>
          <w:strike w:val="1"/>
        </w:rPr>
        <w:t>.</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(without duplication) the aggregate Outstanding Amount of all Loans and L/C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Revolving Credit Outstandings</w:t>
      </w:r>
      <w:r>
        <w:rPr>
          <w:rFonts w:ascii="Arial" w:cs="Arial" w:eastAsia="Arial" w:hAnsi="Arial"/>
          <w:sz w:val="16"/>
          <w:szCs w:val="16"/>
          <w:color w:val="auto"/>
        </w:rPr>
        <w:t>” means (without duplication) the aggregate Outstanding Amount of all Revolving Credit Loans and L/C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TotalEnergies</w:t>
      </w:r>
      <w:r>
        <w:rPr>
          <w:rFonts w:ascii="Arial" w:cs="Arial" w:eastAsia="Arial" w:hAnsi="Arial"/>
          <w:sz w:val="18"/>
          <w:szCs w:val="18"/>
          <w:color w:val="auto"/>
        </w:rPr>
        <w:t>” means any of TotalEnergies SE, a French société européenne, and its Affiliates.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xml:space="preserve">” means, collectively, (a) the entering into by the Loan Parties of the Loan Documents to which they are or are intended to be a party, (b) the replacement of the revolving credit facility (including the letter of credit facility thereunder) under the </w:t>
      </w:r>
      <w:r>
        <w:rPr>
          <w:rFonts w:ascii="Arial" w:cs="Arial" w:eastAsia="Arial" w:hAnsi="Arial"/>
          <w:sz w:val="18"/>
          <w:szCs w:val="18"/>
          <w:b w:val="1"/>
          <w:bCs w:val="1"/>
          <w:color w:val="FF0000"/>
          <w:strike w:val="1"/>
        </w:rPr>
        <w:t>Existing</w:t>
      </w:r>
      <w:r>
        <w:rPr>
          <w:rFonts w:ascii="Arial" w:cs="Arial" w:eastAsia="Arial" w:hAnsi="Arial"/>
          <w:sz w:val="18"/>
          <w:szCs w:val="18"/>
          <w:b w:val="1"/>
          <w:bCs w:val="1"/>
          <w:u w:val="single" w:color="auto"/>
          <w:color w:val="0000FF"/>
        </w:rPr>
        <w:t>Original</w:t>
      </w:r>
      <w:r>
        <w:rPr>
          <w:rFonts w:ascii="Arial" w:cs="Arial" w:eastAsia="Arial" w:hAnsi="Arial"/>
          <w:sz w:val="18"/>
          <w:szCs w:val="18"/>
          <w:color w:val="auto"/>
        </w:rPr>
        <w:t xml:space="preserve"> Credit Agreement with the Revolving Credit Facility established on the </w:t>
      </w:r>
      <w:r>
        <w:rPr>
          <w:rFonts w:ascii="Arial" w:cs="Arial" w:eastAsia="Arial" w:hAnsi="Arial"/>
          <w:sz w:val="18"/>
          <w:szCs w:val="18"/>
          <w:b w:val="1"/>
          <w:bCs w:val="1"/>
          <w:color w:val="FF0000"/>
          <w:strike w:val="1"/>
        </w:rPr>
        <w:t>date hereof</w:t>
      </w:r>
      <w:r>
        <w:rPr>
          <w:rFonts w:ascii="Arial" w:cs="Arial" w:eastAsia="Arial" w:hAnsi="Arial"/>
          <w:sz w:val="18"/>
          <w:szCs w:val="18"/>
          <w:b w:val="1"/>
          <w:bCs w:val="1"/>
          <w:u w:val="single" w:color="auto"/>
          <w:color w:val="0000FF"/>
        </w:rPr>
        <w:t>Closing Date</w:t>
      </w:r>
      <w:r>
        <w:rPr>
          <w:rFonts w:ascii="Arial" w:cs="Arial" w:eastAsia="Arial" w:hAnsi="Arial"/>
          <w:sz w:val="18"/>
          <w:szCs w:val="18"/>
          <w:color w:val="auto"/>
        </w:rPr>
        <w:t xml:space="preserve"> (including the letter of credit facility hereunder) under this Agreement and the amendment and restatement of the </w:t>
      </w:r>
      <w:r>
        <w:rPr>
          <w:rFonts w:ascii="Arial" w:cs="Arial" w:eastAsia="Arial" w:hAnsi="Arial"/>
          <w:sz w:val="18"/>
          <w:szCs w:val="18"/>
          <w:b w:val="1"/>
          <w:bCs w:val="1"/>
          <w:color w:val="FF0000"/>
          <w:strike w:val="1"/>
        </w:rPr>
        <w:t>Existing</w:t>
      </w:r>
      <w:r>
        <w:rPr>
          <w:rFonts w:ascii="Arial" w:cs="Arial" w:eastAsia="Arial" w:hAnsi="Arial"/>
          <w:sz w:val="18"/>
          <w:szCs w:val="18"/>
          <w:b w:val="1"/>
          <w:bCs w:val="1"/>
          <w:u w:val="single" w:color="auto"/>
          <w:color w:val="0000FF"/>
        </w:rPr>
        <w:t>Original</w:t>
      </w:r>
      <w:r>
        <w:rPr>
          <w:rFonts w:ascii="Arial" w:cs="Arial" w:eastAsia="Arial" w:hAnsi="Arial"/>
          <w:sz w:val="18"/>
          <w:szCs w:val="18"/>
          <w:color w:val="auto"/>
        </w:rPr>
        <w:t xml:space="preserve"> Credit Agreement </w:t>
      </w:r>
      <w:r>
        <w:rPr>
          <w:rFonts w:ascii="Arial" w:cs="Arial" w:eastAsia="Arial" w:hAnsi="Arial"/>
          <w:sz w:val="18"/>
          <w:szCs w:val="18"/>
          <w:b w:val="1"/>
          <w:bCs w:val="1"/>
          <w:color w:val="FF0000"/>
          <w:strike w:val="1"/>
        </w:rPr>
        <w:t>in</w:t>
      </w:r>
      <w:r>
        <w:rPr>
          <w:rFonts w:ascii="Arial" w:cs="Arial" w:eastAsia="Arial" w:hAnsi="Arial"/>
          <w:sz w:val="18"/>
          <w:szCs w:val="18"/>
          <w:b w:val="1"/>
          <w:bCs w:val="1"/>
          <w:u w:val="single" w:color="auto"/>
          <w:color w:val="0000FF"/>
        </w:rPr>
        <w:t>on</w:t>
      </w:r>
      <w:r>
        <w:rPr>
          <w:rFonts w:ascii="Arial" w:cs="Arial" w:eastAsia="Arial" w:hAnsi="Arial"/>
          <w:sz w:val="18"/>
          <w:szCs w:val="18"/>
          <w:color w:val="auto"/>
        </w:rPr>
        <w:t xml:space="preserve"> the </w:t>
      </w:r>
      <w:r>
        <w:rPr>
          <w:rFonts w:ascii="Arial" w:cs="Arial" w:eastAsia="Arial" w:hAnsi="Arial"/>
          <w:sz w:val="18"/>
          <w:szCs w:val="18"/>
          <w:b w:val="1"/>
          <w:bCs w:val="1"/>
          <w:color w:val="FF0000"/>
          <w:strike w:val="1"/>
        </w:rPr>
        <w:t>form of this Agreement</w:t>
      </w:r>
      <w:r>
        <w:rPr>
          <w:rFonts w:ascii="Arial" w:cs="Arial" w:eastAsia="Arial" w:hAnsi="Arial"/>
          <w:sz w:val="18"/>
          <w:szCs w:val="18"/>
          <w:b w:val="1"/>
          <w:bCs w:val="1"/>
          <w:u w:val="single" w:color="auto"/>
          <w:color w:val="0000FF"/>
        </w:rPr>
        <w:t>Closing Date</w:t>
      </w:r>
      <w:r>
        <w:rPr>
          <w:rFonts w:ascii="Arial" w:cs="Arial" w:eastAsia="Arial" w:hAnsi="Arial"/>
          <w:sz w:val="18"/>
          <w:szCs w:val="18"/>
          <w:color w:val="auto"/>
        </w:rPr>
        <w:t xml:space="preserve"> and (c) the payment of the fees and expenses incurred in connection with the consummation of the foregoing.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means, with respect to a Loan, its character as a Base Rate Loan </w:t>
      </w:r>
      <w:r>
        <w:rPr>
          <w:rFonts w:ascii="Arial" w:cs="Arial" w:eastAsia="Arial" w:hAnsi="Arial"/>
          <w:sz w:val="18"/>
          <w:szCs w:val="18"/>
          <w:b w:val="1"/>
          <w:bCs w:val="1"/>
          <w:color w:val="FF0000"/>
        </w:rPr>
        <w:t>or</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a </w:t>
      </w:r>
      <w:r>
        <w:rPr>
          <w:rFonts w:ascii="Arial" w:cs="Arial" w:eastAsia="Arial" w:hAnsi="Arial"/>
          <w:sz w:val="18"/>
          <w:szCs w:val="18"/>
          <w:b w:val="1"/>
          <w:bCs w:val="1"/>
          <w:color w:val="FF0000"/>
          <w:strike w:val="1"/>
        </w:rPr>
        <w:t>Eurodollar Rate</w:t>
      </w:r>
      <w:r>
        <w:rPr>
          <w:rFonts w:ascii="Arial" w:cs="Arial" w:eastAsia="Arial" w:hAnsi="Arial"/>
          <w:sz w:val="18"/>
          <w:szCs w:val="18"/>
          <w:b w:val="1"/>
          <w:bCs w:val="1"/>
          <w:u w:val="single" w:color="auto"/>
          <w:color w:val="0000FF"/>
        </w:rPr>
        <w:t>Term Benchmark Loan or an RFR</w:t>
      </w:r>
      <w:r>
        <w:rPr>
          <w:rFonts w:ascii="Arial" w:cs="Arial" w:eastAsia="Arial" w:hAnsi="Arial"/>
          <w:sz w:val="18"/>
          <w:szCs w:val="18"/>
          <w:color w:val="auto"/>
        </w:rPr>
        <w:t xml:space="preserv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-59055</wp:posOffset>
            </wp:positionV>
            <wp:extent cx="136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Unencumbered Company Group Parties</w:t>
      </w:r>
      <w:r>
        <w:rPr>
          <w:rFonts w:ascii="Arial" w:cs="Arial" w:eastAsia="Arial" w:hAnsi="Arial"/>
          <w:sz w:val="17"/>
          <w:szCs w:val="17"/>
          <w:color w:val="auto"/>
        </w:rPr>
        <w:t xml:space="preserve">” means Company Group Parties that have not issued Guarantees pursuant to </w:t>
      </w:r>
      <w:r>
        <w:rPr>
          <w:rFonts w:ascii="Arial" w:cs="Arial" w:eastAsia="Arial" w:hAnsi="Arial"/>
          <w:sz w:val="17"/>
          <w:szCs w:val="17"/>
          <w:u w:val="single" w:color="auto"/>
          <w:color w:val="auto"/>
        </w:rPr>
        <w:t>Section 7.02(j)</w:t>
      </w:r>
      <w:r>
        <w:rPr>
          <w:rFonts w:ascii="Arial" w:cs="Arial" w:eastAsia="Arial" w:hAnsi="Arial"/>
          <w:sz w:val="17"/>
          <w:szCs w:val="17"/>
          <w:color w:val="auto"/>
        </w:rPr>
        <w:t xml:space="preserve"> hereof.</w:t>
      </w:r>
    </w:p>
    <w:p>
      <w:pPr>
        <w:spacing w:after="0" w:line="2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Unencumbered Total Assets</w:t>
      </w:r>
      <w:r>
        <w:rPr>
          <w:rFonts w:ascii="Arial" w:cs="Arial" w:eastAsia="Arial" w:hAnsi="Arial"/>
          <w:sz w:val="18"/>
          <w:szCs w:val="18"/>
          <w:color w:val="auto"/>
        </w:rPr>
        <w:t xml:space="preserve">” means, as at any date of determination, the assets of the Loan Parties which are not subject to Liens (other than, for the avoidance of doubt, Liens granted in favor of the Administrative Agent for the benefit of the Secured Parties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Sections 7.01(c)</w:t>
      </w:r>
      <w:r>
        <w:rPr>
          <w:rFonts w:ascii="Arial" w:cs="Arial" w:eastAsia="Arial" w:hAnsi="Arial"/>
          <w:sz w:val="18"/>
          <w:szCs w:val="18"/>
          <w:color w:val="auto"/>
        </w:rPr>
        <w:t>, (g), (j), (l), (o) and (q)), determined on a consolidated basis and without duplication.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Unreimbursed Amount</w:t>
      </w:r>
      <w:r>
        <w:rPr>
          <w:rFonts w:ascii="Arial" w:cs="Arial" w:eastAsia="Arial" w:hAnsi="Arial"/>
          <w:sz w:val="18"/>
          <w:szCs w:val="18"/>
          <w:b w:val="1"/>
          <w:bCs w:val="1"/>
          <w:color w:val="FF0000"/>
          <w:strike w:val="1"/>
        </w:rPr>
        <w:t xml:space="preserve">” has the meaning specified in </w:t>
      </w:r>
      <w:r>
        <w:rPr>
          <w:rFonts w:ascii="Arial" w:cs="Arial" w:eastAsia="Arial" w:hAnsi="Arial"/>
          <w:sz w:val="18"/>
          <w:szCs w:val="18"/>
          <w:b w:val="1"/>
          <w:bCs w:val="1"/>
          <w:u w:val="single" w:color="auto"/>
          <w:color w:val="FF0000"/>
          <w:strike w:val="1"/>
        </w:rPr>
        <w:t>Section 2.03(c)(i)</w:t>
      </w:r>
      <w:r>
        <w:rPr>
          <w:rFonts w:ascii="Arial" w:cs="Arial" w:eastAsia="Arial" w:hAnsi="Arial"/>
          <w:sz w:val="18"/>
          <w:szCs w:val="18"/>
          <w:b w:val="1"/>
          <w:bCs w:val="1"/>
          <w:color w:val="FF0000"/>
          <w:strike w:val="1"/>
        </w:rPr>
        <w: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0000FF"/>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0000FF"/>
        </w:rPr>
        <w:t>“Unadjusted Benchmark Replacement” means the applicable Benchmark Replacement excluding the related Benchmark Replacement Adjustment.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“Unreimbursed Amount” has the meaning specified in Section 2.03(c)(i).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Voidable Transfer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9" w:name="page90"/>
    <w:bookmarkEnd w:id="89"/>
    <w:p>
      <w:pPr>
        <w:ind w:right="20" w:firstLine="648"/>
        <w:spacing w:after="0" w:line="277" w:lineRule="auto"/>
        <w:rPr>
          <w:sz w:val="20"/>
          <w:szCs w:val="20"/>
          <w:color w:val="auto"/>
        </w:rPr>
      </w:pPr>
      <w:r>
        <w:rPr>
          <w:rFonts w:ascii="Arial" w:cs="Arial" w:eastAsia="Arial" w:hAnsi="Arial"/>
          <w:sz w:val="18"/>
          <w:szCs w:val="18"/>
          <w:color w:val="auto"/>
        </w:rPr>
        <w:t>1.02 Other Interpretive Provisions. With reference to this Agreement and each other Loan Document, unless otherwise specified herein or in such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-182245</wp:posOffset>
            </wp:positionV>
            <wp:extent cx="18154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spacing w:after="0" w:line="150" w:lineRule="exact"/>
        <w:rPr>
          <w:sz w:val="20"/>
          <w:szCs w:val="20"/>
          <w:color w:val="auto"/>
        </w:rPr>
      </w:pPr>
    </w:p>
    <w:p>
      <w:pPr>
        <w:jc w:val="both"/>
        <w:ind w:firstLine="1305"/>
        <w:spacing w:after="0" w:line="268" w:lineRule="auto"/>
        <w:tabs>
          <w:tab w:leader="none" w:pos="200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184" w:lineRule="exact"/>
        <w:rPr>
          <w:rFonts w:ascii="Arial" w:cs="Arial" w:eastAsia="Arial" w:hAnsi="Arial"/>
          <w:sz w:val="17"/>
          <w:szCs w:val="17"/>
          <w:color w:val="auto"/>
        </w:rPr>
      </w:pPr>
    </w:p>
    <w:p>
      <w:pPr>
        <w:ind w:firstLine="1305"/>
        <w:spacing w:after="0" w:line="277" w:lineRule="auto"/>
        <w:tabs>
          <w:tab w:leader="none" w:pos="219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277" w:lineRule="auto"/>
        <w:tabs>
          <w:tab w:leader="none" w:pos="1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1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assignment, sale, disposition or transfer, or similar term, shall be deemed to apply to a division of or by a Person, or an allocation of assets to a series of a Person (or the unwinding of such a division or allocation), as if it were a merger, transfer, consolidation, amalgamation, assignment, sale, disposition or transfer, or similar term, as applicable, to, of or with a separate Person. Any division of a Person shall constitute a separate Person hereunder (and each division of any Person that is a Subsidiary, joint venture or any other like term shall also constitute such a Person or entity).</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1.03 Accounting Terms. (i) </w:t>
      </w:r>
      <w:r>
        <w:rPr>
          <w:rFonts w:ascii="Arial" w:cs="Arial" w:eastAsia="Arial" w:hAnsi="Arial"/>
          <w:sz w:val="17"/>
          <w:szCs w:val="17"/>
          <w:u w:val="single" w:color="auto"/>
          <w:color w:val="auto"/>
        </w:rPr>
        <w:t>Generally</w:t>
      </w:r>
      <w:r>
        <w:rPr>
          <w:rFonts w:ascii="Arial" w:cs="Arial" w:eastAsia="Arial" w:hAnsi="Arial"/>
          <w:sz w:val="17"/>
          <w:szCs w:val="17"/>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Parent or any Subsidiary thereof at “fair value”,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-863600</wp:posOffset>
            </wp:positionV>
            <wp:extent cx="13646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0" w:name="page91"/>
    <w:bookmarkEnd w:id="90"/>
    <w:p>
      <w:pPr>
        <w:jc w:val="both"/>
        <w:ind w:firstLine="1305"/>
        <w:spacing w:after="0" w:line="254" w:lineRule="auto"/>
        <w:tabs>
          <w:tab w:leader="none" w:pos="202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94" w:lineRule="exact"/>
        <w:rPr>
          <w:rFonts w:ascii="Arial" w:cs="Arial" w:eastAsia="Arial" w:hAnsi="Arial"/>
          <w:sz w:val="18"/>
          <w:szCs w:val="18"/>
          <w:color w:val="auto"/>
        </w:rPr>
      </w:pPr>
    </w:p>
    <w:p>
      <w:pPr>
        <w:jc w:val="both"/>
        <w:ind w:firstLine="1305"/>
        <w:spacing w:after="0" w:line="279" w:lineRule="auto"/>
        <w:tabs>
          <w:tab w:leader="none" w:pos="227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Consolidation of Variable Interest Entities</w:t>
      </w:r>
      <w:r>
        <w:rPr>
          <w:rFonts w:ascii="Arial" w:cs="Arial" w:eastAsia="Arial" w:hAnsi="Arial"/>
          <w:sz w:val="17"/>
          <w:szCs w:val="17"/>
          <w:color w:val="auto"/>
        </w:rPr>
        <w:t>. All references herein to consolidated financial statements of Parent and its Subsidiaries or to the determination of any amount for Parent and its Subsidiaries on a consolidated basis or any similar reference shall, in each case, be deemed to include each variable interest entity that Parent is required to consolidate pursuant to FASB Interpretation No. 46 – Consolidation of Variable Interest Entities: an interpretation of ARB No. 51 (January 2003) as if such variable interest entity were a Subsidiary as defined herein.</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1.04 Rounding.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-311150</wp:posOffset>
            </wp:positionV>
            <wp:extent cx="9074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1.05 Times of Day. Unless otherwise specified, all references herein to times of day shall be references to Eastern time (daylight or standard,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-182245</wp:posOffset>
            </wp:positionV>
            <wp:extent cx="10960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pacing w:after="0" w:line="15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1.06 Letter of Credit Amounts. Unless otherwise specified herein, the amount of a Letter of Credit at any time shall be deemed to be the stated amount of such Letter of Credit in effect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-182245</wp:posOffset>
            </wp:positionV>
            <wp:extent cx="17176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7675" cy="8255"/>
                    </a:xfrm>
                    <a:prstGeom prst="rect">
                      <a:avLst/>
                    </a:prstGeom>
                    <a:noFill/>
                  </pic:spPr>
                </pic:pic>
              </a:graphicData>
            </a:graphic>
          </wp:anchor>
        </w:drawing>
      </w:r>
    </w:p>
    <w:p>
      <w:pPr>
        <w:spacing w:after="0" w:line="15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1.07 Currency Equivalents Generally. Any amount specified in this Agreement (other than in </w:t>
      </w:r>
      <w:r>
        <w:rPr>
          <w:rFonts w:ascii="Arial" w:cs="Arial" w:eastAsia="Arial" w:hAnsi="Arial"/>
          <w:sz w:val="17"/>
          <w:szCs w:val="17"/>
          <w:u w:val="single" w:color="auto"/>
          <w:color w:val="auto"/>
        </w:rPr>
        <w:t>Articles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w:t>
      </w:r>
      <w:r>
        <w:rPr>
          <w:rFonts w:ascii="Arial" w:cs="Arial" w:eastAsia="Arial" w:hAnsi="Arial"/>
          <w:sz w:val="17"/>
          <w:szCs w:val="17"/>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7"/>
          <w:szCs w:val="17"/>
          <w:u w:val="single" w:color="auto"/>
          <w:color w:val="auto"/>
        </w:rPr>
        <w:t>Section 1.07</w:t>
      </w:r>
      <w:r>
        <w:rPr>
          <w:rFonts w:ascii="Arial" w:cs="Arial" w:eastAsia="Arial" w:hAnsi="Arial"/>
          <w:sz w:val="17"/>
          <w:szCs w:val="17"/>
          <w:color w:val="auto"/>
        </w:rPr>
        <w:t>, the “</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-1000125</wp:posOffset>
            </wp:positionV>
            <wp:extent cx="19545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1" w:name="page92"/>
    <w:bookmarkEnd w:id="91"/>
    <w:p>
      <w:pPr>
        <w:ind w:left="660"/>
        <w:spacing w:after="0"/>
        <w:tabs>
          <w:tab w:leader="none" w:pos="13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Limited Condition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8681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pacing w:after="0" w:line="205" w:lineRule="exact"/>
        <w:rPr>
          <w:sz w:val="20"/>
          <w:szCs w:val="20"/>
          <w:color w:val="auto"/>
        </w:rPr>
      </w:pPr>
    </w:p>
    <w:p>
      <w:pPr>
        <w:jc w:val="both"/>
        <w:ind w:firstLine="1305"/>
        <w:spacing w:after="0" w:line="285" w:lineRule="auto"/>
        <w:tabs>
          <w:tab w:leader="none" w:pos="2168"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connection with any action being taken solely in connection with a Limited Condition Transaction, for purposes of (i) determining compliance with any provision of this Agreement which requires the calculation of the Borrower Leverage Ratio or the Borrower Interest Coverage Ratio, (ii) determining the accuracy of representations and warranties in the Loan Documents or whether a Default or Event of Default shall have occurred and be continuing under Section 8.01 (including in connection with the incurrence of Incremental Equivalent Debt to finance an Investment permitted hereunder) or (iii) testing availability under baskets set forth in this Agreement (including baskets measured as a percentage of Total Assets or Unencumbered Total Assets), in each case, at the option of the Borrower (the Borrower’s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the date of determination of whether any such action is not prohibited hereunder shall be deemed to be the date the definitive agreements for such Limited Condition Transaction are entered into or the date of delivery of any relevant notices of prepayment or redemption, as applicable (the “</w:t>
      </w:r>
      <w:r>
        <w:rPr>
          <w:rFonts w:ascii="Arial" w:cs="Arial" w:eastAsia="Arial" w:hAnsi="Arial"/>
          <w:sz w:val="16"/>
          <w:szCs w:val="16"/>
          <w:u w:val="single" w:color="auto"/>
          <w:color w:val="auto"/>
        </w:rPr>
        <w:t>LCT Test Date</w:t>
      </w:r>
      <w:r>
        <w:rPr>
          <w:rFonts w:ascii="Arial" w:cs="Arial" w:eastAsia="Arial" w:hAnsi="Arial"/>
          <w:sz w:val="16"/>
          <w:szCs w:val="16"/>
          <w:color w:val="auto"/>
        </w:rPr>
        <w:t>”), and if, after giving pro forma effect to the Limited Condition Transaction and the other transactions to be entered into in connection therewith (including any incurrence of Indebtedness and the use of proceeds thereof not prohibited hereunder) as if they had occurred at the beginning of the most recently completed Measurement Period ending prior to the LCT Test Date, the Borrower could have taken such action on the relevant LCT Test Date in compliance with such ratio or basket, such ratio or basket shall be deemed to have been complied with (provided that, if the Borrower has made an LCT Election, such ratio or basket may be recalculated, at the Borrower’s option, at the time of consummation of the relevant transaction or action). For the avoidance of doubt, if the Borrower has made an LCT Election and any of the ratios or baskets for which compliance was determined or tested as of the LCT Test Date are exceeded as a result of fluctuations in any such ratio or basket at or prior to the consummation of the relevant transaction or action, such baskets or ratios will not be deemed to have been exceeded as a result of such fluctuations solely for purposes of determining whether the relevant transaction or action is permitted to be consummated or taken.</w:t>
      </w:r>
    </w:p>
    <w:p>
      <w:pPr>
        <w:spacing w:after="0" w:line="173" w:lineRule="exact"/>
        <w:rPr>
          <w:rFonts w:ascii="Arial" w:cs="Arial" w:eastAsia="Arial" w:hAnsi="Arial"/>
          <w:sz w:val="16"/>
          <w:szCs w:val="16"/>
          <w:color w:val="auto"/>
        </w:rPr>
      </w:pPr>
    </w:p>
    <w:p>
      <w:pPr>
        <w:jc w:val="both"/>
        <w:ind w:firstLine="1305"/>
        <w:spacing w:after="0" w:line="254" w:lineRule="auto"/>
        <w:tabs>
          <w:tab w:leader="none" w:pos="21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the assets of the Borrower or any of its Company Group Parties, the prepayment, redemption, purchase, defeasance or other satisfaction of Indebtedness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COMMITMENTS AND CREDIT EXTENSIONS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2.01 The Revolving Credit Borrowings. Subject to the terms and conditions set forth herein, each Revolving Credit Lender with Commitments in respect of a particular Revolving Credit Facility severally agrees to make loans in Dollars (each such loan, a “</w:t>
      </w:r>
      <w:r>
        <w:rPr>
          <w:rFonts w:ascii="Arial" w:cs="Arial" w:eastAsia="Arial" w:hAnsi="Arial"/>
          <w:sz w:val="17"/>
          <w:szCs w:val="17"/>
          <w:u w:val="single" w:color="auto"/>
          <w:color w:val="auto"/>
        </w:rPr>
        <w:t>Revolving Credit Loan</w:t>
      </w:r>
      <w:r>
        <w:rPr>
          <w:rFonts w:ascii="Arial" w:cs="Arial" w:eastAsia="Arial" w:hAnsi="Arial"/>
          <w:sz w:val="17"/>
          <w:szCs w:val="17"/>
          <w:color w:val="auto"/>
        </w:rPr>
        <w:t xml:space="preserve">”) to the Borrower from time to time, on any Business Day during the Availability Period for such Revolving Credit Facility, in an aggregate amount not to exceed at any time outstanding the amount of such Revolving Credit Lender’s Revolving Credit Commitment in respect of such Revolving Credit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Revolving Credit Borrowing, (i) the Total Revolving Credit Outstandings shall not exceed the Revolving Credit Lenders’ Revolving Credit Commitments at such time and (ii) the aggregate Outstanding Amount of the Revolving Credit Loans of any Revolving Credit Lender, plus such Revolving Credit Lender’s Applicable Percentage of the Outstanding Amount of all L/C Obligations, shall not exceed such Revolving Credit Lender’s Revolving Credit Commitment. Within the limits of each Revolving Credit Lender’s Revolving Credit Commitment, and subject to the other terms and conditions hereof, the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Revolving Credit Loans may be Base Rate Loans </w:t>
      </w:r>
      <w:r>
        <w:rPr>
          <w:rFonts w:ascii="Arial" w:cs="Arial" w:eastAsia="Arial" w:hAnsi="Arial"/>
          <w:sz w:val="17"/>
          <w:szCs w:val="17"/>
          <w:b w:val="1"/>
          <w:bCs w:val="1"/>
          <w:color w:val="FF0000"/>
          <w:strike w:val="1"/>
        </w:rPr>
        <w:t>or Eurodollar Rate</w:t>
      </w:r>
      <w:r>
        <w:rPr>
          <w:rFonts w:ascii="Arial" w:cs="Arial" w:eastAsia="Arial" w:hAnsi="Arial"/>
          <w:sz w:val="17"/>
          <w:szCs w:val="17"/>
          <w:b w:val="1"/>
          <w:bCs w:val="1"/>
          <w:u w:val="single" w:color="auto"/>
          <w:color w:val="0000FF"/>
        </w:rPr>
        <w:t>, Term Benchmark Loans or RFR</w:t>
      </w:r>
      <w:r>
        <w:rPr>
          <w:rFonts w:ascii="Arial" w:cs="Arial" w:eastAsia="Arial" w:hAnsi="Arial"/>
          <w:sz w:val="17"/>
          <w:szCs w:val="17"/>
          <w:color w:val="auto"/>
        </w:rPr>
        <w:t xml:space="preserve"> Loans, as further provided herein. Each Borrowing of Revolving Credit Loans shall be made on a pro rata basis as among the Revolving Credit Commitments under each of the Revolving Credit Facilities then in effect, considered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-1548130</wp:posOffset>
            </wp:positionV>
            <wp:extent cx="23107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1076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2.02 Borrowings, Conversions and Continuations of Loans. (ii) Each Borrowing, each conversion of Loans from one Type to the other, and each continuation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 Loans or RFR</w:t>
      </w:r>
      <w:r>
        <w:rPr>
          <w:rFonts w:ascii="Arial" w:cs="Arial" w:eastAsia="Arial" w:hAnsi="Arial"/>
          <w:sz w:val="16"/>
          <w:szCs w:val="16"/>
          <w:color w:val="auto"/>
        </w:rPr>
        <w:t xml:space="preserve"> Loans shall be made upon the Borrower’s notice (which notice may, subject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3.05</w:t>
      </w:r>
      <w:r>
        <w:rPr>
          <w:rFonts w:ascii="Arial" w:cs="Arial" w:eastAsia="Arial" w:hAnsi="Arial"/>
          <w:sz w:val="16"/>
          <w:szCs w:val="16"/>
          <w:b w:val="1"/>
          <w:bCs w:val="1"/>
          <w:u w:val="single" w:color="auto"/>
          <w:color w:val="0000FF"/>
        </w:rPr>
        <w:t>3.04</w:t>
      </w:r>
      <w:r>
        <w:rPr>
          <w:rFonts w:ascii="Arial" w:cs="Arial" w:eastAsia="Arial" w:hAnsi="Arial"/>
          <w:sz w:val="16"/>
          <w:szCs w:val="16"/>
          <w:color w:val="auto"/>
        </w:rPr>
        <w:t xml:space="preserve"> hereof, be revoked by the Borrower) to the Administrative Agent, which may be given by telephone. Each such notice must be received by the Administrative Agent not later than 11:00 a.m. (i) three </w:t>
      </w:r>
      <w:r>
        <w:rPr>
          <w:rFonts w:ascii="Arial" w:cs="Arial" w:eastAsia="Arial" w:hAnsi="Arial"/>
          <w:sz w:val="16"/>
          <w:szCs w:val="16"/>
          <w:b w:val="1"/>
          <w:bCs w:val="1"/>
          <w:u w:val="single" w:color="auto"/>
          <w:color w:val="0000FF"/>
        </w:rPr>
        <w:t>U.S. Government Securities</w:t>
      </w:r>
      <w:r>
        <w:rPr>
          <w:rFonts w:ascii="Arial" w:cs="Arial" w:eastAsia="Arial" w:hAnsi="Arial"/>
          <w:sz w:val="16"/>
          <w:szCs w:val="16"/>
          <w:color w:val="auto"/>
        </w:rPr>
        <w:t xml:space="preserve"> Business Days prior to the requested date of any Borrowing of, conversion to or continuation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w:t>
      </w:r>
      <w:r>
        <w:rPr>
          <w:rFonts w:ascii="Arial" w:cs="Arial" w:eastAsia="Arial" w:hAnsi="Arial"/>
          <w:sz w:val="16"/>
          <w:szCs w:val="16"/>
          <w:color w:val="auto"/>
        </w:rPr>
        <w:t xml:space="preserve"> Loans or of any conversion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w:t>
      </w:r>
      <w:r>
        <w:rPr>
          <w:rFonts w:ascii="Arial" w:cs="Arial" w:eastAsia="Arial" w:hAnsi="Arial"/>
          <w:sz w:val="16"/>
          <w:szCs w:val="16"/>
          <w:color w:val="auto"/>
        </w:rPr>
        <w:t xml:space="preserve"> Loans to Base Rate Loans </w:t>
      </w:r>
      <w:r>
        <w:rPr>
          <w:rFonts w:ascii="Arial" w:cs="Arial" w:eastAsia="Arial" w:hAnsi="Arial"/>
          <w:sz w:val="16"/>
          <w:szCs w:val="16"/>
          <w:b w:val="1"/>
          <w:bCs w:val="1"/>
          <w:color w:val="FF0000"/>
          <w:strike w:val="1"/>
        </w:rPr>
        <w:t>and</w:t>
      </w:r>
      <w:r>
        <w:rPr>
          <w:rFonts w:ascii="Arial" w:cs="Arial" w:eastAsia="Arial" w:hAnsi="Arial"/>
          <w:sz w:val="16"/>
          <w:szCs w:val="16"/>
          <w:b w:val="1"/>
          <w:bCs w:val="1"/>
          <w:u w:val="single" w:color="auto"/>
          <w:color w:val="0000FF"/>
        </w:rPr>
        <w:t>or RFR Loans,</w:t>
      </w:r>
      <w:r>
        <w:rPr>
          <w:rFonts w:ascii="Arial" w:cs="Arial" w:eastAsia="Arial" w:hAnsi="Arial"/>
          <w:sz w:val="16"/>
          <w:szCs w:val="16"/>
          <w:color w:val="auto"/>
        </w:rPr>
        <w:t xml:space="preserve"> (ii</w:t>
      </w:r>
      <w:r>
        <w:rPr>
          <w:rFonts w:ascii="Arial" w:cs="Arial" w:eastAsia="Arial" w:hAnsi="Arial"/>
          <w:sz w:val="16"/>
          <w:szCs w:val="16"/>
          <w:b w:val="1"/>
          <w:bCs w:val="1"/>
          <w:u w:val="single" w:color="auto"/>
          <w:color w:val="0000FF"/>
        </w:rPr>
        <w:t>) three U.S. Government Securities Business Days prior to the requested date of any borrowing of, conversion to</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or continuation of RFR Loans or of any conversion of RFR Loans to Base Rate Loans or Term Benchmark Loans and (iii</w:t>
      </w:r>
      <w:r>
        <w:rPr>
          <w:rFonts w:ascii="Arial" w:cs="Arial" w:eastAsia="Arial" w:hAnsi="Arial"/>
          <w:sz w:val="16"/>
          <w:szCs w:val="16"/>
          <w:color w:val="000000"/>
        </w:rPr>
        <w:t>) one Business Day prior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to the requested date of any Borrowing of Base Rate Loans. Each telephonic notice by the Borrower pursuant to this </w:t>
      </w:r>
      <w:r>
        <w:rPr>
          <w:rFonts w:ascii="Arial" w:cs="Arial" w:eastAsia="Arial" w:hAnsi="Arial"/>
          <w:sz w:val="16"/>
          <w:szCs w:val="16"/>
          <w:u w:val="single" w:color="auto"/>
          <w:color w:val="000000"/>
        </w:rPr>
        <w:t>Section 2.02(a)</w:t>
      </w:r>
      <w:r>
        <w:rPr>
          <w:rFonts w:ascii="Arial" w:cs="Arial" w:eastAsia="Arial" w:hAnsi="Arial"/>
          <w:sz w:val="16"/>
          <w:szCs w:val="16"/>
          <w:color w:val="000000"/>
        </w:rPr>
        <w:t xml:space="preserve"> must be confirmed promptly by delivery to the Administrative Agent of a written Committed Loan Notice, appropriately completed and signed by a Responsible Officer of the Borrower. Each Borrowing of, conversion to or continuation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 Loans or RFR</w:t>
      </w:r>
      <w:r>
        <w:rPr>
          <w:rFonts w:ascii="Arial" w:cs="Arial" w:eastAsia="Arial" w:hAnsi="Arial"/>
          <w:sz w:val="16"/>
          <w:szCs w:val="16"/>
          <w:color w:val="000000"/>
        </w:rPr>
        <w:t xml:space="preserve"> Loans shall be in a principal amount of $1,000,000 or a whole multiple of $1,000,000 in excess thereof. Except as provided in </w:t>
      </w:r>
      <w:r>
        <w:rPr>
          <w:rFonts w:ascii="Arial" w:cs="Arial" w:eastAsia="Arial" w:hAnsi="Arial"/>
          <w:sz w:val="16"/>
          <w:szCs w:val="16"/>
          <w:u w:val="single" w:color="auto"/>
          <w:color w:val="000000"/>
        </w:rPr>
        <w:t>Section 2.03(c)</w:t>
      </w:r>
      <w:r>
        <w:rPr>
          <w:rFonts w:ascii="Arial" w:cs="Arial" w:eastAsia="Arial" w:hAnsi="Arial"/>
          <w:sz w:val="16"/>
          <w:szCs w:val="16"/>
          <w:color w:val="000000"/>
        </w:rPr>
        <w:t xml:space="preserve">, each Borrowing of or conversion to Base Rate Loans shall be in a principal amount of $500,000 or a whole multiple of $100,000 in excess thereof. Each Committed Loan Notice (whether telephonic or written) shall specify (i) whether the Borrower is requesting a Revolving Credit Borrowing, an Incremental Borrowing, a conversion of Loans from one Type to the other, or a continuation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 Loans or RFR</w:t>
      </w:r>
      <w:r>
        <w:rPr>
          <w:rFonts w:ascii="Arial" w:cs="Arial" w:eastAsia="Arial" w:hAnsi="Arial"/>
          <w:sz w:val="16"/>
          <w:szCs w:val="16"/>
          <w:color w:val="000000"/>
        </w:rPr>
        <w:t xml:space="preserve"> Loans, (ii) the requested date of the Borrowing, conversion or continuation, as the case may be (which shall be a Business Day), (iii) the principal amount of Loans to be borrowed, converted or continued, (iv) the Type of Loans to be borrowed or to which existing Revolving Credit Loans, Incremental Revolving Credit Loans or Incremental Term Loans are to be converted and (v) if applicable, the duration of the applicable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 Loans or on the Interest Payment Date with respect to the applicable RFR</w:t>
      </w:r>
      <w:r>
        <w:rPr>
          <w:rFonts w:ascii="Arial" w:cs="Arial" w:eastAsia="Arial" w:hAnsi="Arial"/>
          <w:sz w:val="16"/>
          <w:szCs w:val="16"/>
          <w:color w:val="000000"/>
        </w:rPr>
        <w:t xml:space="preserve"> Loans. If the Borrower requests a Borrowing of, conversion to, or continuation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w:t>
      </w:r>
      <w:r>
        <w:rPr>
          <w:rFonts w:ascii="Arial" w:cs="Arial" w:eastAsia="Arial" w:hAnsi="Arial"/>
          <w:sz w:val="16"/>
          <w:szCs w:val="16"/>
          <w:color w:val="000000"/>
        </w:rPr>
        <w:t xml:space="preserve"> Loans in any such Committed Loan Notice, but fails to specify an Interest Period, it will be deemed to have specified an Interest Period of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-2920365</wp:posOffset>
            </wp:positionV>
            <wp:extent cx="29794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79420" cy="8255"/>
                    </a:xfrm>
                    <a:prstGeom prst="rect">
                      <a:avLst/>
                    </a:prstGeom>
                    <a:noFill/>
                  </pic:spPr>
                </pic:pic>
              </a:graphicData>
            </a:graphic>
          </wp:anchor>
        </w:drawing>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3" w:name="page94"/>
    <w:bookmarkEnd w:id="93"/>
    <w:p>
      <w:pPr>
        <w:jc w:val="both"/>
        <w:ind w:firstLine="1305"/>
        <w:spacing w:after="0" w:line="252" w:lineRule="auto"/>
        <w:tabs>
          <w:tab w:leader="none" w:pos="19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Following receipt of a Committed Loan Notice, the Administrative Agent shall promptly notify each Lender of the amount of its Applicable Percentage under the applicable Facility in respect of the applicable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2.02(a)</w:t>
      </w:r>
      <w:r>
        <w:rPr>
          <w:rFonts w:ascii="Arial" w:cs="Arial" w:eastAsia="Arial" w:hAnsi="Arial"/>
          <w:sz w:val="18"/>
          <w:szCs w:val="18"/>
          <w:color w:val="auto"/>
        </w:rPr>
        <w:t xml:space="preserve">. In the case of a Borrowing, each Appropriate Lender shall make the amount of its Loan available to the Administrative Agent in immediately available funds at the Administrative Agent’s Office not later than 12:00 p.m. on the Business Day specified in the applicable Committed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Administrative Agent shall make all funds so received available to the Borrower in like funds as received by the Administrative Agent either by (i) crediting the account of the Borrower on the books of JPMorgan with the amount of such funds or (ii) wire transfer of such funds, in each case in accordance with instructions provided to (and reasonably acceptable to) the Administrative Agent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the date a Committed Loan Notice with respect to a Revolving Credit Borrowing is given by the Borrower, there are L/C Borrowings outstanding, then the proceeds of such Revolving Credit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 as provided above.</w:t>
      </w:r>
    </w:p>
    <w:p>
      <w:pPr>
        <w:spacing w:after="0" w:line="195" w:lineRule="exact"/>
        <w:rPr>
          <w:rFonts w:ascii="Arial" w:cs="Arial" w:eastAsia="Arial" w:hAnsi="Arial"/>
          <w:sz w:val="18"/>
          <w:szCs w:val="18"/>
          <w:color w:val="auto"/>
        </w:rPr>
      </w:pPr>
    </w:p>
    <w:p>
      <w:pPr>
        <w:jc w:val="both"/>
        <w:ind w:firstLine="1305"/>
        <w:spacing w:after="0" w:line="289" w:lineRule="auto"/>
        <w:tabs>
          <w:tab w:leader="none" w:pos="1946"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Except as otherwise provided herein, a </w:t>
      </w:r>
      <w:r>
        <w:rPr>
          <w:rFonts w:ascii="Arial" w:cs="Arial" w:eastAsia="Arial" w:hAnsi="Arial"/>
          <w:sz w:val="17"/>
          <w:szCs w:val="17"/>
          <w:b w:val="1"/>
          <w:bCs w:val="1"/>
          <w:color w:val="FF0000"/>
          <w:strike w:val="1"/>
        </w:rPr>
        <w:t>Eurodollar Rate</w:t>
      </w:r>
      <w:r>
        <w:rPr>
          <w:rFonts w:ascii="Arial" w:cs="Arial" w:eastAsia="Arial" w:hAnsi="Arial"/>
          <w:sz w:val="17"/>
          <w:szCs w:val="17"/>
          <w:b w:val="1"/>
          <w:bCs w:val="1"/>
          <w:u w:val="single" w:color="auto"/>
          <w:color w:val="0000FF"/>
        </w:rPr>
        <w:t>Term Benchmark</w:t>
      </w:r>
      <w:r>
        <w:rPr>
          <w:rFonts w:ascii="Arial" w:cs="Arial" w:eastAsia="Arial" w:hAnsi="Arial"/>
          <w:sz w:val="17"/>
          <w:szCs w:val="17"/>
          <w:color w:val="auto"/>
        </w:rPr>
        <w:t xml:space="preserve"> Loan may be continued or converted only on the last day of an Interest Period for such </w:t>
      </w:r>
      <w:r>
        <w:rPr>
          <w:rFonts w:ascii="Arial" w:cs="Arial" w:eastAsia="Arial" w:hAnsi="Arial"/>
          <w:sz w:val="17"/>
          <w:szCs w:val="17"/>
          <w:b w:val="1"/>
          <w:bCs w:val="1"/>
          <w:color w:val="FF0000"/>
          <w:strike w:val="1"/>
        </w:rPr>
        <w:t>Eurodollar Rate</w:t>
      </w:r>
      <w:r>
        <w:rPr>
          <w:rFonts w:ascii="Arial" w:cs="Arial" w:eastAsia="Arial" w:hAnsi="Arial"/>
          <w:sz w:val="17"/>
          <w:szCs w:val="17"/>
          <w:b w:val="1"/>
          <w:bCs w:val="1"/>
          <w:u w:val="single" w:color="auto"/>
          <w:color w:val="0000FF"/>
        </w:rPr>
        <w:t>Term Benchmark</w:t>
      </w:r>
      <w:r>
        <w:rPr>
          <w:rFonts w:ascii="Arial" w:cs="Arial" w:eastAsia="Arial" w:hAnsi="Arial"/>
          <w:sz w:val="17"/>
          <w:szCs w:val="17"/>
          <w:color w:val="auto"/>
        </w:rPr>
        <w:t xml:space="preserve"> Loan. During the existence of an Event of Default, no Loans may be requested as, converted to or continued as </w:t>
      </w:r>
      <w:r>
        <w:rPr>
          <w:rFonts w:ascii="Arial" w:cs="Arial" w:eastAsia="Arial" w:hAnsi="Arial"/>
          <w:sz w:val="17"/>
          <w:szCs w:val="17"/>
          <w:b w:val="1"/>
          <w:bCs w:val="1"/>
          <w:color w:val="FF0000"/>
          <w:strike w:val="1"/>
        </w:rPr>
        <w:t>Eurodollar Rate</w:t>
      </w:r>
      <w:r>
        <w:rPr>
          <w:rFonts w:ascii="Arial" w:cs="Arial" w:eastAsia="Arial" w:hAnsi="Arial"/>
          <w:sz w:val="17"/>
          <w:szCs w:val="17"/>
          <w:b w:val="1"/>
          <w:bCs w:val="1"/>
          <w:u w:val="single" w:color="auto"/>
          <w:color w:val="0000FF"/>
        </w:rPr>
        <w:t>Term Benchmark Loans or RFR</w:t>
      </w:r>
      <w:r>
        <w:rPr>
          <w:rFonts w:ascii="Arial" w:cs="Arial" w:eastAsia="Arial" w:hAnsi="Arial"/>
          <w:sz w:val="17"/>
          <w:szCs w:val="17"/>
          <w:color w:val="auto"/>
        </w:rPr>
        <w:t xml:space="preserve"> Loans without the consent of the Required Lenders.</w:t>
      </w:r>
    </w:p>
    <w:p>
      <w:pPr>
        <w:spacing w:after="0" w:line="161" w:lineRule="exact"/>
        <w:rPr>
          <w:rFonts w:ascii="Arial" w:cs="Arial" w:eastAsia="Arial" w:hAnsi="Arial"/>
          <w:sz w:val="17"/>
          <w:szCs w:val="17"/>
          <w:color w:val="auto"/>
        </w:rPr>
      </w:pPr>
    </w:p>
    <w:p>
      <w:pPr>
        <w:jc w:val="both"/>
        <w:ind w:firstLine="1305"/>
        <w:spacing w:after="0" w:line="259" w:lineRule="auto"/>
        <w:tabs>
          <w:tab w:leader="none" w:pos="2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Administrative Agent shall promptly notify the Borrower and the Lenders of the interest rate applicable to any Interest Period for </w:t>
      </w:r>
      <w:r>
        <w:rPr>
          <w:rFonts w:ascii="Arial" w:cs="Arial" w:eastAsia="Arial" w:hAnsi="Arial"/>
          <w:sz w:val="18"/>
          <w:szCs w:val="18"/>
          <w:b w:val="1"/>
          <w:bCs w:val="1"/>
          <w:color w:val="FF0000"/>
          <w:strike w:val="1"/>
        </w:rPr>
        <w:t>Eurodollar Rate</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Loans upon determination of such interest rate. At any time that Base Rate Loans are outstanding, the Administrative Agent shall notify the Borrower and the Lenders of any change in JPMorgan’s prime rate used in determining the Base Rate promptly following the public announcement of such change.</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ind w:firstLine="1305"/>
        <w:spacing w:after="0" w:line="277" w:lineRule="auto"/>
        <w:tabs>
          <w:tab w:leader="none" w:pos="19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five (5) Interest Periods in effect at any one time.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Any Refinancing Loans shall be borrowed pursuant to and in accordance with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2.03 Letters of Credit. (iii) </w:t>
      </w:r>
      <w:r>
        <w:rPr>
          <w:rFonts w:ascii="Arial" w:cs="Arial" w:eastAsia="Arial" w:hAnsi="Arial"/>
          <w:sz w:val="16"/>
          <w:szCs w:val="16"/>
          <w:u w:val="single" w:color="auto"/>
          <w:color w:val="auto"/>
        </w:rPr>
        <w:t>The Letter of Credit Commitment</w:t>
      </w:r>
      <w:r>
        <w:rPr>
          <w:rFonts w:ascii="Arial" w:cs="Arial" w:eastAsia="Arial" w:hAnsi="Arial"/>
          <w:sz w:val="16"/>
          <w:szCs w:val="16"/>
          <w:color w:val="auto"/>
        </w:rPr>
        <w:t xml:space="preserve">. (A) Subject to the terms and conditions set forth herein, (A) each L/C Issuer agrees, in reliance upon the agreements of the Revolving Credit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thirty days prior to the Letter of Credit Expiration Date, to issue Letters of Credit for the account of the Borrower, Holdings or any of their respective Subsidiaries that are Guarantors hereunder (and otherwise, subject to the approval of the applicable Subsidiary by the applicable L/C Issuer) and to amend or extend Letters of Credit previously issued by it,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and (2) to honor complying presentations under the Letters of Credit; and (B) the Revolving Credit Lenders severally agree to participate in Letters of Credit issued for the account of the Borrower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(w) the Total Revolving Credit Outstandings shall not exceed the aggregate amount of the Revolving Credit Lenders’ Revolving Credit Commitments at such time, (x) the aggregate Outstanding Amount of the Revolving Credit Loans of any Revolving Credit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Credit Lender’s Applicable Revolving Credit Percentage of the Outstanding Amount of all L/C Obligations, shall not exceed such Revolving Credit Lender’s Revolving Credit Commitment, (y) the Outstanding Amount of the L/C Obligations shall not exceed the Letter of Credit Sublimit and (z) the Outstanding Amount of the L/C Obligations in respect of Letters of Credit issued by any given L/C Issuer shall not exceed such L/C Issuer’s L/C Commitment.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fully 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-2098675</wp:posOffset>
            </wp:positionV>
            <wp:extent cx="12636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156" w:lineRule="exact"/>
        <w:rPr>
          <w:sz w:val="20"/>
          <w:szCs w:val="20"/>
          <w:color w:val="auto"/>
        </w:rPr>
      </w:pPr>
    </w:p>
    <w:p>
      <w:pPr>
        <w:ind w:left="2580" w:hanging="628"/>
        <w:spacing w:after="0"/>
        <w:tabs>
          <w:tab w:leader="none" w:pos="2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L/C Issuer shall issue any Letter of Credit if:</w:t>
      </w:r>
    </w:p>
    <w:p>
      <w:pPr>
        <w:spacing w:after="0" w:line="225" w:lineRule="exact"/>
        <w:rPr>
          <w:rFonts w:ascii="Arial" w:cs="Arial" w:eastAsia="Arial" w:hAnsi="Arial"/>
          <w:sz w:val="18"/>
          <w:szCs w:val="18"/>
          <w:color w:val="auto"/>
        </w:rPr>
      </w:pPr>
    </w:p>
    <w:p>
      <w:pPr>
        <w:jc w:val="both"/>
        <w:ind w:left="1300" w:firstLine="1300"/>
        <w:spacing w:after="0" w:line="263" w:lineRule="auto"/>
        <w:tabs>
          <w:tab w:leader="none" w:pos="3476"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months after the date of issuance or last extension, unless the Required Revolving Credit Lenders and the applicable L/C Issuer have approved such expiry date; or</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5" w:name="page96"/>
    <w:bookmarkEnd w:id="95"/>
    <w:p>
      <w:pPr>
        <w:ind w:left="180" w:firstLine="1300"/>
        <w:spacing w:after="0" w:line="277" w:lineRule="auto"/>
        <w:tabs>
          <w:tab w:leader="none" w:pos="232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Revolving Credit Lenders and the applicable L/C Issuer have approved such expiry date.</w:t>
      </w:r>
    </w:p>
    <w:p>
      <w:pPr>
        <w:spacing w:after="0" w:line="170" w:lineRule="exact"/>
        <w:rPr>
          <w:rFonts w:ascii="Arial" w:cs="Arial" w:eastAsia="Arial" w:hAnsi="Arial"/>
          <w:sz w:val="18"/>
          <w:szCs w:val="18"/>
          <w:color w:val="auto"/>
        </w:rPr>
      </w:pPr>
    </w:p>
    <w:p>
      <w:pPr>
        <w:ind w:left="1500" w:hanging="668"/>
        <w:spacing w:after="0"/>
        <w:tabs>
          <w:tab w:leader="none" w:pos="1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225" w:lineRule="exact"/>
        <w:rPr>
          <w:rFonts w:ascii="Arial" w:cs="Arial" w:eastAsia="Arial" w:hAnsi="Arial"/>
          <w:sz w:val="18"/>
          <w:szCs w:val="18"/>
          <w:color w:val="auto"/>
        </w:rPr>
      </w:pPr>
    </w:p>
    <w:p>
      <w:pPr>
        <w:jc w:val="both"/>
        <w:ind w:left="180" w:firstLine="1300"/>
        <w:spacing w:after="0" w:line="279" w:lineRule="auto"/>
        <w:tabs>
          <w:tab w:leader="none" w:pos="2186"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w:t>
      </w:r>
    </w:p>
    <w:p>
      <w:pPr>
        <w:spacing w:after="0" w:line="171" w:lineRule="exact"/>
        <w:rPr>
          <w:rFonts w:ascii="Arial" w:cs="Arial" w:eastAsia="Arial" w:hAnsi="Arial"/>
          <w:sz w:val="17"/>
          <w:szCs w:val="17"/>
          <w:color w:val="auto"/>
        </w:rPr>
      </w:pPr>
    </w:p>
    <w:p>
      <w:pPr>
        <w:jc w:val="both"/>
        <w:ind w:left="180" w:firstLine="1300"/>
        <w:spacing w:after="0" w:line="259" w:lineRule="auto"/>
        <w:tabs>
          <w:tab w:leader="none" w:pos="2242"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proceeds of which would be made available to any Person (i) to fund any activity or business of or with any Sanctioned Person, or in any country or territory that, at the time of such funding, is the subject of any Sanctions, (ii) in any manner that would result in a violation of any Sanctions by any party to this Agreement or (iii) in any manner that would violate one or more policies of such L/C Issuer applicable to letters of credit generally;</w:t>
      </w:r>
    </w:p>
    <w:p>
      <w:pPr>
        <w:spacing w:after="0" w:line="186" w:lineRule="exact"/>
        <w:rPr>
          <w:rFonts w:ascii="Arial" w:cs="Arial" w:eastAsia="Arial" w:hAnsi="Arial"/>
          <w:sz w:val="18"/>
          <w:szCs w:val="18"/>
          <w:color w:val="auto"/>
        </w:rPr>
      </w:pPr>
    </w:p>
    <w:p>
      <w:pPr>
        <w:ind w:left="180" w:firstLine="1300"/>
        <w:spacing w:after="0" w:line="277" w:lineRule="auto"/>
        <w:tabs>
          <w:tab w:leader="none" w:pos="2272"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L/C Issuer, such Letter of Credit is in an initial stated amount less than $500,000;</w:t>
      </w:r>
    </w:p>
    <w:p>
      <w:pPr>
        <w:spacing w:after="0" w:line="170" w:lineRule="exact"/>
        <w:rPr>
          <w:rFonts w:ascii="Arial" w:cs="Arial" w:eastAsia="Arial" w:hAnsi="Arial"/>
          <w:sz w:val="18"/>
          <w:szCs w:val="18"/>
          <w:color w:val="auto"/>
        </w:rPr>
      </w:pPr>
    </w:p>
    <w:p>
      <w:pPr>
        <w:ind w:left="2180" w:hanging="700"/>
        <w:spacing w:after="0"/>
        <w:tabs>
          <w:tab w:leader="none" w:pos="21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w:t>
      </w:r>
    </w:p>
    <w:p>
      <w:pPr>
        <w:spacing w:after="0" w:line="225" w:lineRule="exact"/>
        <w:rPr>
          <w:rFonts w:ascii="Arial" w:cs="Arial" w:eastAsia="Arial" w:hAnsi="Arial"/>
          <w:sz w:val="18"/>
          <w:szCs w:val="18"/>
          <w:color w:val="auto"/>
        </w:rPr>
      </w:pPr>
    </w:p>
    <w:p>
      <w:pPr>
        <w:ind w:left="2360" w:hanging="880"/>
        <w:spacing w:after="0"/>
        <w:tabs>
          <w:tab w:leader="none" w:pos="23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drawing thereunder; or</w:t>
      </w:r>
    </w:p>
    <w:p>
      <w:pPr>
        <w:spacing w:after="0" w:line="210" w:lineRule="exact"/>
        <w:rPr>
          <w:rFonts w:ascii="Arial" w:cs="Arial" w:eastAsia="Arial" w:hAnsi="Arial"/>
          <w:sz w:val="17"/>
          <w:szCs w:val="17"/>
          <w:color w:val="auto"/>
        </w:rPr>
      </w:pPr>
    </w:p>
    <w:p>
      <w:pPr>
        <w:jc w:val="both"/>
        <w:ind w:left="180" w:firstLine="1300"/>
        <w:spacing w:after="0" w:line="259" w:lineRule="auto"/>
        <w:tabs>
          <w:tab w:leader="none" w:pos="2191"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 default of any Revolving Credit Lender’s obligations to fund under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exists or any Revolving Credit Lender is at such time a Defaulting Lender hereunder, unless such L/C Issuer has entered into reasonably satisfactory arrangements with the Borrower or such Revolving Credit Lender to eliminate such L/C Issuer’s risk with respect to such Revolving Credit Lender.</w:t>
      </w:r>
    </w:p>
    <w:p>
      <w:pPr>
        <w:spacing w:after="0" w:line="186" w:lineRule="exact"/>
        <w:rPr>
          <w:rFonts w:ascii="Arial" w:cs="Arial" w:eastAsia="Arial" w:hAnsi="Arial"/>
          <w:sz w:val="18"/>
          <w:szCs w:val="18"/>
          <w:color w:val="auto"/>
        </w:rPr>
      </w:pPr>
    </w:p>
    <w:p>
      <w:pPr>
        <w:jc w:val="both"/>
        <w:ind w:left="-460" w:firstLine="1292"/>
        <w:spacing w:after="0" w:line="263" w:lineRule="auto"/>
        <w:tabs>
          <w:tab w:leader="none" w:pos="1667"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7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96" w:name="page97"/>
    <w:bookmarkEnd w:id="96"/>
    <w:p>
      <w:pPr>
        <w:jc w:val="both"/>
        <w:ind w:firstLine="1304"/>
        <w:spacing w:after="0" w:line="284" w:lineRule="auto"/>
        <w:tabs>
          <w:tab w:leader="none" w:pos="207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Procedures for Issuance and Amendment of Letters of Credit; Auto Extension Letters of Credit</w:t>
      </w:r>
      <w:r>
        <w:rPr>
          <w:rFonts w:ascii="Arial" w:cs="Arial" w:eastAsia="Arial" w:hAnsi="Arial"/>
          <w:sz w:val="16"/>
          <w:szCs w:val="16"/>
          <w:color w:val="auto"/>
        </w:rPr>
        <w:t xml:space="preserve">. (B) Subject to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each Letter of Credit shall be issued or amended, as the case may be, upon the request of the Borrower delivered to the applicable L/C Issuer during the period specified in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the applicable L/C Issuer and the Administrative Agent not later than 11:00 a.m. at least three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thereof; (C) the expiry date thereof (including a final expiration date in the case of an Auto-Extension Letter of Credit); (D) the name and address of the beneficiary thereof; (E) the documents to be presented by such beneficiary in case of any drawing thereunder; (F) the form of such letter of credit (which shall be in compliance with the requirements of this </w:t>
      </w:r>
      <w:r>
        <w:rPr>
          <w:rFonts w:ascii="Arial" w:cs="Arial" w:eastAsia="Arial" w:hAnsi="Arial"/>
          <w:sz w:val="16"/>
          <w:szCs w:val="16"/>
          <w:u w:val="single" w:color="auto"/>
          <w:color w:val="auto"/>
        </w:rPr>
        <w:t>Section 2.03</w:t>
      </w:r>
      <w:r>
        <w:rPr>
          <w:rFonts w:ascii="Arial" w:cs="Arial" w:eastAsia="Arial" w:hAnsi="Arial"/>
          <w:sz w:val="16"/>
          <w:szCs w:val="16"/>
          <w:color w:val="auto"/>
        </w:rPr>
        <w:t>) and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satisfactory to the applicable L/C Issuer (1) the Letter of Credit to be amended; (2) the proposed date of amendment thereof (which shall be a Business Day); (3) the nature of the proposed amendment; and (4) such other matters as such L/C Issuer may require. Additionally, (x) the Borrower shall furnish to each L/C Issuer and the Administrative Agent such other documents and information pertaining to such requested Letter of Credit issuance or amendment, including any Issuer Documents, as such L/C Issuer or the Administrative Agent may require and (y) each L/C Issuer shall furnish to the Administrative Agent periodic reports and reconciliation statements with respect to outstanding Letters of Credit and such other documents and information pertaining thereto, as the Administrative Agent may reasonably require.</w:t>
      </w:r>
    </w:p>
    <w:p>
      <w:pPr>
        <w:spacing w:after="0" w:line="181" w:lineRule="exact"/>
        <w:rPr>
          <w:rFonts w:ascii="Arial" w:cs="Arial" w:eastAsia="Arial" w:hAnsi="Arial"/>
          <w:sz w:val="16"/>
          <w:szCs w:val="16"/>
          <w:color w:val="auto"/>
        </w:rPr>
      </w:pPr>
    </w:p>
    <w:p>
      <w:pPr>
        <w:jc w:val="both"/>
        <w:ind w:left="660" w:firstLine="1292"/>
        <w:spacing w:after="0" w:line="286" w:lineRule="auto"/>
        <w:tabs>
          <w:tab w:leader="none" w:pos="3015"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Unless such L/C Issuer has received written notice from any Revolving Credit Lender, the Administrative Agent or any Loan Party, at least one Business Day prior to the requested date of an L/C Credit Extension, that one or more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then be satisfied, then, subject to the terms and conditions hereof, such L/C Issuer shall, on the requested date, issue a Letter of Credit for the account of the Borrower or enter into the applicable amendment constituting an L/C Credit Extension, as the case may be, in each case in accordance with such L/C Issuer’s usual and customary business practices, and notify the Administrative Agent thereof on the same day of each such issuance or amendment. The satisfaction of the conditions contained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applicable to amendments to Letters of Credit not constituting an L/C Credit Extension. Immediately upon the issuance of each Letter of Credit and notification thereof by such L/C Issuer to the Administrative Agent, each Revolving Credit Lender shall be deemed to, and hereby irrevocably and unconditionally agrees to, regardless of whether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have been satisfied, purchase from such L/C Issuer a risk participation in such Letter of Credit in an amount equal to the product of such Revolving Credit Lender’s Applicable Revolving Credit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Letter of Credit.</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7" w:name="page98"/>
    <w:bookmarkEnd w:id="97"/>
    <w:p>
      <w:pPr>
        <w:jc w:val="both"/>
        <w:ind w:left="660" w:firstLine="1292"/>
        <w:spacing w:after="0" w:line="268" w:lineRule="auto"/>
        <w:tabs>
          <w:tab w:leader="none" w:pos="2631" w:val="left"/>
        </w:tabs>
        <w:numPr>
          <w:ilvl w:val="2"/>
          <w:numId w:val="55"/>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in each such twelve-month period to be agreed upon at the time such Letter of Credit is issued. Unless otherwise directed by any L/C Issuer in its sole discretion, the Borrower shall not be required to make a specific request to the applicable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or otherwise), or (B) it has received notice (which may be by telephone or in writing) on or before the day that is seven Business Days before the Non-Extension Notice Date (1) from the Administrative Agent that the Required Revolving Credit Lenders have elected not to permit such extension or (2) from the Administrative Agent, any Revolving Credit Lender or the Borrower that one or more of the applicable conditions specified in Section 4.02 is not then satisfied, and in each such case directing such L/C Issuer not to permit such extension.</w:t>
      </w:r>
    </w:p>
    <w:p>
      <w:pPr>
        <w:spacing w:after="0" w:line="181" w:lineRule="exact"/>
        <w:rPr>
          <w:rFonts w:ascii="Arial" w:cs="Arial" w:eastAsia="Arial" w:hAnsi="Arial"/>
          <w:sz w:val="17"/>
          <w:szCs w:val="17"/>
          <w:color w:val="auto"/>
        </w:rPr>
      </w:pPr>
    </w:p>
    <w:p>
      <w:pPr>
        <w:jc w:val="both"/>
        <w:ind w:left="660" w:firstLine="1292"/>
        <w:spacing w:after="0" w:line="263" w:lineRule="auto"/>
        <w:tabs>
          <w:tab w:leader="none" w:pos="2738" w:val="left"/>
        </w:tabs>
        <w:numPr>
          <w:ilvl w:val="2"/>
          <w:numId w:val="55"/>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183" w:lineRule="exact"/>
        <w:rPr>
          <w:rFonts w:ascii="Arial" w:cs="Arial" w:eastAsia="Arial" w:hAnsi="Arial"/>
          <w:sz w:val="18"/>
          <w:szCs w:val="18"/>
          <w:color w:val="auto"/>
        </w:rPr>
      </w:pPr>
    </w:p>
    <w:p>
      <w:pPr>
        <w:jc w:val="both"/>
        <w:ind w:firstLine="1304"/>
        <w:spacing w:after="0" w:line="284" w:lineRule="auto"/>
        <w:tabs>
          <w:tab w:leader="none" w:pos="1986"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Drawings and Reimbursements; Funding of Participations</w:t>
      </w:r>
      <w:r>
        <w:rPr>
          <w:rFonts w:ascii="Arial" w:cs="Arial" w:eastAsia="Arial" w:hAnsi="Arial"/>
          <w:sz w:val="16"/>
          <w:szCs w:val="16"/>
          <w:color w:val="auto"/>
        </w:rPr>
        <w:t xml:space="preserve">. (C) Upon receipt from the beneficiary of any Letter of Credit of any notice of a drawing under such Letter of Credit, the applicable L/C Issuer shall notify the Borrower and the Administrative Agent thereof. Not later than 1:00 p.m. on the Business Day immediately following any payment by such L/C Issuer under a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received notice of such payment from such L/C Issuer or the Administrative Agent on or prior to 4:00 p.m. on the date of such payment, and if not, on the second succeeding Business Day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Borrower shall reimburse such L/C Issuer in an amount equal to the amount of such drawing. Interest shall be payable on any such amounts from the date on which the relevant drawing is made until reimbursement in full at a rate equal to</w:t>
      </w:r>
    </w:p>
    <w:p>
      <w:pPr>
        <w:spacing w:after="0" w:line="4" w:lineRule="exact"/>
        <w:rPr>
          <w:rFonts w:ascii="Arial" w:cs="Arial" w:eastAsia="Arial" w:hAnsi="Arial"/>
          <w:sz w:val="16"/>
          <w:szCs w:val="16"/>
          <w:color w:val="auto"/>
        </w:rPr>
      </w:pPr>
    </w:p>
    <w:p>
      <w:pPr>
        <w:jc w:val="both"/>
        <w:ind w:firstLine="8"/>
        <w:spacing w:after="0" w:line="267" w:lineRule="auto"/>
        <w:tabs>
          <w:tab w:leader="none" w:pos="223"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until the second succeeding Business Day following the date of the relevant notice, the greater of (A) the rate applicable to Base Rate Loans under the Revolving Credit Facility set forth in clause (x) of the definition of Applicable Rate and (B) the rate applicable to Base Rate Loans under any other Revolving Credit Facility then in effect and (ii) thereafter, the rate set forth in </w:t>
      </w:r>
      <w:r>
        <w:rPr>
          <w:rFonts w:ascii="Arial" w:cs="Arial" w:eastAsia="Arial" w:hAnsi="Arial"/>
          <w:sz w:val="17"/>
          <w:szCs w:val="17"/>
          <w:u w:val="single" w:color="auto"/>
          <w:color w:val="auto"/>
        </w:rPr>
        <w:t>Section 2.07(b)</w:t>
      </w:r>
      <w:r>
        <w:rPr>
          <w:rFonts w:ascii="Arial" w:cs="Arial" w:eastAsia="Arial" w:hAnsi="Arial"/>
          <w:sz w:val="17"/>
          <w:szCs w:val="17"/>
          <w:color w:val="auto"/>
        </w:rPr>
        <w:t>. If the Borrower fails to so reimburse such L/C Issuer by such time, such L/C Issuer shall promptly notify the Administrative Agent, and the Administrative Agent shall promptly notify each Revolving Credit Lender of the Honor Date, the amount of the unreimbursed drawing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w:t>
      </w:r>
      <w:r>
        <w:rPr>
          <w:rFonts w:ascii="Arial" w:cs="Arial" w:eastAsia="Arial" w:hAnsi="Arial"/>
          <w:sz w:val="17"/>
          <w:szCs w:val="17"/>
          <w:color w:val="auto"/>
        </w:rPr>
        <w:t xml:space="preserve"> for the principal amount of Base Rate Loans, but subject to the amount of the unutilized portion of the Revolving Credit Commitment and the conditions set forth in Section 4.02 (other than the delivery of a Committed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Default or Event of Default shall result as a result of the Borrower failing to reimburse the relevant L/C Issuer to the extent of Revolving Credit Loans available to be provided pursuant to this Section 2.03(c) (and actually so provided). Any notice given by any L/C Issuer or the Administrative Agent pursuant to this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8" w:name="page99"/>
    <w:bookmarkEnd w:id="98"/>
    <w:p>
      <w:pPr>
        <w:jc w:val="both"/>
        <w:ind w:left="-460" w:firstLine="1292"/>
        <w:spacing w:after="0" w:line="255" w:lineRule="auto"/>
        <w:tabs>
          <w:tab w:leader="none" w:pos="17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to the Administrative Agent for the account of the applicable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Revolving Credit Lender that so makes funds available shall be deemed to have made a Base Rate Loan to the Borrower in such amount. The Administrative Agent shall remit the funds so received to such L/C Issuer.</w:t>
      </w:r>
    </w:p>
    <w:p>
      <w:pPr>
        <w:spacing w:after="0" w:line="192" w:lineRule="exact"/>
        <w:rPr>
          <w:rFonts w:ascii="Arial" w:cs="Arial" w:eastAsia="Arial" w:hAnsi="Arial"/>
          <w:sz w:val="18"/>
          <w:szCs w:val="18"/>
          <w:color w:val="auto"/>
        </w:rPr>
      </w:pPr>
    </w:p>
    <w:p>
      <w:pPr>
        <w:jc w:val="both"/>
        <w:ind w:left="-460" w:firstLine="1292"/>
        <w:spacing w:after="0" w:line="272" w:lineRule="auto"/>
        <w:tabs>
          <w:tab w:leader="none" w:pos="1552"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With respect to any Unreimbursed Amount that is not fully refinanced by a Revolving Credit Borrowing of Base Rate Loans because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the delivery of a Committed Loan Notice)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such L/C Issuer pursuant to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shall be deemed payment in respect of its participation in such L/C Borrowing and shall constitute an L/C Advance from such Revolving Credit Lender in satisfaction of its participation obligation under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460" w:firstLine="1292"/>
        <w:spacing w:after="0" w:line="263" w:lineRule="auto"/>
        <w:tabs>
          <w:tab w:leader="none" w:pos="15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Revolving Credit Lender’s Applicable Revolving Credit Percentage of such amount shall be solely for the account of such L/C Issuer.</w:t>
      </w:r>
    </w:p>
    <w:p>
      <w:pPr>
        <w:spacing w:after="0" w:line="7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99" w:name="page100"/>
    <w:bookmarkEnd w:id="99"/>
    <w:p>
      <w:pPr>
        <w:jc w:val="both"/>
        <w:ind w:left="660" w:firstLine="1292"/>
        <w:spacing w:after="0" w:line="288" w:lineRule="auto"/>
        <w:tabs>
          <w:tab w:leader="none" w:pos="2719"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any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Revolving Credit Lender may have against such L/C Issuer, the Borrower or any other Person for any reason whatsoever, (B) the occurrence or continuance of a Default, or (C) any other occurrence, event or condition, whether or not similar to any of the foregoing, including without limitation, any of the events specified in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Revolving Credit Lender’s obligation to make Revolving Credit Loans pursuant to this Section 2.03(c)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the Borrower of a Committed Loan Notice). For the avoidance of doubt, each Revolving Credit Lender’s obligation to fund its participation in any L/C Borrowing shall not be subject to the conditions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The making of an L/C Advance shall satisfy the obligation of the Borrower to reimburse the applicable L/C Issuer for the amount of any payment made by such L/C Issuer under any Letter of Credit to the extent of such L/C Advance so made and received by the L/C Issuer.</w:t>
      </w:r>
    </w:p>
    <w:p>
      <w:pPr>
        <w:spacing w:after="0" w:line="168" w:lineRule="exact"/>
        <w:rPr>
          <w:rFonts w:ascii="Arial" w:cs="Arial" w:eastAsia="Arial" w:hAnsi="Arial"/>
          <w:sz w:val="16"/>
          <w:szCs w:val="16"/>
          <w:color w:val="auto"/>
        </w:rPr>
      </w:pPr>
    </w:p>
    <w:p>
      <w:pPr>
        <w:jc w:val="both"/>
        <w:ind w:left="660" w:firstLine="1292"/>
        <w:spacing w:after="0" w:line="269" w:lineRule="auto"/>
        <w:tabs>
          <w:tab w:leader="none" w:pos="2686"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If any Revolving Credit Lender fails to make available to the Administrative Agent for the account of any L/C Issuer any amount required to be paid by such Revolving Credit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such L/C Issuer (acting through the Administrative Agent) shall be entitled to recover from such Revolving Credit Lender,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plus any administrative, processing or similar fees customarily charged by such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such L/C Issuer submitted to any Revolving Credit Lender (through the Administrative Agent) with respect to any amounts owing under this </w:t>
      </w:r>
      <w:r>
        <w:rPr>
          <w:rFonts w:ascii="Arial" w:cs="Arial" w:eastAsia="Arial" w:hAnsi="Arial"/>
          <w:sz w:val="17"/>
          <w:szCs w:val="17"/>
          <w:u w:val="single" w:color="auto"/>
          <w:color w:val="auto"/>
        </w:rPr>
        <w:t>Section 2.03(c)(vi)</w:t>
      </w:r>
      <w:r>
        <w:rPr>
          <w:rFonts w:ascii="Arial" w:cs="Arial" w:eastAsia="Arial" w:hAnsi="Arial"/>
          <w:sz w:val="17"/>
          <w:szCs w:val="17"/>
          <w:color w:val="auto"/>
        </w:rPr>
        <w:t xml:space="preserve"> shall be prima facie evidence thereof.</w:t>
      </w:r>
    </w:p>
    <w:p>
      <w:pPr>
        <w:spacing w:after="0" w:line="181" w:lineRule="exact"/>
        <w:rPr>
          <w:rFonts w:ascii="Arial" w:cs="Arial" w:eastAsia="Arial" w:hAnsi="Arial"/>
          <w:sz w:val="17"/>
          <w:szCs w:val="17"/>
          <w:color w:val="auto"/>
        </w:rPr>
      </w:pPr>
    </w:p>
    <w:p>
      <w:pPr>
        <w:jc w:val="both"/>
        <w:ind w:firstLine="1304"/>
        <w:spacing w:after="0" w:line="255" w:lineRule="auto"/>
        <w:tabs>
          <w:tab w:leader="none" w:pos="210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 xml:space="preserve">. (D) At any time after any L/C Issuer has made a payment under any Letter of Credit and has received from any Revolving Credit Lender such Revolving Credit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Revolving Credit Lender its Applicable Revolving Credit Percentage thereof in the same funds as those received by the Administrative Agent.</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0" w:name="page101"/>
    <w:bookmarkEnd w:id="100"/>
    <w:p>
      <w:pPr>
        <w:jc w:val="both"/>
        <w:ind w:left="660" w:firstLine="1292"/>
        <w:spacing w:after="0" w:line="254" w:lineRule="auto"/>
        <w:tabs>
          <w:tab w:leader="none" w:pos="2631"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any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amount is returned by such Revolving Credit Lender, at a rate per annum equal to the Federal Funds Rate from time to time in effect. The obligations of the Revolving Credit Lenders under this clause shall survive the payment in full of the Obligations and the termination of this Agreement.</w:t>
      </w:r>
    </w:p>
    <w:p>
      <w:pPr>
        <w:spacing w:after="0" w:line="194" w:lineRule="exact"/>
        <w:rPr>
          <w:rFonts w:ascii="Arial" w:cs="Arial" w:eastAsia="Arial" w:hAnsi="Arial"/>
          <w:sz w:val="18"/>
          <w:szCs w:val="18"/>
          <w:color w:val="auto"/>
        </w:rPr>
      </w:pPr>
    </w:p>
    <w:p>
      <w:pPr>
        <w:jc w:val="both"/>
        <w:ind w:firstLine="1304"/>
        <w:spacing w:after="0" w:line="263" w:lineRule="auto"/>
        <w:tabs>
          <w:tab w:leader="none" w:pos="194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each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sz w:val="20"/>
          <w:szCs w:val="20"/>
          <w:color w:val="auto"/>
        </w:rPr>
      </w:pPr>
    </w:p>
    <w:p>
      <w:pPr>
        <w:jc w:val="both"/>
        <w:ind w:left="660" w:firstLine="1292"/>
        <w:spacing w:after="0" w:line="279" w:lineRule="auto"/>
        <w:tabs>
          <w:tab w:leader="none" w:pos="2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Borrower or any of its Subsidiaries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71" w:lineRule="exact"/>
        <w:rPr>
          <w:rFonts w:ascii="Arial" w:cs="Arial" w:eastAsia="Arial" w:hAnsi="Arial"/>
          <w:sz w:val="17"/>
          <w:szCs w:val="17"/>
          <w:color w:val="auto"/>
        </w:rPr>
      </w:pPr>
    </w:p>
    <w:p>
      <w:pPr>
        <w:jc w:val="both"/>
        <w:ind w:left="660" w:firstLine="1292"/>
        <w:spacing w:after="0" w:line="263" w:lineRule="auto"/>
        <w:tabs>
          <w:tab w:leader="none" w:pos="260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3" w:lineRule="exact"/>
        <w:rPr>
          <w:rFonts w:ascii="Arial" w:cs="Arial" w:eastAsia="Arial" w:hAnsi="Arial"/>
          <w:sz w:val="18"/>
          <w:szCs w:val="18"/>
          <w:color w:val="auto"/>
        </w:rPr>
      </w:pPr>
    </w:p>
    <w:p>
      <w:pPr>
        <w:jc w:val="both"/>
        <w:ind w:left="660" w:firstLine="1292"/>
        <w:spacing w:after="0" w:line="257" w:lineRule="auto"/>
        <w:tabs>
          <w:tab w:leader="none" w:pos="26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payment by any L/C Issuer under such Letter of Credit against presentation of a draft or certificate that does not strictly comply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1" w:name="page102"/>
    <w:bookmarkEnd w:id="101"/>
    <w:p>
      <w:pPr>
        <w:ind w:left="660" w:firstLine="1292"/>
        <w:spacing w:after="0" w:line="277" w:lineRule="auto"/>
        <w:tabs>
          <w:tab w:leader="none" w:pos="26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waiver by any L/C Issuer of any requirement that exists for such L/C Issuer’s protection and not the protection of the Borrower or any waiver by any L/C Issuer which does not in fact materially prejudice the Borrower;</w:t>
      </w:r>
    </w:p>
    <w:p>
      <w:pPr>
        <w:spacing w:after="0" w:line="170" w:lineRule="exact"/>
        <w:rPr>
          <w:rFonts w:ascii="Arial" w:cs="Arial" w:eastAsia="Arial" w:hAnsi="Arial"/>
          <w:sz w:val="18"/>
          <w:szCs w:val="18"/>
          <w:color w:val="auto"/>
        </w:rPr>
      </w:pPr>
    </w:p>
    <w:p>
      <w:pPr>
        <w:ind w:left="2700" w:hanging="748"/>
        <w:spacing w:after="0"/>
        <w:tabs>
          <w:tab w:leader="none" w:pos="2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form of a draft;</w:t>
      </w:r>
    </w:p>
    <w:p>
      <w:pPr>
        <w:spacing w:after="0" w:line="210" w:lineRule="exact"/>
        <w:rPr>
          <w:rFonts w:ascii="Arial" w:cs="Arial" w:eastAsia="Arial" w:hAnsi="Arial"/>
          <w:sz w:val="16"/>
          <w:szCs w:val="16"/>
          <w:color w:val="auto"/>
        </w:rPr>
      </w:pPr>
    </w:p>
    <w:p>
      <w:pPr>
        <w:jc w:val="both"/>
        <w:ind w:left="660" w:firstLine="1292"/>
        <w:spacing w:after="0" w:line="263" w:lineRule="auto"/>
        <w:tabs>
          <w:tab w:leader="none" w:pos="26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or the ISP, as applicable; or</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69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 other than payment of the applicable Obligations in full in cash.</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any L/C Issuer and its correspondents unless such notice is given as aforesaid.</w:t>
      </w:r>
    </w:p>
    <w:p>
      <w:pPr>
        <w:spacing w:after="0" w:line="187" w:lineRule="exact"/>
        <w:rPr>
          <w:sz w:val="20"/>
          <w:szCs w:val="20"/>
          <w:color w:val="auto"/>
        </w:rPr>
      </w:pPr>
    </w:p>
    <w:p>
      <w:pPr>
        <w:jc w:val="both"/>
        <w:ind w:firstLine="1304"/>
        <w:spacing w:after="0" w:line="284" w:lineRule="auto"/>
        <w:tabs>
          <w:tab w:leader="none" w:pos="199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Role of L/C Issuer</w:t>
      </w:r>
      <w:r>
        <w:rPr>
          <w:rFonts w:ascii="Arial" w:cs="Arial" w:eastAsia="Arial" w:hAnsi="Arial"/>
          <w:sz w:val="16"/>
          <w:szCs w:val="16"/>
          <w:color w:val="auto"/>
        </w:rPr>
        <w:t xml:space="preserve">. Each Revolving Credit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Revolving Credit Lender for (i) any action taken or omitted in connection herewith at the request or with the approval of the Revolving Credit Lenders or the Required Revolving Credit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clauses (i) through (vii)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anything in such clauses to the contrary notwithstanding, the Borrower may have a claim against any L/C Issuer, and each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all documents specified in such Letter of Credit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Arial" w:cs="Arial" w:eastAsia="Arial" w:hAnsi="Arial"/>
          <w:sz w:val="16"/>
          <w:szCs w:val="16"/>
          <w:u w:val="single" w:color="auto"/>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ind w:left="840" w:hanging="656"/>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292"/>
        <w:spacing w:after="0" w:line="288" w:lineRule="auto"/>
        <w:tabs>
          <w:tab w:leader="none" w:pos="1600"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If (A) any L/C Issuer has honored any full or partial drawing request under any Letter of Credit and such drawing has resulted in an L/C Borrowing, (B) as of the Letter of Credit Expiration Date, any L/C Obligation for any reason remains outstanding, (C) the Borrower shall be required to provide Cash Collateral pursuant to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or (D) any Revolving Credit Lender shall be a Defaulting Lender, the Borrower shall immediately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above, after giving effect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2.14(a)(iv)</w:t>
      </w:r>
      <w:r>
        <w:rPr>
          <w:rFonts w:ascii="Arial" w:cs="Arial" w:eastAsia="Arial" w:hAnsi="Arial"/>
          <w:sz w:val="16"/>
          <w:szCs w:val="16"/>
          <w:color w:val="auto"/>
        </w:rPr>
        <w:t xml:space="preserve"> and any Cash Collateral provided by the Defaulting Lender). Additionally, if the Administrative Agent notifies the Borrower at any time that the Outstanding Amount of all L/C Obligations at such time exceeds the Letter of Credit Sublimit then in effect, then, within two Business Days after receipt of such notice, the Borrower shall provide Cash Collateral for the Outstanding Amount of the L/C Obligations in an amount not less than the amount by which the Outstanding Amount of all L/C Obligations exceeds the Letter of Credit Sublimit.</w:t>
      </w:r>
    </w:p>
    <w:p>
      <w:pPr>
        <w:spacing w:after="0" w:line="168" w:lineRule="exact"/>
        <w:rPr>
          <w:rFonts w:ascii="Arial" w:cs="Arial" w:eastAsia="Arial" w:hAnsi="Arial"/>
          <w:sz w:val="16"/>
          <w:szCs w:val="16"/>
          <w:color w:val="auto"/>
        </w:rPr>
      </w:pPr>
    </w:p>
    <w:p>
      <w:pPr>
        <w:jc w:val="both"/>
        <w:ind w:left="-460" w:firstLine="1292"/>
        <w:spacing w:after="0" w:line="269" w:lineRule="auto"/>
        <w:tabs>
          <w:tab w:leader="none" w:pos="1766"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2.03(g)(iii)</w:t>
      </w:r>
      <w:r>
        <w:rPr>
          <w:rFonts w:ascii="Arial" w:cs="Arial" w:eastAsia="Arial" w:hAnsi="Arial"/>
          <w:sz w:val="17"/>
          <w:szCs w:val="17"/>
          <w:color w:val="auto"/>
        </w:rPr>
        <w:t>. If at any time the Administrative Agent determines that Cash Collateral is subject to any right or claim of any Person other than the Administrative Agent, the Lenders or any L/C Issuer as herein provided or the depositary or intermediary institution in respect of such Cash Collateral and the relevant Controlled Accounts,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Controlled Accounts at JPMorgan. The Borrower shall pay promptly upon written demand therefor from time to time all customary account opening, activity and other administrative fees and charges in connection with the maintenance and disbursement of Cash Collateral.</w:t>
      </w:r>
    </w:p>
    <w:p>
      <w:pPr>
        <w:spacing w:after="0" w:line="7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03" w:name="page104"/>
    <w:bookmarkEnd w:id="103"/>
    <w:p>
      <w:pPr>
        <w:jc w:val="both"/>
        <w:ind w:left="660" w:firstLine="1292"/>
        <w:spacing w:after="0" w:line="257" w:lineRule="auto"/>
        <w:tabs>
          <w:tab w:leader="none" w:pos="2644"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or any other Loan Document, Cash Collateral provided under any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7" w:lineRule="exact"/>
        <w:rPr>
          <w:rFonts w:ascii="Arial" w:cs="Arial" w:eastAsia="Arial" w:hAnsi="Arial"/>
          <w:sz w:val="18"/>
          <w:szCs w:val="18"/>
          <w:color w:val="auto"/>
        </w:rPr>
      </w:pPr>
    </w:p>
    <w:p>
      <w:pPr>
        <w:jc w:val="both"/>
        <w:ind w:left="660" w:firstLine="1292"/>
        <w:spacing w:after="0" w:line="275" w:lineRule="auto"/>
        <w:tabs>
          <w:tab w:leader="none" w:pos="272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Cash Collateral (or the appropriate portion thereof) provided to reduce Fronting Exposure or to secure other obligations shall be released promptly (i) following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11.06(b)(vi)</w:t>
      </w:r>
      <w:r>
        <w:rPr>
          <w:rFonts w:ascii="Arial" w:cs="Arial" w:eastAsia="Arial" w:hAnsi="Arial"/>
          <w:sz w:val="17"/>
          <w:szCs w:val="17"/>
          <w:color w:val="auto"/>
        </w:rPr>
        <w:t xml:space="preserve">)) or (ii) if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Borrower and the applicable L/C Issuer may agree that Cash Collateral shall not be released but instead held to support future anticipated Fronting Exposure or other obligations.</w:t>
      </w:r>
    </w:p>
    <w:p>
      <w:pPr>
        <w:spacing w:after="0" w:line="176" w:lineRule="exact"/>
        <w:rPr>
          <w:rFonts w:ascii="Arial" w:cs="Arial" w:eastAsia="Arial" w:hAnsi="Arial"/>
          <w:sz w:val="17"/>
          <w:szCs w:val="17"/>
          <w:color w:val="auto"/>
        </w:rPr>
      </w:pPr>
    </w:p>
    <w:p>
      <w:pPr>
        <w:jc w:val="both"/>
        <w:ind w:firstLine="1304"/>
        <w:spacing w:after="0" w:line="290" w:lineRule="auto"/>
        <w:tabs>
          <w:tab w:leader="none" w:pos="201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Applicability of ISP; Limitation of Liability</w:t>
      </w:r>
      <w:r>
        <w:rPr>
          <w:rFonts w:ascii="Arial" w:cs="Arial" w:eastAsia="Arial" w:hAnsi="Arial"/>
          <w:sz w:val="16"/>
          <w:szCs w:val="16"/>
          <w:color w:val="auto"/>
        </w:rPr>
        <w:t>. Unless otherwise expressly agreed by the applicable L/C Issuer and the Borrower when a Letter of Credit is issued or when it is amended with the consent of the beneficiary thereof, the rules of the ISP shall apply to such Letter of Credit and as to all matters not governed thereby, the law of the State of New York. Notwithstanding the foregoing, no L/C Issuer shall be responsible to the Borrower for, and no L/C Issuer’s rights and remedies against the Borrower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65" w:lineRule="exact"/>
        <w:rPr>
          <w:rFonts w:ascii="Arial" w:cs="Arial" w:eastAsia="Arial" w:hAnsi="Arial"/>
          <w:sz w:val="16"/>
          <w:szCs w:val="16"/>
          <w:color w:val="auto"/>
        </w:rPr>
      </w:pPr>
    </w:p>
    <w:p>
      <w:pPr>
        <w:jc w:val="both"/>
        <w:ind w:firstLine="1304"/>
        <w:spacing w:after="0" w:line="269" w:lineRule="auto"/>
        <w:tabs>
          <w:tab w:leader="none" w:pos="1997"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the Applicable Rate in respect of its Revolving Credit Facility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Letter of Credit Fees shall be (i) due and payable on the </w:t>
      </w:r>
      <w:r>
        <w:rPr>
          <w:rFonts w:ascii="Arial" w:cs="Arial" w:eastAsia="Arial" w:hAnsi="Arial"/>
          <w:sz w:val="17"/>
          <w:szCs w:val="17"/>
          <w:b w:val="1"/>
          <w:bCs w:val="1"/>
          <w:color w:val="FF0000"/>
          <w:strike w:val="1"/>
        </w:rPr>
        <w:t>first</w:t>
      </w:r>
      <w:r>
        <w:rPr>
          <w:rFonts w:ascii="Arial" w:cs="Arial" w:eastAsia="Arial" w:hAnsi="Arial"/>
          <w:sz w:val="17"/>
          <w:szCs w:val="17"/>
          <w:b w:val="1"/>
          <w:bCs w:val="1"/>
          <w:u w:val="single" w:color="auto"/>
          <w:color w:val="0000FF"/>
        </w:rPr>
        <w:t>fifteenth</w:t>
      </w:r>
      <w:r>
        <w:rPr>
          <w:rFonts w:ascii="Arial" w:cs="Arial" w:eastAsia="Arial" w:hAnsi="Arial"/>
          <w:sz w:val="17"/>
          <w:szCs w:val="17"/>
          <w:color w:val="auto"/>
        </w:rPr>
        <w:t xml:space="preserve">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under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exists, all Letter of Credit Fees shall accrue at the Default Rate.</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jc w:val="both"/>
        <w:ind w:firstLine="1304"/>
        <w:spacing w:after="0" w:line="288" w:lineRule="auto"/>
        <w:tabs>
          <w:tab w:leader="none" w:pos="2114"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Issuers</w:t>
      </w:r>
      <w:r>
        <w:rPr>
          <w:rFonts w:ascii="Arial" w:cs="Arial" w:eastAsia="Arial" w:hAnsi="Arial"/>
          <w:sz w:val="16"/>
          <w:szCs w:val="16"/>
          <w:color w:val="auto"/>
        </w:rPr>
        <w:t xml:space="preserve">. The Borrower shall pay directly to each L/C Issuer for its own account a fronting fee with respect to each Letter of Credit issued by it, at the rate per annum specified in the Fee Letter or such other fee letter as may be entered into by the Borrower and such L/C Issuer in respect thereof,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68" w:lineRule="exact"/>
        <w:rPr>
          <w:rFonts w:ascii="Arial" w:cs="Arial" w:eastAsia="Arial" w:hAnsi="Arial"/>
          <w:sz w:val="16"/>
          <w:szCs w:val="16"/>
          <w:color w:val="auto"/>
        </w:rPr>
      </w:pPr>
    </w:p>
    <w:p>
      <w:pPr>
        <w:ind w:firstLine="1304"/>
        <w:spacing w:after="0" w:line="277" w:lineRule="auto"/>
        <w:tabs>
          <w:tab w:leader="none" w:pos="206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227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Holdings and its Subsidiaries</w:t>
      </w:r>
      <w:r>
        <w:rPr>
          <w:rFonts w:ascii="Arial" w:cs="Arial" w:eastAsia="Arial" w:hAnsi="Arial"/>
          <w:sz w:val="18"/>
          <w:szCs w:val="18"/>
          <w:color w:val="auto"/>
        </w:rPr>
        <w:t>. Notwithstanding that a Letter of Credit issued or outstanding hereunder is in support of any obligations of Holdings or any of its Subsidiaries, each of the Borrower, Holdings and the Subsidiary parties that are Guarantors hereunder, shall be obligated to reimburse the applicable L/C Issuer for any and all drawings under such Letter of Credit. Each of the Borrower and the Guarantors hereunder hereby acknowledges that the issuance of Letters of Credit in support of Holdings or any of its Subsidiaries inures to the benefit of the Borrower, Holdings and the Guarantors, and that each of the Borrower’s, Holdings’ and the Guarantors’ business derives substantial benefits from the businesses of Holdings or such Subsidiaries.</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p>
      <w:pPr>
        <w:jc w:val="both"/>
        <w:ind w:firstLine="1304"/>
        <w:spacing w:after="0" w:line="267" w:lineRule="auto"/>
        <w:tabs>
          <w:tab w:leader="none" w:pos="204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Additional L/C Issuers</w:t>
      </w:r>
      <w:r>
        <w:rPr>
          <w:rFonts w:ascii="Arial" w:cs="Arial" w:eastAsia="Arial" w:hAnsi="Arial"/>
          <w:sz w:val="17"/>
          <w:szCs w:val="17"/>
          <w:color w:val="auto"/>
        </w:rPr>
        <w:t xml:space="preserve">. The Borrower may, at any time and from time to time, add one or more Additional L/C Issuers as an L/C Issuer without replacing a current L/C Issuer, in each instance, upon 5 Business Days prior written notice to the current L/C Issuer(s) and the Administrative Agent. The appointment by the Borrower of an Additional L/C Issuer as L/C Issuer and such Additional L/C Issuer’s acceptance of such appointment shall be evidenced by a written agreement among the Borrower, the Administrative Agent, the current L/C Issuer(s) and such Additional L/C Issuer, which agreement shall be reasonably satisfactory to such parties. The Administrative Agent shall notify the Revolving Credit Lenders of the appointment of any Additional L/C Issuer. From and after the effective date of the appointment of an Additional L/C Issuer, (i) such Additional L/C Issuer shall have all the rights and obligations of an L/C Issuer under this Agreement with respect to Letters of Credit to be issued by it thereafter, (ii) references herein to the term “L/C Issuer” shall be deemed to refer to such Additional L/C Issuer or to any previous L/C Issuer or to such Additional L/C Issuer and all previous L/C Issuers or to any or all current L/C Issuers or to any or all current L/C Issuers and previous L/C Issuers, as the context shall require and (iii) to the extent the context shall require, references herein to the term “Letter of Credit” or “Letters of Credit” shall be deemed to refer to a Letter of Credit or Letters of Credit issued or to be issued by the applicable L/C Issuer. In the event that at any time the Borrower desires the issuance of a Letter of Credit and there shall be more than one L/C Issuer (other than an L/C Issuer not required to issue additional Letters of Credit pursuant to </w:t>
      </w:r>
      <w:r>
        <w:rPr>
          <w:rFonts w:ascii="Arial" w:cs="Arial" w:eastAsia="Arial" w:hAnsi="Arial"/>
          <w:sz w:val="17"/>
          <w:szCs w:val="17"/>
          <w:u w:val="single" w:color="auto"/>
          <w:color w:val="auto"/>
        </w:rPr>
        <w:t>Section 2.03(a)</w:t>
      </w:r>
      <w:r>
        <w:rPr>
          <w:rFonts w:ascii="Arial" w:cs="Arial" w:eastAsia="Arial" w:hAnsi="Arial"/>
          <w:sz w:val="17"/>
          <w:szCs w:val="17"/>
          <w:color w:val="auto"/>
        </w:rPr>
        <w:t>), then the Borrower may select which such L/C Issuer will issue such Letter of Credit. The Lenders and the L/C Issuers hereby irrevocably authorize the Administrative Agent to enter into technical or immaterial (in the reasonable view of the Administrative Agent) amendments to this Agreement and the other Loans Documents with the applicable Loan Parties and the L/C Issuers as may be necessary or advisable in order to effectuate the inclusion of an Additional L/C Issuer as an L/C Issuer (including amendments to Schedule 2.03 to change the amount of the L/C Commitment of any L/C Issuer). All such amendments entered into with the applicable Loan Parties by the Administrative Agent and the L/C Issuers hereunder shall be binding and conclusive on all Lenders.</w:t>
      </w:r>
    </w:p>
    <w:p>
      <w:pPr>
        <w:spacing w:after="0" w:line="189" w:lineRule="exact"/>
        <w:rPr>
          <w:rFonts w:ascii="Arial" w:cs="Arial" w:eastAsia="Arial" w:hAnsi="Arial"/>
          <w:sz w:val="17"/>
          <w:szCs w:val="17"/>
          <w:color w:val="auto"/>
        </w:rPr>
      </w:pPr>
    </w:p>
    <w:p>
      <w:pPr>
        <w:ind w:left="1960" w:hanging="656"/>
        <w:spacing w:after="0"/>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Replacement and Resignation of L/C Issuers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89" w:lineRule="auto"/>
        <w:tabs>
          <w:tab w:leader="none" w:pos="3111"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An L/C Issuer may be replaced at any time by written agreement among the Borrower, the Administrative Agent, the replaced L/C Issuer and the successor L/C Issuer. The Administrative Agent shall notify the Lenders of any such replacement of an L/C Issuer. At the time any such replacement shall become effective, the Borrower shall pay all unpaid fees accrued for the account of the replaced L/C Issuer pursuant to </w:t>
      </w:r>
      <w:r>
        <w:rPr>
          <w:rFonts w:ascii="Arial" w:cs="Arial" w:eastAsia="Arial" w:hAnsi="Arial"/>
          <w:sz w:val="16"/>
          <w:szCs w:val="16"/>
          <w:u w:val="single" w:color="auto"/>
          <w:color w:val="auto"/>
        </w:rPr>
        <w:t>Section 2.08(b)</w:t>
      </w:r>
      <w:r>
        <w:rPr>
          <w:rFonts w:ascii="Arial" w:cs="Arial" w:eastAsia="Arial" w:hAnsi="Arial"/>
          <w:sz w:val="16"/>
          <w:szCs w:val="16"/>
          <w:color w:val="auto"/>
        </w:rPr>
        <w:t xml:space="preserve"> and any applicable fee letter. From and after the effective date of any such replacement, (x) the successor L/C Issuer shall have all the rights and obligations of L/C Issuers under this Agreement with respect to Letters of Credit to be issued thereafter and (y) references herein to the term “L/C Issuer” shall be deemed to refer to such successor or to any previous L/C Issuers, or to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66" w:lineRule="exact"/>
        <w:rPr>
          <w:rFonts w:ascii="Arial" w:cs="Arial" w:eastAsia="Arial" w:hAnsi="Arial"/>
          <w:sz w:val="16"/>
          <w:szCs w:val="16"/>
          <w:color w:val="auto"/>
        </w:rPr>
      </w:pPr>
    </w:p>
    <w:p>
      <w:pPr>
        <w:jc w:val="both"/>
        <w:ind w:left="660" w:firstLine="1292"/>
        <w:spacing w:after="0" w:line="263" w:lineRule="auto"/>
        <w:tabs>
          <w:tab w:leader="none" w:pos="2778"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xml:space="preserve">. Subject to the appointment and acceptance of a successor L/C Issuer, any L/C Issuer may resign as an L/C Issuer at any time upon thirty days’ prior written notice to the Administrative Agent, the Borrower and the Lenders, in which case, such L/C Issuer shall be replaced in accordance with </w:t>
      </w:r>
      <w:r>
        <w:rPr>
          <w:rFonts w:ascii="Arial" w:cs="Arial" w:eastAsia="Arial" w:hAnsi="Arial"/>
          <w:sz w:val="18"/>
          <w:szCs w:val="18"/>
          <w:u w:val="single" w:color="auto"/>
          <w:color w:val="auto"/>
        </w:rPr>
        <w:t>Section 2.03(n)(i)</w:t>
      </w:r>
      <w:r>
        <w:rPr>
          <w:rFonts w:ascii="Arial" w:cs="Arial" w:eastAsia="Arial" w:hAnsi="Arial"/>
          <w:sz w:val="18"/>
          <w:szCs w:val="18"/>
          <w:color w:val="auto"/>
        </w:rPr>
        <w:t>.</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6" w:name="page107"/>
    <w:bookmarkEnd w:id="106"/>
    <w:p>
      <w:pPr>
        <w:jc w:val="both"/>
        <w:ind w:firstLine="648"/>
        <w:spacing w:after="0" w:line="286" w:lineRule="auto"/>
        <w:rPr>
          <w:sz w:val="20"/>
          <w:szCs w:val="20"/>
          <w:color w:val="auto"/>
        </w:rPr>
      </w:pPr>
      <w:r>
        <w:rPr>
          <w:rFonts w:ascii="Arial" w:cs="Arial" w:eastAsia="Arial" w:hAnsi="Arial"/>
          <w:sz w:val="16"/>
          <w:szCs w:val="16"/>
          <w:u w:val="single" w:color="auto"/>
          <w:color w:val="auto"/>
        </w:rPr>
        <w:t>2.04 Prepayments</w:t>
      </w:r>
      <w:r>
        <w:rPr>
          <w:rFonts w:ascii="Arial" w:cs="Arial" w:eastAsia="Arial" w:hAnsi="Arial"/>
          <w:sz w:val="16"/>
          <w:szCs w:val="16"/>
          <w:color w:val="auto"/>
        </w:rPr>
        <w:t xml:space="preserve">. (iv) </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(which notice, subject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3.05</w:t>
      </w:r>
      <w:r>
        <w:rPr>
          <w:rFonts w:ascii="Arial" w:cs="Arial" w:eastAsia="Arial" w:hAnsi="Arial"/>
          <w:sz w:val="16"/>
          <w:szCs w:val="16"/>
          <w:b w:val="1"/>
          <w:bCs w:val="1"/>
          <w:u w:val="single" w:color="auto"/>
          <w:color w:val="0000FF"/>
        </w:rPr>
        <w:t>3.04</w:t>
      </w:r>
      <w:r>
        <w:rPr>
          <w:rFonts w:ascii="Arial" w:cs="Arial" w:eastAsia="Arial" w:hAnsi="Arial"/>
          <w:sz w:val="16"/>
          <w:szCs w:val="16"/>
          <w:color w:val="auto"/>
        </w:rPr>
        <w:t xml:space="preserve">, may state that such prepayment is conditioned upon the effectiveness of other credit facilities or any other event, in which case such notice may be revoked by the Borrower (by notice to the Administrative Agent on or prior to the specified prepayment date) if such condition is not satisfied) to the Administrative Agent, at any time or from time to time voluntarily prepay Loans in whole or in part without premium or penalty (other than, in the case of any Incremental Term Loans, any premium contained in the applicable Incremental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Administrative Agent not later than 11:00 a.m.</w:t>
      </w:r>
    </w:p>
    <w:p>
      <w:pPr>
        <w:spacing w:after="0" w:line="2"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three </w:t>
      </w:r>
      <w:r>
        <w:rPr>
          <w:rFonts w:ascii="Arial" w:cs="Arial" w:eastAsia="Arial" w:hAnsi="Arial"/>
          <w:sz w:val="16"/>
          <w:szCs w:val="16"/>
          <w:b w:val="1"/>
          <w:bCs w:val="1"/>
          <w:u w:val="single" w:color="auto"/>
          <w:color w:val="0000FF"/>
        </w:rPr>
        <w:t>U.S. Government Securities</w:t>
      </w:r>
      <w:r>
        <w:rPr>
          <w:rFonts w:ascii="Arial" w:cs="Arial" w:eastAsia="Arial" w:hAnsi="Arial"/>
          <w:sz w:val="16"/>
          <w:szCs w:val="16"/>
          <w:color w:val="auto"/>
        </w:rPr>
        <w:t xml:space="preserve"> Business Days prior to any date of prepayment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 Loans or RFR</w:t>
      </w:r>
      <w:r>
        <w:rPr>
          <w:rFonts w:ascii="Arial" w:cs="Arial" w:eastAsia="Arial" w:hAnsi="Arial"/>
          <w:sz w:val="16"/>
          <w:szCs w:val="16"/>
          <w:color w:val="auto"/>
        </w:rPr>
        <w:t xml:space="preserve"> Loans and</w:t>
      </w:r>
    </w:p>
    <w:p>
      <w:pPr>
        <w:spacing w:after="0" w:line="32" w:lineRule="exact"/>
        <w:rPr>
          <w:rFonts w:ascii="Arial" w:cs="Arial" w:eastAsia="Arial" w:hAnsi="Arial"/>
          <w:sz w:val="16"/>
          <w:szCs w:val="16"/>
          <w:color w:val="auto"/>
        </w:rPr>
      </w:pPr>
    </w:p>
    <w:p>
      <w:pPr>
        <w:jc w:val="both"/>
        <w:ind w:firstLine="8"/>
        <w:spacing w:after="0" w:line="284" w:lineRule="auto"/>
        <w:tabs>
          <w:tab w:leader="none" w:pos="301"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one Business Day prior to any date of prepayment of Base Rate Loans; (ii) any prepayment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 Loans or RFR</w:t>
      </w:r>
      <w:r>
        <w:rPr>
          <w:rFonts w:ascii="Arial" w:cs="Arial" w:eastAsia="Arial" w:hAnsi="Arial"/>
          <w:sz w:val="16"/>
          <w:szCs w:val="16"/>
          <w:color w:val="auto"/>
        </w:rPr>
        <w:t xml:space="preserve">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Benchmark</w:t>
      </w:r>
      <w:r>
        <w:rPr>
          <w:rFonts w:ascii="Arial" w:cs="Arial" w:eastAsia="Arial" w:hAnsi="Arial"/>
          <w:sz w:val="16"/>
          <w:szCs w:val="16"/>
          <w:b w:val="1"/>
          <w:bCs w:val="1"/>
          <w:color w:val="0000FF"/>
        </w:rPr>
        <w:t xml:space="preserve"> </w:t>
      </w:r>
      <w:r>
        <w:rPr>
          <w:rFonts w:ascii="Arial" w:cs="Arial" w:eastAsia="Arial" w:hAnsi="Arial"/>
          <w:sz w:val="16"/>
          <w:szCs w:val="16"/>
          <w:color w:val="000000"/>
        </w:rPr>
        <w:t>Loans are to be prepaid, the Interest Period(s) of such Loans. The Administrative Agent will promptly notify each applicable Lender of its</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receipt of each such notice, and of the amount of such Lender’s ratable portion of such prepayment (based on such Lender’s Applicable Percentage in respect of the relevant Facility). Prepayments of Revolving Credit Loans shall be made on a pro rata basis across all Revolving Credit Facilities. Subject to the first sentence in this </w:t>
      </w:r>
      <w:r>
        <w:rPr>
          <w:rFonts w:ascii="Arial" w:cs="Arial" w:eastAsia="Arial" w:hAnsi="Arial"/>
          <w:sz w:val="16"/>
          <w:szCs w:val="16"/>
          <w:u w:val="single" w:color="auto"/>
          <w:color w:val="000000"/>
        </w:rPr>
        <w:t>Section 2.04(a)</w:t>
      </w:r>
      <w:r>
        <w:rPr>
          <w:rFonts w:ascii="Arial" w:cs="Arial" w:eastAsia="Arial" w:hAnsi="Arial"/>
          <w:sz w:val="16"/>
          <w:szCs w:val="16"/>
          <w:color w:val="000000"/>
        </w:rPr>
        <w:t xml:space="preserve">, if such notice is given by the Borrower, the Borrower shall make such prepayment and the payment amount specified in such notice shall be due and payable on the date specified therein;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notice of termination of the Revolving Credit Commitments and prepayment of Revolving Credit Loans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prepayment of a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 Loan or RFR</w:t>
      </w:r>
      <w:r>
        <w:rPr>
          <w:rFonts w:ascii="Arial" w:cs="Arial" w:eastAsia="Arial" w:hAnsi="Arial"/>
          <w:sz w:val="16"/>
          <w:szCs w:val="16"/>
          <w:color w:val="000000"/>
        </w:rPr>
        <w:t xml:space="preserve"> Loan shall be accompanied by all accrued interest on the amount prepaid, together with any additional amounts required pursuant to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FF0000"/>
          <w:strike w:val="1"/>
        </w:rPr>
        <w:t>3.05</w:t>
      </w:r>
      <w:r>
        <w:rPr>
          <w:rFonts w:ascii="Arial" w:cs="Arial" w:eastAsia="Arial" w:hAnsi="Arial"/>
          <w:sz w:val="16"/>
          <w:szCs w:val="16"/>
          <w:b w:val="1"/>
          <w:bCs w:val="1"/>
          <w:u w:val="single" w:color="auto"/>
          <w:color w:val="0000FF"/>
        </w:rPr>
        <w:t>3.04</w:t>
      </w:r>
      <w:r>
        <w:rPr>
          <w:rFonts w:ascii="Arial" w:cs="Arial" w:eastAsia="Arial" w:hAnsi="Arial"/>
          <w:sz w:val="16"/>
          <w:szCs w:val="16"/>
          <w:color w:val="000000"/>
        </w:rPr>
        <w:t xml:space="preserve"> and any prepayment of a Base Rate Loan shall be accompanied by all accrued interest on the amount prepaid if such prepayment is accompanied by a termination of the Revolving Credit Commitments (in the case of a prepayment of Revolving Credit Loans) or if such prepayment is of all outstanding Incremental Term Loans (in the case of a prepayment of Incremental Term Loans). All payments made pursuant to this </w:t>
      </w:r>
      <w:r>
        <w:rPr>
          <w:rFonts w:ascii="Arial" w:cs="Arial" w:eastAsia="Arial" w:hAnsi="Arial"/>
          <w:sz w:val="16"/>
          <w:szCs w:val="16"/>
          <w:u w:val="single" w:color="auto"/>
          <w:color w:val="000000"/>
        </w:rPr>
        <w:t>Section 2.04(a)</w:t>
      </w:r>
      <w:r>
        <w:rPr>
          <w:rFonts w:ascii="Arial" w:cs="Arial" w:eastAsia="Arial" w:hAnsi="Arial"/>
          <w:sz w:val="16"/>
          <w:szCs w:val="16"/>
          <w:color w:val="000000"/>
        </w:rPr>
        <w:t xml:space="preserve"> shall be applied (i) on a pro rata basis to each Lender holding Loans of the applicable Facility (or, in the case of Revolving Credit Loans, the Revolving Credit Facilities collectively) being prepaid and (ii) in the case of any Incremental Term Loans, in direct order of maturity of installments thereof required pursuant to the applicable Incremental Amendment.</w:t>
      </w:r>
    </w:p>
    <w:p>
      <w:pPr>
        <w:spacing w:after="0" w:line="170" w:lineRule="exact"/>
        <w:rPr>
          <w:rFonts w:ascii="Arial" w:cs="Arial" w:eastAsia="Arial" w:hAnsi="Arial"/>
          <w:sz w:val="16"/>
          <w:szCs w:val="16"/>
          <w:color w:val="auto"/>
        </w:rPr>
      </w:pPr>
    </w:p>
    <w:p>
      <w:pPr>
        <w:jc w:val="both"/>
        <w:ind w:firstLine="1304"/>
        <w:spacing w:after="0" w:line="257" w:lineRule="auto"/>
        <w:tabs>
          <w:tab w:leader="none" w:pos="205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xml:space="preserve">. (A) Upon the incurrence or issuance by any Loan Party or any Company Group Party of any Indebtedness (other than Indebtedness not prohibited to be incurred or issued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the Borrower shall prepay an aggregate principal amount of Loans (and, to the extent provided herein, Cash Collateralize L/C Obligations) in an amount equal to 100% of all Net Cash Proceeds received by any Loan Party or Company Group Party therefrom, immediately upon receipt thereof by such Loan Party or such Company Group Party (such prepayments to be applied as set forth in clause (iii) below).</w:t>
      </w:r>
    </w:p>
    <w:p>
      <w:pPr>
        <w:spacing w:after="0" w:line="187" w:lineRule="exact"/>
        <w:rPr>
          <w:rFonts w:ascii="Arial" w:cs="Arial" w:eastAsia="Arial" w:hAnsi="Arial"/>
          <w:sz w:val="18"/>
          <w:szCs w:val="18"/>
          <w:color w:val="auto"/>
        </w:rPr>
      </w:pPr>
    </w:p>
    <w:p>
      <w:pPr>
        <w:jc w:val="both"/>
        <w:ind w:left="660" w:firstLine="1292"/>
        <w:spacing w:after="0" w:line="263" w:lineRule="auto"/>
        <w:tabs>
          <w:tab w:leader="none" w:pos="2761"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for any reason the Total Revolving Credit Outstandings at any time exceed the Revolving Credit Commitments at such time, the Borrower shall immediately prepay Revolving Credit Loans and L/C Borrowings and/or Cash Collateralize the L/C Obligations (other than the L/C Borrowings) in an aggregate amount equal to such excess.</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jc w:val="both"/>
        <w:ind w:left="660" w:firstLine="1292"/>
        <w:spacing w:after="0" w:line="285" w:lineRule="auto"/>
        <w:tabs>
          <w:tab w:leader="none" w:pos="288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Prepayments made pursuant to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shall be applied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Incremental Term Loans held by all Incremental Term Loan Lenders in accordance with their Applicable Percentages (allocated to principal repayment installments thereof as set forth in the applicable Incremental Amendment) (other than in the case of a prepayment pursuant to </w:t>
      </w:r>
      <w:r>
        <w:rPr>
          <w:rFonts w:ascii="Arial" w:cs="Arial" w:eastAsia="Arial" w:hAnsi="Arial"/>
          <w:sz w:val="16"/>
          <w:szCs w:val="16"/>
          <w:u w:val="single" w:color="auto"/>
          <w:color w:val="auto"/>
        </w:rPr>
        <w:t>Section 2.04(b)(ii)</w:t>
      </w:r>
      <w:r>
        <w:rPr>
          <w:rFonts w:ascii="Arial" w:cs="Arial" w:eastAsia="Arial" w:hAnsi="Arial"/>
          <w:sz w:val="16"/>
          <w:szCs w:val="16"/>
          <w:color w:val="auto"/>
        </w:rPr>
        <w:t xml:space="preserve">, in which such prepayment will be applied first to the following clause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(and shall not be applied to clause </w:t>
      </w:r>
      <w:r>
        <w:rPr>
          <w:rFonts w:ascii="Arial" w:cs="Arial" w:eastAsia="Arial" w:hAnsi="Arial"/>
          <w:sz w:val="16"/>
          <w:szCs w:val="16"/>
          <w:i w:val="1"/>
          <w:iCs w:val="1"/>
          <w:color w:val="auto"/>
        </w:rPr>
        <w:t>first</w:t>
      </w:r>
      <w:r>
        <w:rPr>
          <w:rFonts w:ascii="Arial" w:cs="Arial" w:eastAsia="Arial" w:hAnsi="Arial"/>
          <w:sz w:val="16"/>
          <w:szCs w:val="16"/>
          <w:color w:val="auto"/>
        </w:rPr>
        <w:t xml:space="preserve">)),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L/C Borrowings, </w:t>
      </w:r>
      <w:r>
        <w:rPr>
          <w:rFonts w:ascii="Arial" w:cs="Arial" w:eastAsia="Arial" w:hAnsi="Arial"/>
          <w:sz w:val="16"/>
          <w:szCs w:val="16"/>
          <w:i w:val="1"/>
          <w:iCs w:val="1"/>
          <w:color w:val="auto"/>
        </w:rPr>
        <w:t>third</w:t>
      </w:r>
      <w:r>
        <w:rPr>
          <w:rFonts w:ascii="Arial" w:cs="Arial" w:eastAsia="Arial" w:hAnsi="Arial"/>
          <w:sz w:val="16"/>
          <w:szCs w:val="16"/>
          <w:color w:val="auto"/>
        </w:rPr>
        <w:t xml:space="preserve">, ratably to the outstanding Revolving Credit Loans and Incremental Revolving Credit Loans held by all Revolving Credit Lenders and Incremental Revolving Credit Lenders, respectively, in accordance with their Applicable Revolving Credit Percentages, and,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Cash Collateralize the remaining L/C Obligations; and, in the case of prepayments of the Revolving Credit Facility required pursuant to clause (i) of this </w:t>
      </w:r>
      <w:r>
        <w:rPr>
          <w:rFonts w:ascii="Arial" w:cs="Arial" w:eastAsia="Arial" w:hAnsi="Arial"/>
          <w:sz w:val="16"/>
          <w:szCs w:val="16"/>
          <w:u w:val="single" w:color="auto"/>
          <w:color w:val="auto"/>
        </w:rPr>
        <w:t>Section 2.04(b)</w:t>
      </w:r>
      <w:r>
        <w:rPr>
          <w:rFonts w:ascii="Arial" w:cs="Arial" w:eastAsia="Arial" w:hAnsi="Arial"/>
          <w:sz w:val="16"/>
          <w:szCs w:val="16"/>
          <w:color w:val="auto"/>
        </w:rPr>
        <w:t>, the amount remaining, if any, after the prepayment in full of all L/C Borrowings, Revolving Credit Loans and Incremental Revolving Credit Loans outstanding at such time and the Cash Collateralization of the remaining L/C Obligations in full (the sum of such prepayment amounts, cash collateralization amounts and remaining amount being, collectively, the “</w:t>
      </w:r>
      <w:r>
        <w:rPr>
          <w:rFonts w:ascii="Arial" w:cs="Arial" w:eastAsia="Arial" w:hAnsi="Arial"/>
          <w:sz w:val="16"/>
          <w:szCs w:val="16"/>
          <w:u w:val="single" w:color="auto"/>
          <w:color w:val="auto"/>
        </w:rPr>
        <w:t>Reduction Amount</w:t>
      </w:r>
      <w:r>
        <w:rPr>
          <w:rFonts w:ascii="Arial" w:cs="Arial" w:eastAsia="Arial" w:hAnsi="Arial"/>
          <w:sz w:val="16"/>
          <w:szCs w:val="16"/>
          <w:color w:val="auto"/>
        </w:rPr>
        <w:t xml:space="preserve">”) may be retained by the Borrower for use in the ordinary course of its business, and the Revolving Credit Commitments shall be automatically and permanently reduced on a pro rata basis as among the Revolving Credit Facilities by the Reduction Amount as set forth in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Upon the drawing of any Letter of Credit that has been Cash Collateralized, the funds held as Cash Collateral shall be applied (without any further action by or notice to or from the Borrower or any other Loan Party) to reimburse the applicable L/C Issuer or the Revolving Credit Lenders, as applicable. Amounts to be applied pursuant to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to the mandatory prepayment of Incremental Term Loans, Incremental Revolving Credit Loans, Extended Loans, Refinancing Loans and Revolving Credit Loans shall be applied, as applicable, first to reduce outstanding Base Rate Loans and any amounts remaining after such application shall be applied to prepay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 Loans and RFR</w:t>
      </w:r>
      <w:r>
        <w:rPr>
          <w:rFonts w:ascii="Arial" w:cs="Arial" w:eastAsia="Arial" w:hAnsi="Arial"/>
          <w:sz w:val="16"/>
          <w:szCs w:val="16"/>
          <w:color w:val="auto"/>
        </w:rPr>
        <w:t xml:space="preserve"> Loans.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2.05 Termination or Reduction of Revolving Credit Commitments. (v) </w:t>
      </w:r>
      <w:r>
        <w:rPr>
          <w:rFonts w:ascii="Arial" w:cs="Arial" w:eastAsia="Arial" w:hAnsi="Arial"/>
          <w:sz w:val="17"/>
          <w:szCs w:val="17"/>
          <w:u w:val="single" w:color="auto"/>
          <w:color w:val="auto"/>
        </w:rPr>
        <w:t>Optional</w:t>
      </w:r>
      <w:r>
        <w:rPr>
          <w:rFonts w:ascii="Arial" w:cs="Arial" w:eastAsia="Arial" w:hAnsi="Arial"/>
          <w:sz w:val="17"/>
          <w:szCs w:val="17"/>
          <w:color w:val="auto"/>
        </w:rPr>
        <w:t xml:space="preserve">. The Borrower may, upon notice to the Administrative Agent, terminate the Revolving Credit Facility or the Letter of Credit Sublimit, or from time to time permanently reduce the Revolving Credit Commitments on a pro rata basis as among the Revolving Credit Facilities or the Letter of Credit Sublimit;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notice shall be received by the Administrative Agent not later than 11:00 a.m. three Business Days prior to the date of termination or reduction, (ii) any such partial reduction shall be in an aggregate amount of $10,000,000 or any whole multiple of $1,000,000 in excess thereof and (iii) the Borrower shall not terminate or reduce (A) the Revolving Credit Commitments if, after giving effect thereto and to any concurrent prepayments hereunder, the Total Revolving Credit Outstandings would exceed the Revolving Credit Commitments or (B) the Letter of Credit Sublimit if, after giving effect thereto, the Outstanding Amount of L/C Obligations not fully Cash Collateralized hereunder would exceed the Letter of Credit Sublimit.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-1000125</wp:posOffset>
            </wp:positionV>
            <wp:extent cx="3480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8" w:name="page109"/>
    <w:bookmarkEnd w:id="108"/>
    <w:p>
      <w:pPr>
        <w:jc w:val="both"/>
        <w:ind w:firstLine="1304"/>
        <w:spacing w:after="0" w:line="263" w:lineRule="auto"/>
        <w:tabs>
          <w:tab w:leader="none" w:pos="207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xml:space="preserve">. (A) The Revolving Credit Commitments shall be automatically and permanently reduced on a pro rata basis as among the Revolving Credit Facilities on each date on which the prepayment of Revolving Credit Loans outstanding thereunder is required to be made pursuant to </w:t>
      </w:r>
      <w:r>
        <w:rPr>
          <w:rFonts w:ascii="Arial" w:cs="Arial" w:eastAsia="Arial" w:hAnsi="Arial"/>
          <w:sz w:val="18"/>
          <w:szCs w:val="18"/>
          <w:u w:val="single" w:color="auto"/>
          <w:color w:val="auto"/>
        </w:rPr>
        <w:t>Section 2.04(b)(i)</w:t>
      </w:r>
      <w:r>
        <w:rPr>
          <w:rFonts w:ascii="Arial" w:cs="Arial" w:eastAsia="Arial" w:hAnsi="Arial"/>
          <w:sz w:val="18"/>
          <w:szCs w:val="18"/>
          <w:color w:val="auto"/>
        </w:rPr>
        <w:t xml:space="preserve"> by an amount equal to the applicable Reduction Amount.</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773"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Revolving Credit Commitments under this </w:t>
      </w:r>
      <w:r>
        <w:rPr>
          <w:rFonts w:ascii="Arial" w:cs="Arial" w:eastAsia="Arial" w:hAnsi="Arial"/>
          <w:sz w:val="18"/>
          <w:szCs w:val="18"/>
          <w:u w:val="single" w:color="auto"/>
          <w:color w:val="auto"/>
        </w:rPr>
        <w:t>Section 2.05</w:t>
      </w:r>
      <w:r>
        <w:rPr>
          <w:rFonts w:ascii="Arial" w:cs="Arial" w:eastAsia="Arial" w:hAnsi="Arial"/>
          <w:sz w:val="18"/>
          <w:szCs w:val="18"/>
          <w:color w:val="auto"/>
        </w:rPr>
        <w:t>, the Letter of Credit Sublimit exceeds the Revolving Credit Facility at such time, the Letter of Credit Sublimit shall be automatically reduced by the amount of such excess.</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1959"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Application of Revolving Credit Commitment Reductions; Payment of Fees</w:t>
      </w:r>
      <w:r>
        <w:rPr>
          <w:rFonts w:ascii="Arial" w:cs="Arial" w:eastAsia="Arial" w:hAnsi="Arial"/>
          <w:sz w:val="17"/>
          <w:szCs w:val="17"/>
          <w:color w:val="auto"/>
        </w:rPr>
        <w:t xml:space="preserve">. The Administrative Agent will promptly notify the Lenders of any termination or reduction of the Letter of Credit Sublimit or the Revolving Credit Commitments under this </w:t>
      </w:r>
      <w:r>
        <w:rPr>
          <w:rFonts w:ascii="Arial" w:cs="Arial" w:eastAsia="Arial" w:hAnsi="Arial"/>
          <w:sz w:val="17"/>
          <w:szCs w:val="17"/>
          <w:u w:val="single" w:color="auto"/>
          <w:color w:val="auto"/>
        </w:rPr>
        <w:t>Section 2.05</w:t>
      </w:r>
      <w:r>
        <w:rPr>
          <w:rFonts w:ascii="Arial" w:cs="Arial" w:eastAsia="Arial" w:hAnsi="Arial"/>
          <w:sz w:val="17"/>
          <w:szCs w:val="17"/>
          <w:color w:val="auto"/>
        </w:rPr>
        <w:t>. Upon any reduction of the Revolving Credit Commitments, the Revolving Credit Commitment of each Revolving Credit Lender shall be reduced by such Revolving Credit Lender’s Applicable Percentage of such reduction amount. All fees in respect of the Revolving Credit Facility accrued until the effective date of any termination of the Revolving Credit Commitments shall be paid on the effective date of such termination.</w:t>
      </w:r>
    </w:p>
    <w:p>
      <w:pPr>
        <w:spacing w:after="0" w:line="17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color w:val="auto"/>
        </w:rPr>
        <w:t>Repayment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804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5" w:lineRule="exact"/>
        <w:rPr>
          <w:sz w:val="20"/>
          <w:szCs w:val="20"/>
          <w:color w:val="auto"/>
        </w:rPr>
      </w:pPr>
    </w:p>
    <w:p>
      <w:pPr>
        <w:ind w:right="20" w:firstLine="656"/>
        <w:spacing w:after="0" w:line="277" w:lineRule="auto"/>
        <w:tabs>
          <w:tab w:leader="none" w:pos="1576"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any Incremental Term Loans are made, such Incremental Term Loans shall be repaid as set forth in the applicable Incremental Amendment.</w:t>
      </w:r>
    </w:p>
    <w:p>
      <w:pPr>
        <w:spacing w:after="0" w:line="170" w:lineRule="exact"/>
        <w:rPr>
          <w:rFonts w:ascii="Arial" w:cs="Arial" w:eastAsia="Arial" w:hAnsi="Arial"/>
          <w:sz w:val="18"/>
          <w:szCs w:val="18"/>
          <w:color w:val="auto"/>
        </w:rPr>
      </w:pPr>
    </w:p>
    <w:p>
      <w:pPr>
        <w:ind w:firstLine="656"/>
        <w:spacing w:after="0" w:line="277" w:lineRule="auto"/>
        <w:tabs>
          <w:tab w:leader="none" w:pos="142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Borrower shall repay to the Lenders on the Maturity Date for the applicable Facility the aggregate principal amount of all Loans under such Facility outstanding on such date.</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2.07 Interest. (vi) Subject to the provisions of </w:t>
      </w:r>
      <w:r>
        <w:rPr>
          <w:rFonts w:ascii="Arial" w:cs="Arial" w:eastAsia="Arial" w:hAnsi="Arial"/>
          <w:sz w:val="18"/>
          <w:szCs w:val="18"/>
          <w:u w:val="single" w:color="auto"/>
          <w:color w:val="auto"/>
        </w:rPr>
        <w:t>Section 2.07(b)</w:t>
      </w:r>
      <w:r>
        <w:rPr>
          <w:rFonts w:ascii="Arial" w:cs="Arial" w:eastAsia="Arial" w:hAnsi="Arial"/>
          <w:sz w:val="18"/>
          <w:szCs w:val="18"/>
          <w:color w:val="auto"/>
        </w:rPr>
        <w:t xml:space="preserve">, (i) each </w:t>
      </w:r>
      <w:r>
        <w:rPr>
          <w:rFonts w:ascii="Arial" w:cs="Arial" w:eastAsia="Arial" w:hAnsi="Arial"/>
          <w:sz w:val="18"/>
          <w:szCs w:val="18"/>
          <w:b w:val="1"/>
          <w:bCs w:val="1"/>
          <w:color w:val="FF0000"/>
          <w:strike w:val="1"/>
        </w:rPr>
        <w:t>Eurodollar Rate</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 shall bear interest on the outstanding principal amount thereof for each Interest Period at a rate per annum equal to the </w:t>
      </w:r>
      <w:r>
        <w:rPr>
          <w:rFonts w:ascii="Arial" w:cs="Arial" w:eastAsia="Arial" w:hAnsi="Arial"/>
          <w:sz w:val="18"/>
          <w:szCs w:val="18"/>
          <w:b w:val="1"/>
          <w:bCs w:val="1"/>
          <w:color w:val="FF0000"/>
          <w:strike w:val="1"/>
        </w:rPr>
        <w:t>Eurodollar</w:t>
      </w:r>
      <w:r>
        <w:rPr>
          <w:rFonts w:ascii="Arial" w:cs="Arial" w:eastAsia="Arial" w:hAnsi="Arial"/>
          <w:sz w:val="18"/>
          <w:szCs w:val="18"/>
          <w:b w:val="1"/>
          <w:bCs w:val="1"/>
          <w:u w:val="single" w:color="auto"/>
          <w:color w:val="0000FF"/>
        </w:rPr>
        <w:t>Adjusted Term SOFR</w:t>
      </w:r>
      <w:r>
        <w:rPr>
          <w:rFonts w:ascii="Arial" w:cs="Arial" w:eastAsia="Arial" w:hAnsi="Arial"/>
          <w:sz w:val="18"/>
          <w:szCs w:val="18"/>
          <w:color w:val="auto"/>
        </w:rPr>
        <w:t xml:space="preserve">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w:t>
      </w:r>
      <w:r>
        <w:rPr>
          <w:rFonts w:ascii="Arial" w:cs="Arial" w:eastAsia="Arial" w:hAnsi="Arial"/>
          <w:sz w:val="18"/>
          <w:szCs w:val="18"/>
          <w:b w:val="1"/>
          <w:bCs w:val="1"/>
          <w:color w:val="FF0000"/>
          <w:strike w:val="1"/>
        </w:rPr>
        <w:t>and</w:t>
      </w:r>
      <w:r>
        <w:rPr>
          <w:rFonts w:ascii="Arial" w:cs="Arial" w:eastAsia="Arial" w:hAnsi="Arial"/>
          <w:sz w:val="18"/>
          <w:szCs w:val="18"/>
          <w:color w:val="auto"/>
        </w:rPr>
        <w:t xml:space="preserve"> (ii) </w:t>
      </w:r>
      <w:r>
        <w:rPr>
          <w:rFonts w:ascii="Arial" w:cs="Arial" w:eastAsia="Arial" w:hAnsi="Arial"/>
          <w:sz w:val="18"/>
          <w:szCs w:val="18"/>
          <w:b w:val="1"/>
          <w:bCs w:val="1"/>
          <w:u w:val="single" w:color="auto"/>
          <w:color w:val="0000FF"/>
        </w:rPr>
        <w:t>each RFR Loan shall bear interest on the outstanding principal amount thereof from the applicable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borrowing date at a rate per annum equal to the Adjusted Daily Simple SOFR Rate plus the Applicable Rate and (iii)</w:t>
      </w:r>
      <w:r>
        <w:rPr>
          <w:rFonts w:ascii="Arial" w:cs="Arial" w:eastAsia="Arial" w:hAnsi="Arial"/>
          <w:sz w:val="18"/>
          <w:szCs w:val="18"/>
          <w:b w:val="1"/>
          <w:bCs w:val="1"/>
          <w:color w:val="0000FF"/>
        </w:rPr>
        <w:t xml:space="preserve"> </w:t>
      </w:r>
      <w:r>
        <w:rPr>
          <w:rFonts w:ascii="Arial" w:cs="Arial" w:eastAsia="Arial" w:hAnsi="Arial"/>
          <w:sz w:val="18"/>
          <w:szCs w:val="18"/>
          <w:color w:val="000000"/>
        </w:rPr>
        <w:t>each Base Rate Loan shall</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bear interest on the outstanding principal amount thereof from the applicable borrowing date at a rate per annum equal to the Base Rate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the 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-717550</wp:posOffset>
            </wp:positionV>
            <wp:extent cx="8312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71" w:lineRule="exact"/>
        <w:rPr>
          <w:sz w:val="20"/>
          <w:szCs w:val="20"/>
          <w:color w:val="auto"/>
        </w:rPr>
      </w:pPr>
    </w:p>
    <w:p>
      <w:pPr>
        <w:jc w:val="both"/>
        <w:ind w:firstLine="1304"/>
        <w:spacing w:after="0" w:line="263" w:lineRule="auto"/>
        <w:tabs>
          <w:tab w:leader="none" w:pos="22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 While any Event of Default under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8.01(g)</w:t>
      </w:r>
      <w:r>
        <w:rPr>
          <w:rFonts w:ascii="Arial" w:cs="Arial" w:eastAsia="Arial" w:hAnsi="Arial"/>
          <w:sz w:val="18"/>
          <w:szCs w:val="18"/>
          <w:color w:val="auto"/>
        </w:rPr>
        <w:t xml:space="preserve"> exists, the Borrower shall pay interest on all outstanding Obligations hereunder at a fluctuating interest rate per annum at all times equal to the Default Rate to the fullest extent permitted by applicable Laws.</w:t>
      </w:r>
    </w:p>
    <w:p>
      <w:pPr>
        <w:spacing w:after="0" w:line="183" w:lineRule="exact"/>
        <w:rPr>
          <w:rFonts w:ascii="Arial" w:cs="Arial" w:eastAsia="Arial" w:hAnsi="Arial"/>
          <w:sz w:val="18"/>
          <w:szCs w:val="18"/>
          <w:color w:val="auto"/>
        </w:rPr>
      </w:pPr>
    </w:p>
    <w:p>
      <w:pPr>
        <w:ind w:left="2800" w:hanging="848"/>
        <w:spacing w:after="0"/>
        <w:tabs>
          <w:tab w:leader="none" w:pos="28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upon demand.</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20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9" w:name="page110"/>
    <w:bookmarkEnd w:id="109"/>
    <w:p>
      <w:pPr>
        <w:jc w:val="both"/>
        <w:ind w:firstLine="1304"/>
        <w:spacing w:after="0" w:line="269" w:lineRule="auto"/>
        <w:tabs>
          <w:tab w:leader="none" w:pos="1956"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If, as a result of any restatement of or other adjustment to the financial statements of Parent, Holdings or the Borrower or for any other reason, the Borrower, Holdings or the Lenders determine that (i) the Borrower Leverage Ratio as calculated by the Borrower as of any applicable date was inaccurate and (ii) a proper calculation of the Borrower Leverage Ratio would have resulted in higher pricing for such period, the Borrower shall immediately and retroactively be obligated to pay to the Administrative Agent for the account of the applicable Lenders or any L/C Issuer, as the case may be, promptly on demand by the Administrative Agent (or, after the occurrence of an actual or deemed entry of an order for relief with respect to the Borrower under the Bankruptcy Code,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17"/>
          <w:szCs w:val="17"/>
          <w:u w:val="single" w:color="auto"/>
          <w:color w:val="auto"/>
        </w:rPr>
        <w:t>Sections 2.03(c)(iv)</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2.07(b)</w:t>
      </w:r>
      <w:r>
        <w:rPr>
          <w:rFonts w:ascii="Arial" w:cs="Arial" w:eastAsia="Arial" w:hAnsi="Arial"/>
          <w:sz w:val="17"/>
          <w:szCs w:val="17"/>
          <w:color w:val="auto"/>
        </w:rPr>
        <w:t xml:space="preserve"> or under Article VIII. The Borrower’s obligations under this paragraph shall survive the termination of the Aggregate Commitments and the repayment of all other Obligations hereunder.</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2.08</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u w:val="single" w:color="auto"/>
          <w:color w:val="auto"/>
        </w:rPr>
        <w:t xml:space="preserve"> Sections 2.03(i) </w:t>
      </w:r>
      <w:r>
        <w:rPr>
          <w:rFonts w:ascii="Arial" w:cs="Arial" w:eastAsia="Arial" w:hAnsi="Arial"/>
          <w:sz w:val="16"/>
          <w:szCs w:val="16"/>
          <w:color w:val="auto"/>
        </w:rPr>
        <w:t>and</w:t>
      </w:r>
      <w:r>
        <w:rPr>
          <w:rFonts w:ascii="Arial" w:cs="Arial" w:eastAsia="Arial" w:hAnsi="Arial"/>
          <w:sz w:val="16"/>
          <w:szCs w:val="16"/>
          <w:u w:val="single" w:color="auto"/>
          <w:color w:val="auto"/>
        </w:rPr>
        <w:t xml:space="preserve"> (j)</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0" w:lineRule="auto"/>
        <w:tabs>
          <w:tab w:leader="none" w:pos="2139"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The Borrower shall pay to the Administrative Agent for the account of each Revolving Credit Lender in accordance with its Applicable Revolving Credit Percentage, a commitment fee equal to the Applicable Fee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by which the aggregate amount of the Revolving Credit Lenders’ Revolving Credit Commitments exceeds the sum of (i) the Outstanding Amount of Revolving Credit Loans and (ii) the Outstanding Amount of L/C Obligations. The commitment fee shall accrue at all times during the Availability Period,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w:t>
      </w:r>
      <w:r>
        <w:rPr>
          <w:rFonts w:ascii="Arial" w:cs="Arial" w:eastAsia="Arial" w:hAnsi="Arial"/>
          <w:sz w:val="17"/>
          <w:szCs w:val="17"/>
          <w:b w:val="1"/>
          <w:bCs w:val="1"/>
          <w:color w:val="FF0000"/>
          <w:strike w:val="1"/>
        </w:rPr>
        <w:t>last</w:t>
      </w:r>
      <w:r>
        <w:rPr>
          <w:rFonts w:ascii="Arial" w:cs="Arial" w:eastAsia="Arial" w:hAnsi="Arial"/>
          <w:sz w:val="17"/>
          <w:szCs w:val="17"/>
          <w:b w:val="1"/>
          <w:bCs w:val="1"/>
          <w:u w:val="single" w:color="auto"/>
          <w:color w:val="0000FF"/>
        </w:rPr>
        <w:t>fifteenth</w:t>
      </w:r>
      <w:r>
        <w:rPr>
          <w:rFonts w:ascii="Arial" w:cs="Arial" w:eastAsia="Arial" w:hAnsi="Arial"/>
          <w:sz w:val="17"/>
          <w:szCs w:val="17"/>
          <w:color w:val="auto"/>
        </w:rPr>
        <w:t xml:space="preserve"> Business Day </w:t>
      </w:r>
      <w:r>
        <w:rPr>
          <w:rFonts w:ascii="Arial" w:cs="Arial" w:eastAsia="Arial" w:hAnsi="Arial"/>
          <w:sz w:val="17"/>
          <w:szCs w:val="17"/>
          <w:b w:val="1"/>
          <w:bCs w:val="1"/>
          <w:u w:val="single" w:color="auto"/>
          <w:color w:val="0000FF"/>
        </w:rPr>
        <w:t>after the end</w:t>
      </w:r>
      <w:r>
        <w:rPr>
          <w:rFonts w:ascii="Arial" w:cs="Arial" w:eastAsia="Arial" w:hAnsi="Arial"/>
          <w:sz w:val="17"/>
          <w:szCs w:val="17"/>
          <w:color w:val="auto"/>
        </w:rPr>
        <w:t xml:space="preserve"> of each March, June, September and December, commencing with the first such date to occur after the Closing Date, and on the last day of the Availability Period.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220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 shall pay to the applicable Lenders and Arrangers and the Administrative Agent for their own respective accounts fees in the amounts and at the times specified in the Fee Letter and in the Engagement Letter. Such fees shall be fully earned when paid and shall not be refundable for any reason whatsoever, except as expressly set forth in the Fee Letter.</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2.09 Computation of Interest and Fees. All computations of interest for Base Rate Loans when the Base Rate is determined by JPM’s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2.11(a)</w:t>
      </w:r>
      <w:r>
        <w:rPr>
          <w:rFonts w:ascii="Arial" w:cs="Arial" w:eastAsia="Arial" w:hAnsi="Arial"/>
          <w:sz w:val="18"/>
          <w:szCs w:val="18"/>
          <w:color w:val="auto"/>
        </w:rPr>
        <w:t>, bear interest for one day. Each determination by the Administrative Agent of an interest rate or fee hereunder shall be prima facie evidence thereof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-852805</wp:posOffset>
            </wp:positionV>
            <wp:extent cx="19659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65960" cy="8890"/>
                    </a:xfrm>
                    <a:prstGeom prst="rect">
                      <a:avLst/>
                    </a:prstGeom>
                    <a:noFill/>
                  </pic:spPr>
                </pic:pic>
              </a:graphicData>
            </a:graphic>
          </wp:anchor>
        </w:drawing>
      </w:r>
    </w:p>
    <w:p>
      <w:pPr>
        <w:spacing w:after="0" w:line="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0" w:name="page111"/>
    <w:bookmarkEnd w:id="110"/>
    <w:p>
      <w:pPr>
        <w:jc w:val="both"/>
        <w:ind w:firstLine="648"/>
        <w:spacing w:after="0" w:line="289" w:lineRule="auto"/>
        <w:rPr>
          <w:sz w:val="20"/>
          <w:szCs w:val="20"/>
          <w:color w:val="auto"/>
        </w:rPr>
      </w:pPr>
      <w:r>
        <w:rPr>
          <w:rFonts w:ascii="Arial" w:cs="Arial" w:eastAsia="Arial" w:hAnsi="Arial"/>
          <w:sz w:val="16"/>
          <w:szCs w:val="16"/>
          <w:color w:val="auto"/>
        </w:rPr>
        <w:t>2.10 Evidence of Debt. (vii)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-1144905</wp:posOffset>
            </wp:positionV>
            <wp:extent cx="12706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146" w:lineRule="exact"/>
        <w:rPr>
          <w:sz w:val="20"/>
          <w:szCs w:val="20"/>
          <w:color w:val="auto"/>
        </w:rPr>
      </w:pPr>
    </w:p>
    <w:p>
      <w:pPr>
        <w:jc w:val="both"/>
        <w:ind w:firstLine="1304"/>
        <w:spacing w:after="0" w:line="257" w:lineRule="auto"/>
        <w:tabs>
          <w:tab w:leader="none" w:pos="2097"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In addition to the accounts and records referred to in </w:t>
      </w:r>
      <w:r>
        <w:rPr>
          <w:rFonts w:ascii="Arial" w:cs="Arial" w:eastAsia="Arial" w:hAnsi="Arial"/>
          <w:sz w:val="18"/>
          <w:szCs w:val="18"/>
          <w:u w:val="single" w:color="auto"/>
          <w:color w:val="auto"/>
        </w:rPr>
        <w:t>Section 2.10(a)</w:t>
      </w:r>
      <w:r>
        <w:rPr>
          <w:rFonts w:ascii="Arial" w:cs="Arial" w:eastAsia="Arial" w:hAnsi="Arial"/>
          <w:sz w:val="18"/>
          <w:szCs w:val="18"/>
          <w:color w:val="auto"/>
        </w:rPr>
        <w:t>, each Revolving Credit Lender and the Administrative Agent shall maintain in accordance with its usual practice accounts or records evidencing the purchases and sales by such Revolving Credit Lender of participations in Letters of Credit.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2.11 Payments Generally; Administrative Agent’s Clawback. (viii) </w:t>
      </w: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-1125855</wp:posOffset>
            </wp:positionV>
            <wp:extent cx="29768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76880" cy="8255"/>
                    </a:xfrm>
                    <a:prstGeom prst="rect">
                      <a:avLst/>
                    </a:prstGeom>
                    <a:noFill/>
                  </pic:spPr>
                </pic:pic>
              </a:graphicData>
            </a:graphic>
          </wp:anchor>
        </w:drawing>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1" w:name="page112"/>
    <w:bookmarkEnd w:id="111"/>
    <w:p>
      <w:pPr>
        <w:jc w:val="both"/>
        <w:ind w:firstLine="1304"/>
        <w:spacing w:after="0" w:line="285" w:lineRule="auto"/>
        <w:tabs>
          <w:tab w:leader="none" w:pos="2044"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 Loans or RFR</w:t>
      </w:r>
      <w:r>
        <w:rPr>
          <w:rFonts w:ascii="Arial" w:cs="Arial" w:eastAsia="Arial" w:hAnsi="Arial"/>
          <w:sz w:val="16"/>
          <w:szCs w:val="16"/>
          <w:color w:val="auto"/>
        </w:rPr>
        <w:t xml:space="preserv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6" w:lineRule="exact"/>
        <w:rPr>
          <w:rFonts w:ascii="Arial" w:cs="Arial" w:eastAsia="Arial" w:hAnsi="Arial"/>
          <w:sz w:val="16"/>
          <w:szCs w:val="16"/>
          <w:color w:val="auto"/>
        </w:rPr>
      </w:pPr>
    </w:p>
    <w:p>
      <w:pPr>
        <w:jc w:val="both"/>
        <w:ind w:left="660" w:firstLine="1292"/>
        <w:spacing w:after="0" w:line="289" w:lineRule="auto"/>
        <w:tabs>
          <w:tab w:leader="none" w:pos="2724"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time at which any payment is due to the Administrative Agent for the account of the Lenders or any L/C Issuer hereunder that the Borrower will not make such payment, the Administrative Agent may assume that the Borrower has made such payment on such date in accordance herewith and may, in reliance upon such assumption, distribute to the Appropriate Lenders or the applicable L/C Issuer, as the case may be, the amount due. In such event, if the Borrower has not in fact made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prima facie evidence thereof.</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2" w:name="page113"/>
    <w:bookmarkEnd w:id="112"/>
    <w:p>
      <w:pPr>
        <w:jc w:val="both"/>
        <w:ind w:firstLine="1304"/>
        <w:spacing w:after="0" w:line="279" w:lineRule="auto"/>
        <w:tabs>
          <w:tab w:leader="none" w:pos="208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jc w:val="both"/>
        <w:ind w:firstLine="1304"/>
        <w:spacing w:after="0" w:line="257" w:lineRule="auto"/>
        <w:tabs>
          <w:tab w:leader="none" w:pos="206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to fund participations in Letters of Credit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1959"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Funding Source</w:t>
      </w:r>
      <w:r>
        <w:rPr>
          <w:rFonts w:ascii="Arial" w:cs="Arial" w:eastAsia="Arial" w:hAnsi="Arial"/>
          <w:sz w:val="18"/>
          <w:szCs w:val="18"/>
          <w:color w:val="auto"/>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will not be liable for increased costs under </w:t>
      </w:r>
      <w:r>
        <w:rPr>
          <w:rFonts w:ascii="Arial" w:cs="Arial" w:eastAsia="Arial" w:hAnsi="Arial"/>
          <w:sz w:val="18"/>
          <w:szCs w:val="18"/>
          <w:u w:val="single" w:color="auto"/>
          <w:color w:val="auto"/>
        </w:rPr>
        <w:t>Sections 3.02</w:t>
      </w:r>
      <w:r>
        <w:rPr>
          <w:rFonts w:ascii="Arial" w:cs="Arial" w:eastAsia="Arial" w:hAnsi="Arial"/>
          <w:sz w:val="18"/>
          <w:szCs w:val="18"/>
          <w:color w:val="auto"/>
        </w:rPr>
        <w:t xml:space="preserve"> or </w:t>
      </w:r>
      <w:r>
        <w:rPr>
          <w:rFonts w:ascii="Arial" w:cs="Arial" w:eastAsia="Arial" w:hAnsi="Arial"/>
          <w:sz w:val="18"/>
          <w:szCs w:val="18"/>
          <w:b w:val="1"/>
          <w:bCs w:val="1"/>
          <w:u w:val="single" w:color="auto"/>
          <w:color w:val="FF0000"/>
          <w:strike w:val="1"/>
        </w:rPr>
        <w:t>3.04</w:t>
      </w:r>
      <w:r>
        <w:rPr>
          <w:rFonts w:ascii="Arial" w:cs="Arial" w:eastAsia="Arial" w:hAnsi="Arial"/>
          <w:sz w:val="18"/>
          <w:szCs w:val="18"/>
          <w:b w:val="1"/>
          <w:bCs w:val="1"/>
          <w:u w:val="single" w:color="auto"/>
          <w:color w:val="0000FF"/>
        </w:rPr>
        <w:t>3.03</w:t>
      </w:r>
      <w:r>
        <w:rPr>
          <w:rFonts w:ascii="Arial" w:cs="Arial" w:eastAsia="Arial" w:hAnsi="Arial"/>
          <w:sz w:val="18"/>
          <w:szCs w:val="18"/>
          <w:color w:val="auto"/>
        </w:rPr>
        <w:t xml:space="preserve"> of this Agreement as a result of any Lender changing the place from, or the manner in which, it obtains funds.</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206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2.12 Sharing of Payments by Lenders.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-1828165</wp:posOffset>
            </wp:positionV>
            <wp:extent cx="19513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spacing w:after="0" w:line="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3" w:name="page114"/>
    <w:bookmarkEnd w:id="113"/>
    <w:p>
      <w:pPr>
        <w:jc w:val="both"/>
        <w:ind w:left="660" w:firstLine="1292"/>
        <w:spacing w:after="0" w:line="263" w:lineRule="auto"/>
        <w:tabs>
          <w:tab w:leader="none" w:pos="26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spacing w:after="0" w:line="183" w:lineRule="exact"/>
        <w:rPr>
          <w:rFonts w:ascii="Arial" w:cs="Arial" w:eastAsia="Arial" w:hAnsi="Arial"/>
          <w:sz w:val="18"/>
          <w:szCs w:val="18"/>
          <w:color w:val="auto"/>
        </w:rPr>
      </w:pPr>
    </w:p>
    <w:p>
      <w:pPr>
        <w:jc w:val="both"/>
        <w:ind w:left="660" w:firstLine="1292"/>
        <w:spacing w:after="0" w:line="286" w:lineRule="auto"/>
        <w:tabs>
          <w:tab w:leader="none" w:pos="2762"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provisions of this Section shall not be construed to apply to (A) any payment made by the Borrower pursuant to and in accordance with the express terms of this Agreement or (B) any payment obtained by a Lender as consideration for the assignment of or sale of a participation in any of its Loans or subparticipations in L/C Obligations to any assignee or participant; and</w:t>
      </w:r>
    </w:p>
    <w:p>
      <w:pPr>
        <w:spacing w:after="0" w:line="165" w:lineRule="exact"/>
        <w:rPr>
          <w:rFonts w:ascii="Arial" w:cs="Arial" w:eastAsia="Arial" w:hAnsi="Arial"/>
          <w:sz w:val="17"/>
          <w:szCs w:val="17"/>
          <w:color w:val="auto"/>
        </w:rPr>
      </w:pPr>
    </w:p>
    <w:p>
      <w:pPr>
        <w:jc w:val="both"/>
        <w:ind w:left="660" w:firstLine="1292"/>
        <w:spacing w:after="0" w:line="263" w:lineRule="auto"/>
        <w:tabs>
          <w:tab w:leader="none" w:pos="27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for the avoidance of doubt, the provisions of this Section will not apply to payments made under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3.03,</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3.</w:t>
      </w:r>
      <w:r>
        <w:rPr>
          <w:rFonts w:ascii="Arial" w:cs="Arial" w:eastAsia="Arial" w:hAnsi="Arial"/>
          <w:sz w:val="18"/>
          <w:szCs w:val="18"/>
          <w:b w:val="1"/>
          <w:bCs w:val="1"/>
          <w:u w:val="single" w:color="auto"/>
          <w:color w:val="FF0000"/>
        </w:rPr>
        <w:t>05</w:t>
      </w:r>
      <w:r>
        <w:rPr>
          <w:rFonts w:ascii="Arial" w:cs="Arial" w:eastAsia="Arial" w:hAnsi="Arial"/>
          <w:sz w:val="18"/>
          <w:szCs w:val="18"/>
          <w:b w:val="1"/>
          <w:bCs w:val="1"/>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11.06</w:t>
      </w:r>
      <w:r>
        <w:rPr>
          <w:rFonts w:ascii="Arial" w:cs="Arial" w:eastAsia="Arial" w:hAnsi="Arial"/>
          <w:sz w:val="18"/>
          <w:szCs w:val="18"/>
          <w:color w:val="auto"/>
        </w:rPr>
        <w:t>, and pursuant to any other terms or conditions in any Loan Document expressly providing for payments to specific Lenders, Agents or other Persons.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 Notwithstanding anything herein to the contrary, the sharing provisions referred to herein shall not apply to any payments received in connection with the purchase of Incremental Term Loans by the Borrower in accordance with the provisions providing for the purchase thereof as set forth in the applicable Incremental Amendment.</w:t>
      </w:r>
    </w:p>
    <w:p>
      <w:pPr>
        <w:spacing w:after="0" w:line="16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2.13</w:t>
      </w:r>
      <w:r>
        <w:rPr>
          <w:sz w:val="20"/>
          <w:szCs w:val="20"/>
          <w:color w:val="auto"/>
        </w:rPr>
        <w:tab/>
      </w:r>
      <w:r>
        <w:rPr>
          <w:rFonts w:ascii="Arial" w:cs="Arial" w:eastAsia="Arial" w:hAnsi="Arial"/>
          <w:sz w:val="16"/>
          <w:szCs w:val="16"/>
          <w:u w:val="single" w:color="auto"/>
          <w:color w:val="auto"/>
        </w:rPr>
        <w:t>Increase in Revolving Credit Facility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1" w:lineRule="auto"/>
        <w:tabs>
          <w:tab w:leader="none" w:pos="193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Provided there exists no Event of Default at such time, upon written notice to the Administrative Agent, the Borrower may from time to time elect to request, prior to the Maturity Date, an increase in the existing Revolving Credit Facility or the establishment of a new Revolving Credit Facility (provided that there shall be no more than two Revolving Credit Facilities in effect at any time) (the “</w:t>
      </w:r>
      <w:r>
        <w:rPr>
          <w:rFonts w:ascii="Arial" w:cs="Arial" w:eastAsia="Arial" w:hAnsi="Arial"/>
          <w:sz w:val="17"/>
          <w:szCs w:val="17"/>
          <w:u w:val="single" w:color="auto"/>
          <w:color w:val="auto"/>
        </w:rPr>
        <w:t>Incremental Revolving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w:t>
      </w:r>
      <w:r>
        <w:rPr>
          <w:rFonts w:ascii="Arial" w:cs="Arial" w:eastAsia="Arial" w:hAnsi="Arial"/>
          <w:sz w:val="17"/>
          <w:szCs w:val="17"/>
          <w:color w:val="auto"/>
        </w:rPr>
        <w:t>”) and/or to incur new term loan commitments (the “</w:t>
      </w:r>
      <w:r>
        <w:rPr>
          <w:rFonts w:ascii="Arial" w:cs="Arial" w:eastAsia="Arial" w:hAnsi="Arial"/>
          <w:sz w:val="17"/>
          <w:szCs w:val="17"/>
          <w:u w:val="single" w:color="auto"/>
          <w:color w:val="auto"/>
        </w:rPr>
        <w:t>Incremental Term Loan Commitments</w:t>
      </w:r>
      <w:r>
        <w:rPr>
          <w:rFonts w:ascii="Arial" w:cs="Arial" w:eastAsia="Arial" w:hAnsi="Arial"/>
          <w:sz w:val="17"/>
          <w:szCs w:val="17"/>
          <w:color w:val="auto"/>
        </w:rPr>
        <w:t>” and, together with the Increment Revolving Credit Commitments, the “</w:t>
      </w:r>
      <w:r>
        <w:rPr>
          <w:rFonts w:ascii="Arial" w:cs="Arial" w:eastAsia="Arial" w:hAnsi="Arial"/>
          <w:sz w:val="17"/>
          <w:szCs w:val="17"/>
          <w:u w:val="single" w:color="auto"/>
          <w:color w:val="auto"/>
        </w:rPr>
        <w:t>Incremental Commitments</w:t>
      </w:r>
      <w:r>
        <w:rPr>
          <w:rFonts w:ascii="Arial" w:cs="Arial" w:eastAsia="Arial" w:hAnsi="Arial"/>
          <w:sz w:val="17"/>
          <w:szCs w:val="17"/>
          <w:color w:val="auto"/>
        </w:rPr>
        <w:t>”), by an aggregate principal amount determined by the Borrower (for all such requests taken together) not exceeding $1,000,000,000 (the “</w:t>
      </w:r>
      <w:r>
        <w:rPr>
          <w:rFonts w:ascii="Arial" w:cs="Arial" w:eastAsia="Arial" w:hAnsi="Arial"/>
          <w:sz w:val="17"/>
          <w:szCs w:val="17"/>
          <w:u w:val="single" w:color="auto"/>
          <w:color w:val="auto"/>
        </w:rPr>
        <w:t>Incremental Facility Amount</w:t>
      </w:r>
      <w:r>
        <w:rPr>
          <w:rFonts w:ascii="Arial" w:cs="Arial" w:eastAsia="Arial" w:hAnsi="Arial"/>
          <w:sz w:val="17"/>
          <w:szCs w:val="17"/>
          <w:color w:val="auto"/>
        </w:rPr>
        <w:t xml:space="preserv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outstanding principal amount and/or commitments, as applicable, of any Incremental Equivalent Debt incurred pursuant to </w:t>
      </w:r>
      <w:r>
        <w:rPr>
          <w:rFonts w:ascii="Arial" w:cs="Arial" w:eastAsia="Arial" w:hAnsi="Arial"/>
          <w:sz w:val="17"/>
          <w:szCs w:val="17"/>
          <w:u w:val="single" w:color="auto"/>
          <w:color w:val="auto"/>
        </w:rPr>
        <w:t>Section 7.02(</w:t>
      </w:r>
      <w:r>
        <w:rPr>
          <w:rFonts w:ascii="Arial" w:cs="Arial" w:eastAsia="Arial" w:hAnsi="Arial"/>
          <w:sz w:val="17"/>
          <w:szCs w:val="17"/>
          <w:u w:val="single" w:color="auto"/>
          <w:color w:val="FF0000"/>
          <w:strike w:val="1"/>
        </w:rPr>
        <w:t>p</w:t>
      </w:r>
      <w:r>
        <w:rPr>
          <w:rFonts w:ascii="Arial" w:cs="Arial" w:eastAsia="Arial" w:hAnsi="Arial"/>
          <w:sz w:val="17"/>
          <w:szCs w:val="17"/>
          <w:u w:val="single" w:color="auto"/>
          <w:color w:val="0000FF"/>
        </w:rPr>
        <w:t>o</w:t>
      </w:r>
      <w:r>
        <w:rPr>
          <w:rFonts w:ascii="Arial" w:cs="Arial" w:eastAsia="Arial" w:hAnsi="Arial"/>
          <w:sz w:val="17"/>
          <w:szCs w:val="17"/>
          <w:u w:val="single" w:color="auto"/>
          <w:color w:val="auto"/>
        </w:rPr>
        <w:t>)</w:t>
      </w:r>
      <w:r>
        <w:rPr>
          <w:rFonts w:ascii="Arial" w:cs="Arial" w:eastAsia="Arial" w:hAnsi="Arial"/>
          <w:sz w:val="17"/>
          <w:szCs w:val="17"/>
          <w:color w:val="auto"/>
        </w:rPr>
        <w:t xml:space="preserve"> on or prior to the date of the incurrence of such Incremental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request for Incremental Commitments shall be in a minimum amount of $10,000,000.</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4" w:name="page115"/>
    <w:bookmarkEnd w:id="114"/>
    <w:p>
      <w:pPr>
        <w:jc w:val="both"/>
        <w:ind w:firstLine="1304"/>
        <w:spacing w:after="0" w:line="286" w:lineRule="auto"/>
        <w:tabs>
          <w:tab w:leader="none" w:pos="21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Each such notice shall specify (i) the date (each, an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on which the Borrower proposes that the Incremental Revolving Credit Commitments or Incremental Term Loan Commitments, as applicable, shall be effective, which shall be a date not less than five (5) Business Days after the date on which such notice is delivered to the Administrative Agent (unless the Administrative Agent otherwise agrees to a shorter period) and (ii) the identity of each Lender or other Person (which shall be an Eligible Assignee) (each, an “</w:t>
      </w:r>
      <w:r>
        <w:rPr>
          <w:rFonts w:ascii="Arial" w:cs="Arial" w:eastAsia="Arial" w:hAnsi="Arial"/>
          <w:sz w:val="16"/>
          <w:szCs w:val="16"/>
          <w:u w:val="single" w:color="auto"/>
          <w:color w:val="auto"/>
        </w:rPr>
        <w:t>Incremental Revolving Credit Lender</w:t>
      </w:r>
      <w:r>
        <w:rPr>
          <w:rFonts w:ascii="Arial" w:cs="Arial" w:eastAsia="Arial" w:hAnsi="Arial"/>
          <w:sz w:val="16"/>
          <w:szCs w:val="16"/>
          <w:color w:val="auto"/>
        </w:rPr>
        <w:t>” or “</w:t>
      </w:r>
      <w:r>
        <w:rPr>
          <w:rFonts w:ascii="Arial" w:cs="Arial" w:eastAsia="Arial" w:hAnsi="Arial"/>
          <w:sz w:val="16"/>
          <w:szCs w:val="16"/>
          <w:u w:val="single" w:color="auto"/>
          <w:color w:val="auto"/>
        </w:rPr>
        <w:t>Incremental Term Loan Lender</w:t>
      </w:r>
      <w:r>
        <w:rPr>
          <w:rFonts w:ascii="Arial" w:cs="Arial" w:eastAsia="Arial" w:hAnsi="Arial"/>
          <w:sz w:val="16"/>
          <w:szCs w:val="16"/>
          <w:color w:val="auto"/>
        </w:rPr>
        <w:t xml:space="preserve">,” as applicable) to whom the Borrower proposes any portion of such Incremental Revolving Credit Commitments or Incremental Term Loan Commitments, as applicable, be allocated and the amounts of such allocations;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Lender approached to provide all or a portion of the Incremental Revolving Credit Commitments or Incremental Term Loan Commitments, as applicable, may elect or decline, in its sole discretion, to provide an Incremental Revolving Credit Commitment or Incremental Term Loan Commitment. Any Incremental Term Loans made on an Increase Effective Date shall be designated as a separate series (a “</w:t>
      </w:r>
      <w:r>
        <w:rPr>
          <w:rFonts w:ascii="Arial" w:cs="Arial" w:eastAsia="Arial" w:hAnsi="Arial"/>
          <w:sz w:val="16"/>
          <w:szCs w:val="16"/>
          <w:u w:val="single" w:color="auto"/>
          <w:color w:val="auto"/>
        </w:rPr>
        <w:t>Series</w:t>
      </w:r>
      <w:r>
        <w:rPr>
          <w:rFonts w:ascii="Arial" w:cs="Arial" w:eastAsia="Arial" w:hAnsi="Arial"/>
          <w:sz w:val="16"/>
          <w:szCs w:val="16"/>
          <w:color w:val="auto"/>
        </w:rPr>
        <w:t>”) of Incremental Term Loans for all purposes of this Agreement or, if made on terms identical to any existing Series of Incremental Term Loans, may constitute a part of such Series of Incremental Term Loans. The Borrower may designate any Incremental Revolving Credit Commitments made on an Increase Effective Date as a separate Revolving Credit Facility for all purposes of this Agreement or, if made on terms identical to an existing Revolving Credit Facility, such Incremental Revolving Credit Commitments may constitute a part of such Revolving Credit Facility; provided that there shall be no more than two Revolving Credit Facilities in effect at any time.</w:t>
      </w:r>
    </w:p>
    <w:p>
      <w:pPr>
        <w:spacing w:after="0" w:line="173" w:lineRule="exact"/>
        <w:rPr>
          <w:rFonts w:ascii="Arial" w:cs="Arial" w:eastAsia="Arial" w:hAnsi="Arial"/>
          <w:sz w:val="16"/>
          <w:szCs w:val="16"/>
          <w:color w:val="auto"/>
        </w:rPr>
      </w:pPr>
    </w:p>
    <w:p>
      <w:pPr>
        <w:jc w:val="both"/>
        <w:ind w:firstLine="1304"/>
        <w:spacing w:after="0" w:line="257" w:lineRule="auto"/>
        <w:tabs>
          <w:tab w:leader="none" w:pos="22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Administrative Agent shall promptly notify the Borrower and the Lenders of (x) the Incremental Revolving Credit Commitments and the Incremental Revolving Credit Lenders or the Incremental Term Loan Commitments and the Incremental Term Loan Lenders, as applicable and (y) in the case of each notice to any Revolving Credit Lender, the respective interests in such Revolving Credit Lender’s Revolving Credit Loans, in each case subject to the assignments contemplated by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Each Incremental Revolving Credit Lender and Incremental Term Loan Lender shall be subject to the requirements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68" w:lineRule="auto"/>
        <w:tabs>
          <w:tab w:leader="none" w:pos="19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On any Increase Effective Date on which Incremental Revolving Credit Commitments are effected pursuant to an increase to the existing Revolving Credit Facility, subject to the satisfaction of the terms and conditions in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(i) each of the existing Revolving Credit Lenders shall assign to each of the Incremental Revolving Credit Lenders, and each of the Incremental Revolving Credit Lenders shall purchase from each of the existing Revolving Credit Lenders, at the principal amount thereof (together with accrued interest), such interests in the Revolving Credit Loans outstanding on such Increase Effective Date as shall be necessary in order that, after giving effect to all such assignments and purchases, such Revolving Credit Loans will be held by existing Revolving Credit Lenders and such Incremental Revolving Credit Lenders ratably in accordance with their Revolving Credit Commitments after giving effect to the addition of such Incremental Revolving Credit Commitments to the Revolving Credit Commitments, (ii) each Incremental Revolving Credit Commitment shall be deemed for all purposes a Revolving Credit Commitment and each Incremental Revolving Credit Loan made thereunder shall be deemed, for all purposes, a Revolving Credit Loan and (iii) each Incremental Revolving Credit Lender shall become a Revolving Credit Lender with respect to the Incremental Revolving Credit Commitment and all matters relating thereto. The Incremental Revolving Credit Commitments shall become Revolving Credit Commitments under this Agreement pursuant to an Incremental Amendment and, as appropriate, amendments to the other Loan Documents. Such amendment may, without the consent of any other Revolving Credit Lender, effect such amendments to this Agreement and the other Loan Documents as may be necessary, in the reasonable opinion of the Administrative Agent and the Borrower, to effect the provisions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5" w:name="page116"/>
    <w:bookmarkEnd w:id="115"/>
    <w:p>
      <w:pPr>
        <w:jc w:val="both"/>
        <w:ind w:firstLine="1304"/>
        <w:spacing w:after="0" w:line="253" w:lineRule="auto"/>
        <w:tabs>
          <w:tab w:leader="none" w:pos="2010"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On any Increase Effective Date on which a separate Class of Incremental Revolving Credit Loans shall become effective, (i) all outstanding Revolving Credit Loans then outstanding under any Revolving Credit Facility on such date shall be prepaid on such date (and may, subject to the satisfaction of the condition set forth herein, be reborrowed on such date (provided that such Borrowing shall be made on a ratable basis across all Revolving Credit Facilities)) and (ii) subject to the satisfaction of terms and conditions to be mutually agreed between the Administrative Agent and the Incremental Revolving Credit Lenders providing such Incremental Revolving Credit Commitments (and including the terms and conditions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 each Incremental Revolving Credit Lender of such Class shall agree to make Incremental Revolving Credit Loans to the Borrower from time to time in an amount equal to its Incremental Revolving Credit Commitment and (y) each Incremental Revolving Credit Lender of such Class shall become a Lender hereunder with respect to its Incremental Revolving Credit Commitment of such Class and the Incremental Revolving Credit Loans made pursuant thereto.</w:t>
      </w:r>
    </w:p>
    <w:p>
      <w:pPr>
        <w:spacing w:after="0" w:line="196" w:lineRule="exact"/>
        <w:rPr>
          <w:rFonts w:ascii="Arial" w:cs="Arial" w:eastAsia="Arial" w:hAnsi="Arial"/>
          <w:sz w:val="18"/>
          <w:szCs w:val="18"/>
          <w:color w:val="auto"/>
        </w:rPr>
      </w:pPr>
    </w:p>
    <w:p>
      <w:pPr>
        <w:jc w:val="both"/>
        <w:ind w:firstLine="1304"/>
        <w:spacing w:after="0" w:line="255" w:lineRule="auto"/>
        <w:tabs>
          <w:tab w:leader="none" w:pos="2078"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On any Increase Effective Date on which any Incremental Term Loan Commitments of any Series are effective, subject to the satisfaction of terms and conditions to be mutually agreed between the Administrative Agent and the Incremental Term Loan Lenders providing such Incremental Term Loans (and including the terms and conditions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(i) each Incremental Term Loan Lender of such Series shall make a Loan to the Borrower (an “</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in an amount equal to its Incremental Term Loan Commitment of such Series and (ii) each Incremental Term Loan Lender of such Series shall become a Lender hereunder with respect to its Incremental Term Loan Commitment and the Incremental Term Loans of such Series made pursuant thereto.</w:t>
      </w:r>
    </w:p>
    <w:p>
      <w:pPr>
        <w:spacing w:after="0" w:line="192" w:lineRule="exact"/>
        <w:rPr>
          <w:rFonts w:ascii="Arial" w:cs="Arial" w:eastAsia="Arial" w:hAnsi="Arial"/>
          <w:sz w:val="18"/>
          <w:szCs w:val="18"/>
          <w:color w:val="auto"/>
        </w:rPr>
      </w:pPr>
    </w:p>
    <w:p>
      <w:pPr>
        <w:jc w:val="both"/>
        <w:ind w:firstLine="1304"/>
        <w:spacing w:after="0" w:line="283" w:lineRule="auto"/>
        <w:tabs>
          <w:tab w:leader="none" w:pos="2003"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terms and provisions of the Incremental Revolving Credit Loans, Incremental Revolving Credit Commitments, Incremental Term Loans and Incremental Term Loan Commitments of any Series shall be, (i) except as otherwise set forth herein, as agreed in the Incremental Amendment and, as appropriate, any necessary amendments to the other Loan Documents, executed by the Borrower, the applicable Incremental Revolving Credit Lenders and Incremental Term Loan Lenders providing such Incremental Revolving Credit Commitments and Incremental Term Loan Commitments, respectively, and the Administrative Agent and (ii) subject to the limitations in clauses (A) and (B) below, not more restrictive, taken as a whole, to the Borrower and the other Loan Parties than those applicable to any other Facility at the time of incurrence of such Incremental Facility, unless such other terms (1) apply only after the Latest Maturity Date of each other Facility at the time of incurrence of such Incremental Facility, (2) shall also apply to the existing Revolving Credit Facility (which such application shall not require the consent of the Revolving Credit Lenders or the Administrative Agent if so reasonably determined by the Borrower) or (3) in the case of Incremental Term Loans and Incremental Term Loan Commitments, relate only to mandatory prepayments, premiums (including make-whole provisions), interest, fees or (subject to the foregoing) maturity or amortization. In any event,</w:t>
      </w:r>
    </w:p>
    <w:p>
      <w:pPr>
        <w:spacing w:after="0" w:line="4" w:lineRule="exact"/>
        <w:rPr>
          <w:rFonts w:ascii="Arial" w:cs="Arial" w:eastAsia="Arial" w:hAnsi="Arial"/>
          <w:sz w:val="16"/>
          <w:szCs w:val="16"/>
          <w:color w:val="auto"/>
        </w:rPr>
      </w:pPr>
    </w:p>
    <w:p>
      <w:pPr>
        <w:jc w:val="both"/>
        <w:ind w:firstLine="8"/>
        <w:spacing w:after="0" w:line="268" w:lineRule="auto"/>
        <w:tabs>
          <w:tab w:leader="none" w:pos="29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Weighted Average Life to Maturity of all Incremental Loans of any Class or Series shall be no shorter than 75% of the remaining time to the Latest Maturity Date of the Revolving Credit Facility in effect at the time of incurrence thereof, (B) the applicable Maturity Date for any such Incremental Facility shall be no shorter than the Latest Maturity Date of the existing Revolving Credit Facility at the time of incurrence of such Incremental Loans, (C) any Incremental Revolving Credit Commitments (and the Revolving Credit Loans made thereunder) included in an existing Revolving Credit Facility shall have the same terms as the Revolving Credit Commitments and Revolving Credit Loans of such Revolving Credit Facility, (D) any Incremental Revolving Credit Commitments and Incremental Revolving Credit Loans that will constitute a separate Revolving Credit Facility may have different terms than the existing Revolving Credit Facility and (E) the establishment of a Revolving Credit Facility with a later Maturity Date than the existing Revolving Credit Facility shall not affect the Letter of Credit Expiration Date unless expressly agreed in writing by the applicable L/C Issuer and the Incremental Revolving Credit Lenders providing such Incremental Revolving Credit Commitments.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6" w:name="page117"/>
    <w:bookmarkEnd w:id="116"/>
    <w:p>
      <w:pPr>
        <w:jc w:val="both"/>
        <w:ind w:firstLine="1304"/>
        <w:spacing w:after="0" w:line="301" w:lineRule="auto"/>
        <w:tabs>
          <w:tab w:leader="none" w:pos="2041"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Each Incremental Amendment may, without the consent of any other Lenders, effect such amendments to this Agreement and the other Loan Documents as may be necessary or appropriate, in the opinion of the Administrative Agent, the Borrower and the lenders providing the relevant Incremental Facility, to effect the provisions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(including, in the case of any Incremental Term Loans or Incremental Term Loan Commitments, to provide for additional mandatory prepayments not already included herein and debt buyback provisions on customary terms).</w:t>
      </w:r>
    </w:p>
    <w:p>
      <w:pPr>
        <w:spacing w:after="0" w:line="157" w:lineRule="exact"/>
        <w:rPr>
          <w:rFonts w:ascii="Arial" w:cs="Arial" w:eastAsia="Arial" w:hAnsi="Arial"/>
          <w:sz w:val="16"/>
          <w:szCs w:val="16"/>
          <w:color w:val="auto"/>
        </w:rPr>
      </w:pPr>
    </w:p>
    <w:p>
      <w:pPr>
        <w:jc w:val="both"/>
        <w:ind w:firstLine="1304"/>
        <w:spacing w:after="0" w:line="267" w:lineRule="auto"/>
        <w:tabs>
          <w:tab w:leader="none" w:pos="2009"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As a condition precedent to such increase, the Borrower shall deliver to the Administrative Agent (x) reaffirmation agreements of the Loan Parties which reaffirm the Guaranty and Liens provided pursuant to the Loan Documents and (y) a certificate of each Loan Party dated as of the Increase Effective Date (in sufficient copies for each Lender) signed by a Responsible Officer of such Loan Party (i) certifying and attaching the resolutions adopted by such Loan Party approving or consenting to such increase and (ii) in the case of the Borrower, certifying that, before and after giving effect to such increase, (A) the representations and warranties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the representations and warranties contained in subsections (a)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clauses (a)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Incremental Term Commitments will be used concurrently with the initial provision of such commitment to finance any Investment permitted pursuant to </w:t>
      </w:r>
      <w:r>
        <w:rPr>
          <w:rFonts w:ascii="Arial" w:cs="Arial" w:eastAsia="Arial" w:hAnsi="Arial"/>
          <w:sz w:val="17"/>
          <w:szCs w:val="17"/>
          <w:u w:val="single" w:color="auto"/>
          <w:color w:val="auto"/>
        </w:rPr>
        <w:t>Section 7.03(g)</w:t>
      </w:r>
      <w:r>
        <w:rPr>
          <w:rFonts w:ascii="Arial" w:cs="Arial" w:eastAsia="Arial" w:hAnsi="Arial"/>
          <w:sz w:val="17"/>
          <w:szCs w:val="17"/>
          <w:color w:val="auto"/>
        </w:rPr>
        <w:t xml:space="preserve">,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and (B) no Event of Default has occurred and is continuing. The Borrower shall deliver or cause to be delivered legal opinions which are similar to those delivered on the Closing Date pursuant to </w:t>
      </w:r>
      <w:r>
        <w:rPr>
          <w:rFonts w:ascii="Arial" w:cs="Arial" w:eastAsia="Arial" w:hAnsi="Arial"/>
          <w:sz w:val="17"/>
          <w:szCs w:val="17"/>
          <w:u w:val="single" w:color="auto"/>
          <w:color w:val="auto"/>
        </w:rPr>
        <w:t>Section 4.01(a)(v</w:t>
      </w:r>
      <w:r>
        <w:rPr>
          <w:rFonts w:ascii="Arial" w:cs="Arial" w:eastAsia="Arial" w:hAnsi="Arial"/>
          <w:sz w:val="17"/>
          <w:szCs w:val="17"/>
          <w:color w:val="auto"/>
        </w:rPr>
        <w:t>) (or otherwise in form and substance reasonably satisfactory to the Administrative Agent) and any other documents reasonably requested by the Administrative Agent in connection with any such transaction.</w:t>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7" w:name="page118"/>
    <w:bookmarkEnd w:id="117"/>
    <w:p>
      <w:pPr>
        <w:ind w:left="660" w:right="2880" w:firstLine="644"/>
        <w:spacing w:after="0" w:line="500" w:lineRule="auto"/>
        <w:tabs>
          <w:tab w:leader="none" w:pos="1969"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 </w:t>
      </w:r>
      <w:r>
        <w:rPr>
          <w:rFonts w:ascii="Arial" w:cs="Arial" w:eastAsia="Arial" w:hAnsi="Arial"/>
          <w:sz w:val="18"/>
          <w:szCs w:val="18"/>
          <w:u w:val="single" w:color="auto"/>
          <w:color w:val="auto"/>
        </w:rPr>
        <w:t>2.14 Defaulting Lenders.</w:t>
      </w:r>
    </w:p>
    <w:p>
      <w:pPr>
        <w:spacing w:after="0" w:line="2" w:lineRule="exact"/>
        <w:rPr>
          <w:sz w:val="20"/>
          <w:szCs w:val="20"/>
          <w:color w:val="auto"/>
        </w:rPr>
      </w:pPr>
    </w:p>
    <w:p>
      <w:pPr>
        <w:ind w:firstLine="1304"/>
        <w:spacing w:after="0" w:line="277" w:lineRule="auto"/>
        <w:tabs>
          <w:tab w:leader="none" w:pos="2161"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Arial" w:cs="Arial" w:eastAsia="Arial" w:hAnsi="Arial"/>
          <w:sz w:val="18"/>
          <w:szCs w:val="18"/>
          <w:color w:val="auto"/>
        </w:rPr>
      </w:pPr>
    </w:p>
    <w:p>
      <w:pPr>
        <w:jc w:val="both"/>
        <w:ind w:left="660" w:right="20" w:firstLine="1292"/>
        <w:spacing w:after="0" w:line="263" w:lineRule="auto"/>
        <w:tabs>
          <w:tab w:leader="none" w:pos="2909"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definitions of “Required Lenders”, “Required Revolving Credit Lenders” and “Required Incremental Term Loan Lenders” and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firstLine="1292"/>
        <w:spacing w:after="0" w:line="284" w:lineRule="auto"/>
        <w:tabs>
          <w:tab w:leader="none" w:pos="2666"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the L/C Issuers;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each L/C Issuer’s Fronting Exposure with respect to such Defaulting Lender in accordance with </w:t>
      </w:r>
      <w:r>
        <w:rPr>
          <w:rFonts w:ascii="Arial" w:cs="Arial" w:eastAsia="Arial" w:hAnsi="Arial"/>
          <w:sz w:val="16"/>
          <w:szCs w:val="16"/>
          <w:u w:val="single" w:color="auto"/>
          <w:color w:val="auto"/>
        </w:rPr>
        <w:t>Section 2.03(g)</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2.03(g)</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or the L/C Issuers as a result of any judgment of a court of competent jurisdiction obtained by any Lender or any L/C Issuer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under a given Facility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Obligations owed to, all Non-Defaulting Lenders under such Facility on a pro rata basis prior to being applied to the payment of any Loans of, or L/C Obligations owed to, such Defaulting Lender until such time as all Loans and funded and unfunded participations in L/C Obligations are held by the Lenders under such Facility pro rata in accordance with the Commitments under such Facility without giving effect to </w:t>
      </w:r>
      <w:r>
        <w:rPr>
          <w:rFonts w:ascii="Arial" w:cs="Arial" w:eastAsia="Arial" w:hAnsi="Arial"/>
          <w:sz w:val="16"/>
          <w:szCs w:val="16"/>
          <w:u w:val="single" w:color="auto"/>
          <w:color w:val="auto"/>
        </w:rPr>
        <w:t>Section 2.14(a)(iv)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2.14(a)(ii)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8" w:name="page119"/>
    <w:bookmarkEnd w:id="118"/>
    <w:p>
      <w:pPr>
        <w:ind w:left="1480" w:hanging="648"/>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1300"/>
        <w:spacing w:after="0" w:line="263" w:lineRule="auto"/>
        <w:tabs>
          <w:tab w:leader="none" w:pos="2200"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for any period during which such Revolving Credit Lender is a Defaulting Lender (and the Borrower shall not be required to pay any such fee that otherwise would have been required to have been paid to that Defaulting Lender).</w:t>
      </w:r>
    </w:p>
    <w:p>
      <w:pPr>
        <w:spacing w:after="0" w:line="183" w:lineRule="exact"/>
        <w:rPr>
          <w:rFonts w:ascii="Arial" w:cs="Arial" w:eastAsia="Arial" w:hAnsi="Arial"/>
          <w:sz w:val="18"/>
          <w:szCs w:val="18"/>
          <w:color w:val="auto"/>
        </w:rPr>
      </w:pPr>
    </w:p>
    <w:p>
      <w:pPr>
        <w:jc w:val="both"/>
        <w:ind w:left="180" w:firstLine="1300"/>
        <w:spacing w:after="0" w:line="263" w:lineRule="auto"/>
        <w:tabs>
          <w:tab w:leader="none" w:pos="2281"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such Revolving Credit Lender is a Defaulting Lender only to the extent allocable to its Applicable Revolving Credit Percentage of the stated amount of Letters of Credit for which it has provided Cash Collateral pursuant to </w:t>
      </w:r>
      <w:r>
        <w:rPr>
          <w:rFonts w:ascii="Arial" w:cs="Arial" w:eastAsia="Arial" w:hAnsi="Arial"/>
          <w:sz w:val="18"/>
          <w:szCs w:val="18"/>
          <w:u w:val="single" w:color="auto"/>
          <w:color w:val="auto"/>
        </w:rPr>
        <w:t>Section 2.03(g)</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240" w:hanging="760"/>
        <w:spacing w:after="0"/>
        <w:tabs>
          <w:tab w:leader="none" w:pos="2240" w:val="left"/>
        </w:tabs>
        <w:numPr>
          <w:ilvl w:val="2"/>
          <w:numId w:val="89"/>
        </w:numPr>
        <w:rPr>
          <w:rFonts w:ascii="Arial" w:cs="Arial" w:eastAsia="Arial" w:hAnsi="Arial"/>
          <w:sz w:val="16"/>
          <w:szCs w:val="16"/>
          <w:color w:val="auto"/>
        </w:rPr>
      </w:pPr>
      <w:r>
        <w:rPr>
          <w:rFonts w:ascii="Arial" w:cs="Arial" w:eastAsia="Arial" w:hAnsi="Arial"/>
          <w:sz w:val="16"/>
          <w:szCs w:val="16"/>
          <w:color w:val="auto"/>
        </w:rPr>
        <w:t>With respect to any Letter of Credit Fee not required to be paid to any Defaulting Lender pursuant to clause</w:t>
      </w:r>
    </w:p>
    <w:p>
      <w:pPr>
        <w:spacing w:after="0" w:line="46" w:lineRule="exact"/>
        <w:rPr>
          <w:rFonts w:ascii="Arial" w:cs="Arial" w:eastAsia="Arial" w:hAnsi="Arial"/>
          <w:sz w:val="16"/>
          <w:szCs w:val="16"/>
          <w:color w:val="auto"/>
        </w:rPr>
      </w:pPr>
    </w:p>
    <w:p>
      <w:pPr>
        <w:jc w:val="both"/>
        <w:ind w:left="180" w:firstLine="4"/>
        <w:spacing w:after="0" w:line="253" w:lineRule="auto"/>
        <w:tabs>
          <w:tab w:leader="none" w:pos="498" w:val="left"/>
        </w:tabs>
        <w:numPr>
          <w:ilvl w:val="0"/>
          <w:numId w:val="90"/>
        </w:numPr>
        <w:rPr>
          <w:rFonts w:ascii="Arial" w:cs="Arial" w:eastAsia="Arial" w:hAnsi="Arial"/>
          <w:sz w:val="18"/>
          <w:szCs w:val="18"/>
          <w:color w:val="auto"/>
        </w:rPr>
      </w:pPr>
      <w:r>
        <w:rPr>
          <w:rFonts w:ascii="Arial" w:cs="Arial" w:eastAsia="Arial" w:hAnsi="Arial"/>
          <w:sz w:val="18"/>
          <w:szCs w:val="18"/>
          <w:color w:val="auto"/>
        </w:rPr>
        <w:t>or (B) above, the Borrower shall (x) pay to each Non-Defaulting Lender that portion of any such fee otherwise payable to such Defaulting Lender with respect to such Defaulting Lender’s participation in L/C Obligations that has been reallocated to such Non-Defaulting Lender pursuant to clause (iv) below, (y) pay to each L/C Issuer the amount of any such fee otherwise payable to such Defaulting Lender to the extent allocable to such L/C Issuer’s Fronting Exposure to such Defaulting Lender and (z) not be required to pay the remaining amount of any such fee.</w:t>
      </w:r>
    </w:p>
    <w:p>
      <w:pPr>
        <w:spacing w:after="0" w:line="190" w:lineRule="exact"/>
        <w:rPr>
          <w:rFonts w:ascii="Arial" w:cs="Arial" w:eastAsia="Arial" w:hAnsi="Arial"/>
          <w:sz w:val="18"/>
          <w:szCs w:val="18"/>
          <w:color w:val="auto"/>
        </w:rPr>
      </w:pPr>
    </w:p>
    <w:p>
      <w:pPr>
        <w:jc w:val="both"/>
        <w:ind w:left="-460" w:firstLine="1292"/>
        <w:spacing w:after="0" w:line="289" w:lineRule="auto"/>
        <w:tabs>
          <w:tab w:leader="none" w:pos="1604"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All or any part of such Defaulting Lender’s participation in L/C Obligations shall be reallocated among the Non-Defaulting Lenders in accordance with their respective Applicable Revolving Credit Percentages (calculated without regard to such Defaulting Lender’s Revolving Credit Commitment)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Credit Commitment. Subject to </w:t>
      </w:r>
      <w:r>
        <w:rPr>
          <w:rFonts w:ascii="Arial" w:cs="Arial" w:eastAsia="Arial" w:hAnsi="Arial"/>
          <w:sz w:val="16"/>
          <w:szCs w:val="16"/>
          <w:u w:val="single" w:color="auto"/>
          <w:color w:val="auto"/>
        </w:rPr>
        <w:t>Section 11.21</w:t>
      </w:r>
      <w:r>
        <w:rPr>
          <w:rFonts w:ascii="Arial" w:cs="Arial" w:eastAsia="Arial" w:hAnsi="Arial"/>
          <w:sz w:val="16"/>
          <w:szCs w:val="16"/>
          <w:color w:val="auto"/>
        </w:rPr>
        <w:t>, no reallocation hereunder shall constitute a waiver or release of any claim of any party hereunder against a Defaulting Lender arising from such Revolving Credit Lender having become a Defaulting Lender, including any claim of a Non-Defaulting Lender as a result of such Non-Defaulting Lender’s increased exposure following such reallocation.</w:t>
      </w:r>
    </w:p>
    <w:p>
      <w:pPr>
        <w:spacing w:after="0" w:line="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19" w:name="page120"/>
    <w:bookmarkEnd w:id="119"/>
    <w:p>
      <w:pPr>
        <w:jc w:val="both"/>
        <w:ind w:firstLine="1304"/>
        <w:spacing w:after="0" w:line="269" w:lineRule="auto"/>
        <w:tabs>
          <w:tab w:leader="none" w:pos="2091"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to be held on a pro rata basis by the Revolving Credit Lenders in accordance with their Applicable Revolving Credit Percentages (without giving effect to </w:t>
      </w:r>
      <w:r>
        <w:rPr>
          <w:rFonts w:ascii="Arial" w:cs="Arial" w:eastAsia="Arial" w:hAnsi="Arial"/>
          <w:sz w:val="17"/>
          <w:szCs w:val="17"/>
          <w:u w:val="single" w:color="auto"/>
          <w:color w:val="auto"/>
        </w:rPr>
        <w:t>Section 2.14(a)(iv)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2.15</w:t>
      </w:r>
      <w:r>
        <w:rPr>
          <w:sz w:val="20"/>
          <w:szCs w:val="20"/>
          <w:color w:val="auto"/>
        </w:rPr>
        <w:tab/>
      </w:r>
      <w:r>
        <w:rPr>
          <w:rFonts w:ascii="Arial" w:cs="Arial" w:eastAsia="Arial" w:hAnsi="Arial"/>
          <w:sz w:val="16"/>
          <w:szCs w:val="16"/>
          <w:u w:val="single" w:color="auto"/>
          <w:color w:val="auto"/>
        </w:rPr>
        <w:t>Extensions of Loans.</w:t>
      </w:r>
    </w:p>
    <w:p>
      <w:pPr>
        <w:spacing w:after="0" w:line="225" w:lineRule="exact"/>
        <w:rPr>
          <w:sz w:val="20"/>
          <w:szCs w:val="20"/>
          <w:color w:val="auto"/>
        </w:rPr>
      </w:pPr>
    </w:p>
    <w:p>
      <w:pPr>
        <w:jc w:val="both"/>
        <w:ind w:firstLine="1304"/>
        <w:spacing w:after="0" w:line="287" w:lineRule="auto"/>
        <w:tabs>
          <w:tab w:leader="none" w:pos="2013"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Borrower may from time to time, pursuant to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agree with one or more Lenders holding Loans and Commitments of any Class (“</w:t>
      </w:r>
      <w:r>
        <w:rPr>
          <w:rFonts w:ascii="Arial" w:cs="Arial" w:eastAsia="Arial" w:hAnsi="Arial"/>
          <w:sz w:val="16"/>
          <w:szCs w:val="16"/>
          <w:u w:val="single" w:color="auto"/>
          <w:color w:val="auto"/>
        </w:rPr>
        <w:t>Existing Class</w:t>
      </w:r>
      <w:r>
        <w:rPr>
          <w:rFonts w:ascii="Arial" w:cs="Arial" w:eastAsia="Arial" w:hAnsi="Arial"/>
          <w:sz w:val="16"/>
          <w:szCs w:val="16"/>
          <w:color w:val="auto"/>
        </w:rPr>
        <w:t xml:space="preserve">”) to extend the maturity date and to provide for other terms consistent with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(each such modification, an “</w:t>
      </w:r>
      <w:r>
        <w:rPr>
          <w:rFonts w:ascii="Arial" w:cs="Arial" w:eastAsia="Arial" w:hAnsi="Arial"/>
          <w:sz w:val="16"/>
          <w:szCs w:val="16"/>
          <w:u w:val="single" w:color="auto"/>
          <w:color w:val="auto"/>
        </w:rPr>
        <w:t>Extension</w:t>
      </w:r>
      <w:r>
        <w:rPr>
          <w:rFonts w:ascii="Arial" w:cs="Arial" w:eastAsia="Arial" w:hAnsi="Arial"/>
          <w:sz w:val="16"/>
          <w:szCs w:val="16"/>
          <w:color w:val="auto"/>
        </w:rPr>
        <w:t>”) pursuant to one or more written offers (each an “</w:t>
      </w:r>
      <w:r>
        <w:rPr>
          <w:rFonts w:ascii="Arial" w:cs="Arial" w:eastAsia="Arial" w:hAnsi="Arial"/>
          <w:sz w:val="16"/>
          <w:szCs w:val="16"/>
          <w:u w:val="single" w:color="auto"/>
          <w:color w:val="auto"/>
        </w:rPr>
        <w:t>Extension Offer</w:t>
      </w:r>
      <w:r>
        <w:rPr>
          <w:rFonts w:ascii="Arial" w:cs="Arial" w:eastAsia="Arial" w:hAnsi="Arial"/>
          <w:sz w:val="16"/>
          <w:szCs w:val="16"/>
          <w:color w:val="auto"/>
        </w:rPr>
        <w:t xml:space="preserve">”) made from time to time by the Borrower to all Lenders under any Class that is proposed to be extended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in each case on a pro rata basis (based on the relative outstanding Commitments of each Lender in such Class (or if no such Commitments are outstanding, the amount of Loans of each Lender in such Class)) and on the same terms to each such Lender. In connection with each Extension, the Borrower will provide notification to the Administrative Agent (for distribution to the Lenders of the applicable Class), no later than 30 days prior to the maturity of the applicable Class or Classes to be extended of the requested new maturity date for the extended Loans and Commitments of each such Class (each an “</w:t>
      </w:r>
      <w:r>
        <w:rPr>
          <w:rFonts w:ascii="Arial" w:cs="Arial" w:eastAsia="Arial" w:hAnsi="Arial"/>
          <w:sz w:val="16"/>
          <w:szCs w:val="16"/>
          <w:u w:val="single" w:color="auto"/>
          <w:color w:val="auto"/>
        </w:rPr>
        <w:t>Extended Maturity Date</w:t>
      </w:r>
      <w:r>
        <w:rPr>
          <w:rFonts w:ascii="Arial" w:cs="Arial" w:eastAsia="Arial" w:hAnsi="Arial"/>
          <w:sz w:val="16"/>
          <w:szCs w:val="16"/>
          <w:color w:val="auto"/>
        </w:rPr>
        <w:t xml:space="preserve">”) and the due date for Lender responses. In connection with any Extension, each Lender of the applicable Class wishing to participate in such Extension shall, prior to such due date, provide the Administrative Agent with a written notice thereof in a form reasonably satisfactory to the Administrative Agent. Any Lender that does not respond to an Extension Offer by the applicable due date shall be deemed to have rejected such Extension. In connection with any Extension, the Borrower shall agree to such procedures, if any, as may be reasonably established by, or acceptable to, the Administrative Agent to accomplish the purposes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0" w:name="page121"/>
    <w:bookmarkEnd w:id="120"/>
    <w:p>
      <w:pPr>
        <w:jc w:val="both"/>
        <w:ind w:firstLine="1304"/>
        <w:spacing w:after="0" w:line="284" w:lineRule="auto"/>
        <w:tabs>
          <w:tab w:leader="none" w:pos="1952"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After giving effect to any Extension, the Commitments so extended shall cease to be a part of the Class that they were a part of immediately prior to the Extension and shall be a new Class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there be more than six (6) different classes of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all borrowings and all prepayments of Revolving Credit Loans shall continue to be made on a ratable basis among all Revolving Credit Lenders, based on the relative amounts of their Revolving Credit Commitments, until the repayment of the Revolving Credit Loans attributable to the non-extended Revolving Credit Commitments on the relevant Maturity Date, (ii) all prepayments of Incremental Term Loans shall continue to be made on a ratable basis among all Incremental Term Loan Lenders, based on the relative amounts of their Incremental Term Loan Commitments, until the repayment of the Incremental Term Loans attributable to the non-extended Incremental Term Loans on the relevant Maturity Date,</w:t>
      </w:r>
    </w:p>
    <w:p>
      <w:pPr>
        <w:spacing w:after="0" w:line="2" w:lineRule="exact"/>
        <w:rPr>
          <w:rFonts w:ascii="Arial" w:cs="Arial" w:eastAsia="Arial" w:hAnsi="Arial"/>
          <w:sz w:val="16"/>
          <w:szCs w:val="16"/>
          <w:color w:val="auto"/>
        </w:rPr>
      </w:pPr>
    </w:p>
    <w:p>
      <w:pPr>
        <w:jc w:val="both"/>
        <w:ind w:firstLine="8"/>
        <w:spacing w:after="0" w:line="285" w:lineRule="auto"/>
        <w:tabs>
          <w:tab w:leader="none" w:pos="318"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allocation of the participation exposure with respect to any then-existing or subsequently issued or made Letter of Credit as between the Revolving Credit Commitments of such new “Class” and the remaining Revolving Credit Commitments shall be made on a ratable basis in accordance with the relative amounts thereof until the Maturity Date relating to such non-extended Revolving Credit Commitments has occurred, (iv) no termination of Extended Revolving Credit Commitments and no repayment of Extended Revolving Credit Loans accompanied by a corresponding permanent reduction in Extended Revolving Credit Commitments shall be permitted unless such termination or repayment (and corresponding reduction) is accompanied by at least a pro rata termination or permanent repayment (and corresponding pro rata permanent reduction), as applicable, of all other Classes of Revolving Credit Loans and Revolving Credit Commitments with an earlier Maturity Date (or all such Revolving Credit Commitments and related Revolving Credit Loans shall have otherwise been terminated and repaid in full) and (v) with respect to Letters of Credit, the Maturity Date with respect to the Revolving Credit Commitments cannot be extended without the prior written consent of the L/C Issuers, and the availability of the L/C Commitments cannot be extended without the prior written consent of the applicable L/C Issuer. If the Outstanding Amount exceeds the Revolving Credit Commitment as a result of the occurrence of the Maturity Date with respect to any Class of Revolving Credit Commitments while an extended Class of Revolving Credit Commitments remains outstanding, the Borrower shall make such payments as are necessary in order to eliminate such excess on such Maturity Date.</w:t>
      </w:r>
    </w:p>
    <w:p>
      <w:pPr>
        <w:spacing w:after="0" w:line="171" w:lineRule="exact"/>
        <w:rPr>
          <w:rFonts w:ascii="Arial" w:cs="Arial" w:eastAsia="Arial" w:hAnsi="Arial"/>
          <w:sz w:val="16"/>
          <w:szCs w:val="16"/>
          <w:color w:val="auto"/>
        </w:rPr>
      </w:pPr>
    </w:p>
    <w:p>
      <w:pPr>
        <w:ind w:left="2060" w:hanging="756"/>
        <w:spacing w:after="0"/>
        <w:tabs>
          <w:tab w:leader="none" w:pos="20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consummation and effectiveness of each Extension shall be subject to the following both before and after giving effect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jc w:val="both"/>
        <w:ind w:left="660" w:firstLine="1292"/>
        <w:spacing w:after="0" w:line="284" w:lineRule="auto"/>
        <w:tabs>
          <w:tab w:leader="none" w:pos="2953" w:val="left"/>
        </w:tabs>
        <w:numPr>
          <w:ilvl w:val="2"/>
          <w:numId w:val="94"/>
        </w:numPr>
        <w:rPr>
          <w:rFonts w:ascii="Arial" w:cs="Arial" w:eastAsia="Arial" w:hAnsi="Arial"/>
          <w:sz w:val="16"/>
          <w:szCs w:val="16"/>
          <w:color w:val="auto"/>
        </w:rPr>
      </w:pPr>
      <w:r>
        <w:rPr>
          <w:rFonts w:ascii="Arial" w:cs="Arial" w:eastAsia="Arial" w:hAnsi="Arial"/>
          <w:sz w:val="16"/>
          <w:szCs w:val="16"/>
          <w:color w:val="auto"/>
        </w:rPr>
        <w:t>the Commitments of any Lender extended pursuant to any Extension (“</w:t>
      </w:r>
      <w:r>
        <w:rPr>
          <w:rFonts w:ascii="Arial" w:cs="Arial" w:eastAsia="Arial" w:hAnsi="Arial"/>
          <w:sz w:val="16"/>
          <w:szCs w:val="16"/>
          <w:u w:val="single" w:color="auto"/>
          <w:color w:val="auto"/>
        </w:rPr>
        <w:t>Extended Commitments</w:t>
      </w:r>
      <w:r>
        <w:rPr>
          <w:rFonts w:ascii="Arial" w:cs="Arial" w:eastAsia="Arial" w:hAnsi="Arial"/>
          <w:sz w:val="16"/>
          <w:szCs w:val="16"/>
          <w:color w:val="auto"/>
        </w:rPr>
        <w:t>” and the loans thereunder, “</w:t>
      </w:r>
      <w:r>
        <w:rPr>
          <w:rFonts w:ascii="Arial" w:cs="Arial" w:eastAsia="Arial" w:hAnsi="Arial"/>
          <w:sz w:val="16"/>
          <w:szCs w:val="16"/>
          <w:u w:val="single" w:color="auto"/>
          <w:color w:val="auto"/>
        </w:rPr>
        <w:t>Extended Loans</w:t>
      </w:r>
      <w:r>
        <w:rPr>
          <w:rFonts w:ascii="Arial" w:cs="Arial" w:eastAsia="Arial" w:hAnsi="Arial"/>
          <w:sz w:val="16"/>
          <w:szCs w:val="16"/>
          <w:color w:val="auto"/>
        </w:rPr>
        <w:t>”) shall have the same terms as the Class of Commitments subject to the related Extension Amendment (“</w:t>
      </w:r>
      <w:r>
        <w:rPr>
          <w:rFonts w:ascii="Arial" w:cs="Arial" w:eastAsia="Arial" w:hAnsi="Arial"/>
          <w:sz w:val="16"/>
          <w:szCs w:val="16"/>
          <w:u w:val="single" w:color="auto"/>
          <w:color w:val="auto"/>
        </w:rPr>
        <w:t>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Commitments</w:t>
      </w:r>
      <w:r>
        <w:rPr>
          <w:rFonts w:ascii="Arial" w:cs="Arial" w:eastAsia="Arial" w:hAnsi="Arial"/>
          <w:sz w:val="16"/>
          <w:szCs w:val="16"/>
          <w:color w:val="auto"/>
        </w:rPr>
        <w:t>” and the loans thereunder, “</w:t>
      </w:r>
      <w:r>
        <w:rPr>
          <w:rFonts w:ascii="Arial" w:cs="Arial" w:eastAsia="Arial" w:hAnsi="Arial"/>
          <w:sz w:val="16"/>
          <w:szCs w:val="16"/>
          <w:u w:val="single" w:color="auto"/>
          <w:color w:val="auto"/>
        </w:rPr>
        <w:t>Existing Loans</w:t>
      </w:r>
      <w:r>
        <w:rPr>
          <w:rFonts w:ascii="Arial" w:cs="Arial" w:eastAsia="Arial" w:hAnsi="Arial"/>
          <w:sz w:val="16"/>
          <w:szCs w:val="16"/>
          <w:color w:val="auto"/>
        </w:rPr>
        <w:t xml:space="preserve">”); except (A) the final maturity date of any Extended Commitments and Extended Loans of a Class to be extended pursuant to an Extension shall be later than the Maturity Date of the Class of Existing Commitments and Existing Loans subject to the related Extension Amendment, and the Weighted Average Life to Maturity of any Extended Commitments and Extended Loans of a Class to be extended pursuant to an Extension shall be no shorter than the Weighted Average Life to Maturity of the Class of Existing Commitments and Existing Loans subject to the related Extension Amendment; (B) the all-in pricing (including, without limitation, with respect to margins, fees and premiums) with respect to the Extended Commitments and Extended Loans may be higher or lower than the all-in pricing (including, without limitation, margins, fees and premiums) for the Existing Commitments and Existing Loans; (C) the revolving credit Commitment fee rate with respect to the Extended Revolving Credit Commitments may be higher or lower than the revolving credit Commitment fee rate for Existing Revolving Credit Commitments; (D) no repayment of any Extended Revolving Credit Loans and no cancellation of any Extended Revolving Credit Commitments shall be permitted unless such repayment or cancellation, as applicable, is accompanied by an at least pro rata repayment or cancellation, as applicable, of all earlier maturing Revolving Credit Loans and Revolving Credit Commitments (including previously extended Revolving Credit Loans and Revolving Credit Commitments) (or all earlier maturing Revolving Credit Loans and Revolving Credit Commitments (including previously extended Revolving Credit Loans and Revolving Credit Commitments) shall otherwise be or have been terminated and repaid in full); (E) no repayment of any Extended Term Loans shall be permitted unless such repayment is accompanied by an at least pro rata repayment of all earlier maturing Incremental Term Loans (including previously extended Incremental Term Loans) (or all earlier maturing Incremental Term Loans (including previously extended Incremental Term Loans) shall otherwise be or have been terminated and repaid in full), (F) the Extended Commitments may contain a “most favored nation” provision for the benefit of Lenders holding Extended Commitments; and (G) the other terms and conditions applicable to Extended Commitments and Extended Loans may be different than those with respect to the Existing Commitments and Existing Loans, so long as such terms and conditions only apply after the Latest Maturity Date in effect at the time of the Extension;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each Extension Amendment may, without the consent of any Lender other than the applicable extending Lenders, effect such amendments to this Agreement and the other Loan Documents as may be necessary or appropriate, in the opinion of the Administrative Agent and the Borrower, to give effect to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including any amendments necessary to treat the applicable Loans and/or Commitments of the extending Lenders as a new “Class” of loans and/or commitments hereunder;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no Extension Amendment may provide for any Class of Extended Commitments and Extended Loans to be secured by any Collateral or other assets of any Loan Party that does not also secure the Existing Commitments and Existing Loans;</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1" w:name="page122"/>
    <w:bookmarkEnd w:id="121"/>
    <w:p>
      <w:pPr>
        <w:ind w:left="1500" w:hanging="668"/>
        <w:spacing w:after="0"/>
        <w:tabs>
          <w:tab w:leader="none" w:pos="1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documentation in respect of such Extension shall be consistent with the foregoing; and</w:t>
      </w:r>
    </w:p>
    <w:p>
      <w:pPr>
        <w:spacing w:after="0" w:line="225" w:lineRule="exact"/>
        <w:rPr>
          <w:rFonts w:ascii="Arial" w:cs="Arial" w:eastAsia="Arial" w:hAnsi="Arial"/>
          <w:sz w:val="18"/>
          <w:szCs w:val="18"/>
          <w:color w:val="auto"/>
        </w:rPr>
      </w:pPr>
    </w:p>
    <w:p>
      <w:pPr>
        <w:jc w:val="both"/>
        <w:ind w:left="-460" w:firstLine="1292"/>
        <w:spacing w:after="0" w:line="342" w:lineRule="auto"/>
        <w:tabs>
          <w:tab w:leader="none" w:pos="161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minimum amount in respect of such Extension (to be determined in the Borrower’s discretion and specified in the relevant Extension Offer, but in no event less than $25,000,000, unless another amount is agreed to by the Administrative Agent) shall be satisfied.</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22" w:name="page123"/>
    <w:bookmarkEnd w:id="122"/>
    <w:p>
      <w:pPr>
        <w:spacing w:after="0" w:line="277" w:lineRule="auto"/>
        <w:rPr>
          <w:sz w:val="20"/>
          <w:szCs w:val="20"/>
          <w:color w:val="auto"/>
        </w:rPr>
      </w:pPr>
      <w:r>
        <w:rPr>
          <w:rFonts w:ascii="Arial" w:cs="Arial" w:eastAsia="Arial" w:hAnsi="Arial"/>
          <w:sz w:val="18"/>
          <w:szCs w:val="18"/>
          <w:color w:val="auto"/>
        </w:rPr>
        <w:t xml:space="preserve">Any Lender that does not elect to participate in an Extension shall be deemed to be a Non-Extending Lender and subject to being replaced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ind w:firstLine="1304"/>
        <w:spacing w:after="0" w:line="301" w:lineRule="auto"/>
        <w:tabs>
          <w:tab w:leader="none" w:pos="2023"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For the avoidance of doubt, it is understood and agreed that the provisions of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will not apply to Extensions of Commitments and Loans pursuant to Extension Offers made pursuant to and in accordance with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including to any payment of interest or fees in respect of any Extended Commitments and Extended Loans that have been extended pursuant to an Extension at a rate or rates different from those paid or payable in respect of Loans of any other Class, in each case as is set forth in the relevant Extension Offer.</w:t>
      </w:r>
    </w:p>
    <w:p>
      <w:pPr>
        <w:spacing w:after="0" w:line="157" w:lineRule="exact"/>
        <w:rPr>
          <w:rFonts w:ascii="Arial" w:cs="Arial" w:eastAsia="Arial" w:hAnsi="Arial"/>
          <w:sz w:val="16"/>
          <w:szCs w:val="16"/>
          <w:color w:val="auto"/>
        </w:rPr>
      </w:pPr>
    </w:p>
    <w:p>
      <w:pPr>
        <w:jc w:val="both"/>
        <w:ind w:firstLine="1304"/>
        <w:spacing w:after="0" w:line="284" w:lineRule="auto"/>
        <w:tabs>
          <w:tab w:leader="none" w:pos="2284"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Lenders hereby irrevocably authorize the Administrative Agent to enter into amendments (collectively, “</w:t>
      </w:r>
      <w:r>
        <w:rPr>
          <w:rFonts w:ascii="Arial" w:cs="Arial" w:eastAsia="Arial" w:hAnsi="Arial"/>
          <w:sz w:val="16"/>
          <w:szCs w:val="16"/>
          <w:u w:val="single" w:color="auto"/>
          <w:color w:val="auto"/>
        </w:rPr>
        <w:t>Extension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to this Agreement and the other Loan Documents as may be necessary in order to establish new Classes of Commitments and Loans created pursuant to an Extension, in each case on terms consistent with this </w:t>
      </w:r>
      <w:r>
        <w:rPr>
          <w:rFonts w:ascii="Arial" w:cs="Arial" w:eastAsia="Arial" w:hAnsi="Arial"/>
          <w:sz w:val="16"/>
          <w:szCs w:val="16"/>
          <w:u w:val="single" w:color="auto"/>
          <w:color w:val="auto"/>
        </w:rPr>
        <w:t>Section 2.15</w:t>
      </w:r>
      <w:r>
        <w:rPr>
          <w:rFonts w:ascii="Arial" w:cs="Arial" w:eastAsia="Arial" w:hAnsi="Arial"/>
          <w:sz w:val="16"/>
          <w:szCs w:val="16"/>
          <w:color w:val="auto"/>
        </w:rPr>
        <w:t>. Without limiting the foregoing, in connection with any Extension, (i) the appropriate Loan Parties shall (at their expense) amend (and the Administrative Agent is hereby directed to amend) any Loan Document that the Administrative Agent reasonably requests to be amended to reflect an Extension that has a maturity date prior to the latest Extended Maturity Date so that such maturity date is extended to the then latest Extended Maturity Date (or such later date as may be advised by counsel to the Administrative Agent) and</w:t>
      </w:r>
    </w:p>
    <w:p>
      <w:pPr>
        <w:spacing w:after="0" w:line="4" w:lineRule="exact"/>
        <w:rPr>
          <w:rFonts w:ascii="Arial" w:cs="Arial" w:eastAsia="Arial" w:hAnsi="Arial"/>
          <w:sz w:val="16"/>
          <w:szCs w:val="16"/>
          <w:color w:val="auto"/>
        </w:rPr>
      </w:pPr>
    </w:p>
    <w:p>
      <w:pPr>
        <w:jc w:val="both"/>
        <w:ind w:firstLine="8"/>
        <w:spacing w:after="0" w:line="255" w:lineRule="auto"/>
        <w:tabs>
          <w:tab w:leader="none" w:pos="26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shall deliver board resolutions, secretary’s certificates and officer’s certificates as reasonably be requested by the Administrative Agent in connection therewith and a legal opinion of counsel reasonably acceptable to the Administrative Agent (x) as to the enforceability of such Extension Amendment and (y) as to such other matters reasonably requested by the Administrative Agent.</w:t>
      </w:r>
    </w:p>
    <w:p>
      <w:pPr>
        <w:spacing w:after="0" w:line="189" w:lineRule="exact"/>
        <w:rPr>
          <w:rFonts w:ascii="Arial" w:cs="Arial" w:eastAsia="Arial" w:hAnsi="Arial"/>
          <w:sz w:val="18"/>
          <w:szCs w:val="18"/>
          <w:color w:val="auto"/>
        </w:rPr>
      </w:pPr>
    </w:p>
    <w:p>
      <w:pPr>
        <w:jc w:val="both"/>
        <w:ind w:firstLine="1304"/>
        <w:spacing w:after="0" w:line="259" w:lineRule="auto"/>
        <w:tabs>
          <w:tab w:leader="none" w:pos="2115" w:val="left"/>
        </w:tabs>
        <w:numPr>
          <w:ilvl w:val="1"/>
          <w:numId w:val="97"/>
        </w:numPr>
        <w:rPr>
          <w:rFonts w:ascii="Arial" w:cs="Arial" w:eastAsia="Arial" w:hAnsi="Arial"/>
          <w:sz w:val="18"/>
          <w:szCs w:val="18"/>
          <w:color w:val="auto"/>
        </w:rPr>
      </w:pPr>
      <w:r>
        <w:rPr>
          <w:rFonts w:ascii="Arial" w:cs="Arial" w:eastAsia="Arial" w:hAnsi="Arial"/>
          <w:sz w:val="18"/>
          <w:szCs w:val="18"/>
          <w:color w:val="auto"/>
        </w:rPr>
        <w:t>Promptly following the consummation and effectiveness of any Extension, the Borrower will furnish to the Administrative Agent (who shall promptly furnish to each Lender) written notice setting forth the Extended Maturity Date and material economic terms of the Extension and the aggregate principal amount of each Class of Loans and Commitments after giving effect to the Extension and attaching a copy of the fully executed Extension Amendment.</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2.16 Pro Rata Shares of Revolving Credit Facilities. All Revolving Credit Loans shall be made, and all participations in Letters of Credit purchased, by Revolving Credit Lenders simultaneously and proportionately to their respective Revolving Credit Commitments in respect of all Revolving Credit Facilities then in effect (considered collectively), it being understood that no Revolving Credit Lender shall be responsible for any default by any other Revolving Credit Lender in such other Revolving Credit Lender’s obligation to make a Revolving Credit Loan requested hereunder or to purchase a participation required hereby nor shall any Revolving Commitment of any Revolving Credit Lender be increased or decreased as a result of a default by any other Revolving Credit Lender in such other Revolving Credit Lender’s obligation to make a Revolving Credit Loan requested hereunder or purchase a participation required hereby. All prepayments of Revolving Credit Loans shall be made and applied on a pro rata basis to the Revolving Credit Lenders across all Revolving Credit Facilities. No termination of Revolving Credit Commitments and no repayment of Revolving Credit Loans accompanied by a corresponding permanent reduction in Revolving Credit Commitments shall be permitted unless such termination or repayment (and corresponding reduction) is accompanied by at least a pro rata termination or permanent repayment (and corresponding pro rata permanent reduction), as applicable, of all other Classes of Revolving Credit Loans and Revolving Credit Commitments (or all such Revolving Credit Commitments and related Revolving Credit Loans shall have otherwise been terminated and repaid in full), in each case other than with respect to any termination of Revolving Credit Commitments or repayment of Revolving Credit Loans accompanied by a corresponding permanent reduction in Revolving Commitments on the Maturity Date of the relevant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-1819275</wp:posOffset>
            </wp:positionV>
            <wp:extent cx="26568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56840" cy="8890"/>
                    </a:xfrm>
                    <a:prstGeom prst="rect">
                      <a:avLst/>
                    </a:prstGeom>
                    <a:noFill/>
                  </pic:spPr>
                </pic:pic>
              </a:graphicData>
            </a:graphic>
          </wp:anchor>
        </w:drawing>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3" w:name="page124"/>
    <w:bookmarkEnd w:id="123"/>
    <w:p>
      <w:pPr>
        <w:ind w:left="660"/>
        <w:spacing w:after="0"/>
        <w:tabs>
          <w:tab w:leader="none" w:pos="1260" w:val="left"/>
        </w:tabs>
        <w:rPr>
          <w:sz w:val="20"/>
          <w:szCs w:val="20"/>
          <w:color w:val="auto"/>
        </w:rPr>
      </w:pPr>
      <w:r>
        <w:rPr>
          <w:rFonts w:ascii="Arial" w:cs="Arial" w:eastAsia="Arial" w:hAnsi="Arial"/>
          <w:sz w:val="18"/>
          <w:szCs w:val="18"/>
          <w:u w:val="single" w:color="auto"/>
          <w:color w:val="auto"/>
        </w:rPr>
        <w:t>2.17</w:t>
      </w:r>
      <w:r>
        <w:rPr>
          <w:sz w:val="20"/>
          <w:szCs w:val="20"/>
          <w:color w:val="auto"/>
        </w:rPr>
        <w:tab/>
      </w:r>
      <w:r>
        <w:rPr>
          <w:rFonts w:ascii="Arial" w:cs="Arial" w:eastAsia="Arial" w:hAnsi="Arial"/>
          <w:sz w:val="16"/>
          <w:szCs w:val="16"/>
          <w:u w:val="single" w:color="auto"/>
          <w:color w:val="auto"/>
        </w:rPr>
        <w:t>Refinancing Facilities</w:t>
      </w:r>
      <w:r>
        <w:rPr>
          <w:rFonts w:ascii="Arial" w:cs="Arial" w:eastAsia="Arial" w:hAnsi="Arial"/>
          <w:sz w:val="16"/>
          <w:szCs w:val="16"/>
          <w:color w:val="auto"/>
        </w:rPr>
        <w:t>(a).</w:t>
      </w:r>
    </w:p>
    <w:p>
      <w:pPr>
        <w:spacing w:after="0" w:line="225" w:lineRule="exact"/>
        <w:rPr>
          <w:sz w:val="20"/>
          <w:szCs w:val="20"/>
          <w:color w:val="auto"/>
        </w:rPr>
      </w:pPr>
    </w:p>
    <w:p>
      <w:pPr>
        <w:jc w:val="both"/>
        <w:ind w:firstLine="1304"/>
        <w:spacing w:after="0" w:line="270" w:lineRule="auto"/>
        <w:tabs>
          <w:tab w:leader="none" w:pos="2107"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so long as no Default or Event of Default has occurred and is continuing, the Borrower may at any time and from time to time by written notice to the Administrative Agent elect to establish one or more additional Classes of Incremental Term Loans, Revolving Credit Loans and/or unused Revolving Credit Commitments under this Agreement (“</w:t>
      </w:r>
      <w:r>
        <w:rPr>
          <w:rFonts w:ascii="Arial" w:cs="Arial" w:eastAsia="Arial" w:hAnsi="Arial"/>
          <w:sz w:val="17"/>
          <w:szCs w:val="17"/>
          <w:u w:val="single" w:color="auto"/>
          <w:color w:val="auto"/>
        </w:rPr>
        <w:t>Refinancing Loans</w:t>
      </w:r>
      <w:r>
        <w:rPr>
          <w:rFonts w:ascii="Arial" w:cs="Arial" w:eastAsia="Arial" w:hAnsi="Arial"/>
          <w:sz w:val="17"/>
          <w:szCs w:val="17"/>
          <w:color w:val="auto"/>
        </w:rPr>
        <w:t>” and/or “</w:t>
      </w:r>
      <w:r>
        <w:rPr>
          <w:rFonts w:ascii="Arial" w:cs="Arial" w:eastAsia="Arial" w:hAnsi="Arial"/>
          <w:sz w:val="17"/>
          <w:szCs w:val="17"/>
          <w:u w:val="single" w:color="auto"/>
          <w:color w:val="auto"/>
        </w:rPr>
        <w:t>Refinancing Commitments</w:t>
      </w:r>
      <w:r>
        <w:rPr>
          <w:rFonts w:ascii="Arial" w:cs="Arial" w:eastAsia="Arial" w:hAnsi="Arial"/>
          <w:sz w:val="17"/>
          <w:szCs w:val="17"/>
          <w:color w:val="auto"/>
        </w:rPr>
        <w:t xml:space="preserve">”), which Refinancing Loans and Refinancing Commitments will refinance, pursuant to a voluntary prepayment in accordance with </w:t>
      </w:r>
      <w:r>
        <w:rPr>
          <w:rFonts w:ascii="Arial" w:cs="Arial" w:eastAsia="Arial" w:hAnsi="Arial"/>
          <w:sz w:val="17"/>
          <w:szCs w:val="17"/>
          <w:u w:val="single" w:color="auto"/>
          <w:color w:val="auto"/>
        </w:rPr>
        <w:t>Section 2.04(a)</w:t>
      </w:r>
      <w:r>
        <w:rPr>
          <w:rFonts w:ascii="Arial" w:cs="Arial" w:eastAsia="Arial" w:hAnsi="Arial"/>
          <w:sz w:val="17"/>
          <w:szCs w:val="17"/>
          <w:color w:val="auto"/>
        </w:rPr>
        <w:t>, all or any portion of any Class of Loans and Commitments, respectively, then outstanding under this Agreement (any portion thereof that is not so refinanced, the “</w:t>
      </w:r>
      <w:r>
        <w:rPr>
          <w:rFonts w:ascii="Arial" w:cs="Arial" w:eastAsia="Arial" w:hAnsi="Arial"/>
          <w:sz w:val="17"/>
          <w:szCs w:val="17"/>
          <w:u w:val="single" w:color="auto"/>
          <w:color w:val="auto"/>
        </w:rPr>
        <w:t>Non-Refinanced Loans</w:t>
      </w:r>
      <w:r>
        <w:rPr>
          <w:rFonts w:ascii="Arial" w:cs="Arial" w:eastAsia="Arial" w:hAnsi="Arial"/>
          <w:sz w:val="17"/>
          <w:szCs w:val="17"/>
          <w:color w:val="auto"/>
        </w:rPr>
        <w:t>” and “</w:t>
      </w:r>
      <w:r>
        <w:rPr>
          <w:rFonts w:ascii="Arial" w:cs="Arial" w:eastAsia="Arial" w:hAnsi="Arial"/>
          <w:sz w:val="17"/>
          <w:szCs w:val="17"/>
          <w:u w:val="single" w:color="auto"/>
          <w:color w:val="auto"/>
        </w:rPr>
        <w:t>Non-Refinanced Commitments</w:t>
      </w:r>
      <w:r>
        <w:rPr>
          <w:rFonts w:ascii="Arial" w:cs="Arial" w:eastAsia="Arial" w:hAnsi="Arial"/>
          <w:sz w:val="17"/>
          <w:szCs w:val="17"/>
          <w:color w:val="auto"/>
        </w:rPr>
        <w:t>”). Each such notice shall specify the date (each, a “</w:t>
      </w:r>
      <w:r>
        <w:rPr>
          <w:rFonts w:ascii="Arial" w:cs="Arial" w:eastAsia="Arial" w:hAnsi="Arial"/>
          <w:sz w:val="17"/>
          <w:szCs w:val="17"/>
          <w:u w:val="single" w:color="auto"/>
          <w:color w:val="auto"/>
        </w:rPr>
        <w:t>Refinancing Effective Date</w:t>
      </w:r>
      <w:r>
        <w:rPr>
          <w:rFonts w:ascii="Arial" w:cs="Arial" w:eastAsia="Arial" w:hAnsi="Arial"/>
          <w:sz w:val="17"/>
          <w:szCs w:val="17"/>
          <w:color w:val="auto"/>
        </w:rPr>
        <w:t xml:space="preserve">”) on which the Borrower proposes that the Refinancing Loans and/or Refinancing Commitments shall be made, which shall be a date not less than five (5) Business Days after the date on which such notice is delivered to the Administrative Agent (or such shorter period as may be agreed to by the Administrative Agent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80" w:lineRule="exact"/>
        <w:rPr>
          <w:rFonts w:ascii="Arial" w:cs="Arial" w:eastAsia="Arial" w:hAnsi="Arial"/>
          <w:sz w:val="17"/>
          <w:szCs w:val="17"/>
          <w:color w:val="auto"/>
        </w:rPr>
      </w:pPr>
    </w:p>
    <w:p>
      <w:pPr>
        <w:jc w:val="both"/>
        <w:ind w:left="660" w:firstLine="1292"/>
        <w:spacing w:after="0" w:line="263" w:lineRule="auto"/>
        <w:tabs>
          <w:tab w:leader="none" w:pos="2744"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before and after giving effect to the borrowing of such Refinancing Loans and/or the incurrence of such Refinancing Commitments on the Refinancing Effective Date, each of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be satisfied to the extent required by the relevant Refinancing Amendment governing such Refinancing Loans and/or Refinancing Commitments;</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830"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the Refinancing Loans may have different amortization payments and maturity dates than the other Loans and the Refinancing Commitments may have longer (but not shorter) availability periods than the Availability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final maturity date and weighted average life to maturity of such Refinancing Loans shall not be prior to or shorter than that applicable to the Loans being refinanced thereby;</w:t>
      </w:r>
    </w:p>
    <w:p>
      <w:pPr>
        <w:spacing w:after="0" w:line="186" w:lineRule="exact"/>
        <w:rPr>
          <w:rFonts w:ascii="Arial" w:cs="Arial" w:eastAsia="Arial" w:hAnsi="Arial"/>
          <w:sz w:val="18"/>
          <w:szCs w:val="18"/>
          <w:color w:val="auto"/>
        </w:rPr>
      </w:pPr>
    </w:p>
    <w:p>
      <w:pPr>
        <w:jc w:val="both"/>
        <w:ind w:left="660" w:firstLine="1292"/>
        <w:spacing w:after="0" w:line="293" w:lineRule="auto"/>
        <w:tabs>
          <w:tab w:leader="none" w:pos="2703"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other terms applicable to such Refinancing Loans and Refinancing Commitments (other than provisions relating to original issue discount, upfront fees and interest rates, which shall be as agreed between the Borrower and the Refinancing Lenders providing such Refinancing Loans and Refinancing Commitments) shall be identical to the terms applicable to the Loans and Commitments, respectively, being refinanced thereby (except to the extent such covenants and other terms (a) apply solely to any period after the latest stated final maturity of the Loans in effect on the Refinancing Effective Date immediately prior to the borrowing of such Refinancing Loans and the incurrence of such Refinancing Commitments or (b) are otherwise added for the benefit of the other Lenders hereunder);</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4" w:name="page125"/>
    <w:bookmarkEnd w:id="124"/>
    <w:p>
      <w:pPr>
        <w:jc w:val="both"/>
        <w:ind w:left="660" w:firstLine="1292"/>
        <w:spacing w:after="0" w:line="286" w:lineRule="auto"/>
        <w:tabs>
          <w:tab w:leader="none" w:pos="2721" w:val="left"/>
        </w:tabs>
        <w:numPr>
          <w:ilvl w:val="1"/>
          <w:numId w:val="99"/>
        </w:numPr>
        <w:rPr>
          <w:rFonts w:ascii="Arial" w:cs="Arial" w:eastAsia="Arial" w:hAnsi="Arial"/>
          <w:sz w:val="17"/>
          <w:szCs w:val="17"/>
          <w:color w:val="auto"/>
        </w:rPr>
      </w:pPr>
      <w:r>
        <w:rPr>
          <w:rFonts w:ascii="Arial" w:cs="Arial" w:eastAsia="Arial" w:hAnsi="Arial"/>
          <w:sz w:val="17"/>
          <w:szCs w:val="17"/>
          <w:color w:val="auto"/>
        </w:rPr>
        <w:t xml:space="preserve">the Borrower shall deliver or cause to be delivered legal opinions which are similar to those delivered on the Closing Date pursuant to </w:t>
      </w:r>
      <w:r>
        <w:rPr>
          <w:rFonts w:ascii="Arial" w:cs="Arial" w:eastAsia="Arial" w:hAnsi="Arial"/>
          <w:sz w:val="17"/>
          <w:szCs w:val="17"/>
          <w:u w:val="single" w:color="auto"/>
          <w:color w:val="auto"/>
        </w:rPr>
        <w:t>Section 4.01(a)(v)</w:t>
      </w:r>
      <w:r>
        <w:rPr>
          <w:rFonts w:ascii="Arial" w:cs="Arial" w:eastAsia="Arial" w:hAnsi="Arial"/>
          <w:sz w:val="17"/>
          <w:szCs w:val="17"/>
          <w:color w:val="auto"/>
        </w:rPr>
        <w:t xml:space="preserve"> (or otherwise in form and substance reasonably satisfactory to the Administrative Agent) and any other customary documents reasonably requested by the Administrative Agent in connection with any such transaction;</w:t>
      </w:r>
    </w:p>
    <w:p>
      <w:pPr>
        <w:spacing w:after="0" w:line="165" w:lineRule="exact"/>
        <w:rPr>
          <w:rFonts w:ascii="Arial" w:cs="Arial" w:eastAsia="Arial" w:hAnsi="Arial"/>
          <w:sz w:val="17"/>
          <w:szCs w:val="17"/>
          <w:color w:val="auto"/>
        </w:rPr>
      </w:pPr>
    </w:p>
    <w:p>
      <w:pPr>
        <w:jc w:val="both"/>
        <w:ind w:left="660" w:firstLine="1292"/>
        <w:spacing w:after="0" w:line="257" w:lineRule="auto"/>
        <w:tabs>
          <w:tab w:leader="none" w:pos="272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Loan Parties and the Administrative Agent shall enter into such amendments to the Collateral Documents as may be requested by the Administrative Agent (which shall not require any consent from any Lender) in order to ensure that the Refinancing Loans and the Refinancing Commitments are provided with the benefit of the applicable Collateral Documents on a pari passu basis with the other Obligations and shall deliver such other customary documents and certificates in connection therewith as may be reasonably requested by the Administrative Agent;</w:t>
      </w:r>
    </w:p>
    <w:p>
      <w:pPr>
        <w:spacing w:after="0" w:line="187" w:lineRule="exact"/>
        <w:rPr>
          <w:rFonts w:ascii="Arial" w:cs="Arial" w:eastAsia="Arial" w:hAnsi="Arial"/>
          <w:sz w:val="18"/>
          <w:szCs w:val="18"/>
          <w:color w:val="auto"/>
        </w:rPr>
      </w:pPr>
    </w:p>
    <w:p>
      <w:pPr>
        <w:ind w:left="660" w:firstLine="1292"/>
        <w:spacing w:after="0" w:line="277" w:lineRule="auto"/>
        <w:tabs>
          <w:tab w:leader="none" w:pos="2642"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proceeds of Refinancing Loans and the Refinancing Commitments shall be applied, substantially concurrently with the incurrence thereof, to the refinancing of the outstanding Loans and Commitments so refinanced;</w:t>
      </w:r>
    </w:p>
    <w:p>
      <w:pPr>
        <w:spacing w:after="0" w:line="170" w:lineRule="exact"/>
        <w:rPr>
          <w:rFonts w:ascii="Arial" w:cs="Arial" w:eastAsia="Arial" w:hAnsi="Arial"/>
          <w:sz w:val="18"/>
          <w:szCs w:val="18"/>
          <w:color w:val="auto"/>
        </w:rPr>
      </w:pPr>
    </w:p>
    <w:p>
      <w:pPr>
        <w:jc w:val="both"/>
        <w:ind w:left="660" w:firstLine="1292"/>
        <w:spacing w:after="0" w:line="259" w:lineRule="auto"/>
        <w:tabs>
          <w:tab w:leader="none" w:pos="2741"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the principal amount of Refinancing Loans and the Refinancing Commitments does not exceed the principal amount of Loans and Commitments, respectively, being refinanced thereby except by an amount equal to unpaid accrued interest and premium thereon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other amounts owing or unpaid related to such Loans and Commitments being refinanced and fees and expenses incurred in connection with such refinancing (including, underwriting, commitment, syndication and similar fees);</w:t>
      </w:r>
    </w:p>
    <w:p>
      <w:pPr>
        <w:spacing w:after="0" w:line="186" w:lineRule="exact"/>
        <w:rPr>
          <w:rFonts w:ascii="Arial" w:cs="Arial" w:eastAsia="Arial" w:hAnsi="Arial"/>
          <w:sz w:val="18"/>
          <w:szCs w:val="18"/>
          <w:color w:val="auto"/>
        </w:rPr>
      </w:pPr>
    </w:p>
    <w:p>
      <w:pPr>
        <w:ind w:left="660" w:firstLine="1292"/>
        <w:spacing w:after="0" w:line="277" w:lineRule="auto"/>
        <w:tabs>
          <w:tab w:leader="none" w:pos="2692"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there shall be no obligor in respect of such Refinancing Loans and Refinancing Commitments that is not a Loan Party, and the Borrower shall be the borrower of such Refinancing Loans; and</w:t>
      </w:r>
    </w:p>
    <w:p>
      <w:pPr>
        <w:spacing w:after="0" w:line="170" w:lineRule="exact"/>
        <w:rPr>
          <w:rFonts w:ascii="Arial" w:cs="Arial" w:eastAsia="Arial" w:hAnsi="Arial"/>
          <w:sz w:val="18"/>
          <w:szCs w:val="18"/>
          <w:color w:val="auto"/>
        </w:rPr>
      </w:pPr>
    </w:p>
    <w:p>
      <w:pPr>
        <w:jc w:val="both"/>
        <w:ind w:left="660" w:firstLine="1292"/>
        <w:spacing w:after="0" w:line="286" w:lineRule="auto"/>
        <w:tabs>
          <w:tab w:leader="none" w:pos="2678" w:val="left"/>
        </w:tabs>
        <w:numPr>
          <w:ilvl w:val="1"/>
          <w:numId w:val="99"/>
        </w:numPr>
        <w:rPr>
          <w:rFonts w:ascii="Arial" w:cs="Arial" w:eastAsia="Arial" w:hAnsi="Arial"/>
          <w:sz w:val="17"/>
          <w:szCs w:val="17"/>
          <w:color w:val="auto"/>
        </w:rPr>
      </w:pPr>
      <w:r>
        <w:rPr>
          <w:rFonts w:ascii="Arial" w:cs="Arial" w:eastAsia="Arial" w:hAnsi="Arial"/>
          <w:sz w:val="17"/>
          <w:szCs w:val="17"/>
          <w:color w:val="auto"/>
        </w:rPr>
        <w:t>Refinancing Loans that are term loans may participate on a pro rata basis or a less than pro rata basis (but not a greater than pro rata basis) than the other term loans hereunder in any prepayment hereunder and Refinancing Loans that are revolving credit loans shall participate on a pro rata basis with all other revolving credit loans hereunder in any prepayment hereunder.</w:t>
      </w:r>
    </w:p>
    <w:p>
      <w:pPr>
        <w:spacing w:after="0" w:line="165" w:lineRule="exact"/>
        <w:rPr>
          <w:rFonts w:ascii="Arial" w:cs="Arial" w:eastAsia="Arial" w:hAnsi="Arial"/>
          <w:sz w:val="17"/>
          <w:szCs w:val="17"/>
          <w:color w:val="auto"/>
        </w:rPr>
      </w:pPr>
    </w:p>
    <w:p>
      <w:pPr>
        <w:jc w:val="both"/>
        <w:ind w:firstLine="1304"/>
        <w:spacing w:after="0" w:line="291" w:lineRule="auto"/>
        <w:tabs>
          <w:tab w:leader="none" w:pos="203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Borrower may approach any Lender or any other Person that would be an Eligible Assignee pursuant to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to provide all or a portion of the Refinancing Loans or Refinancing Commitments (a “</w:t>
      </w:r>
      <w:r>
        <w:rPr>
          <w:rFonts w:ascii="Arial" w:cs="Arial" w:eastAsia="Arial" w:hAnsi="Arial"/>
          <w:sz w:val="16"/>
          <w:szCs w:val="16"/>
          <w:u w:val="single" w:color="auto"/>
          <w:color w:val="auto"/>
        </w:rPr>
        <w:t>Refinancing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Lender offered or approached to provide all or a portion of the Refinancing Loans or Refinancing Commitments may elect or decline, in its sole discretion, to provide a Refinancing Loan and/or Refinancing Commitment. Any Refinancing Loans and Refinancing Commitments with the same terms made on any Refinancing Effective Date shall be designated a Class of Refinancing Loans and Refinancing Commitments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Refinancing Loans and any Refinancing Commitments may, to the extent provided in the applicable Refinancing Amendment, be designated as an increase in any previously established Class of Loans and/or Commitments if it has the same terms as such previously established Class of Loans and/or Commitments in all respects.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5" w:name="page126"/>
    <w:bookmarkEnd w:id="125"/>
    <w:p>
      <w:pPr>
        <w:jc w:val="both"/>
        <w:ind w:firstLine="1304"/>
        <w:spacing w:after="0" w:line="311" w:lineRule="auto"/>
        <w:tabs>
          <w:tab w:leader="none" w:pos="19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Refinancing Loans and Refinancing Commitments shall be established pursuant to an amendment to this Agreement among the Loan Parties, the Administrative Agent and the Refinancing Lenders providing such Refinancing Loans and Refinancing Commitments (a “</w:t>
      </w:r>
      <w:r>
        <w:rPr>
          <w:rFonts w:ascii="Arial" w:cs="Arial" w:eastAsia="Arial" w:hAnsi="Arial"/>
          <w:sz w:val="16"/>
          <w:szCs w:val="16"/>
          <w:u w:val="single" w:color="auto"/>
          <w:color w:val="auto"/>
        </w:rPr>
        <w:t>Refinancing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which shall be consistent with the provisions set forth in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but which shall not require the consent of any other Lender).</w:t>
      </w:r>
    </w:p>
    <w:p>
      <w:pPr>
        <w:spacing w:after="0" w:line="148" w:lineRule="exact"/>
        <w:rPr>
          <w:rFonts w:ascii="Arial" w:cs="Arial" w:eastAsia="Arial" w:hAnsi="Arial"/>
          <w:sz w:val="16"/>
          <w:szCs w:val="16"/>
          <w:color w:val="auto"/>
        </w:rPr>
      </w:pPr>
    </w:p>
    <w:p>
      <w:pPr>
        <w:jc w:val="both"/>
        <w:ind w:firstLine="1304"/>
        <w:spacing w:after="0" w:line="268" w:lineRule="auto"/>
        <w:tabs>
          <w:tab w:leader="none" w:pos="199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Lenders hereby irrevocably authorize the Administrative Agent to enter into amendments to this Agreement and the other Loan Documents with the applicable Loan Parties as may be necessary or advisable in order to effectuate the transactions contemplated by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Each Refinancing Amendment shall be binding on the Lenders, the Loan Parties and the other parties hereto. In addition to any other terms and changes required or permitted by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each Refinancing Amendment establishing a Class of Refinancing Loans and/or Refinancing Commitments to refinance Incremental Term Loans shall amend the scheduled amortization payments provided under any Incremental Amendment with respect to the related Non-Refinanced Loans and/or Non-Refinanced Commitments to reduce each scheduled installment for such Non-Refinanced Loans and Non-Refinanced Commitments to an aggregate amount equal to the product of (1) the original aggregate amount of such installment with respect to the corresponding Loans and Commitments being refinanced thereby, multiplied by (2) a fraction, the numerator of which is the aggregate principal amount of such related Non-Refinanced Loans and Non-Refinanced Commitments and (y) the denominator of which is the aggregate principal amount of such Loans and Commitments being refinanced thereby prior to the effectiveness of such Refinancing Amendment (it being understood that the amount of any installment payable with respect to any individual Non-Refinanced Loan or Non-Refinanced Commitment shall not be reduced as a result thereof without the consent of the holder of such individual Non-Refinanced Loan or Non-Refinanced Commitment). This </w:t>
      </w:r>
      <w:r>
        <w:rPr>
          <w:rFonts w:ascii="Arial" w:cs="Arial" w:eastAsia="Arial" w:hAnsi="Arial"/>
          <w:sz w:val="17"/>
          <w:szCs w:val="17"/>
          <w:u w:val="single" w:color="auto"/>
          <w:color w:val="auto"/>
        </w:rPr>
        <w:t>Section 2.17(d)</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to the contrary.</w:t>
      </w:r>
    </w:p>
    <w:p>
      <w:pPr>
        <w:spacing w:after="0" w:line="18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u w:val="single" w:color="auto"/>
          <w:color w:val="0000FF"/>
        </w:rPr>
        <w:t>2.18</w:t>
      </w:r>
      <w:r>
        <w:rPr>
          <w:sz w:val="20"/>
          <w:szCs w:val="20"/>
          <w:color w:val="auto"/>
        </w:rPr>
        <w:tab/>
      </w:r>
      <w:r>
        <w:rPr>
          <w:rFonts w:ascii="Arial" w:cs="Arial" w:eastAsia="Arial" w:hAnsi="Arial"/>
          <w:sz w:val="16"/>
          <w:szCs w:val="16"/>
          <w:b w:val="1"/>
          <w:bCs w:val="1"/>
          <w:u w:val="single" w:color="auto"/>
          <w:color w:val="0000FF"/>
        </w:rPr>
        <w:t>Alternate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-7620</wp:posOffset>
            </wp:positionV>
            <wp:extent cx="1714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0"/>
          <w:szCs w:val="20"/>
          <w:color w:val="auto"/>
        </w:rPr>
      </w:pPr>
    </w:p>
    <w:p>
      <w:pPr>
        <w:ind w:left="1960" w:hanging="656"/>
        <w:spacing w:after="0"/>
        <w:tabs>
          <w:tab w:leader="none" w:pos="1960" w:val="left"/>
        </w:tabs>
        <w:numPr>
          <w:ilvl w:val="1"/>
          <w:numId w:val="102"/>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Subject to clauses (b), (c), (d), (e) and (f) of this Section 2.18, if:</w:t>
      </w:r>
    </w:p>
    <w:p>
      <w:pPr>
        <w:spacing w:after="0" w:line="225" w:lineRule="exact"/>
        <w:rPr>
          <w:rFonts w:ascii="Arial" w:cs="Arial" w:eastAsia="Arial" w:hAnsi="Arial"/>
          <w:sz w:val="18"/>
          <w:szCs w:val="18"/>
          <w:b w:val="1"/>
          <w:bCs w:val="1"/>
          <w:u w:val="single" w:color="auto"/>
          <w:color w:val="0000FF"/>
        </w:rPr>
      </w:pPr>
    </w:p>
    <w:p>
      <w:pPr>
        <w:jc w:val="both"/>
        <w:ind w:left="660" w:firstLine="968"/>
        <w:spacing w:after="0" w:line="258" w:lineRule="auto"/>
        <w:tabs>
          <w:tab w:leader="none" w:pos="1977" w:val="left"/>
        </w:tabs>
        <w:numPr>
          <w:ilvl w:val="2"/>
          <w:numId w:val="102"/>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Adjusted Daily Simple SOFR Rate; or</w:t>
      </w:r>
    </w:p>
    <w:p>
      <w:pPr>
        <w:spacing w:after="0" w:line="183" w:lineRule="exact"/>
        <w:rPr>
          <w:rFonts w:ascii="Arial" w:cs="Arial" w:eastAsia="Arial" w:hAnsi="Arial"/>
          <w:sz w:val="18"/>
          <w:szCs w:val="18"/>
          <w:b w:val="1"/>
          <w:bCs w:val="1"/>
          <w:u w:val="single" w:color="auto"/>
          <w:color w:val="0000FF"/>
        </w:rPr>
      </w:pPr>
    </w:p>
    <w:p>
      <w:pPr>
        <w:jc w:val="both"/>
        <w:ind w:left="660" w:firstLine="968"/>
        <w:spacing w:after="0" w:line="289" w:lineRule="auto"/>
        <w:tabs>
          <w:tab w:leader="none" w:pos="1987" w:val="left"/>
        </w:tabs>
        <w:numPr>
          <w:ilvl w:val="2"/>
          <w:numId w:val="102"/>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w:t>
      </w:r>
    </w:p>
    <w:p>
      <w:pPr>
        <w:spacing w:after="0" w:line="1" w:lineRule="exact"/>
        <w:rPr>
          <w:rFonts w:ascii="Arial" w:cs="Arial" w:eastAsia="Arial" w:hAnsi="Arial"/>
          <w:sz w:val="16"/>
          <w:szCs w:val="16"/>
          <w:b w:val="1"/>
          <w:bCs w:val="1"/>
          <w:u w:val="single" w:color="auto"/>
          <w:color w:val="0000FF"/>
        </w:rPr>
      </w:pPr>
    </w:p>
    <w:p>
      <w:pPr>
        <w:ind w:left="660" w:hanging="4"/>
        <w:spacing w:after="0" w:line="260" w:lineRule="auto"/>
        <w:tabs>
          <w:tab w:leader="none" w:pos="968" w:val="left"/>
        </w:tabs>
        <w:numPr>
          <w:ilvl w:val="0"/>
          <w:numId w:val="103"/>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at any time, the Adjusted Daily Simple SOFR Rate will not adequately and fairly reflect the cost to such Lenders (or Lender) of making or maintaining their Loans (or its Loan) included in such Borrowing;</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6" w:name="page127"/>
    <w:bookmarkEnd w:id="126"/>
    <w:p>
      <w:pPr>
        <w:jc w:val="both"/>
        <w:spacing w:after="0" w:line="285" w:lineRule="auto"/>
        <w:rPr>
          <w:sz w:val="20"/>
          <w:szCs w:val="20"/>
          <w:color w:val="auto"/>
        </w:rPr>
      </w:pPr>
      <w:r>
        <w:rPr>
          <w:rFonts w:ascii="Arial" w:cs="Arial" w:eastAsia="Arial" w:hAnsi="Arial"/>
          <w:sz w:val="16"/>
          <w:szCs w:val="16"/>
          <w:b w:val="1"/>
          <w:bCs w:val="1"/>
          <w:u w:val="single" w:color="auto"/>
          <w:color w:val="0000FF"/>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Committed Loan Notice in accordance with the terms of Section 2.02, (1) any Committed Loan Notice that requests the conversion of any Revolving Borrowing to, or continuation of any Revolving Borrowing as, a Term Benchmark Borrowing and any Committed Loan Notice that requests a Term Benchmark Revolving Borrowing shall instead be deemed to be a Committed Loan Notice for (x) an RFR Borrowing so long as the Adjusted Daily Simple SOFR Rate is not also the subject of Section 2.18(a)(i) or (ii) above or (y) a Base Rate Borrowing if the Adjusted Daily Simple SOFR Rate also is the subject of Section 2.18(a)(i) or (ii) above and (2) any Committed Loan Notice that requests an RFR Borrowing shall instead be deemed to be a Committed Loan Notice for a Base Rate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2.18(a)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Committed Loan Notice in accordance with the terms of Section 2.02, (1) any Term Benchmark Loan shall on the last day of the Interest Period applicable to such Loan be converted by the Administrative Agent to, and shall constitute, (x) an RFR Borrowing so long as the Adjusted Daily Simple SOFR Rate is not also the subject of Section 2.18(a)(i) or (ii) above or (y) a Base Rate Loan if the Adjusted Daily Simple SOFR Rate also is the subject of Section 2.18(a)(i) or (ii) above, on such day, and (2) any RFR Loan shall on and from such day be converted by the Administrative Agent to, and shall constitute, a Base Rate Loan.</w:t>
      </w:r>
    </w:p>
    <w:p>
      <w:pPr>
        <w:spacing w:after="0" w:line="390" w:lineRule="exact"/>
        <w:rPr>
          <w:sz w:val="20"/>
          <w:szCs w:val="20"/>
          <w:color w:val="auto"/>
        </w:rPr>
      </w:pPr>
    </w:p>
    <w:p>
      <w:pPr>
        <w:jc w:val="both"/>
        <w:ind w:firstLine="851"/>
        <w:spacing w:after="0" w:line="255" w:lineRule="auto"/>
        <w:tabs>
          <w:tab w:leader="none" w:pos="1153" w:val="left"/>
        </w:tabs>
        <w:numPr>
          <w:ilvl w:val="0"/>
          <w:numId w:val="104"/>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other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both"/>
        <w:ind w:firstLine="851"/>
        <w:spacing w:after="0" w:line="281" w:lineRule="auto"/>
        <w:tabs>
          <w:tab w:leader="none" w:pos="1250" w:val="left"/>
        </w:tabs>
        <w:numPr>
          <w:ilvl w:val="0"/>
          <w:numId w:val="105"/>
        </w:numPr>
        <w:rPr>
          <w:rFonts w:ascii="Arial" w:cs="Arial" w:eastAsia="Arial" w:hAnsi="Arial"/>
          <w:sz w:val="17"/>
          <w:szCs w:val="17"/>
          <w:b w:val="1"/>
          <w:bCs w:val="1"/>
          <w:u w:val="single" w:color="auto"/>
          <w:color w:val="0000FF"/>
        </w:rPr>
      </w:pPr>
      <w:r>
        <w:rPr>
          <w:rFonts w:ascii="Arial" w:cs="Arial" w:eastAsia="Arial" w:hAnsi="Arial"/>
          <w:sz w:val="17"/>
          <w:szCs w:val="17"/>
          <w:b w:val="1"/>
          <w:bCs w:val="1"/>
          <w:u w:val="single" w:color="auto"/>
          <w:color w:val="0000FF"/>
        </w:rPr>
        <w:t>Notwithstanding anything to the contrary herein or in any other Loan Document,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4" w:lineRule="exact"/>
        <w:rPr>
          <w:rFonts w:ascii="Arial" w:cs="Arial" w:eastAsia="Arial" w:hAnsi="Arial"/>
          <w:sz w:val="17"/>
          <w:szCs w:val="17"/>
          <w:b w:val="1"/>
          <w:bCs w:val="1"/>
          <w:u w:val="single" w:color="auto"/>
          <w:color w:val="0000FF"/>
        </w:rPr>
      </w:pPr>
    </w:p>
    <w:p>
      <w:pPr>
        <w:jc w:val="both"/>
        <w:ind w:firstLine="851"/>
        <w:spacing w:after="0" w:line="291" w:lineRule="auto"/>
        <w:tabs>
          <w:tab w:leader="none" w:pos="1225" w:val="left"/>
        </w:tabs>
        <w:numPr>
          <w:ilvl w:val="0"/>
          <w:numId w:val="105"/>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The Administrative Agent will promptly notify the Borrower and the Lenders of (B) any occurrence of a Benchmark Transition Event, (1) the implementation of any Benchmark Replacement, (2) the effectiveness of any Benchmark Replacement Conforming Changes, (3) the removal or reinstatement of any tenor of a Benchmark pursuant to clause (f) below and (4) the commencement or conclusion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2.18.</w:t>
      </w:r>
    </w:p>
    <w:p>
      <w:pPr>
        <w:spacing w:after="0" w:line="159" w:lineRule="exact"/>
        <w:rPr>
          <w:rFonts w:ascii="Arial" w:cs="Arial" w:eastAsia="Arial" w:hAnsi="Arial"/>
          <w:sz w:val="16"/>
          <w:szCs w:val="16"/>
          <w:b w:val="1"/>
          <w:bCs w:val="1"/>
          <w:u w:val="single" w:color="auto"/>
          <w:color w:val="0000FF"/>
        </w:rPr>
      </w:pPr>
    </w:p>
    <w:p>
      <w:pPr>
        <w:jc w:val="both"/>
        <w:ind w:firstLine="851"/>
        <w:spacing w:after="0" w:line="289" w:lineRule="auto"/>
        <w:tabs>
          <w:tab w:leader="none" w:pos="1263" w:val="left"/>
        </w:tabs>
        <w:numPr>
          <w:ilvl w:val="0"/>
          <w:numId w:val="105"/>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Notwithstanding anything to the contrary herein or in any other Loan Document, at any time (including in connection with the implementation of a Benchmark Replacement), (C)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(5)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0" w:lineRule="exact"/>
        <w:rPr>
          <w:rFonts w:ascii="Arial" w:cs="Arial" w:eastAsia="Arial" w:hAnsi="Arial"/>
          <w:sz w:val="16"/>
          <w:szCs w:val="16"/>
          <w:b w:val="1"/>
          <w:bCs w:val="1"/>
          <w:u w:val="single" w:color="auto"/>
          <w:color w:val="0000FF"/>
        </w:rPr>
      </w:pPr>
    </w:p>
    <w:p>
      <w:pPr>
        <w:jc w:val="both"/>
        <w:ind w:firstLine="851"/>
        <w:spacing w:after="0" w:line="286" w:lineRule="auto"/>
        <w:tabs>
          <w:tab w:leader="none" w:pos="1203" w:val="left"/>
        </w:tabs>
        <w:numPr>
          <w:ilvl w:val="0"/>
          <w:numId w:val="105"/>
        </w:numPr>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Adjusted Daily Simple SOFR Rate is not the subject of a Benchmark Transition Event or (B) a Base Rate Borrowing if the Adjusted Daily Simple SOFR Rate is the subject of a Benchmark Transition Event.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2.18, (1) any Term Benchmark Loan shall, on the last day of the Interest Period applicable to such Loan, be converted by the Administrative Agent to, and shall constitute, (x) an RFR Borrowing so long as the Adjusted Daily Simple SOFR Rate is not the subject of a Benchmark Transition Event or (y) a Base Rate Loan if the Adjusted Daily Simple SOFR Rate is the subject of a Benchmark Transition Event, on such day and (2) any RFR Loan shall on and from such day be converted by the Administrative Agent to, and shall constitute, a Base Rate Loan.</w:t>
      </w:r>
    </w:p>
    <w:p>
      <w:pPr>
        <w:spacing w:after="0" w:line="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TAXES, YIELD PROTECTION AND ILLEGALITY</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3.01 Taxes. (ix) </w:t>
      </w:r>
      <w:r>
        <w:rPr>
          <w:rFonts w:ascii="Arial" w:cs="Arial" w:eastAsia="Arial" w:hAnsi="Arial"/>
          <w:sz w:val="16"/>
          <w:szCs w:val="16"/>
          <w:u w:val="single" w:color="auto"/>
          <w:color w:val="auto"/>
        </w:rPr>
        <w:t>Payments Free of Taxes; Obligation to Withhold; Payments on Account of Taxes</w:t>
      </w:r>
      <w:r>
        <w:rPr>
          <w:rFonts w:ascii="Arial" w:cs="Arial" w:eastAsia="Arial" w:hAnsi="Arial"/>
          <w:sz w:val="16"/>
          <w:szCs w:val="16"/>
          <w:color w:val="auto"/>
        </w:rPr>
        <w:t xml:space="preserve">. (6) Any and all payments by or on account of any obligation of the Borrower or any other Loan Party hereunder or under any other Loan Document shall to the extent permitted by applicable Laws be made free and clear of and without deduction or withholding for any Taxes. If, however, applicable Laws require the Borrower, any other Loan Party or the Administrative Agent </w:t>
      </w:r>
      <w:r>
        <w:rPr>
          <w:rFonts w:ascii="Arial" w:cs="Arial" w:eastAsia="Arial" w:hAnsi="Arial"/>
          <w:sz w:val="16"/>
          <w:szCs w:val="16"/>
          <w:b w:val="1"/>
          <w:bCs w:val="1"/>
          <w:u w:val="single" w:color="auto"/>
          <w:color w:val="0000FF"/>
        </w:rPr>
        <w:t>(or other applicable withholding agent)</w:t>
      </w:r>
      <w:r>
        <w:rPr>
          <w:rFonts w:ascii="Arial" w:cs="Arial" w:eastAsia="Arial" w:hAnsi="Arial"/>
          <w:sz w:val="16"/>
          <w:szCs w:val="16"/>
          <w:color w:val="auto"/>
        </w:rPr>
        <w:t xml:space="preserve"> to withhold or deduct any Tax, such Tax shall be withheld or deducted in accordance with such Laws as determined by the Borrower, such other Loan Party or the Administrative Agent </w:t>
      </w:r>
      <w:r>
        <w:rPr>
          <w:rFonts w:ascii="Arial" w:cs="Arial" w:eastAsia="Arial" w:hAnsi="Arial"/>
          <w:sz w:val="16"/>
          <w:szCs w:val="16"/>
          <w:b w:val="1"/>
          <w:bCs w:val="1"/>
          <w:color w:val="0000FF"/>
        </w:rPr>
        <w:t>(or other applicable withholding agent)</w:t>
      </w:r>
      <w:r>
        <w:rPr>
          <w:rFonts w:ascii="Arial" w:cs="Arial" w:eastAsia="Arial" w:hAnsi="Arial"/>
          <w:sz w:val="16"/>
          <w:szCs w:val="16"/>
          <w:color w:val="auto"/>
        </w:rPr>
        <w:t>, as the case may be</w:t>
      </w:r>
      <w:r>
        <w:rPr>
          <w:rFonts w:ascii="Arial" w:cs="Arial" w:eastAsia="Arial" w:hAnsi="Arial"/>
          <w:sz w:val="16"/>
          <w:szCs w:val="16"/>
          <w:b w:val="1"/>
          <w:bCs w:val="1"/>
          <w:color w:val="FF0000"/>
          <w:strike w:val="1"/>
        </w:rPr>
        <w:t>, upon the basis of the information and documentation to be delivered pursuant to subsection (e) below</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-734695</wp:posOffset>
            </wp:positionV>
            <wp:extent cx="7302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25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-168910</wp:posOffset>
            </wp:positionV>
            <wp:extent cx="19627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-186055</wp:posOffset>
            </wp:positionV>
            <wp:extent cx="1964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64690" cy="8255"/>
                    </a:xfrm>
                    <a:prstGeom prst="rect">
                      <a:avLst/>
                    </a:prstGeom>
                    <a:noFill/>
                  </pic:spPr>
                </pic:pic>
              </a:graphicData>
            </a:graphic>
          </wp:anchor>
        </w:drawing>
      </w:r>
    </w:p>
    <w:p>
      <w:pPr>
        <w:spacing w:after="0" w:line="140" w:lineRule="exact"/>
        <w:rPr>
          <w:sz w:val="20"/>
          <w:szCs w:val="20"/>
          <w:color w:val="auto"/>
        </w:rPr>
      </w:pPr>
    </w:p>
    <w:p>
      <w:pPr>
        <w:jc w:val="both"/>
        <w:ind w:left="660" w:firstLine="1292"/>
        <w:spacing w:after="0" w:line="271" w:lineRule="auto"/>
        <w:tabs>
          <w:tab w:leader="none" w:pos="225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If the Borrower, any other Loan Party or the Administrative Agent </w:t>
      </w:r>
      <w:r>
        <w:rPr>
          <w:rFonts w:ascii="Arial" w:cs="Arial" w:eastAsia="Arial" w:hAnsi="Arial"/>
          <w:sz w:val="17"/>
          <w:szCs w:val="17"/>
          <w:b w:val="1"/>
          <w:bCs w:val="1"/>
          <w:u w:val="single" w:color="auto"/>
          <w:color w:val="0000FF"/>
        </w:rPr>
        <w:t>(or other applicable withholding agent)</w:t>
      </w:r>
      <w:r>
        <w:rPr>
          <w:rFonts w:ascii="Arial" w:cs="Arial" w:eastAsia="Arial" w:hAnsi="Arial"/>
          <w:sz w:val="17"/>
          <w:szCs w:val="17"/>
          <w:color w:val="auto"/>
        </w:rPr>
        <w:t xml:space="preserve"> shall be required by applicable Law to withhold or deduct any Taxes, including United States Federal withholding Taxes, from any payment under any Loan Document, then (A) it shall withhold or make such deductions as are determined by it to be required </w:t>
      </w:r>
      <w:r>
        <w:rPr>
          <w:rFonts w:ascii="Arial" w:cs="Arial" w:eastAsia="Arial" w:hAnsi="Arial"/>
          <w:sz w:val="17"/>
          <w:szCs w:val="17"/>
          <w:b w:val="1"/>
          <w:bCs w:val="1"/>
          <w:color w:val="FF0000"/>
          <w:strike w:val="1"/>
        </w:rPr>
        <w:t>based upon the information and</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documentation received pursuant to subsection (e) below</w:t>
      </w:r>
      <w:r>
        <w:rPr>
          <w:rFonts w:ascii="Arial" w:cs="Arial" w:eastAsia="Arial" w:hAnsi="Arial"/>
          <w:sz w:val="17"/>
          <w:szCs w:val="17"/>
          <w:color w:val="000000"/>
        </w:rPr>
        <w:t>, (B) it shall timely pay the full amount withheld or deducted to the relevant</w:t>
      </w:r>
      <w:r>
        <w:rPr>
          <w:rFonts w:ascii="Arial" w:cs="Arial" w:eastAsia="Arial" w:hAnsi="Arial"/>
          <w:sz w:val="17"/>
          <w:szCs w:val="17"/>
          <w:b w:val="1"/>
          <w:bCs w:val="1"/>
          <w:color w:val="FF0000"/>
        </w:rPr>
        <w:t xml:space="preserve"> </w:t>
      </w:r>
      <w:r>
        <w:rPr>
          <w:rFonts w:ascii="Arial" w:cs="Arial" w:eastAsia="Arial" w:hAnsi="Arial"/>
          <w:sz w:val="17"/>
          <w:szCs w:val="17"/>
          <w:color w:val="000000"/>
        </w:rPr>
        <w:t>Governmental Authority in accordance with applicable Law and (C) to the extent that the withholding or deduction is made on account of Indemnified Taxes or Other Taxes, the sum payable by the Borrower or other Loan Party, as the case may be,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9" w:name="page130"/>
    <w:bookmarkEnd w:id="129"/>
    <w:p>
      <w:pPr>
        <w:ind w:firstLine="1304"/>
        <w:spacing w:after="0" w:line="277" w:lineRule="auto"/>
        <w:tabs>
          <w:tab w:leader="none" w:pos="2077"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any Other Taxes to the relevant Governmental Authority in accordance with applicable law.</w:t>
      </w:r>
    </w:p>
    <w:p>
      <w:pPr>
        <w:spacing w:after="0" w:line="170" w:lineRule="exact"/>
        <w:rPr>
          <w:rFonts w:ascii="Arial" w:cs="Arial" w:eastAsia="Arial" w:hAnsi="Arial"/>
          <w:sz w:val="18"/>
          <w:szCs w:val="18"/>
          <w:color w:val="auto"/>
        </w:rPr>
      </w:pPr>
    </w:p>
    <w:p>
      <w:pPr>
        <w:jc w:val="both"/>
        <w:ind w:firstLine="1304"/>
        <w:spacing w:after="0" w:line="283" w:lineRule="auto"/>
        <w:tabs>
          <w:tab w:leader="none" w:pos="1999"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Tax Indemnifications</w:t>
      </w:r>
      <w:r>
        <w:rPr>
          <w:rFonts w:ascii="Arial" w:cs="Arial" w:eastAsia="Arial" w:hAnsi="Arial"/>
          <w:sz w:val="16"/>
          <w:szCs w:val="16"/>
          <w:color w:val="auto"/>
        </w:rPr>
        <w:t xml:space="preserve">. (A) Without limiting the provisions of subsection (a) or (b) above, the Loan Parties shall, and do hereby, jointly indemnify the Administrative Agent, each Lender and each L/C Issuer, and shall make payment in respect thereof within 10 days after written demand therefor, for the full amount of any Indemnified Taxes and Other Taxes (including Indemnified Taxes and Other Taxes imposed or asserted on or attributable to amounts payable under this Section) </w:t>
      </w:r>
      <w:r>
        <w:rPr>
          <w:rFonts w:ascii="Arial" w:cs="Arial" w:eastAsia="Arial" w:hAnsi="Arial"/>
          <w:sz w:val="16"/>
          <w:szCs w:val="16"/>
          <w:b w:val="1"/>
          <w:bCs w:val="1"/>
          <w:u w:val="single" w:color="auto"/>
          <w:color w:val="0000FF"/>
        </w:rPr>
        <w:t>required to be</w:t>
      </w:r>
      <w:r>
        <w:rPr>
          <w:rFonts w:ascii="Arial" w:cs="Arial" w:eastAsia="Arial" w:hAnsi="Arial"/>
          <w:sz w:val="16"/>
          <w:szCs w:val="16"/>
          <w:color w:val="auto"/>
        </w:rPr>
        <w:t xml:space="preserve"> withheld or deducted by the Borrower, any other Loan Party or the Administrative Agent </w:t>
      </w:r>
      <w:r>
        <w:rPr>
          <w:rFonts w:ascii="Arial" w:cs="Arial" w:eastAsia="Arial" w:hAnsi="Arial"/>
          <w:sz w:val="16"/>
          <w:szCs w:val="16"/>
          <w:b w:val="1"/>
          <w:bCs w:val="1"/>
          <w:u w:val="single" w:color="auto"/>
          <w:color w:val="0000FF"/>
        </w:rPr>
        <w:t>(or other applicable withholding agent) or payable</w:t>
      </w:r>
      <w:r>
        <w:rPr>
          <w:rFonts w:ascii="Arial" w:cs="Arial" w:eastAsia="Arial" w:hAnsi="Arial"/>
          <w:sz w:val="16"/>
          <w:szCs w:val="16"/>
          <w:color w:val="auto"/>
        </w:rPr>
        <w:t xml:space="preserve"> or paid by the Administrative Agent, such Lender or such L/C Issuer, as the case may be, and any </w:t>
      </w:r>
      <w:r>
        <w:rPr>
          <w:rFonts w:ascii="Arial" w:cs="Arial" w:eastAsia="Arial" w:hAnsi="Arial"/>
          <w:sz w:val="16"/>
          <w:szCs w:val="16"/>
          <w:b w:val="1"/>
          <w:bCs w:val="1"/>
          <w:color w:val="FF0000"/>
          <w:strike w:val="1"/>
        </w:rPr>
        <w:t>penalties, interest and</w:t>
      </w:r>
      <w:r>
        <w:rPr>
          <w:rFonts w:ascii="Arial" w:cs="Arial" w:eastAsia="Arial" w:hAnsi="Arial"/>
          <w:sz w:val="16"/>
          <w:szCs w:val="16"/>
          <w:color w:val="auto"/>
        </w:rPr>
        <w:t xml:space="preserve"> reasonable expenses arising therefrom or with respect thereto, whether or not such Indemnified Taxes or Other Taxes were correctly or legally imposed or asserted by the relevant Governmental Authority; provided that if the Loan Parties reasonably believe that such Taxes were not correctly or legally asserted, the Administrative Agent, such Lender or such L/C Issuer, as applicable, will use reasonable efforts to cooperate with the Loan Parties to obtain a refund of such Taxes so long as such efforts would not, in the sole good faith determination of the Administrative Agent, such Lender or such L/C Issuer, as applicable, result in any additional costs, expenses or risks or be otherwise disadvantageous to it</w:t>
      </w:r>
      <w:r>
        <w:rPr>
          <w:rFonts w:ascii="Arial" w:cs="Arial" w:eastAsia="Arial" w:hAnsi="Arial"/>
          <w:sz w:val="16"/>
          <w:szCs w:val="16"/>
          <w:b w:val="1"/>
          <w:bCs w:val="1"/>
          <w:color w:val="FF0000"/>
          <w:strike w:val="1"/>
        </w:rPr>
        <w:t>; provided further that the</w:t>
      </w:r>
    </w:p>
    <w:p>
      <w:pPr>
        <w:spacing w:after="0" w:line="4" w:lineRule="exact"/>
        <w:rPr>
          <w:rFonts w:ascii="Arial" w:cs="Arial" w:eastAsia="Arial" w:hAnsi="Arial"/>
          <w:sz w:val="16"/>
          <w:szCs w:val="16"/>
          <w:color w:val="auto"/>
        </w:rPr>
      </w:pPr>
    </w:p>
    <w:p>
      <w:pPr>
        <w:jc w:val="both"/>
        <w:spacing w:after="0" w:line="270" w:lineRule="auto"/>
        <w:rPr>
          <w:rFonts w:ascii="Arial" w:cs="Arial" w:eastAsia="Arial" w:hAnsi="Arial"/>
          <w:sz w:val="16"/>
          <w:szCs w:val="16"/>
          <w:color w:val="auto"/>
        </w:rPr>
      </w:pPr>
      <w:r>
        <w:rPr>
          <w:rFonts w:ascii="Arial" w:cs="Arial" w:eastAsia="Arial" w:hAnsi="Arial"/>
          <w:sz w:val="17"/>
          <w:szCs w:val="17"/>
          <w:b w:val="1"/>
          <w:bCs w:val="1"/>
          <w:color w:val="FF0000"/>
          <w:strike w:val="1"/>
        </w:rPr>
        <w:t xml:space="preserve">Loan Parties shall not be required to compensate the Administrative Agent, any Lender or any L/C Issuer pursuant to this </w:t>
      </w:r>
      <w:r>
        <w:rPr>
          <w:rFonts w:ascii="Arial" w:cs="Arial" w:eastAsia="Arial" w:hAnsi="Arial"/>
          <w:sz w:val="17"/>
          <w:szCs w:val="17"/>
          <w:b w:val="1"/>
          <w:bCs w:val="1"/>
          <w:u w:val="single" w:color="auto"/>
          <w:color w:val="FF0000"/>
          <w:strike w:val="1"/>
        </w:rPr>
        <w:t>Section 3.01(c)</w:t>
      </w:r>
      <w:r>
        <w:rPr>
          <w:rFonts w:ascii="Arial" w:cs="Arial" w:eastAsia="Arial" w:hAnsi="Arial"/>
          <w:sz w:val="17"/>
          <w:szCs w:val="17"/>
          <w:b w:val="1"/>
          <w:bCs w:val="1"/>
          <w:color w:val="FF0000"/>
          <w:strike w:val="1"/>
        </w:rPr>
        <w:t xml:space="preserve"> for any interest and penalties that would not have arisen but for the failure of the Administrative Agent, such Lender or such L/C Issuer, as applicable, to furnish written notice of the applicable claim for Indemnified Taxes or Other Taxes within 180 days after the date the Administrative Agent, such Lender or such L/C Issuer first receives written notice thereof</w:t>
      </w:r>
      <w:r>
        <w:rPr>
          <w:rFonts w:ascii="Arial" w:cs="Arial" w:eastAsia="Arial" w:hAnsi="Arial"/>
          <w:sz w:val="17"/>
          <w:szCs w:val="17"/>
          <w:color w:val="000000"/>
          <w:strike w:val="1"/>
        </w:rPr>
        <w:t>. A certificate as to the amount of any such payment or liability delivered to the Borrower</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or any other Loan Party by a Lender or an L/C Issuer (with a copy to the Administrative Agent), or by the Administrative Agent on its own behalf or on behalf of a Lender or an L/C Issuer, shall be conclusive absent manifest error.</w:t>
      </w:r>
    </w:p>
    <w:p>
      <w:pPr>
        <w:spacing w:after="0" w:line="178" w:lineRule="exact"/>
        <w:rPr>
          <w:rFonts w:ascii="Arial" w:cs="Arial" w:eastAsia="Arial" w:hAnsi="Arial"/>
          <w:sz w:val="16"/>
          <w:szCs w:val="16"/>
          <w:color w:val="auto"/>
        </w:rPr>
      </w:pPr>
    </w:p>
    <w:p>
      <w:pPr>
        <w:jc w:val="both"/>
        <w:ind w:left="660" w:firstLine="1292"/>
        <w:spacing w:after="0" w:line="269" w:lineRule="auto"/>
        <w:tabs>
          <w:tab w:leader="none" w:pos="2709"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Without limiting the provisions of subsection (a), (b) or (c)(i) above, each Lender and each L/C Issuer shall, and does hereby, indemnify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Administrative Agent) incurred by or asserted against the Administrative Agent by any Governmental Authority as a result of the failure by such Lender or such L/C Issuer, as the case may be, to deliver, or as a result of the inaccuracy, inadequacy or deficiency of, any documentation required to be delivered by such Lender or such L/C Issuer, as the case may be,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an L/C Issuer, the termination of the Aggregate Commitments and the repayment, satisfaction or discharge of all other Obligations.</w:t>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0" w:name="page131"/>
    <w:bookmarkEnd w:id="130"/>
    <w:p>
      <w:pPr>
        <w:jc w:val="both"/>
        <w:ind w:firstLine="1304"/>
        <w:spacing w:after="0" w:line="275" w:lineRule="auto"/>
        <w:tabs>
          <w:tab w:leader="none" w:pos="2018"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xml:space="preserve">. Upon request by the Borrower or the Administrative Agent, as the case may be, after any payment of Taxes by the Borrower (or any other Loan Party) or the Administrative Agent to a Governmental Authority as provided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76" w:lineRule="exact"/>
        <w:rPr>
          <w:rFonts w:ascii="Arial" w:cs="Arial" w:eastAsia="Arial" w:hAnsi="Arial"/>
          <w:sz w:val="17"/>
          <w:szCs w:val="17"/>
          <w:color w:val="auto"/>
        </w:rPr>
      </w:pPr>
    </w:p>
    <w:p>
      <w:pPr>
        <w:jc w:val="both"/>
        <w:ind w:firstLine="1304"/>
        <w:spacing w:after="0" w:line="269" w:lineRule="auto"/>
        <w:tabs>
          <w:tab w:leader="none" w:pos="2053"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Status of Lenders; Tax Documentation</w:t>
      </w:r>
      <w:r>
        <w:rPr>
          <w:rFonts w:ascii="Arial" w:cs="Arial" w:eastAsia="Arial" w:hAnsi="Arial"/>
          <w:sz w:val="17"/>
          <w:szCs w:val="17"/>
          <w:color w:val="auto"/>
        </w:rPr>
        <w:t xml:space="preserve">. (B) Each Lender and L/C Issuer shall deliver to the Borrower and the Administrative Agent, at the time or times prescribed by applicable Laws and reasonably requested by the Borrower or the Administrative Agent, such properly completed and executed documentation prescribed by applicable Laws or by the taxing authorities of any jurisdiction and such other reasonably requested information as will permit the Loan Parties or the Administrative Agent, as the case may be, to determine (A) whether or not payments made hereunder or under any other Loan Document are subject to Taxes </w:t>
      </w:r>
      <w:r>
        <w:rPr>
          <w:rFonts w:ascii="Arial" w:cs="Arial" w:eastAsia="Arial" w:hAnsi="Arial"/>
          <w:sz w:val="17"/>
          <w:szCs w:val="17"/>
          <w:b w:val="1"/>
          <w:bCs w:val="1"/>
          <w:u w:val="single" w:color="auto"/>
          <w:color w:val="0000FF"/>
        </w:rPr>
        <w:t>(including backup withholding or information reporting)</w:t>
      </w:r>
      <w:r>
        <w:rPr>
          <w:rFonts w:ascii="Arial" w:cs="Arial" w:eastAsia="Arial" w:hAnsi="Arial"/>
          <w:sz w:val="17"/>
          <w:szCs w:val="17"/>
          <w:color w:val="auto"/>
        </w:rPr>
        <w:t xml:space="preserve">, (B) if applicable, the required rate of withholding or deduction and (C) such Lender’s or such L/C Issuer’s entitlement to any available exemption from, or reduction of, applicable Taxes in respect of all payments to be made to it pursuant to the Loan Documents or otherwise to establish such Lender’s or such L/C Issuer’s status for withholding Tax purposes in the applicable jurisdiction. Notwithstanding anything to the contrary in the preceding sentence, the completion, execution and submission of such documentation (other than such documentation set forth in </w:t>
      </w:r>
      <w:r>
        <w:rPr>
          <w:rFonts w:ascii="Arial" w:cs="Arial" w:eastAsia="Arial" w:hAnsi="Arial"/>
          <w:sz w:val="17"/>
          <w:szCs w:val="17"/>
          <w:u w:val="single" w:color="auto"/>
          <w:color w:val="auto"/>
        </w:rPr>
        <w:t>Section 3.01(e)(ii)(A)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3.01(e)(ii)(B)(IV)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3.01(e)(iv)</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8" w:lineRule="exact"/>
        <w:rPr>
          <w:rFonts w:ascii="Arial" w:cs="Arial" w:eastAsia="Arial" w:hAnsi="Arial"/>
          <w:sz w:val="17"/>
          <w:szCs w:val="17"/>
          <w:color w:val="auto"/>
        </w:rPr>
      </w:pPr>
    </w:p>
    <w:p>
      <w:pPr>
        <w:ind w:left="2600" w:hanging="648"/>
        <w:spacing w:after="0"/>
        <w:tabs>
          <w:tab w:leader="none" w:pos="26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left="1300" w:firstLine="1300"/>
        <w:spacing w:after="0" w:line="275" w:lineRule="auto"/>
        <w:tabs>
          <w:tab w:leader="none" w:pos="3358" w:val="left"/>
        </w:tabs>
        <w:numPr>
          <w:ilvl w:val="2"/>
          <w:numId w:val="108"/>
        </w:numPr>
        <w:rPr>
          <w:rFonts w:ascii="Arial" w:cs="Arial" w:eastAsia="Arial" w:hAnsi="Arial"/>
          <w:sz w:val="17"/>
          <w:szCs w:val="17"/>
          <w:color w:val="auto"/>
        </w:rPr>
      </w:pPr>
      <w:r>
        <w:rPr>
          <w:rFonts w:ascii="Arial" w:cs="Arial" w:eastAsia="Arial" w:hAnsi="Arial"/>
          <w:sz w:val="17"/>
          <w:szCs w:val="17"/>
          <w:color w:val="auto"/>
        </w:rPr>
        <w:t xml:space="preserve">any Lender and L/C Issuer that is a U.S. Person shall deliver to the Borrower and the Administrative Agent, on or prior to the date it becomes a party to this Agreement, two accurate and complete </w:t>
      </w:r>
      <w:r>
        <w:rPr>
          <w:rFonts w:ascii="Arial" w:cs="Arial" w:eastAsia="Arial" w:hAnsi="Arial"/>
          <w:sz w:val="17"/>
          <w:szCs w:val="17"/>
          <w:b w:val="1"/>
          <w:bCs w:val="1"/>
          <w:color w:val="FF0000"/>
          <w:strike w:val="1"/>
        </w:rPr>
        <w:t>originally</w:t>
      </w:r>
      <w:r>
        <w:rPr>
          <w:rFonts w:ascii="Arial" w:cs="Arial" w:eastAsia="Arial" w:hAnsi="Arial"/>
          <w:sz w:val="17"/>
          <w:szCs w:val="17"/>
          <w:color w:val="auto"/>
        </w:rPr>
        <w:t xml:space="preserve"> executed copies of Internal Revenue Service Form W-9 (or successor form) or such other documentation or information prescribed by applicable Laws or reasonably requested by the Borrower or the Administrative Agent as will enable the Borrower or the Administrative Agent, as the case may be, to establish an exemption from United States federal backup withholding; and</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1" w:name="page132"/>
    <w:bookmarkEnd w:id="131"/>
    <w:p>
      <w:pPr>
        <w:jc w:val="both"/>
        <w:ind w:left="180" w:firstLine="1300"/>
        <w:spacing w:after="0" w:line="258" w:lineRule="auto"/>
        <w:tabs>
          <w:tab w:leader="none" w:pos="22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each Foreign Lender </w:t>
      </w:r>
      <w:r>
        <w:rPr>
          <w:rFonts w:ascii="Arial" w:cs="Arial" w:eastAsia="Arial" w:hAnsi="Arial"/>
          <w:sz w:val="18"/>
          <w:szCs w:val="18"/>
          <w:b w:val="1"/>
          <w:bCs w:val="1"/>
          <w:color w:val="FF0000"/>
          <w:strike w:val="1"/>
        </w:rPr>
        <w:t>that is entitled under the Code or any applicable treaty to an exemption from or</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reduction of United States federal withholding tax with respect to payments hereunder or under any other Loan Document</w:t>
      </w:r>
      <w:r>
        <w:rPr>
          <w:rFonts w:ascii="Arial" w:cs="Arial" w:eastAsia="Arial" w:hAnsi="Arial"/>
          <w:sz w:val="18"/>
          <w:szCs w:val="18"/>
          <w:b w:val="1"/>
          <w:bCs w:val="1"/>
          <w:color w:val="FF0000"/>
        </w:rPr>
        <w:t xml:space="preserve"> </w:t>
      </w:r>
      <w:r>
        <w:rPr>
          <w:rFonts w:ascii="Arial" w:cs="Arial" w:eastAsia="Arial" w:hAnsi="Arial"/>
          <w:sz w:val="18"/>
          <w:szCs w:val="18"/>
          <w:color w:val="000000"/>
        </w:rPr>
        <w:t>shall</w:t>
      </w:r>
      <w:r>
        <w:rPr>
          <w:rFonts w:ascii="Arial" w:cs="Arial" w:eastAsia="Arial" w:hAnsi="Arial"/>
          <w:sz w:val="18"/>
          <w:szCs w:val="18"/>
          <w:b w:val="1"/>
          <w:bCs w:val="1"/>
          <w:color w:val="FF0000"/>
        </w:rPr>
        <w:t xml:space="preserve"> </w:t>
      </w:r>
      <w:r>
        <w:rPr>
          <w:rFonts w:ascii="Arial" w:cs="Arial" w:eastAsia="Arial" w:hAnsi="Arial"/>
          <w:sz w:val="18"/>
          <w:szCs w:val="18"/>
          <w:color w:val="000000"/>
        </w:rPr>
        <w:t>deliver to the Borrower and the Administrative Agent,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83" w:lineRule="exact"/>
        <w:rPr>
          <w:rFonts w:ascii="Arial" w:cs="Arial" w:eastAsia="Arial" w:hAnsi="Arial"/>
          <w:sz w:val="18"/>
          <w:szCs w:val="18"/>
          <w:color w:val="auto"/>
        </w:rPr>
      </w:pPr>
    </w:p>
    <w:p>
      <w:pPr>
        <w:ind w:left="840" w:right="20" w:firstLine="1288"/>
        <w:spacing w:after="0" w:line="347" w:lineRule="auto"/>
        <w:tabs>
          <w:tab w:leader="none" w:pos="291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two accurate and complete </w:t>
      </w:r>
      <w:r>
        <w:rPr>
          <w:rFonts w:ascii="Arial" w:cs="Arial" w:eastAsia="Arial" w:hAnsi="Arial"/>
          <w:sz w:val="16"/>
          <w:szCs w:val="16"/>
          <w:b w:val="1"/>
          <w:bCs w:val="1"/>
          <w:color w:val="FF0000"/>
          <w:strike w:val="1"/>
        </w:rPr>
        <w:t>originally</w:t>
      </w:r>
      <w:r>
        <w:rPr>
          <w:rFonts w:ascii="Arial" w:cs="Arial" w:eastAsia="Arial" w:hAnsi="Arial"/>
          <w:sz w:val="16"/>
          <w:szCs w:val="16"/>
          <w:color w:val="auto"/>
        </w:rPr>
        <w:t xml:space="preserve"> executed copies of Internal Revenue Service Form W-8BEN </w:t>
      </w:r>
      <w:r>
        <w:rPr>
          <w:rFonts w:ascii="Arial" w:cs="Arial" w:eastAsia="Arial" w:hAnsi="Arial"/>
          <w:sz w:val="16"/>
          <w:szCs w:val="16"/>
          <w:b w:val="1"/>
          <w:bCs w:val="1"/>
          <w:u w:val="single" w:color="auto"/>
          <w:color w:val="0000FF"/>
        </w:rPr>
        <w:t>or W-8BEN-E</w:t>
      </w:r>
      <w:r>
        <w:rPr>
          <w:rFonts w:ascii="Arial" w:cs="Arial" w:eastAsia="Arial" w:hAnsi="Arial"/>
          <w:sz w:val="16"/>
          <w:szCs w:val="16"/>
          <w:color w:val="000000"/>
        </w:rPr>
        <w:t>(or successor form) claiming eligibility for benefits of an income tax treaty to which the United States is a party,</w:t>
      </w:r>
    </w:p>
    <w:p>
      <w:pPr>
        <w:spacing w:after="0" w:line="116" w:lineRule="exact"/>
        <w:rPr>
          <w:sz w:val="20"/>
          <w:szCs w:val="20"/>
          <w:color w:val="auto"/>
        </w:rPr>
      </w:pPr>
    </w:p>
    <w:p>
      <w:pPr>
        <w:ind w:left="840" w:firstLine="1288"/>
        <w:spacing w:after="0" w:line="282" w:lineRule="auto"/>
        <w:tabs>
          <w:tab w:leader="none" w:pos="285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two accurate and complete </w:t>
      </w:r>
      <w:r>
        <w:rPr>
          <w:rFonts w:ascii="Arial" w:cs="Arial" w:eastAsia="Arial" w:hAnsi="Arial"/>
          <w:sz w:val="18"/>
          <w:szCs w:val="18"/>
          <w:b w:val="1"/>
          <w:bCs w:val="1"/>
          <w:color w:val="FF0000"/>
          <w:strike w:val="1"/>
        </w:rPr>
        <w:t>originally</w:t>
      </w:r>
      <w:r>
        <w:rPr>
          <w:rFonts w:ascii="Arial" w:cs="Arial" w:eastAsia="Arial" w:hAnsi="Arial"/>
          <w:sz w:val="18"/>
          <w:szCs w:val="18"/>
          <w:color w:val="auto"/>
        </w:rPr>
        <w:t xml:space="preserve"> executed copies of Internal Revenue Service Form W-8ECI or W-8EXP (or successor form),</w:t>
      </w:r>
    </w:p>
    <w:p>
      <w:pPr>
        <w:spacing w:after="0" w:line="162" w:lineRule="exact"/>
        <w:rPr>
          <w:sz w:val="20"/>
          <w:szCs w:val="20"/>
          <w:color w:val="auto"/>
        </w:rPr>
      </w:pPr>
    </w:p>
    <w:p>
      <w:pPr>
        <w:jc w:val="both"/>
        <w:ind w:left="840" w:firstLine="1288"/>
        <w:spacing w:after="0" w:line="254" w:lineRule="auto"/>
        <w:tabs>
          <w:tab w:leader="none" w:pos="2822"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FF0000"/>
          <w:strike w:val="1"/>
        </w:rPr>
        <w:t>two accurate and complete originally</w:t>
      </w:r>
      <w:r>
        <w:rPr>
          <w:rFonts w:ascii="Arial" w:cs="Arial" w:eastAsia="Arial" w:hAnsi="Arial"/>
          <w:sz w:val="18"/>
          <w:szCs w:val="18"/>
          <w:b w:val="1"/>
          <w:bCs w:val="1"/>
          <w:u w:val="single" w:color="auto"/>
          <w:color w:val="0000FF"/>
          <w:strike w:val="1"/>
        </w:rPr>
        <w:t>to the extent a Foreign Lender is not the beneficial owner,</w:t>
      </w:r>
      <w:r>
        <w:rPr>
          <w:rFonts w:ascii="Arial" w:cs="Arial" w:eastAsia="Arial" w:hAnsi="Arial"/>
          <w:sz w:val="18"/>
          <w:szCs w:val="18"/>
          <w:b w:val="1"/>
          <w:bCs w:val="1"/>
          <w:color w:val="FF0000"/>
          <w:strike w:val="1"/>
        </w:rPr>
        <w:t xml:space="preserve"> </w:t>
      </w:r>
      <w:r>
        <w:rPr>
          <w:rFonts w:ascii="Arial" w:cs="Arial" w:eastAsia="Arial" w:hAnsi="Arial"/>
          <w:sz w:val="18"/>
          <w:szCs w:val="18"/>
          <w:color w:val="000000"/>
          <w:strike w:val="1"/>
        </w:rPr>
        <w:t xml:space="preserve">executed copies of </w:t>
      </w:r>
      <w:r>
        <w:rPr>
          <w:rFonts w:ascii="Arial" w:cs="Arial" w:eastAsia="Arial" w:hAnsi="Arial"/>
          <w:sz w:val="18"/>
          <w:szCs w:val="18"/>
          <w:b w:val="1"/>
          <w:bCs w:val="1"/>
          <w:color w:val="FF0000"/>
          <w:strike w:val="1"/>
        </w:rPr>
        <w:t>Internal Revenue Service</w:t>
      </w:r>
      <w:r>
        <w:rPr>
          <w:rFonts w:ascii="Arial" w:cs="Arial" w:eastAsia="Arial" w:hAnsi="Arial"/>
          <w:sz w:val="18"/>
          <w:szCs w:val="18"/>
          <w:b w:val="1"/>
          <w:bCs w:val="1"/>
          <w:u w:val="single" w:color="auto"/>
          <w:color w:val="0000FF"/>
          <w:strike w:val="1"/>
        </w:rPr>
        <w:t>IRS</w:t>
      </w:r>
      <w:r>
        <w:rPr>
          <w:rFonts w:ascii="Arial" w:cs="Arial" w:eastAsia="Arial" w:hAnsi="Arial"/>
          <w:sz w:val="18"/>
          <w:szCs w:val="18"/>
          <w:color w:val="000000"/>
          <w:strike w:val="1"/>
        </w:rPr>
        <w:t xml:space="preserve"> Form W-8IMY </w:t>
      </w:r>
      <w:r>
        <w:rPr>
          <w:rFonts w:ascii="Arial" w:cs="Arial" w:eastAsia="Arial" w:hAnsi="Arial"/>
          <w:sz w:val="18"/>
          <w:szCs w:val="18"/>
          <w:b w:val="1"/>
          <w:bCs w:val="1"/>
          <w:color w:val="FF0000"/>
          <w:strike w:val="1"/>
        </w:rPr>
        <w:t>(or successor form) and all required supporting</w:t>
      </w:r>
      <w:r>
        <w:rPr>
          <w:rFonts w:ascii="Arial" w:cs="Arial" w:eastAsia="Arial" w:hAnsi="Arial"/>
          <w:sz w:val="18"/>
          <w:szCs w:val="18"/>
          <w:color w:val="000000"/>
          <w:strike w:val="1"/>
        </w:rPr>
        <w:t xml:space="preserve"> </w:t>
      </w:r>
      <w:r>
        <w:rPr>
          <w:rFonts w:ascii="Arial" w:cs="Arial" w:eastAsia="Arial" w:hAnsi="Arial"/>
          <w:sz w:val="18"/>
          <w:szCs w:val="18"/>
          <w:b w:val="1"/>
          <w:bCs w:val="1"/>
          <w:color w:val="FF0000"/>
          <w:strike w:val="1"/>
        </w:rPr>
        <w:t>documentation,</w:t>
      </w:r>
      <w:r>
        <w:rPr>
          <w:rFonts w:ascii="Arial" w:cs="Arial" w:eastAsia="Arial" w:hAnsi="Arial"/>
          <w:sz w:val="18"/>
          <w:szCs w:val="18"/>
          <w:b w:val="1"/>
          <w:bCs w:val="1"/>
          <w:u w:val="single" w:color="auto"/>
          <w:color w:val="0000FF"/>
          <w:strike w:val="1"/>
        </w:rPr>
        <w:t>, accompanied by IRS Form W-8ECI, IRS Form W-8BEN, IRS Form W 8BEN-E, a U.S. Tax Compliance</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Certificate substantially in the form of Exhibit L-2 or Exhibit L-3,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L-4 on behalf of each such direct and indirect partner,</w:t>
      </w:r>
    </w:p>
    <w:p>
      <w:pPr>
        <w:spacing w:after="0" w:line="196" w:lineRule="exact"/>
        <w:rPr>
          <w:sz w:val="20"/>
          <w:szCs w:val="20"/>
          <w:color w:val="auto"/>
        </w:rPr>
      </w:pPr>
    </w:p>
    <w:p>
      <w:pPr>
        <w:jc w:val="both"/>
        <w:ind w:left="840" w:firstLine="1296"/>
        <w:spacing w:after="0" w:line="255" w:lineRule="auto"/>
        <w:rPr>
          <w:sz w:val="20"/>
          <w:szCs w:val="20"/>
          <w:color w:val="auto"/>
        </w:rPr>
      </w:pPr>
      <w:r>
        <w:rPr>
          <w:rFonts w:ascii="Arial" w:cs="Arial" w:eastAsia="Arial" w:hAnsi="Arial"/>
          <w:sz w:val="18"/>
          <w:szCs w:val="18"/>
          <w:color w:val="auto"/>
        </w:rPr>
        <w:t xml:space="preserve">(IV) in the case of a Foreign Lender claiming the benefits of the exemption for portfolio interest under section 881(c) of the Code, (x) a certificate </w:t>
      </w:r>
      <w:r>
        <w:rPr>
          <w:rFonts w:ascii="Arial" w:cs="Arial" w:eastAsia="Arial" w:hAnsi="Arial"/>
          <w:sz w:val="18"/>
          <w:szCs w:val="18"/>
          <w:b w:val="1"/>
          <w:bCs w:val="1"/>
          <w:u w:val="single" w:color="auto"/>
          <w:color w:val="0000FF"/>
        </w:rPr>
        <w:t>substantially in the form of Exhibit L-1</w:t>
      </w:r>
      <w:r>
        <w:rPr>
          <w:rFonts w:ascii="Arial" w:cs="Arial" w:eastAsia="Arial" w:hAnsi="Arial"/>
          <w:sz w:val="18"/>
          <w:szCs w:val="18"/>
          <w:color w:val="auto"/>
        </w:rPr>
        <w:t xml:space="preserve"> to the effect that such Foreign Lender is not (A) a “bank” within the meaning of section 881(c)(3)(A) of the Code, (B) a “10-percent shareholder” of the Borrower within the meaning of section 881(c)(3)(B) of the Code, or (C) a “controlled foreign corporation” described in section 881(c)(3)(C) of the Code and (y) two accurate and complete </w:t>
      </w:r>
      <w:r>
        <w:rPr>
          <w:rFonts w:ascii="Arial" w:cs="Arial" w:eastAsia="Arial" w:hAnsi="Arial"/>
          <w:sz w:val="18"/>
          <w:szCs w:val="18"/>
          <w:b w:val="1"/>
          <w:bCs w:val="1"/>
          <w:color w:val="FF0000"/>
          <w:strike w:val="1"/>
        </w:rPr>
        <w:t>originally</w:t>
      </w:r>
      <w:r>
        <w:rPr>
          <w:rFonts w:ascii="Arial" w:cs="Arial" w:eastAsia="Arial" w:hAnsi="Arial"/>
          <w:sz w:val="18"/>
          <w:szCs w:val="18"/>
          <w:color w:val="auto"/>
        </w:rPr>
        <w:t xml:space="preserve"> executed copies of Internal Revenue Service Form W-8BEN (or successor form), or</w:t>
      </w:r>
    </w:p>
    <w:p>
      <w:pPr>
        <w:spacing w:after="0" w:line="192" w:lineRule="exact"/>
        <w:rPr>
          <w:sz w:val="20"/>
          <w:szCs w:val="20"/>
          <w:color w:val="auto"/>
        </w:rPr>
      </w:pPr>
    </w:p>
    <w:p>
      <w:pPr>
        <w:jc w:val="both"/>
        <w:ind w:left="840" w:firstLine="1288"/>
        <w:spacing w:after="0" w:line="259" w:lineRule="auto"/>
        <w:tabs>
          <w:tab w:leader="none" w:pos="279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7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32" w:name="page133"/>
    <w:bookmarkEnd w:id="132"/>
    <w:p>
      <w:pPr>
        <w:jc w:val="both"/>
        <w:ind w:left="660" w:firstLine="1292"/>
        <w:spacing w:after="0" w:line="273" w:lineRule="auto"/>
        <w:tabs>
          <w:tab w:leader="none" w:pos="2686"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Each Lender shall promptly (A) update any form or certification previously delivered pursuant to this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that expires or becomes obsolete or inaccurate in any respect </w:t>
      </w:r>
      <w:r>
        <w:rPr>
          <w:rFonts w:ascii="Arial" w:cs="Arial" w:eastAsia="Arial" w:hAnsi="Arial"/>
          <w:sz w:val="17"/>
          <w:szCs w:val="17"/>
          <w:b w:val="1"/>
          <w:bCs w:val="1"/>
          <w:color w:val="FF0000"/>
          <w:strike w:val="1"/>
        </w:rPr>
        <w:t>or</w:t>
      </w:r>
      <w:r>
        <w:rPr>
          <w:rFonts w:ascii="Arial" w:cs="Arial" w:eastAsia="Arial" w:hAnsi="Arial"/>
          <w:sz w:val="17"/>
          <w:szCs w:val="17"/>
          <w:b w:val="1"/>
          <w:bCs w:val="1"/>
          <w:u w:val="single" w:color="auto"/>
          <w:color w:val="0000FF"/>
        </w:rPr>
        <w:t>and, if applicable,</w:t>
      </w:r>
      <w:r>
        <w:rPr>
          <w:rFonts w:ascii="Arial" w:cs="Arial" w:eastAsia="Arial" w:hAnsi="Arial"/>
          <w:sz w:val="17"/>
          <w:szCs w:val="17"/>
          <w:color w:val="auto"/>
        </w:rPr>
        <w:t xml:space="preserve"> notify the Borrower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77" w:lineRule="exact"/>
        <w:rPr>
          <w:rFonts w:ascii="Arial" w:cs="Arial" w:eastAsia="Arial" w:hAnsi="Arial"/>
          <w:sz w:val="17"/>
          <w:szCs w:val="17"/>
          <w:color w:val="auto"/>
        </w:rPr>
      </w:pPr>
    </w:p>
    <w:p>
      <w:pPr>
        <w:jc w:val="both"/>
        <w:ind w:left="660" w:firstLine="1292"/>
        <w:spacing w:after="0" w:line="253" w:lineRule="auto"/>
        <w:tabs>
          <w:tab w:leader="none" w:pos="268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Section 3.01(e)(iv)</w:t>
      </w:r>
      <w:r>
        <w:rPr>
          <w:rFonts w:ascii="Arial" w:cs="Arial" w:eastAsia="Arial" w:hAnsi="Arial"/>
          <w:sz w:val="18"/>
          <w:szCs w:val="18"/>
          <w:color w:val="auto"/>
        </w:rPr>
        <w:t>, “FATCA” shall include any amendments made to FATCA after the date of this Agreement.</w:t>
      </w:r>
    </w:p>
    <w:p>
      <w:pPr>
        <w:spacing w:after="0" w:line="196" w:lineRule="exact"/>
        <w:rPr>
          <w:rFonts w:ascii="Arial" w:cs="Arial" w:eastAsia="Arial" w:hAnsi="Arial"/>
          <w:sz w:val="18"/>
          <w:szCs w:val="18"/>
          <w:color w:val="auto"/>
        </w:rPr>
      </w:pPr>
    </w:p>
    <w:p>
      <w:pPr>
        <w:jc w:val="both"/>
        <w:ind w:firstLine="1304"/>
        <w:spacing w:after="0" w:line="284" w:lineRule="auto"/>
        <w:tabs>
          <w:tab w:leader="none" w:pos="224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w:t>
      </w:r>
      <w:r>
        <w:rPr>
          <w:rFonts w:ascii="Arial" w:cs="Arial" w:eastAsia="Arial" w:hAnsi="Arial"/>
          <w:sz w:val="16"/>
          <w:szCs w:val="16"/>
          <w:b w:val="1"/>
          <w:bCs w:val="1"/>
          <w:color w:val="FF0000"/>
          <w:strike w:val="1"/>
        </w:rPr>
        <w:t>the Administrative Agent, any</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Lender or any L/C Issuer</w:t>
      </w:r>
      <w:r>
        <w:rPr>
          <w:rFonts w:ascii="Arial" w:cs="Arial" w:eastAsia="Arial" w:hAnsi="Arial"/>
          <w:sz w:val="16"/>
          <w:szCs w:val="16"/>
          <w:b w:val="1"/>
          <w:bCs w:val="1"/>
          <w:u w:val="single" w:color="auto"/>
          <w:color w:val="0000FF"/>
        </w:rPr>
        <w:t>any party</w:t>
      </w:r>
      <w:r>
        <w:rPr>
          <w:rFonts w:ascii="Arial" w:cs="Arial" w:eastAsia="Arial" w:hAnsi="Arial"/>
          <w:sz w:val="16"/>
          <w:szCs w:val="16"/>
          <w:b w:val="1"/>
          <w:bCs w:val="1"/>
          <w:color w:val="FF0000"/>
        </w:rPr>
        <w:t xml:space="preserve"> </w:t>
      </w:r>
      <w:r>
        <w:rPr>
          <w:rFonts w:ascii="Arial" w:cs="Arial" w:eastAsia="Arial" w:hAnsi="Arial"/>
          <w:sz w:val="16"/>
          <w:szCs w:val="16"/>
          <w:color w:val="000000"/>
        </w:rPr>
        <w:t>determines, in its sole discretion, exercised in good faith, that it has received a refund of any</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Indemnified Taxes or</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Other</w:t>
      </w:r>
      <w:r>
        <w:rPr>
          <w:rFonts w:ascii="Arial" w:cs="Arial" w:eastAsia="Arial" w:hAnsi="Arial"/>
          <w:sz w:val="16"/>
          <w:szCs w:val="16"/>
          <w:b w:val="1"/>
          <w:bCs w:val="1"/>
          <w:color w:val="FF0000"/>
        </w:rPr>
        <w:t xml:space="preserve"> </w:t>
      </w:r>
      <w:r>
        <w:rPr>
          <w:rFonts w:ascii="Arial" w:cs="Arial" w:eastAsia="Arial" w:hAnsi="Arial"/>
          <w:sz w:val="16"/>
          <w:szCs w:val="16"/>
          <w:color w:val="000000"/>
        </w:rPr>
        <w:t>Taxes as to which it has been indemnified</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by the Borrower or with respect to which the Borrower has paid</w:t>
      </w:r>
      <w:r>
        <w:rPr>
          <w:rFonts w:ascii="Arial" w:cs="Arial" w:eastAsia="Arial" w:hAnsi="Arial"/>
          <w:sz w:val="16"/>
          <w:szCs w:val="16"/>
          <w:b w:val="1"/>
          <w:bCs w:val="1"/>
          <w:u w:val="single" w:color="auto"/>
          <w:color w:val="0000FF"/>
        </w:rPr>
        <w:t>pursuant to this Section (including</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by the payment of</w:t>
      </w:r>
      <w:r>
        <w:rPr>
          <w:rFonts w:ascii="Arial" w:cs="Arial" w:eastAsia="Arial" w:hAnsi="Arial"/>
          <w:sz w:val="16"/>
          <w:szCs w:val="16"/>
          <w:b w:val="1"/>
          <w:bCs w:val="1"/>
          <w:color w:val="0000FF"/>
        </w:rPr>
        <w:t xml:space="preserve"> </w:t>
      </w:r>
      <w:r>
        <w:rPr>
          <w:rFonts w:ascii="Arial" w:cs="Arial" w:eastAsia="Arial" w:hAnsi="Arial"/>
          <w:sz w:val="16"/>
          <w:szCs w:val="16"/>
          <w:color w:val="000000"/>
        </w:rPr>
        <w:t>additional amounts pursuant to this Section</w:t>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 it shall pay to the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Borrower</w:t>
      </w:r>
      <w:r>
        <w:rPr>
          <w:rFonts w:ascii="Arial" w:cs="Arial" w:eastAsia="Arial" w:hAnsi="Arial"/>
          <w:sz w:val="16"/>
          <w:szCs w:val="16"/>
          <w:b w:val="1"/>
          <w:bCs w:val="1"/>
          <w:u w:val="single" w:color="auto"/>
          <w:color w:val="0000FF"/>
        </w:rPr>
        <w:t>indemnifying party</w:t>
      </w:r>
      <w:r>
        <w:rPr>
          <w:rFonts w:ascii="Arial" w:cs="Arial" w:eastAsia="Arial" w:hAnsi="Arial"/>
          <w:sz w:val="16"/>
          <w:szCs w:val="16"/>
          <w:b w:val="1"/>
          <w:bCs w:val="1"/>
          <w:color w:val="0000FF"/>
        </w:rPr>
        <w:t xml:space="preserve"> </w:t>
      </w:r>
      <w:r>
        <w:rPr>
          <w:rFonts w:ascii="Arial" w:cs="Arial" w:eastAsia="Arial" w:hAnsi="Arial"/>
          <w:sz w:val="16"/>
          <w:szCs w:val="16"/>
          <w:color w:val="000000"/>
        </w:rPr>
        <w:t>an amount equal to such refund (but only</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to the extent of indemnity payments made, or additional amounts paid, </w:t>
      </w:r>
      <w:r>
        <w:rPr>
          <w:rFonts w:ascii="Arial" w:cs="Arial" w:eastAsia="Arial" w:hAnsi="Arial"/>
          <w:sz w:val="16"/>
          <w:szCs w:val="16"/>
          <w:b w:val="1"/>
          <w:bCs w:val="1"/>
          <w:color w:val="FF0000"/>
          <w:strike w:val="1"/>
        </w:rPr>
        <w:t>by the Borrower under this Section</w:t>
      </w:r>
      <w:r>
        <w:rPr>
          <w:rFonts w:ascii="Arial" w:cs="Arial" w:eastAsia="Arial" w:hAnsi="Arial"/>
          <w:sz w:val="16"/>
          <w:szCs w:val="16"/>
          <w:color w:val="000000"/>
        </w:rPr>
        <w:t xml:space="preserve"> with respect to </w:t>
      </w:r>
      <w:r>
        <w:rPr>
          <w:rFonts w:ascii="Arial" w:cs="Arial" w:eastAsia="Arial" w:hAnsi="Arial"/>
          <w:sz w:val="16"/>
          <w:szCs w:val="16"/>
          <w:b w:val="1"/>
          <w:bCs w:val="1"/>
          <w:color w:val="FF0000"/>
          <w:strike w:val="1"/>
        </w:rPr>
        <w:t>the Indemnified Taxes or</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Other</w:t>
      </w:r>
      <w:r>
        <w:rPr>
          <w:rFonts w:ascii="Arial" w:cs="Arial" w:eastAsia="Arial" w:hAnsi="Arial"/>
          <w:sz w:val="16"/>
          <w:szCs w:val="16"/>
          <w:b w:val="1"/>
          <w:bCs w:val="1"/>
          <w:color w:val="FF0000"/>
        </w:rPr>
        <w:t xml:space="preserve"> </w:t>
      </w:r>
      <w:r>
        <w:rPr>
          <w:rFonts w:ascii="Arial" w:cs="Arial" w:eastAsia="Arial" w:hAnsi="Arial"/>
          <w:sz w:val="16"/>
          <w:szCs w:val="16"/>
          <w:color w:val="000000"/>
        </w:rPr>
        <w:t>Taxes giving rise to such refund), net of all out-of-pocket expenses (including Taxes) incurred by the</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Administrative Agent, such Lender or such</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L/C Issuer, as the case may be,</w:t>
      </w:r>
      <w:r>
        <w:rPr>
          <w:rFonts w:ascii="Arial" w:cs="Arial" w:eastAsia="Arial" w:hAnsi="Arial"/>
          <w:sz w:val="16"/>
          <w:szCs w:val="16"/>
          <w:b w:val="1"/>
          <w:bCs w:val="1"/>
          <w:u w:val="single" w:color="auto"/>
          <w:color w:val="0000FF"/>
        </w:rPr>
        <w:t>indemnified party</w:t>
      </w:r>
      <w:r>
        <w:rPr>
          <w:rFonts w:ascii="Arial" w:cs="Arial" w:eastAsia="Arial" w:hAnsi="Arial"/>
          <w:sz w:val="16"/>
          <w:szCs w:val="16"/>
          <w:b w:val="1"/>
          <w:bCs w:val="1"/>
          <w:color w:val="FF0000"/>
        </w:rPr>
        <w:t xml:space="preserve"> </w:t>
      </w:r>
      <w:r>
        <w:rPr>
          <w:rFonts w:ascii="Arial" w:cs="Arial" w:eastAsia="Arial" w:hAnsi="Arial"/>
          <w:sz w:val="16"/>
          <w:szCs w:val="16"/>
          <w:color w:val="000000"/>
        </w:rPr>
        <w:t>and without interest (other than any interest paid by the relevant Governmental Authority with respect</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to such refund);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w:t>
      </w:r>
      <w:r>
        <w:rPr>
          <w:rFonts w:ascii="Arial" w:cs="Arial" w:eastAsia="Arial" w:hAnsi="Arial"/>
          <w:sz w:val="16"/>
          <w:szCs w:val="16"/>
          <w:b w:val="1"/>
          <w:bCs w:val="1"/>
          <w:color w:val="FF0000"/>
          <w:strike w:val="1"/>
        </w:rPr>
        <w:t>Borrower</w:t>
      </w:r>
      <w:r>
        <w:rPr>
          <w:rFonts w:ascii="Arial" w:cs="Arial" w:eastAsia="Arial" w:hAnsi="Arial"/>
          <w:sz w:val="16"/>
          <w:szCs w:val="16"/>
          <w:b w:val="1"/>
          <w:bCs w:val="1"/>
          <w:u w:val="single" w:color="auto"/>
          <w:color w:val="0000FF"/>
        </w:rPr>
        <w:t>indemnifying party</w:t>
      </w:r>
      <w:r>
        <w:rPr>
          <w:rFonts w:ascii="Arial" w:cs="Arial" w:eastAsia="Arial" w:hAnsi="Arial"/>
          <w:sz w:val="16"/>
          <w:szCs w:val="16"/>
          <w:color w:val="000000"/>
        </w:rPr>
        <w:t xml:space="preserve">, upon the request of the </w:t>
      </w:r>
      <w:r>
        <w:rPr>
          <w:rFonts w:ascii="Arial" w:cs="Arial" w:eastAsia="Arial" w:hAnsi="Arial"/>
          <w:sz w:val="16"/>
          <w:szCs w:val="16"/>
          <w:b w:val="1"/>
          <w:bCs w:val="1"/>
          <w:color w:val="FF0000"/>
          <w:strike w:val="1"/>
        </w:rPr>
        <w:t>Administrative Agent, such Lender or such L/C</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Issuer</w:t>
      </w:r>
      <w:r>
        <w:rPr>
          <w:rFonts w:ascii="Arial" w:cs="Arial" w:eastAsia="Arial" w:hAnsi="Arial"/>
          <w:sz w:val="16"/>
          <w:szCs w:val="16"/>
          <w:b w:val="1"/>
          <w:bCs w:val="1"/>
          <w:u w:val="single" w:color="auto"/>
          <w:color w:val="0000FF"/>
        </w:rPr>
        <w:t>indemnified party</w:t>
      </w:r>
      <w:r>
        <w:rPr>
          <w:rFonts w:ascii="Arial" w:cs="Arial" w:eastAsia="Arial" w:hAnsi="Arial"/>
          <w:sz w:val="16"/>
          <w:szCs w:val="16"/>
          <w:color w:val="000000"/>
        </w:rPr>
        <w:t>, agrees to repay the amount paid over to the</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Borrower</w:t>
      </w:r>
      <w:r>
        <w:rPr>
          <w:rFonts w:ascii="Arial" w:cs="Arial" w:eastAsia="Arial" w:hAnsi="Arial"/>
          <w:sz w:val="16"/>
          <w:szCs w:val="16"/>
          <w:b w:val="1"/>
          <w:bCs w:val="1"/>
          <w:u w:val="single" w:color="auto"/>
          <w:color w:val="0000FF"/>
        </w:rPr>
        <w:t>indemnifying party</w:t>
      </w:r>
      <w:r>
        <w:rPr>
          <w:rFonts w:ascii="Arial" w:cs="Arial" w:eastAsia="Arial" w:hAnsi="Arial"/>
          <w:sz w:val="16"/>
          <w:szCs w:val="16"/>
          <w:b w:val="1"/>
          <w:bCs w:val="1"/>
          <w:color w:val="FF0000"/>
        </w:rPr>
        <w:t xml:space="preserve"> </w:t>
      </w:r>
      <w:r>
        <w:rPr>
          <w:rFonts w:ascii="Arial" w:cs="Arial" w:eastAsia="Arial" w:hAnsi="Arial"/>
          <w:sz w:val="16"/>
          <w:szCs w:val="16"/>
          <w:color w:val="000000"/>
        </w:rPr>
        <w:t>(plus any penalties, interest or other charges imposed</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by the relevant Governmental Authority) to </w:t>
      </w:r>
      <w:r>
        <w:rPr>
          <w:rFonts w:ascii="Arial" w:cs="Arial" w:eastAsia="Arial" w:hAnsi="Arial"/>
          <w:sz w:val="16"/>
          <w:szCs w:val="16"/>
          <w:b w:val="1"/>
          <w:bCs w:val="1"/>
          <w:color w:val="FF0000"/>
          <w:strike w:val="1"/>
        </w:rPr>
        <w:t>the Administrative Agent, such Lender or such L/C Issuer</w:t>
      </w:r>
      <w:r>
        <w:rPr>
          <w:rFonts w:ascii="Arial" w:cs="Arial" w:eastAsia="Arial" w:hAnsi="Arial"/>
          <w:sz w:val="16"/>
          <w:szCs w:val="16"/>
          <w:b w:val="1"/>
          <w:bCs w:val="1"/>
          <w:u w:val="single" w:color="auto"/>
          <w:color w:val="0000FF"/>
        </w:rPr>
        <w:t>indemnified party</w:t>
      </w:r>
      <w:r>
        <w:rPr>
          <w:rFonts w:ascii="Arial" w:cs="Arial" w:eastAsia="Arial" w:hAnsi="Arial"/>
          <w:sz w:val="16"/>
          <w:szCs w:val="16"/>
          <w:color w:val="000000"/>
        </w:rPr>
        <w:t xml:space="preserve"> in the event the </w:t>
      </w:r>
      <w:r>
        <w:rPr>
          <w:rFonts w:ascii="Arial" w:cs="Arial" w:eastAsia="Arial" w:hAnsi="Arial"/>
          <w:sz w:val="16"/>
          <w:szCs w:val="16"/>
          <w:b w:val="1"/>
          <w:bCs w:val="1"/>
          <w:color w:val="FF0000"/>
          <w:strike w:val="1"/>
        </w:rPr>
        <w:t>Administrative Agent, such Lender or such L/C Issuer</w:t>
      </w:r>
      <w:r>
        <w:rPr>
          <w:rFonts w:ascii="Arial" w:cs="Arial" w:eastAsia="Arial" w:hAnsi="Arial"/>
          <w:sz w:val="16"/>
          <w:szCs w:val="16"/>
          <w:b w:val="1"/>
          <w:bCs w:val="1"/>
          <w:u w:val="single" w:color="auto"/>
          <w:color w:val="0000FF"/>
        </w:rPr>
        <w:t>indemnified party</w:t>
      </w:r>
      <w:r>
        <w:rPr>
          <w:rFonts w:ascii="Arial" w:cs="Arial" w:eastAsia="Arial" w:hAnsi="Arial"/>
          <w:sz w:val="16"/>
          <w:szCs w:val="16"/>
          <w:b w:val="1"/>
          <w:bCs w:val="1"/>
          <w:color w:val="FF0000"/>
        </w:rPr>
        <w:t xml:space="preserve"> </w:t>
      </w:r>
      <w:r>
        <w:rPr>
          <w:rFonts w:ascii="Arial" w:cs="Arial" w:eastAsia="Arial" w:hAnsi="Arial"/>
          <w:sz w:val="16"/>
          <w:szCs w:val="16"/>
          <w:color w:val="000000"/>
        </w:rPr>
        <w:t>is required to repay such refund to such Governmental Authority. This</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subsection shall not be construed to require </w:t>
      </w:r>
      <w:r>
        <w:rPr>
          <w:rFonts w:ascii="Arial" w:cs="Arial" w:eastAsia="Arial" w:hAnsi="Arial"/>
          <w:sz w:val="16"/>
          <w:szCs w:val="16"/>
          <w:b w:val="1"/>
          <w:bCs w:val="1"/>
          <w:color w:val="FF0000"/>
          <w:strike w:val="1"/>
        </w:rPr>
        <w:t>the Administrative Agent, any Lender or any L/C Issuer</w:t>
      </w:r>
      <w:r>
        <w:rPr>
          <w:rFonts w:ascii="Arial" w:cs="Arial" w:eastAsia="Arial" w:hAnsi="Arial"/>
          <w:sz w:val="16"/>
          <w:szCs w:val="16"/>
          <w:b w:val="1"/>
          <w:bCs w:val="1"/>
          <w:u w:val="single" w:color="auto"/>
          <w:color w:val="0000FF"/>
        </w:rPr>
        <w:t>any indemnified party</w:t>
      </w:r>
      <w:r>
        <w:rPr>
          <w:rFonts w:ascii="Arial" w:cs="Arial" w:eastAsia="Arial" w:hAnsi="Arial"/>
          <w:sz w:val="16"/>
          <w:szCs w:val="16"/>
          <w:color w:val="000000"/>
        </w:rPr>
        <w:t xml:space="preserve"> to make available its Tax returns (or any other information relating to its Taxes that it deems confidential) to the </w:t>
      </w:r>
      <w:r>
        <w:rPr>
          <w:rFonts w:ascii="Arial" w:cs="Arial" w:eastAsia="Arial" w:hAnsi="Arial"/>
          <w:sz w:val="16"/>
          <w:szCs w:val="16"/>
          <w:b w:val="1"/>
          <w:bCs w:val="1"/>
          <w:color w:val="FF0000"/>
          <w:strike w:val="1"/>
        </w:rPr>
        <w:t>Borrower</w:t>
      </w:r>
      <w:r>
        <w:rPr>
          <w:rFonts w:ascii="Arial" w:cs="Arial" w:eastAsia="Arial" w:hAnsi="Arial"/>
          <w:sz w:val="16"/>
          <w:szCs w:val="16"/>
          <w:b w:val="1"/>
          <w:bCs w:val="1"/>
          <w:u w:val="single" w:color="auto"/>
          <w:color w:val="0000FF"/>
        </w:rPr>
        <w:t>indemnifying party</w:t>
      </w:r>
      <w:r>
        <w:rPr>
          <w:rFonts w:ascii="Arial" w:cs="Arial" w:eastAsia="Arial" w:hAnsi="Arial"/>
          <w:sz w:val="16"/>
          <w:szCs w:val="16"/>
          <w:color w:val="000000"/>
        </w:rPr>
        <w:t xml:space="preserve"> or any other Person. Notwithstanding anything to the contrary in this </w:t>
      </w:r>
      <w:r>
        <w:rPr>
          <w:rFonts w:ascii="Arial" w:cs="Arial" w:eastAsia="Arial" w:hAnsi="Arial"/>
          <w:sz w:val="16"/>
          <w:szCs w:val="16"/>
          <w:u w:val="single" w:color="auto"/>
          <w:color w:val="000000"/>
        </w:rPr>
        <w:t>Section 3.01(f)</w:t>
      </w:r>
      <w:r>
        <w:rPr>
          <w:rFonts w:ascii="Arial" w:cs="Arial" w:eastAsia="Arial" w:hAnsi="Arial"/>
          <w:sz w:val="16"/>
          <w:szCs w:val="16"/>
          <w:color w:val="000000"/>
        </w:rPr>
        <w:t xml:space="preserve">, in no event will the </w:t>
      </w:r>
      <w:r>
        <w:rPr>
          <w:rFonts w:ascii="Arial" w:cs="Arial" w:eastAsia="Arial" w:hAnsi="Arial"/>
          <w:sz w:val="16"/>
          <w:szCs w:val="16"/>
          <w:b w:val="1"/>
          <w:bCs w:val="1"/>
          <w:color w:val="FF0000"/>
          <w:strike w:val="1"/>
        </w:rPr>
        <w:t>Administrative Agent, any Lender or any L/C Issuer</w:t>
      </w:r>
      <w:r>
        <w:rPr>
          <w:rFonts w:ascii="Arial" w:cs="Arial" w:eastAsia="Arial" w:hAnsi="Arial"/>
          <w:sz w:val="16"/>
          <w:szCs w:val="16"/>
          <w:b w:val="1"/>
          <w:bCs w:val="1"/>
          <w:u w:val="single" w:color="auto"/>
          <w:color w:val="0000FF"/>
        </w:rPr>
        <w:t>indemnified party</w:t>
      </w:r>
      <w:r>
        <w:rPr>
          <w:rFonts w:ascii="Arial" w:cs="Arial" w:eastAsia="Arial" w:hAnsi="Arial"/>
          <w:sz w:val="16"/>
          <w:szCs w:val="16"/>
          <w:color w:val="000000"/>
        </w:rPr>
        <w:t xml:space="preserve"> be required to pay any amount to the </w:t>
      </w:r>
      <w:r>
        <w:rPr>
          <w:rFonts w:ascii="Arial" w:cs="Arial" w:eastAsia="Arial" w:hAnsi="Arial"/>
          <w:sz w:val="16"/>
          <w:szCs w:val="16"/>
          <w:b w:val="1"/>
          <w:bCs w:val="1"/>
          <w:color w:val="FF0000"/>
          <w:strike w:val="1"/>
        </w:rPr>
        <w:t>Borrower</w:t>
      </w:r>
      <w:r>
        <w:rPr>
          <w:rFonts w:ascii="Arial" w:cs="Arial" w:eastAsia="Arial" w:hAnsi="Arial"/>
          <w:sz w:val="16"/>
          <w:szCs w:val="16"/>
          <w:b w:val="1"/>
          <w:bCs w:val="1"/>
          <w:u w:val="single" w:color="auto"/>
          <w:color w:val="0000FF"/>
        </w:rPr>
        <w:t>indemnifying party</w:t>
      </w:r>
      <w:r>
        <w:rPr>
          <w:rFonts w:ascii="Arial" w:cs="Arial" w:eastAsia="Arial" w:hAnsi="Arial"/>
          <w:sz w:val="16"/>
          <w:szCs w:val="16"/>
          <w:color w:val="000000"/>
        </w:rPr>
        <w:t xml:space="preserve"> pursuant to this </w:t>
      </w:r>
      <w:r>
        <w:rPr>
          <w:rFonts w:ascii="Arial" w:cs="Arial" w:eastAsia="Arial" w:hAnsi="Arial"/>
          <w:sz w:val="16"/>
          <w:szCs w:val="16"/>
          <w:u w:val="single" w:color="auto"/>
          <w:color w:val="000000"/>
        </w:rPr>
        <w:t>Section 3.01(f)</w:t>
      </w:r>
      <w:r>
        <w:rPr>
          <w:rFonts w:ascii="Arial" w:cs="Arial" w:eastAsia="Arial" w:hAnsi="Arial"/>
          <w:sz w:val="16"/>
          <w:szCs w:val="16"/>
          <w:color w:val="000000"/>
        </w:rPr>
        <w:t xml:space="preserve"> the payment of which would place the </w:t>
      </w:r>
      <w:r>
        <w:rPr>
          <w:rFonts w:ascii="Arial" w:cs="Arial" w:eastAsia="Arial" w:hAnsi="Arial"/>
          <w:sz w:val="16"/>
          <w:szCs w:val="16"/>
          <w:b w:val="1"/>
          <w:bCs w:val="1"/>
          <w:color w:val="FF0000"/>
          <w:strike w:val="1"/>
        </w:rPr>
        <w:t>Administrative Agent,</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such Lender or such L/C Issuer</w:t>
      </w:r>
      <w:r>
        <w:rPr>
          <w:rFonts w:ascii="Arial" w:cs="Arial" w:eastAsia="Arial" w:hAnsi="Arial"/>
          <w:sz w:val="16"/>
          <w:szCs w:val="16"/>
          <w:b w:val="1"/>
          <w:bCs w:val="1"/>
          <w:u w:val="single" w:color="auto"/>
          <w:color w:val="0000FF"/>
        </w:rPr>
        <w:t>indemnified party</w:t>
      </w:r>
      <w:r>
        <w:rPr>
          <w:rFonts w:ascii="Arial" w:cs="Arial" w:eastAsia="Arial" w:hAnsi="Arial"/>
          <w:sz w:val="16"/>
          <w:szCs w:val="16"/>
          <w:color w:val="000000"/>
        </w:rPr>
        <w:t>, as the case may be, in a less favorable net after-Tax position than it would have been in if the Tax</w:t>
      </w:r>
      <w:r>
        <w:rPr>
          <w:rFonts w:ascii="Arial" w:cs="Arial" w:eastAsia="Arial" w:hAnsi="Arial"/>
          <w:sz w:val="16"/>
          <w:szCs w:val="16"/>
          <w:b w:val="1"/>
          <w:bCs w:val="1"/>
          <w:color w:val="FF0000"/>
        </w:rPr>
        <w:t xml:space="preserve"> </w:t>
      </w:r>
      <w:r>
        <w:rPr>
          <w:rFonts w:ascii="Arial" w:cs="Arial" w:eastAsia="Arial" w:hAnsi="Arial"/>
          <w:sz w:val="16"/>
          <w:szCs w:val="16"/>
          <w:color w:val="000000"/>
        </w:rPr>
        <w:t>subject to indemnification (or with respect to which additional amounts were paid) and giving rise to such refund had not been deducted, withheld or otherwise imposed and the indemnification payments or additional amounts with respect to such Tax had never been paid.</w:t>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3" w:name="page134"/>
    <w:bookmarkEnd w:id="133"/>
    <w:p>
      <w:pPr>
        <w:jc w:val="both"/>
        <w:ind w:firstLine="1304"/>
        <w:spacing w:after="0" w:line="271" w:lineRule="auto"/>
        <w:tabs>
          <w:tab w:leader="none" w:pos="205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Status of Administrative Agent; Tax Documentation</w:t>
      </w:r>
      <w:r>
        <w:rPr>
          <w:rFonts w:ascii="Arial" w:cs="Arial" w:eastAsia="Arial" w:hAnsi="Arial"/>
          <w:sz w:val="17"/>
          <w:szCs w:val="17"/>
          <w:color w:val="auto"/>
        </w:rPr>
        <w:t>. JPM, as the Administrative Agent, and</w:t>
      </w:r>
      <w:r>
        <w:rPr>
          <w:rFonts w:ascii="Arial" w:cs="Arial" w:eastAsia="Arial" w:hAnsi="Arial"/>
          <w:sz w:val="17"/>
          <w:szCs w:val="17"/>
          <w:b w:val="1"/>
          <w:bCs w:val="1"/>
          <w:color w:val="FF0000"/>
          <w:strike w:val="1"/>
        </w:rPr>
        <w:t>, if legally entitled to do so,</w:t>
      </w:r>
      <w:r>
        <w:rPr>
          <w:rFonts w:ascii="Arial" w:cs="Arial" w:eastAsia="Arial" w:hAnsi="Arial"/>
          <w:sz w:val="17"/>
          <w:szCs w:val="17"/>
          <w:color w:val="auto"/>
        </w:rPr>
        <w:t xml:space="preserve"> any successor or supplemental Administrative Agent </w:t>
      </w:r>
      <w:r>
        <w:rPr>
          <w:rFonts w:ascii="Arial" w:cs="Arial" w:eastAsia="Arial" w:hAnsi="Arial"/>
          <w:sz w:val="17"/>
          <w:szCs w:val="17"/>
          <w:b w:val="1"/>
          <w:bCs w:val="1"/>
          <w:color w:val="FF0000"/>
          <w:strike w:val="1"/>
        </w:rPr>
        <w:t>that</w:t>
      </w:r>
      <w:r>
        <w:rPr>
          <w:rFonts w:ascii="Arial" w:cs="Arial" w:eastAsia="Arial" w:hAnsi="Arial"/>
          <w:sz w:val="17"/>
          <w:szCs w:val="17"/>
          <w:b w:val="1"/>
          <w:bCs w:val="1"/>
          <w:u w:val="single" w:color="auto"/>
          <w:color w:val="0000FF"/>
        </w:rPr>
        <w:t>, if and to the extent (in each case) it</w:t>
      </w:r>
      <w:r>
        <w:rPr>
          <w:rFonts w:ascii="Arial" w:cs="Arial" w:eastAsia="Arial" w:hAnsi="Arial"/>
          <w:sz w:val="17"/>
          <w:szCs w:val="17"/>
          <w:color w:val="auto"/>
        </w:rPr>
        <w:t xml:space="preserve"> is not a United States person under Section 7701(a)(30) of the Code and </w:t>
      </w:r>
      <w:r>
        <w:rPr>
          <w:rFonts w:ascii="Arial" w:cs="Arial" w:eastAsia="Arial" w:hAnsi="Arial"/>
          <w:sz w:val="17"/>
          <w:szCs w:val="17"/>
          <w:b w:val="1"/>
          <w:bCs w:val="1"/>
          <w:color w:val="FF0000"/>
          <w:strike w:val="1"/>
        </w:rPr>
        <w:t>which</w:t>
      </w:r>
      <w:r>
        <w:rPr>
          <w:rFonts w:ascii="Arial" w:cs="Arial" w:eastAsia="Arial" w:hAnsi="Arial"/>
          <w:sz w:val="17"/>
          <w:szCs w:val="17"/>
          <w:color w:val="auto"/>
        </w:rPr>
        <w:t xml:space="preserve"> is acting as Administrative Agent through a U.S. branch described in Treasury Regulation Section 1.1441-1(b)(2)(iv)(A), shall deliver to the Borrower two duly completed copies of Internal Revenue Service Form W-8IMY certifying that it is a “U.S. branch” and that the payments it receives for the account of others are not effectively connected with the conduct of a trade or business in the United States and that it is using such form as evidence of its agreement with the Borrower to be treated as a United States person with respect to such payments (and the Borrower and the Administrative Agent agree to so treat the Administrative Agent as a United States person with respect to such payments as contemplated by Treasury Regulation Section 1.1441-1(b)(2)(iv)(A)), with the effect that the Borrower can make payments to the Administrative Agent without deduction or withholding of any Taxes imposed by the United States.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3.02 Illegality. If any Lender determines that any Law has made it unlawful, or that any Governmental Authority has asserted in writing that it is unlawful, for any Lender or its applicable Lending Office to make, maintain or fund </w:t>
      </w:r>
      <w:r>
        <w:rPr>
          <w:rFonts w:ascii="Arial" w:cs="Arial" w:eastAsia="Arial" w:hAnsi="Arial"/>
          <w:sz w:val="16"/>
          <w:szCs w:val="16"/>
          <w:b w:val="1"/>
          <w:bCs w:val="1"/>
          <w:color w:val="FF0000"/>
          <w:strike w:val="1"/>
        </w:rPr>
        <w:t>Eurodollar Rate Loans,</w:t>
      </w:r>
      <w:r>
        <w:rPr>
          <w:rFonts w:ascii="Arial" w:cs="Arial" w:eastAsia="Arial" w:hAnsi="Arial"/>
          <w:sz w:val="16"/>
          <w:szCs w:val="16"/>
          <w:b w:val="1"/>
          <w:bCs w:val="1"/>
          <w:u w:val="single" w:color="auto"/>
          <w:color w:val="0000FF"/>
        </w:rPr>
        <w:t>Loans whose interest is determined by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reference to SOFR, the Term SOFR Reference Rate, the Adjusted Term SOFR Rate, the Term SOFR Rate, Daily Simple SOFR or the Adjusted Daily Simple SOFR Rate</w:t>
      </w:r>
      <w:r>
        <w:rPr>
          <w:rFonts w:ascii="Arial" w:cs="Arial" w:eastAsia="Arial" w:hAnsi="Arial"/>
          <w:sz w:val="16"/>
          <w:szCs w:val="16"/>
          <w:b w:val="1"/>
          <w:bCs w:val="1"/>
          <w:color w:val="0000FF"/>
        </w:rPr>
        <w:t xml:space="preserve"> </w:t>
      </w:r>
      <w:r>
        <w:rPr>
          <w:rFonts w:ascii="Arial" w:cs="Arial" w:eastAsia="Arial" w:hAnsi="Arial"/>
          <w:sz w:val="16"/>
          <w:szCs w:val="16"/>
          <w:color w:val="000000"/>
        </w:rPr>
        <w:t>or to determine or charge interest rates based upon</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the Eurodollar Rate, or any Governmental Authority has imposed</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material restrictions on the authority of such Lender to purchase or sell, or to take deposits of, Dollars in the London interbank market,</w:t>
      </w:r>
      <w:r>
        <w:rPr>
          <w:rFonts w:ascii="Arial" w:cs="Arial" w:eastAsia="Arial" w:hAnsi="Arial"/>
          <w:sz w:val="16"/>
          <w:szCs w:val="16"/>
          <w:b w:val="1"/>
          <w:bCs w:val="1"/>
          <w:u w:val="single" w:color="auto"/>
          <w:color w:val="0000FF"/>
          <w:strike w:val="1"/>
        </w:rPr>
        <w:t>SOFR, the</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 xml:space="preserve">Term SOFR Reference Rate, the Adjusted Term SOFR Rate, the Term SOFR Rate, Daily Simple SOFR or the Adjusted Daily Simple SOFR Rate </w:t>
      </w:r>
      <w:r>
        <w:rPr>
          <w:rFonts w:ascii="Arial" w:cs="Arial" w:eastAsia="Arial" w:hAnsi="Arial"/>
          <w:sz w:val="16"/>
          <w:szCs w:val="16"/>
          <w:color w:val="000000"/>
          <w:strike w:val="1"/>
        </w:rPr>
        <w:t xml:space="preserve">then, on written notice thereof by such Lender to the Borrower through the Administrative Agent, </w:t>
      </w:r>
      <w:r>
        <w:rPr>
          <w:rFonts w:ascii="Arial" w:cs="Arial" w:eastAsia="Arial" w:hAnsi="Arial"/>
          <w:sz w:val="16"/>
          <w:szCs w:val="16"/>
          <w:b w:val="1"/>
          <w:bCs w:val="1"/>
          <w:u w:val="single" w:color="auto"/>
          <w:color w:val="0000FF"/>
          <w:strike w:val="1"/>
        </w:rPr>
        <w:t>(a)</w:t>
      </w:r>
      <w:r>
        <w:rPr>
          <w:rFonts w:ascii="Arial" w:cs="Arial" w:eastAsia="Arial" w:hAnsi="Arial"/>
          <w:sz w:val="16"/>
          <w:szCs w:val="16"/>
          <w:color w:val="000000"/>
          <w:strike w:val="1"/>
        </w:rPr>
        <w:t xml:space="preserve"> any obligation of such Lender to make or continue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strike w:val="1"/>
        </w:rPr>
        <w:t>Term Benchmark</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Loans or</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RFR Loans, as applicable, or</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to convert Base Rate Loans to</w:t>
      </w:r>
      <w:r>
        <w:rPr>
          <w:rFonts w:ascii="Arial" w:cs="Arial" w:eastAsia="Arial" w:hAnsi="Arial"/>
          <w:sz w:val="16"/>
          <w:szCs w:val="16"/>
          <w:b w:val="1"/>
          <w:bCs w:val="1"/>
          <w:color w:val="FF0000"/>
          <w:strike w:val="1"/>
        </w:rPr>
        <w:t xml:space="preserve"> Eurodollar Rate Loans shall be suspended until such</w:t>
      </w:r>
      <w:r>
        <w:rPr>
          <w:rFonts w:ascii="Arial" w:cs="Arial" w:eastAsia="Arial" w:hAnsi="Arial"/>
          <w:sz w:val="16"/>
          <w:szCs w:val="16"/>
          <w:b w:val="1"/>
          <w:bCs w:val="1"/>
          <w:u w:val="single" w:color="auto"/>
          <w:color w:val="0000FF"/>
          <w:strike w:val="1"/>
        </w:rPr>
        <w:t>Term Benchmark Loans or RFR Loans, as applicable, shall be suspended and (b) the interest rate on Base Rate Loans shall, if necessary</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to avoid such illegality, be determined by the Administrative Agent without reference to clause (c) of the definition of “Base Rate”, in each case until each affected</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Lender notifies the Administrative Agent and the Borrower that the circumstances giving rise to such determination no longer exist.</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 xml:space="preserve">Upon receipt of such written notice, the Borrower shall, </w:t>
      </w:r>
      <w:r>
        <w:rPr>
          <w:rFonts w:ascii="Arial" w:cs="Arial" w:eastAsia="Arial" w:hAnsi="Arial"/>
          <w:sz w:val="16"/>
          <w:szCs w:val="16"/>
          <w:b w:val="1"/>
          <w:bCs w:val="1"/>
          <w:u w:val="single" w:color="auto"/>
          <w:color w:val="0000FF"/>
          <w:strike w:val="1"/>
        </w:rPr>
        <w:t>if necessary to avoid such illegality,</w:t>
      </w:r>
      <w:r>
        <w:rPr>
          <w:rFonts w:ascii="Arial" w:cs="Arial" w:eastAsia="Arial" w:hAnsi="Arial"/>
          <w:sz w:val="16"/>
          <w:szCs w:val="16"/>
          <w:color w:val="000000"/>
          <w:strike w:val="1"/>
        </w:rPr>
        <w:t xml:space="preserve"> upon demand from such Lender (with a copy to the Administrative Agent)</w:t>
      </w:r>
      <w:r>
        <w:rPr>
          <w:rFonts w:ascii="Arial" w:cs="Arial" w:eastAsia="Arial" w:hAnsi="Arial"/>
          <w:sz w:val="16"/>
          <w:szCs w:val="16"/>
          <w:b w:val="1"/>
          <w:bCs w:val="1"/>
          <w:u w:val="single" w:color="auto"/>
          <w:color w:val="0000FF"/>
          <w:strike w:val="1"/>
        </w:rPr>
        <w:t>, prepay or, if applicable,</w:t>
      </w:r>
      <w:r>
        <w:rPr>
          <w:rFonts w:ascii="Arial" w:cs="Arial" w:eastAsia="Arial" w:hAnsi="Arial"/>
          <w:sz w:val="16"/>
          <w:szCs w:val="16"/>
          <w:color w:val="000000"/>
          <w:strike w:val="1"/>
        </w:rPr>
        <w:t xml:space="preserve"> convert all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strike w:val="1"/>
        </w:rPr>
        <w:t>Term Benchmark</w:t>
      </w:r>
      <w:r>
        <w:rPr>
          <w:rFonts w:ascii="Arial" w:cs="Arial" w:eastAsia="Arial" w:hAnsi="Arial"/>
          <w:sz w:val="16"/>
          <w:szCs w:val="16"/>
          <w:color w:val="000000"/>
          <w:strike w:val="1"/>
        </w:rPr>
        <w:t xml:space="preserve"> Loans </w:t>
      </w:r>
      <w:r>
        <w:rPr>
          <w:rFonts w:ascii="Arial" w:cs="Arial" w:eastAsia="Arial" w:hAnsi="Arial"/>
          <w:sz w:val="16"/>
          <w:szCs w:val="16"/>
          <w:b w:val="1"/>
          <w:bCs w:val="1"/>
          <w:u w:val="single" w:color="auto"/>
          <w:color w:val="0000FF"/>
          <w:strike w:val="1"/>
        </w:rPr>
        <w:t>and/or RFR Loans, as applicable,</w:t>
      </w:r>
      <w:r>
        <w:rPr>
          <w:rFonts w:ascii="Arial" w:cs="Arial" w:eastAsia="Arial" w:hAnsi="Arial"/>
          <w:sz w:val="16"/>
          <w:szCs w:val="16"/>
          <w:color w:val="000000"/>
          <w:strike w:val="1"/>
        </w:rPr>
        <w:t xml:space="preserve"> of such Lender to Base Rate Loans </w:t>
      </w:r>
      <w:r>
        <w:rPr>
          <w:rFonts w:ascii="Arial" w:cs="Arial" w:eastAsia="Arial" w:hAnsi="Arial"/>
          <w:sz w:val="16"/>
          <w:szCs w:val="16"/>
          <w:b w:val="1"/>
          <w:bCs w:val="1"/>
          <w:u w:val="single" w:color="auto"/>
          <w:color w:val="0000FF"/>
          <w:strike w:val="1"/>
        </w:rPr>
        <w:t>(the interest rate on which Base Rate Loans shall, if necessary to avoid such illegality, be determined by the Administrative</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0000FF"/>
          <w:strike w:val="1"/>
        </w:rPr>
        <w:t>Agent without reference to clause (c) of the definition of “Base Rate”)</w:t>
      </w:r>
      <w:r>
        <w:rPr>
          <w:rFonts w:ascii="Arial" w:cs="Arial" w:eastAsia="Arial" w:hAnsi="Arial"/>
          <w:sz w:val="16"/>
          <w:szCs w:val="16"/>
          <w:color w:val="000000"/>
          <w:strike w:val="1"/>
        </w:rPr>
        <w:t>, either</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(x)(i)</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on the last day of the Interest Period therefor</w:t>
      </w:r>
      <w:r>
        <w:rPr>
          <w:rFonts w:ascii="Arial" w:cs="Arial" w:eastAsia="Arial" w:hAnsi="Arial"/>
          <w:sz w:val="16"/>
          <w:szCs w:val="16"/>
          <w:b w:val="1"/>
          <w:bCs w:val="1"/>
          <w:color w:val="FF0000"/>
          <w:strike w:val="1"/>
        </w:rPr>
        <w:t>, if such Lender</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in the</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case of Term Benchmark Loans or (ii) on the Interest Payment Date therefor, in the case of RFR Loans, in each case of clauses (x)(i) and (x)(ii), if all affected Lenders</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may lawfully continue to maintain such</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strike w:val="1"/>
        </w:rPr>
        <w:t>Term Benchmark</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Loans</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and/or RFR Loans, as applicable,</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to such day,</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 xml:space="preserve">or </w:t>
      </w:r>
      <w:r>
        <w:rPr>
          <w:rFonts w:ascii="Arial" w:cs="Arial" w:eastAsia="Arial" w:hAnsi="Arial"/>
          <w:sz w:val="16"/>
          <w:szCs w:val="16"/>
          <w:b w:val="1"/>
          <w:bCs w:val="1"/>
          <w:u w:val="single" w:color="auto"/>
          <w:color w:val="0000FF"/>
          <w:strike w:val="1"/>
        </w:rPr>
        <w:t>(y)</w:t>
      </w:r>
      <w:r>
        <w:rPr>
          <w:rFonts w:ascii="Arial" w:cs="Arial" w:eastAsia="Arial" w:hAnsi="Arial"/>
          <w:sz w:val="16"/>
          <w:szCs w:val="16"/>
          <w:color w:val="000000"/>
          <w:strike w:val="1"/>
        </w:rPr>
        <w:t xml:space="preserve"> immediately, if </w:t>
      </w:r>
      <w:r>
        <w:rPr>
          <w:rFonts w:ascii="Arial" w:cs="Arial" w:eastAsia="Arial" w:hAnsi="Arial"/>
          <w:sz w:val="16"/>
          <w:szCs w:val="16"/>
          <w:b w:val="1"/>
          <w:bCs w:val="1"/>
          <w:color w:val="FF0000"/>
          <w:strike w:val="1"/>
        </w:rPr>
        <w:t>such</w:t>
      </w:r>
      <w:r>
        <w:rPr>
          <w:rFonts w:ascii="Arial" w:cs="Arial" w:eastAsia="Arial" w:hAnsi="Arial"/>
          <w:sz w:val="16"/>
          <w:szCs w:val="16"/>
          <w:b w:val="1"/>
          <w:bCs w:val="1"/>
          <w:u w:val="single" w:color="auto"/>
          <w:color w:val="0000FF"/>
          <w:strike w:val="1"/>
        </w:rPr>
        <w:t>any</w:t>
      </w:r>
      <w:r>
        <w:rPr>
          <w:rFonts w:ascii="Arial" w:cs="Arial" w:eastAsia="Arial" w:hAnsi="Arial"/>
          <w:sz w:val="16"/>
          <w:szCs w:val="16"/>
          <w:color w:val="000000"/>
          <w:strike w:val="1"/>
        </w:rPr>
        <w:t xml:space="preserve"> Lender may not lawfully continue to maintain such </w:t>
      </w:r>
      <w:r>
        <w:rPr>
          <w:rFonts w:ascii="Arial" w:cs="Arial" w:eastAsia="Arial" w:hAnsi="Arial"/>
          <w:sz w:val="16"/>
          <w:szCs w:val="16"/>
          <w:b w:val="1"/>
          <w:bCs w:val="1"/>
          <w:color w:val="FF0000"/>
          <w:strike w:val="1"/>
        </w:rPr>
        <w:t>Eurodollar Rate Loans</w:t>
      </w:r>
      <w:r>
        <w:rPr>
          <w:rFonts w:ascii="Arial" w:cs="Arial" w:eastAsia="Arial" w:hAnsi="Arial"/>
          <w:sz w:val="16"/>
          <w:szCs w:val="16"/>
          <w:b w:val="1"/>
          <w:bCs w:val="1"/>
          <w:u w:val="single" w:color="auto"/>
          <w:color w:val="0000FF"/>
          <w:strike w:val="1"/>
        </w:rPr>
        <w:t>Term Benchmark Loans or RFR Loans, in</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0000FF"/>
          <w:strike w:val="1"/>
        </w:rPr>
        <w:t>each case until the Administrative Agent is advised in writing by each affected Lender that it is no longer illegal for such Lender to determine or charge interest rates based upon SOFR, the Term SOFR Reference Rate, the Adjusted Term SOFR Rate, the Term SOFR Rate, the Adjusted Daily Simple SOFR Rate or Daily Simple SOFR, as applicable</w:t>
      </w:r>
      <w:r>
        <w:rPr>
          <w:rFonts w:ascii="Arial" w:cs="Arial" w:eastAsia="Arial" w:hAnsi="Arial"/>
          <w:sz w:val="16"/>
          <w:szCs w:val="16"/>
          <w:color w:val="000000"/>
          <w:strike w:val="1"/>
        </w:rPr>
        <w:t>. Upon any such</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prepayment or</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conversion, the Borrower shall also pay accrued interest</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on the amount so prepaid or converted</w:t>
      </w:r>
      <w:r>
        <w:rPr>
          <w:rFonts w:ascii="Arial" w:cs="Arial" w:eastAsia="Arial" w:hAnsi="Arial"/>
          <w:sz w:val="16"/>
          <w:szCs w:val="16"/>
          <w:b w:val="1"/>
          <w:bCs w:val="1"/>
          <w:u w:val="single" w:color="auto"/>
          <w:color w:val="0000FF"/>
          <w:strike w:val="1"/>
        </w:rPr>
        <w:t>, together with any additional amounts required pursuant to Section 3.04</w:t>
      </w:r>
      <w:r>
        <w:rPr>
          <w:rFonts w:ascii="Arial" w:cs="Arial" w:eastAsia="Arial" w:hAnsi="Arial"/>
          <w:sz w:val="16"/>
          <w:szCs w:val="16"/>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-2920365</wp:posOffset>
            </wp:positionV>
            <wp:extent cx="8210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1055" cy="8890"/>
                    </a:xfrm>
                    <a:prstGeom prst="rect">
                      <a:avLst/>
                    </a:prstGeom>
                    <a:noFill/>
                  </pic:spPr>
                </pic:pic>
              </a:graphicData>
            </a:graphic>
          </wp:anchor>
        </w:drawing>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jc w:val="both"/>
        <w:ind w:firstLine="648"/>
        <w:spacing w:after="0" w:line="268" w:lineRule="auto"/>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b w:val="1"/>
          <w:bCs w:val="1"/>
          <w:u w:val="single" w:color="auto"/>
          <w:color w:val="FF0000"/>
          <w:strike w:val="1"/>
        </w:rPr>
        <w:t>Inability to Determine Rates</w:t>
      </w:r>
      <w:r>
        <w:rPr>
          <w:rFonts w:ascii="Arial" w:cs="Arial" w:eastAsia="Arial" w:hAnsi="Arial"/>
          <w:sz w:val="17"/>
          <w:szCs w:val="17"/>
          <w:b w:val="1"/>
          <w:bCs w:val="1"/>
          <w:u w:val="single" w:color="auto"/>
          <w:color w:val="0000FF"/>
        </w:rPr>
        <w:t>Increased Costs</w:t>
      </w:r>
      <w:r>
        <w:rPr>
          <w:rFonts w:ascii="Arial" w:cs="Arial" w:eastAsia="Arial" w:hAnsi="Arial"/>
          <w:sz w:val="17"/>
          <w:szCs w:val="17"/>
          <w:b w:val="1"/>
          <w:bCs w:val="1"/>
          <w:color w:val="FF0000"/>
          <w:strike w:val="1"/>
        </w:rPr>
        <w:t>. If in connection with any request for a Eurodollar Rate Loan or a conversion to or</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(in each case with respect to clause (a) above, “</w:t>
      </w:r>
      <w:r>
        <w:rPr>
          <w:rFonts w:ascii="Arial" w:cs="Arial" w:eastAsia="Arial" w:hAnsi="Arial"/>
          <w:sz w:val="17"/>
          <w:szCs w:val="17"/>
          <w:b w:val="1"/>
          <w:bCs w:val="1"/>
          <w:u w:val="single" w:color="auto"/>
          <w:color w:val="FF0000"/>
          <w:strike w:val="1"/>
        </w:rPr>
        <w:t>Impacted Loans</w:t>
      </w:r>
      <w:r>
        <w:rPr>
          <w:rFonts w:ascii="Arial" w:cs="Arial" w:eastAsia="Arial" w:hAnsi="Arial"/>
          <w:sz w:val="17"/>
          <w:szCs w:val="17"/>
          <w:b w:val="1"/>
          <w:bCs w:val="1"/>
          <w:color w:val="FF0000"/>
          <w:strike w:val="1"/>
        </w:rPr>
        <w:t>”), or (b) the Administrative Agent or the Required Lenders determine that for any reason the Eurodollar Rate for any requested Interest Period with respect to a proposed Eurodollar Rate Loan does not adequately and fairly reflect the cost to such Lenders of funding such Loan, the Administrative Agent will promptly so notify in writing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-1816735</wp:posOffset>
            </wp:positionV>
            <wp:extent cx="4857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FF0000"/>
          <w:strike w:val="1"/>
        </w:rPr>
        <w:t xml:space="preserve">Notwithstanding the foregoing, if the Administrative Agent has made the determination described in clause (a) of the first sentence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that nothing in this paragraph shall affect any right that the Borrower may otherwise have to revoke any pending request for a Borrowing of, conversion to or continuation of Eurodollar Rate Loans (to the extent of the affected Eurodollar Rate Loans or Interest Periods), or convert such request into a request for a Borrowing of Base Rate Loans in the amount specified therein, in each case in accordance with and subject to the terms of this Agreement, it being understood and agreed that the Administrative Agent may not establish an alternative interest rate pursuant to this </w:t>
      </w:r>
      <w:r>
        <w:rPr>
          <w:rFonts w:ascii="Arial" w:cs="Arial" w:eastAsia="Arial" w:hAnsi="Arial"/>
          <w:sz w:val="16"/>
          <w:szCs w:val="16"/>
          <w:b w:val="1"/>
          <w:bCs w:val="1"/>
          <w:u w:val="single" w:color="auto"/>
          <w:color w:val="FF0000"/>
          <w:strike w:val="1"/>
        </w:rPr>
        <w:t>Section 3.03</w:t>
      </w:r>
      <w:r>
        <w:rPr>
          <w:rFonts w:ascii="Arial" w:cs="Arial" w:eastAsia="Arial" w:hAnsi="Arial"/>
          <w:sz w:val="16"/>
          <w:szCs w:val="16"/>
          <w:b w:val="1"/>
          <w:bCs w:val="1"/>
          <w:color w:val="FF0000"/>
          <w:strike w:val="1"/>
        </w:rPr>
        <w:t xml:space="preserve"> in respect of Base Rate Loans, or Eurodollar Rate Loans to be converted into Base Rate Loans pursuant to the last sentence of the preceding paragraph of this </w:t>
      </w:r>
      <w:r>
        <w:rPr>
          <w:rFonts w:ascii="Arial" w:cs="Arial" w:eastAsia="Arial" w:hAnsi="Arial"/>
          <w:sz w:val="16"/>
          <w:szCs w:val="16"/>
          <w:b w:val="1"/>
          <w:bCs w:val="1"/>
          <w:u w:val="single" w:color="auto"/>
          <w:color w:val="FF0000"/>
          <w:strike w:val="1"/>
        </w:rPr>
        <w:t>Section 3.03</w:t>
      </w:r>
      <w:r>
        <w:rPr>
          <w:rFonts w:ascii="Arial" w:cs="Arial" w:eastAsia="Arial" w:hAnsi="Arial"/>
          <w:sz w:val="16"/>
          <w:szCs w:val="16"/>
          <w:b w:val="1"/>
          <w:bCs w:val="1"/>
          <w:color w:val="FF0000"/>
          <w:strike w:val="1"/>
        </w:rPr>
        <w:t>.</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jc w:val="both"/>
        <w:ind w:firstLine="648"/>
        <w:spacing w:after="0" w:line="283" w:lineRule="auto"/>
        <w:rPr>
          <w:sz w:val="20"/>
          <w:szCs w:val="20"/>
          <w:color w:val="auto"/>
        </w:rPr>
      </w:pPr>
      <w:r>
        <w:rPr>
          <w:rFonts w:ascii="Arial" w:cs="Arial" w:eastAsia="Arial" w:hAnsi="Arial"/>
          <w:sz w:val="16"/>
          <w:szCs w:val="16"/>
          <w:b w:val="1"/>
          <w:bCs w:val="1"/>
          <w:color w:val="FF0000"/>
          <w:strike w:val="1"/>
        </w:rPr>
        <w:t xml:space="preserve">In addition, if at any time the Administrative Agent determines (which determination shall be conclusive absent manifest error) that (i) the circumstances set forth in clause (a) of the first sentence of this Section have arisen and such circumstances are unlikely to be temporary or (ii) the circumstances set forth in clause (a) of the first sentence of this Section have not arisen but the supervisor for the administrator of LIBOR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Eurodollar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w:t>
      </w:r>
      <w:r>
        <w:rPr>
          <w:rFonts w:ascii="Arial" w:cs="Arial" w:eastAsia="Arial" w:hAnsi="Arial"/>
          <w:sz w:val="16"/>
          <w:szCs w:val="16"/>
          <w:b w:val="1"/>
          <w:bCs w:val="1"/>
          <w:u w:val="single" w:color="auto"/>
          <w:color w:val="FF0000"/>
          <w:strike w:val="1"/>
        </w:rPr>
        <w:t>Section 11.01</w:t>
      </w:r>
      <w:r>
        <w:rPr>
          <w:rFonts w:ascii="Arial" w:cs="Arial" w:eastAsia="Arial" w:hAnsi="Arial"/>
          <w:sz w:val="16"/>
          <w:szCs w:val="16"/>
          <w:b w:val="1"/>
          <w:bCs w:val="1"/>
          <w:color w:val="FF0000"/>
          <w:strike w:val="1"/>
        </w:rPr>
        <w:t>,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paragraph, (x) any request to convert any Loan to, or continue any Loan as, a Eurodollar Rate Loan shall be ineffective, and</w:t>
      </w:r>
    </w:p>
    <w:p>
      <w:pPr>
        <w:spacing w:after="0" w:line="6" w:lineRule="exact"/>
        <w:rPr>
          <w:sz w:val="20"/>
          <w:szCs w:val="20"/>
          <w:color w:val="auto"/>
        </w:rPr>
      </w:pPr>
    </w:p>
    <w:p>
      <w:pPr>
        <w:ind w:firstLine="8"/>
        <w:spacing w:after="0" w:line="260" w:lineRule="auto"/>
        <w:tabs>
          <w:tab w:leader="none" w:pos="256" w:val="left"/>
        </w:tabs>
        <w:numPr>
          <w:ilvl w:val="0"/>
          <w:numId w:val="116"/>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if any Committed Loan Notice requests a Eurodollar Rate Loan, such Loan shall be made as a Base Rate Loan;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that, if such alternate rate of interest shall be less than zero, such rate shall be deemed to be zero for the purposes of this Agreement.</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ind w:left="660"/>
        <w:spacing w:after="0"/>
        <w:tabs>
          <w:tab w:leader="none" w:pos="1260" w:val="left"/>
        </w:tabs>
        <w:rPr>
          <w:sz w:val="20"/>
          <w:szCs w:val="20"/>
          <w:color w:val="auto"/>
        </w:rPr>
      </w:pPr>
      <w:r>
        <w:rPr>
          <w:rFonts w:ascii="Arial" w:cs="Arial" w:eastAsia="Arial" w:hAnsi="Arial"/>
          <w:sz w:val="18"/>
          <w:szCs w:val="18"/>
          <w:b w:val="1"/>
          <w:bCs w:val="1"/>
          <w:u w:val="single" w:color="auto"/>
          <w:color w:val="FF0000"/>
          <w:strike w:val="1"/>
        </w:rPr>
        <w:t>3.04</w:t>
      </w:r>
      <w:r>
        <w:rPr>
          <w:sz w:val="20"/>
          <w:szCs w:val="20"/>
          <w:color w:val="auto"/>
        </w:rPr>
        <w:tab/>
      </w:r>
      <w:r>
        <w:rPr>
          <w:rFonts w:ascii="Arial" w:cs="Arial" w:eastAsia="Arial" w:hAnsi="Arial"/>
          <w:sz w:val="16"/>
          <w:szCs w:val="16"/>
          <w:b w:val="1"/>
          <w:bCs w:val="1"/>
          <w:u w:val="single" w:color="auto"/>
          <w:color w:val="FF0000"/>
          <w:strike w:val="1"/>
        </w:rPr>
        <w:t>Increased Costs; Reserves on Eurodollar Rate Loans</w:t>
      </w:r>
      <w:r>
        <w:rPr>
          <w:rFonts w:ascii="Arial" w:cs="Arial" w:eastAsia="Arial" w:hAnsi="Arial"/>
          <w:sz w:val="16"/>
          <w:szCs w:val="16"/>
          <w:color w:val="000000"/>
          <w:strike w:val="1"/>
        </w:rPr>
        <w:t>. (x)</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u w:val="single" w:color="auto"/>
          <w:color w:val="000000"/>
          <w:strike w:val="1"/>
        </w:rPr>
        <w:t>Increased Costs Generally</w:t>
      </w:r>
      <w:r>
        <w:rPr>
          <w:rFonts w:ascii="Arial" w:cs="Arial" w:eastAsia="Arial" w:hAnsi="Arial"/>
          <w:sz w:val="16"/>
          <w:szCs w:val="16"/>
          <w:color w:val="000000"/>
          <w:strike w:val="1"/>
        </w:rPr>
        <w:t>. If any Change in Law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-7620</wp:posOffset>
            </wp:positionV>
            <wp:extent cx="2000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5" w:lineRule="exact"/>
        <w:rPr>
          <w:sz w:val="20"/>
          <w:szCs w:val="20"/>
          <w:color w:val="auto"/>
        </w:rPr>
      </w:pPr>
    </w:p>
    <w:p>
      <w:pPr>
        <w:jc w:val="both"/>
        <w:ind w:left="660" w:firstLine="1292"/>
        <w:spacing w:after="0" w:line="289" w:lineRule="auto"/>
        <w:tabs>
          <w:tab w:leader="none" w:pos="277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impose, modify or deem applicable any reserve, special deposit, </w:t>
      </w:r>
      <w:r>
        <w:rPr>
          <w:rFonts w:ascii="Arial" w:cs="Arial" w:eastAsia="Arial" w:hAnsi="Arial"/>
          <w:sz w:val="17"/>
          <w:szCs w:val="17"/>
          <w:b w:val="1"/>
          <w:bCs w:val="1"/>
          <w:u w:val="single" w:color="auto"/>
          <w:color w:val="0000FF"/>
        </w:rPr>
        <w:t>liquidity or similar requirement (including any</w:t>
      </w:r>
      <w:r>
        <w:rPr>
          <w:rFonts w:ascii="Arial" w:cs="Arial" w:eastAsia="Arial" w:hAnsi="Arial"/>
          <w:sz w:val="17"/>
          <w:szCs w:val="17"/>
          <w:color w:val="auto"/>
        </w:rPr>
        <w:t xml:space="preserve"> compulsory loan, insurance charge or similar </w:t>
      </w:r>
      <w:r>
        <w:rPr>
          <w:rFonts w:ascii="Arial" w:cs="Arial" w:eastAsia="Arial" w:hAnsi="Arial"/>
          <w:sz w:val="17"/>
          <w:szCs w:val="17"/>
          <w:b w:val="1"/>
          <w:bCs w:val="1"/>
          <w:color w:val="FF0000"/>
          <w:strike w:val="1"/>
        </w:rPr>
        <w:t>requirement</w:t>
      </w:r>
      <w:r>
        <w:rPr>
          <w:rFonts w:ascii="Arial" w:cs="Arial" w:eastAsia="Arial" w:hAnsi="Arial"/>
          <w:sz w:val="17"/>
          <w:szCs w:val="17"/>
          <w:b w:val="1"/>
          <w:bCs w:val="1"/>
          <w:u w:val="single" w:color="auto"/>
          <w:color w:val="0000FF"/>
        </w:rPr>
        <w:t>assessment)</w:t>
      </w:r>
      <w:r>
        <w:rPr>
          <w:rFonts w:ascii="Arial" w:cs="Arial" w:eastAsia="Arial" w:hAnsi="Arial"/>
          <w:sz w:val="17"/>
          <w:szCs w:val="17"/>
          <w:color w:val="auto"/>
        </w:rPr>
        <w:t xml:space="preserve"> against assets of, deposits with or for the account of, or credit extended or participated in by, any Lender </w:t>
      </w:r>
      <w:r>
        <w:rPr>
          <w:rFonts w:ascii="Arial" w:cs="Arial" w:eastAsia="Arial" w:hAnsi="Arial"/>
          <w:sz w:val="17"/>
          <w:szCs w:val="17"/>
          <w:b w:val="1"/>
          <w:bCs w:val="1"/>
          <w:color w:val="FF0000"/>
          <w:strike w:val="1"/>
        </w:rPr>
        <w:t>(except any reserve requirement contemplated by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Section 3.04(e)</w:t>
      </w:r>
      <w:r>
        <w:rPr>
          <w:rFonts w:ascii="Arial" w:cs="Arial" w:eastAsia="Arial" w:hAnsi="Arial"/>
          <w:sz w:val="17"/>
          <w:szCs w:val="17"/>
          <w:b w:val="1"/>
          <w:bCs w:val="1"/>
          <w:color w:val="FF0000"/>
          <w:strike w:val="1"/>
        </w:rPr>
        <w:t>)</w:t>
      </w:r>
      <w:r>
        <w:rPr>
          <w:rFonts w:ascii="Arial" w:cs="Arial" w:eastAsia="Arial" w:hAnsi="Arial"/>
          <w:sz w:val="17"/>
          <w:szCs w:val="17"/>
          <w:color w:val="auto"/>
        </w:rPr>
        <w:t xml:space="preserve"> or any L/C Issuer;</w:t>
      </w:r>
    </w:p>
    <w:p>
      <w:pPr>
        <w:spacing w:after="0" w:line="157" w:lineRule="exact"/>
        <w:rPr>
          <w:rFonts w:ascii="Arial" w:cs="Arial" w:eastAsia="Arial" w:hAnsi="Arial"/>
          <w:sz w:val="17"/>
          <w:szCs w:val="17"/>
          <w:color w:val="auto"/>
        </w:rPr>
      </w:pPr>
    </w:p>
    <w:p>
      <w:pPr>
        <w:jc w:val="both"/>
        <w:ind w:left="660" w:firstLine="1292"/>
        <w:spacing w:after="0" w:line="287" w:lineRule="auto"/>
        <w:tabs>
          <w:tab w:leader="none" w:pos="263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subject any Lender or any L/C Issuer to any </w:t>
      </w:r>
      <w:r>
        <w:rPr>
          <w:rFonts w:ascii="Arial" w:cs="Arial" w:eastAsia="Arial" w:hAnsi="Arial"/>
          <w:sz w:val="16"/>
          <w:szCs w:val="16"/>
          <w:b w:val="1"/>
          <w:bCs w:val="1"/>
          <w:color w:val="FF0000"/>
          <w:strike w:val="1"/>
        </w:rPr>
        <w:t>Tax of any kind whatsoever with respect to this Agreement, any Letter</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of Credit, any participation in a Letter of Credit or any Eurodollar Rate Loan made by it, or change the basis of taxation of payments to such Lender or such L/C Issuer in respect thereof</w:t>
      </w:r>
      <w:r>
        <w:rPr>
          <w:rFonts w:ascii="Arial" w:cs="Arial" w:eastAsia="Arial" w:hAnsi="Arial"/>
          <w:sz w:val="16"/>
          <w:szCs w:val="16"/>
          <w:b w:val="1"/>
          <w:bCs w:val="1"/>
          <w:u w:val="single" w:color="auto"/>
          <w:color w:val="0000FF"/>
          <w:strike w:val="1"/>
        </w:rPr>
        <w:t>Taxes</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(except for</w:t>
      </w:r>
      <w:r>
        <w:rPr>
          <w:rFonts w:ascii="Arial" w:cs="Arial" w:eastAsia="Arial" w:hAnsi="Arial"/>
          <w:sz w:val="16"/>
          <w:szCs w:val="16"/>
          <w:b w:val="1"/>
          <w:bCs w:val="1"/>
          <w:u w:val="single" w:color="auto"/>
          <w:color w:val="0000FF"/>
          <w:strike w:val="1"/>
        </w:rPr>
        <w:t>: (A)</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Indemnified Taxes or Other Taxes</w:t>
      </w:r>
      <w:r>
        <w:rPr>
          <w:rFonts w:ascii="Arial" w:cs="Arial" w:eastAsia="Arial" w:hAnsi="Arial"/>
          <w:sz w:val="16"/>
          <w:szCs w:val="16"/>
          <w:b w:val="1"/>
          <w:bCs w:val="1"/>
          <w:color w:val="FF0000"/>
          <w:strike w:val="1"/>
        </w:rPr>
        <w:t xml:space="preserve"> covered by Section 3.01 and</w:t>
      </w:r>
      <w:r>
        <w:rPr>
          <w:rFonts w:ascii="Arial" w:cs="Arial" w:eastAsia="Arial" w:hAnsi="Arial"/>
          <w:sz w:val="16"/>
          <w:szCs w:val="16"/>
          <w:b w:val="1"/>
          <w:bCs w:val="1"/>
          <w:u w:val="single" w:color="auto"/>
          <w:color w:val="0000FF"/>
          <w:strike w:val="1"/>
        </w:rPr>
        <w:t>, (B)</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 xml:space="preserve">the imposition of, or any change in the rate of, </w:t>
      </w:r>
      <w:r>
        <w:rPr>
          <w:rFonts w:ascii="Arial" w:cs="Arial" w:eastAsia="Arial" w:hAnsi="Arial"/>
          <w:sz w:val="16"/>
          <w:szCs w:val="16"/>
          <w:b w:val="1"/>
          <w:bCs w:val="1"/>
          <w:color w:val="FF0000"/>
          <w:strike w:val="1"/>
        </w:rPr>
        <w:t>any Excluded Tax payable by such Lender or such L/C Issuer); or</w:t>
      </w:r>
      <w:r>
        <w:rPr>
          <w:rFonts w:ascii="Arial" w:cs="Arial" w:eastAsia="Arial" w:hAnsi="Arial"/>
          <w:sz w:val="16"/>
          <w:szCs w:val="16"/>
          <w:b w:val="1"/>
          <w:bCs w:val="1"/>
          <w:u w:val="single" w:color="auto"/>
          <w:color w:val="0000FF"/>
          <w:strike w:val="1"/>
        </w:rPr>
        <w:t>Taxes described in clauses</w:t>
      </w:r>
    </w:p>
    <w:p>
      <w:pPr>
        <w:spacing w:after="0" w:line="2" w:lineRule="exact"/>
        <w:rPr>
          <w:rFonts w:ascii="Arial" w:cs="Arial" w:eastAsia="Arial" w:hAnsi="Arial"/>
          <w:sz w:val="16"/>
          <w:szCs w:val="16"/>
          <w:color w:val="auto"/>
        </w:rPr>
      </w:pPr>
    </w:p>
    <w:p>
      <w:pPr>
        <w:ind w:left="660" w:right="20" w:hanging="4"/>
        <w:spacing w:after="0" w:line="260" w:lineRule="auto"/>
        <w:tabs>
          <w:tab w:leader="none" w:pos="914" w:val="left"/>
        </w:tabs>
        <w:numPr>
          <w:ilvl w:val="0"/>
          <w:numId w:val="118"/>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through (f) of Excluded Tax, or (C) Other Connection Taxes that are imposed on or measured by net income (however denominated) or that are franchise Taxes or branch profits Taxes); or</w:t>
      </w:r>
    </w:p>
    <w:p>
      <w:pPr>
        <w:spacing w:after="0" w:line="181" w:lineRule="exact"/>
        <w:rPr>
          <w:rFonts w:ascii="Arial" w:cs="Arial" w:eastAsia="Arial" w:hAnsi="Arial"/>
          <w:sz w:val="18"/>
          <w:szCs w:val="18"/>
          <w:b w:val="1"/>
          <w:bCs w:val="1"/>
          <w:u w:val="single" w:color="auto"/>
          <w:color w:val="0000FF"/>
        </w:rPr>
      </w:pPr>
    </w:p>
    <w:p>
      <w:pPr>
        <w:jc w:val="both"/>
        <w:ind w:left="660" w:firstLine="1292"/>
        <w:spacing w:after="0" w:line="266" w:lineRule="auto"/>
        <w:tabs>
          <w:tab w:leader="none" w:pos="273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impose on any Lender or any L/C Issuer or the </w:t>
      </w:r>
      <w:r>
        <w:rPr>
          <w:rFonts w:ascii="Arial" w:cs="Arial" w:eastAsia="Arial" w:hAnsi="Arial"/>
          <w:sz w:val="18"/>
          <w:szCs w:val="18"/>
          <w:b w:val="1"/>
          <w:bCs w:val="1"/>
          <w:color w:val="FF0000"/>
          <w:strike w:val="1"/>
        </w:rPr>
        <w:t>London interbank</w:t>
      </w:r>
      <w:r>
        <w:rPr>
          <w:rFonts w:ascii="Arial" w:cs="Arial" w:eastAsia="Arial" w:hAnsi="Arial"/>
          <w:sz w:val="18"/>
          <w:szCs w:val="18"/>
          <w:b w:val="1"/>
          <w:bCs w:val="1"/>
          <w:u w:val="single" w:color="auto"/>
          <w:color w:val="0000FF"/>
        </w:rPr>
        <w:t>applicable offshore</w:t>
      </w:r>
      <w:r>
        <w:rPr>
          <w:rFonts w:ascii="Arial" w:cs="Arial" w:eastAsia="Arial" w:hAnsi="Arial"/>
          <w:sz w:val="18"/>
          <w:szCs w:val="18"/>
          <w:color w:val="auto"/>
        </w:rPr>
        <w:t xml:space="preserve"> market any other condition, cost or expense </w:t>
      </w:r>
      <w:r>
        <w:rPr>
          <w:rFonts w:ascii="Arial" w:cs="Arial" w:eastAsia="Arial" w:hAnsi="Arial"/>
          <w:sz w:val="18"/>
          <w:szCs w:val="18"/>
          <w:b w:val="1"/>
          <w:bCs w:val="1"/>
          <w:u w:val="single" w:color="auto"/>
          <w:color w:val="0000FF"/>
        </w:rPr>
        <w:t>(other than Taxes)</w:t>
      </w:r>
      <w:r>
        <w:rPr>
          <w:rFonts w:ascii="Arial" w:cs="Arial" w:eastAsia="Arial" w:hAnsi="Arial"/>
          <w:sz w:val="18"/>
          <w:szCs w:val="18"/>
          <w:color w:val="auto"/>
        </w:rPr>
        <w:t xml:space="preserve"> affecting this Agreement or </w:t>
      </w:r>
      <w:r>
        <w:rPr>
          <w:rFonts w:ascii="Arial" w:cs="Arial" w:eastAsia="Arial" w:hAnsi="Arial"/>
          <w:sz w:val="18"/>
          <w:szCs w:val="18"/>
          <w:b w:val="1"/>
          <w:bCs w:val="1"/>
          <w:color w:val="FF0000"/>
          <w:strike w:val="1"/>
        </w:rPr>
        <w:t>Eurodollar Rate</w:t>
      </w:r>
      <w:r>
        <w:rPr>
          <w:rFonts w:ascii="Arial" w:cs="Arial" w:eastAsia="Arial" w:hAnsi="Arial"/>
          <w:sz w:val="18"/>
          <w:szCs w:val="18"/>
          <w:color w:val="auto"/>
        </w:rPr>
        <w:t xml:space="preserve"> Loans made by such Lender or any Letter of Credit or participation therein;</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and the result of any of the foregoing shall be to increase the cost to such Lender </w:t>
      </w:r>
      <w:r>
        <w:rPr>
          <w:rFonts w:ascii="Arial" w:cs="Arial" w:eastAsia="Arial" w:hAnsi="Arial"/>
          <w:sz w:val="16"/>
          <w:szCs w:val="16"/>
          <w:b w:val="1"/>
          <w:bCs w:val="1"/>
          <w:u w:val="single" w:color="auto"/>
          <w:color w:val="0000FF"/>
        </w:rPr>
        <w:t>or L/C Issuer</w:t>
      </w:r>
      <w:r>
        <w:rPr>
          <w:rFonts w:ascii="Arial" w:cs="Arial" w:eastAsia="Arial" w:hAnsi="Arial"/>
          <w:sz w:val="16"/>
          <w:szCs w:val="16"/>
          <w:color w:val="auto"/>
        </w:rPr>
        <w:t xml:space="preserve"> of making, continuing, converting to or maintaining any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color w:val="FF0000"/>
        </w:rPr>
        <w:t xml:space="preserve"> </w:t>
      </w:r>
      <w:r>
        <w:rPr>
          <w:rFonts w:ascii="Arial" w:cs="Arial" w:eastAsia="Arial" w:hAnsi="Arial"/>
          <w:sz w:val="16"/>
          <w:szCs w:val="16"/>
          <w:color w:val="000000"/>
        </w:rPr>
        <w:t>Loan (or of maintaining its obligation to make any such Loan), or to increase the cost to such Lender or such L/C Issuer of participating</w:t>
      </w:r>
      <w:r>
        <w:rPr>
          <w:rFonts w:ascii="Arial" w:cs="Arial" w:eastAsia="Arial" w:hAnsi="Arial"/>
          <w:sz w:val="16"/>
          <w:szCs w:val="16"/>
          <w:b w:val="1"/>
          <w:bCs w:val="1"/>
          <w:color w:val="FF0000"/>
        </w:rPr>
        <w:t xml:space="preserve"> </w:t>
      </w:r>
      <w:r>
        <w:rPr>
          <w:rFonts w:ascii="Arial" w:cs="Arial" w:eastAsia="Arial" w:hAnsi="Arial"/>
          <w:sz w:val="16"/>
          <w:szCs w:val="16"/>
          <w:color w:val="000000"/>
        </w:rPr>
        <w:t>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64" w:lineRule="exact"/>
        <w:rPr>
          <w:sz w:val="20"/>
          <w:szCs w:val="20"/>
          <w:color w:val="auto"/>
        </w:rPr>
      </w:pPr>
    </w:p>
    <w:p>
      <w:pPr>
        <w:jc w:val="both"/>
        <w:ind w:firstLine="1304"/>
        <w:spacing w:after="0" w:line="270" w:lineRule="auto"/>
        <w:tabs>
          <w:tab w:leader="none" w:pos="2023"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xml:space="preserve">.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w:t>
      </w:r>
      <w:r>
        <w:rPr>
          <w:rFonts w:ascii="Arial" w:cs="Arial" w:eastAsia="Arial" w:hAnsi="Arial"/>
          <w:sz w:val="17"/>
          <w:szCs w:val="17"/>
          <w:b w:val="1"/>
          <w:bCs w:val="1"/>
          <w:color w:val="0000FF"/>
        </w:rPr>
        <w:t>and liquidity</w:t>
      </w:r>
      <w:r>
        <w:rPr>
          <w:rFonts w:ascii="Arial" w:cs="Arial" w:eastAsia="Arial" w:hAnsi="Arial"/>
          <w:sz w:val="17"/>
          <w:szCs w:val="17"/>
          <w:color w:val="auto"/>
        </w:rPr>
        <w:t>),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-295275</wp:posOffset>
            </wp:positionV>
            <wp:extent cx="6858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-312420</wp:posOffset>
            </wp:positionV>
            <wp:extent cx="6883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8340" cy="8890"/>
                    </a:xfrm>
                    <a:prstGeom prst="rect">
                      <a:avLst/>
                    </a:prstGeom>
                    <a:noFill/>
                  </pic:spPr>
                </pic:pic>
              </a:graphicData>
            </a:graphic>
          </wp:anchor>
        </w:drawing>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jc w:val="both"/>
        <w:ind w:firstLine="1304"/>
        <w:spacing w:after="0" w:line="257" w:lineRule="auto"/>
        <w:tabs>
          <w:tab w:leader="none" w:pos="20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an L/C Issuer setting forth the amount or amounts necessary to compensate such Lender or such L/C Issuer or its holding company, as the case may be, and describing in reasonable detail the calculation thereof, and providing reasonable documentation to support the request as specified in subsection (a), (b) or (e) of this Section and delivered to the Borrower shall be conclusive absent manifest error. The Borrower shall pay such Lender or such L/C Issuer, as the case may be, the amount shown as due on any such certificate within 30 days after receipt thereof.</w:t>
      </w:r>
    </w:p>
    <w:p>
      <w:pPr>
        <w:spacing w:after="0" w:line="187" w:lineRule="exact"/>
        <w:rPr>
          <w:rFonts w:ascii="Arial" w:cs="Arial" w:eastAsia="Arial" w:hAnsi="Arial"/>
          <w:sz w:val="18"/>
          <w:szCs w:val="18"/>
          <w:color w:val="auto"/>
        </w:rPr>
      </w:pPr>
    </w:p>
    <w:p>
      <w:pPr>
        <w:jc w:val="both"/>
        <w:ind w:firstLine="1304"/>
        <w:spacing w:after="0" w:line="272" w:lineRule="auto"/>
        <w:tabs>
          <w:tab w:leader="none" w:pos="2145"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3" w:lineRule="exact"/>
        <w:rPr>
          <w:rFonts w:ascii="Arial" w:cs="Arial" w:eastAsia="Arial" w:hAnsi="Arial"/>
          <w:sz w:val="17"/>
          <w:szCs w:val="17"/>
          <w:color w:val="auto"/>
        </w:rPr>
      </w:pPr>
    </w:p>
    <w:p>
      <w:pPr>
        <w:jc w:val="both"/>
        <w:ind w:firstLine="1304"/>
        <w:spacing w:after="0" w:line="292" w:lineRule="auto"/>
        <w:tabs>
          <w:tab w:leader="none" w:pos="1972" w:val="left"/>
        </w:tabs>
        <w:numPr>
          <w:ilvl w:val="0"/>
          <w:numId w:val="120"/>
        </w:numPr>
        <w:rPr>
          <w:rFonts w:ascii="Arial" w:cs="Arial" w:eastAsia="Arial" w:hAnsi="Arial"/>
          <w:sz w:val="16"/>
          <w:szCs w:val="16"/>
          <w:b w:val="1"/>
          <w:bCs w:val="1"/>
          <w:color w:val="FF0000"/>
          <w:strike w:val="1"/>
        </w:rPr>
      </w:pPr>
      <w:r>
        <w:rPr>
          <w:rFonts w:ascii="Arial" w:cs="Arial" w:eastAsia="Arial" w:hAnsi="Arial"/>
          <w:sz w:val="16"/>
          <w:szCs w:val="16"/>
          <w:b w:val="1"/>
          <w:bCs w:val="1"/>
          <w:u w:val="single" w:color="auto"/>
          <w:color w:val="FF0000"/>
          <w:strike w:val="1"/>
        </w:rPr>
        <w:t>Reserves on Eurodollar Rate Loans</w:t>
      </w:r>
      <w:r>
        <w:rPr>
          <w:rFonts w:ascii="Arial" w:cs="Arial" w:eastAsia="Arial" w:hAnsi="Arial"/>
          <w:sz w:val="16"/>
          <w:szCs w:val="16"/>
          <w:b w:val="1"/>
          <w:bCs w:val="1"/>
          <w:color w:val="FF0000"/>
          <w:strike w:val="1"/>
        </w:rPr>
        <w:t>. The Borrower shall pay to each Lender, as long as such Lender shall be required to</w:t>
      </w:r>
      <w:r>
        <w:rPr>
          <w:rFonts w:ascii="Arial" w:cs="Arial" w:eastAsia="Arial" w:hAnsi="Arial"/>
          <w:sz w:val="16"/>
          <w:szCs w:val="16"/>
          <w:b w:val="1"/>
          <w:bCs w:val="1"/>
          <w:u w:val="single" w:color="auto"/>
          <w:color w:val="FF0000"/>
          <w:strike w:val="1"/>
        </w:rPr>
        <w:t xml:space="preserve"> </w:t>
      </w:r>
      <w:r>
        <w:rPr>
          <w:rFonts w:ascii="Arial" w:cs="Arial" w:eastAsia="Arial" w:hAnsi="Arial"/>
          <w:sz w:val="16"/>
          <w:szCs w:val="16"/>
          <w:b w:val="1"/>
          <w:bCs w:val="1"/>
          <w:color w:val="FF0000"/>
          <w:strike w:val="1"/>
        </w:rPr>
        <w:t xml:space="preserve">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b w:val="1"/>
          <w:bCs w:val="1"/>
          <w:color w:val="FF0000"/>
          <w:strike w:val="1"/>
        </w:rPr>
        <w:t xml:space="preserve"> the Borrower shall have received at least 30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u w:val="single" w:color="auto"/>
          <w:color w:val="FF0000"/>
          <w:strike w:val="1"/>
        </w:rPr>
        <w:t>3.05</w:t>
      </w:r>
      <w:r>
        <w:rPr>
          <w:rFonts w:ascii="Arial" w:cs="Arial" w:eastAsia="Arial" w:hAnsi="Arial"/>
          <w:sz w:val="18"/>
          <w:szCs w:val="18"/>
          <w:b w:val="1"/>
          <w:bCs w:val="1"/>
          <w:u w:val="single" w:color="auto"/>
          <w:color w:val="0000FF"/>
        </w:rPr>
        <w:t>3.04</w:t>
      </w:r>
      <w:r>
        <w:rPr>
          <w:sz w:val="20"/>
          <w:szCs w:val="20"/>
          <w:color w:val="auto"/>
        </w:rPr>
        <w:tab/>
      </w:r>
      <w:r>
        <w:rPr>
          <w:rFonts w:ascii="Arial" w:cs="Arial" w:eastAsia="Arial" w:hAnsi="Arial"/>
          <w:sz w:val="16"/>
          <w:szCs w:val="16"/>
          <w:color w:val="auto"/>
        </w:rPr>
        <w:t>Compensation for Losses. Upon written demand of any Lender (with a copy to the Administrative Agent) from time to time,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-7620</wp:posOffset>
            </wp:positionV>
            <wp:extent cx="15982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98295" cy="8890"/>
                    </a:xfrm>
                    <a:prstGeom prst="rect">
                      <a:avLst/>
                    </a:prstGeom>
                    <a:noFill/>
                  </pic:spPr>
                </pic:pic>
              </a:graphicData>
            </a:graphic>
          </wp:anchor>
        </w:drawing>
      </w:r>
    </w:p>
    <w:p>
      <w:pPr>
        <w:spacing w:after="0" w:line="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Borrower shall promptly compensate such Lender for and hold such Lender harmless from any loss </w:t>
      </w:r>
      <w:r>
        <w:rPr>
          <w:rFonts w:ascii="Arial" w:cs="Arial" w:eastAsia="Arial" w:hAnsi="Arial"/>
          <w:sz w:val="18"/>
          <w:szCs w:val="18"/>
          <w:b w:val="1"/>
          <w:bCs w:val="1"/>
          <w:u w:val="single" w:color="auto"/>
          <w:color w:val="0000FF"/>
        </w:rPr>
        <w:t>(other than lost profits)</w:t>
      </w:r>
      <w:r>
        <w:rPr>
          <w:rFonts w:ascii="Arial" w:cs="Arial" w:eastAsia="Arial" w:hAnsi="Arial"/>
          <w:sz w:val="18"/>
          <w:szCs w:val="18"/>
          <w:color w:val="auto"/>
        </w:rPr>
        <w:t>, cost or expense incurred by it as a result of:</w:t>
      </w:r>
    </w:p>
    <w:p>
      <w:pPr>
        <w:spacing w:after="0" w:line="185" w:lineRule="exact"/>
        <w:rPr>
          <w:sz w:val="20"/>
          <w:szCs w:val="20"/>
          <w:color w:val="auto"/>
        </w:rPr>
      </w:pPr>
    </w:p>
    <w:p>
      <w:pPr>
        <w:jc w:val="both"/>
        <w:ind w:firstLine="1304"/>
        <w:spacing w:after="0" w:line="263" w:lineRule="auto"/>
        <w:tabs>
          <w:tab w:leader="none" w:pos="198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any continuation, conversion, payment or prepayment of any Loan other than a Base Rate Loan on a day other than the last day of the Interest Period </w:t>
      </w:r>
      <w:r>
        <w:rPr>
          <w:rFonts w:ascii="Arial" w:cs="Arial" w:eastAsia="Arial" w:hAnsi="Arial"/>
          <w:sz w:val="18"/>
          <w:szCs w:val="18"/>
          <w:b w:val="1"/>
          <w:bCs w:val="1"/>
          <w:u w:val="single" w:color="auto"/>
          <w:color w:val="0000FF"/>
        </w:rPr>
        <w:t>(with respect to a Term Benchmark Loan) or the Interest Payment Date (with respect to an RFR Loan)</w:t>
      </w:r>
      <w:r>
        <w:rPr>
          <w:rFonts w:ascii="Arial" w:cs="Arial" w:eastAsia="Arial" w:hAnsi="Arial"/>
          <w:sz w:val="18"/>
          <w:szCs w:val="18"/>
          <w:color w:val="auto"/>
        </w:rPr>
        <w:t xml:space="preserve"> for such Loan (whether voluntary, mandatory, automatic, by reason of acceleration, or otherwise);</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8" w:name="page139"/>
    <w:bookmarkEnd w:id="138"/>
    <w:p>
      <w:pPr>
        <w:ind w:firstLine="1304"/>
        <w:spacing w:after="0" w:line="277" w:lineRule="auto"/>
        <w:tabs>
          <w:tab w:leader="none" w:pos="202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66" w:lineRule="exact"/>
        <w:rPr>
          <w:rFonts w:ascii="Arial" w:cs="Arial" w:eastAsia="Arial" w:hAnsi="Arial"/>
          <w:sz w:val="18"/>
          <w:szCs w:val="18"/>
          <w:color w:val="auto"/>
        </w:rPr>
      </w:pPr>
    </w:p>
    <w:p>
      <w:pPr>
        <w:ind w:firstLine="1304"/>
        <w:spacing w:after="0" w:line="347" w:lineRule="auto"/>
        <w:tabs>
          <w:tab w:leader="none" w:pos="207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any assignment of a </w:t>
      </w:r>
      <w:r>
        <w:rPr>
          <w:rFonts w:ascii="Arial" w:cs="Arial" w:eastAsia="Arial" w:hAnsi="Arial"/>
          <w:sz w:val="16"/>
          <w:szCs w:val="16"/>
          <w:b w:val="1"/>
          <w:bCs w:val="1"/>
          <w:color w:val="FF0000"/>
          <w:strike w:val="1"/>
        </w:rPr>
        <w:t>Eurodollar Rate</w:t>
      </w:r>
      <w:r>
        <w:rPr>
          <w:rFonts w:ascii="Arial" w:cs="Arial" w:eastAsia="Arial" w:hAnsi="Arial"/>
          <w:sz w:val="16"/>
          <w:szCs w:val="16"/>
          <w:b w:val="1"/>
          <w:bCs w:val="1"/>
          <w:u w:val="single" w:color="auto"/>
          <w:color w:val="0000FF"/>
        </w:rPr>
        <w:t>Term Benchmark</w:t>
      </w:r>
      <w:r>
        <w:rPr>
          <w:rFonts w:ascii="Arial" w:cs="Arial" w:eastAsia="Arial" w:hAnsi="Arial"/>
          <w:sz w:val="16"/>
          <w:szCs w:val="16"/>
          <w:color w:val="auto"/>
        </w:rPr>
        <w:t xml:space="preserve"> Loan on a day other than the last day of the Interest Period </w:t>
      </w:r>
      <w:r>
        <w:rPr>
          <w:rFonts w:ascii="Arial" w:cs="Arial" w:eastAsia="Arial" w:hAnsi="Arial"/>
          <w:sz w:val="16"/>
          <w:szCs w:val="16"/>
          <w:b w:val="1"/>
          <w:bCs w:val="1"/>
          <w:u w:val="single" w:color="auto"/>
          <w:color w:val="0000FF"/>
        </w:rPr>
        <w:t>or any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assignment of an RFR Loan on a day other than an Interest Payment Date</w:t>
      </w:r>
      <w:r>
        <w:rPr>
          <w:rFonts w:ascii="Arial" w:cs="Arial" w:eastAsia="Arial" w:hAnsi="Arial"/>
          <w:sz w:val="16"/>
          <w:szCs w:val="16"/>
          <w:b w:val="1"/>
          <w:bCs w:val="1"/>
          <w:color w:val="0000FF"/>
        </w:rPr>
        <w:t xml:space="preserve"> </w:t>
      </w:r>
      <w:r>
        <w:rPr>
          <w:rFonts w:ascii="Arial" w:cs="Arial" w:eastAsia="Arial" w:hAnsi="Arial"/>
          <w:sz w:val="16"/>
          <w:szCs w:val="16"/>
          <w:color w:val="000000"/>
        </w:rPr>
        <w:t>therefor as a result of a request by the Borrower pursuant to</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Section 11.13</w:t>
      </w:r>
      <w:r>
        <w:rPr>
          <w:rFonts w:ascii="Arial" w:cs="Arial" w:eastAsia="Arial" w:hAnsi="Arial"/>
          <w:sz w:val="16"/>
          <w:szCs w:val="16"/>
          <w:color w:val="000000"/>
        </w:rPr>
        <w:t>;</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including any loss </w:t>
      </w:r>
      <w:r>
        <w:rPr>
          <w:rFonts w:ascii="Arial" w:cs="Arial" w:eastAsia="Arial" w:hAnsi="Arial"/>
          <w:sz w:val="18"/>
          <w:szCs w:val="18"/>
          <w:b w:val="1"/>
          <w:bCs w:val="1"/>
          <w:color w:val="FF0000"/>
        </w:rPr>
        <w:t>of anticipated profits and any loss</w:t>
      </w:r>
      <w:r>
        <w:rPr>
          <w:rFonts w:ascii="Arial" w:cs="Arial" w:eastAsia="Arial" w:hAnsi="Arial"/>
          <w:sz w:val="18"/>
          <w:szCs w:val="18"/>
          <w:b w:val="1"/>
          <w:bCs w:val="1"/>
          <w:u w:val="single" w:color="auto"/>
          <w:color w:val="0000FF"/>
        </w:rPr>
        <w:t>, cost</w:t>
      </w:r>
      <w:r>
        <w:rPr>
          <w:rFonts w:ascii="Arial" w:cs="Arial" w:eastAsia="Arial" w:hAnsi="Arial"/>
          <w:sz w:val="18"/>
          <w:szCs w:val="18"/>
          <w:color w:val="auto"/>
        </w:rPr>
        <w:t xml:space="preserve"> or expense arising from the liquidation or reemployment of funds obtained by it to maintain such </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 or from fees payable to terminate the deposits from which such funds were obtained. The Borrower shall also pay any customary administrative fees charged by such Lender in connection with the foregoing. </w:t>
      </w:r>
      <w:r>
        <w:rPr>
          <w:rFonts w:ascii="Arial" w:cs="Arial" w:eastAsia="Arial" w:hAnsi="Arial"/>
          <w:sz w:val="18"/>
          <w:szCs w:val="18"/>
          <w:b w:val="1"/>
          <w:bCs w:val="1"/>
          <w:color w:val="0000FF"/>
        </w:rPr>
        <w:t>For the avoidance of doubt, this Section 3.04 shall not apply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with respect to any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-499745</wp:posOffset>
            </wp:positionV>
            <wp:extent cx="17081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0815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-156845</wp:posOffset>
            </wp:positionV>
            <wp:extent cx="30175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17520" cy="8255"/>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-173990</wp:posOffset>
            </wp:positionV>
            <wp:extent cx="30130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13075" cy="8890"/>
                    </a:xfrm>
                    <a:prstGeom prst="rect">
                      <a:avLst/>
                    </a:prstGeom>
                    <a:noFill/>
                  </pic:spPr>
                </pic:pic>
              </a:graphicData>
            </a:graphic>
          </wp:anchor>
        </w:drawing>
      </w:r>
    </w:p>
    <w:p>
      <w:pPr>
        <w:spacing w:after="0" w:line="160"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FF0000"/>
          <w:strike w:val="1"/>
        </w:rPr>
        <w:t xml:space="preserve">For purposes of calculating amounts payable by the Borrower to the Lenders under this </w:t>
      </w:r>
      <w:r>
        <w:rPr>
          <w:rFonts w:ascii="Arial" w:cs="Arial" w:eastAsia="Arial" w:hAnsi="Arial"/>
          <w:sz w:val="16"/>
          <w:szCs w:val="16"/>
          <w:b w:val="1"/>
          <w:bCs w:val="1"/>
          <w:u w:val="single" w:color="auto"/>
          <w:color w:val="FF0000"/>
          <w:strike w:val="1"/>
        </w:rPr>
        <w:t>Section 3.05</w:t>
      </w:r>
      <w:r>
        <w:rPr>
          <w:rFonts w:ascii="Arial" w:cs="Arial" w:eastAsia="Arial" w:hAnsi="Arial"/>
          <w:sz w:val="16"/>
          <w:szCs w:val="16"/>
          <w:b w:val="1"/>
          <w:bCs w:val="1"/>
          <w:color w:val="FF0000"/>
          <w:strike w:val="1"/>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0000FF"/>
        </w:rPr>
        <w:t>A certificate of any Lender as to any amount or amounts payable pursuant to this Section 3.04, setting forth in reasonable detail the basis for requesting such amounts, and the manner in which such amounts were determined, shall be delivered to the Borrower and shall be conclusive absent manifest error.</w:t>
      </w:r>
    </w:p>
    <w:p>
      <w:pPr>
        <w:spacing w:after="0" w:line="176"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b w:val="1"/>
          <w:bCs w:val="1"/>
          <w:u w:val="single" w:color="auto"/>
          <w:color w:val="FF0000"/>
          <w:strike w:val="1"/>
        </w:rPr>
        <w:t>3.06</w:t>
      </w:r>
      <w:r>
        <w:rPr>
          <w:rFonts w:ascii="Arial" w:cs="Arial" w:eastAsia="Arial" w:hAnsi="Arial"/>
          <w:sz w:val="18"/>
          <w:szCs w:val="18"/>
          <w:b w:val="1"/>
          <w:bCs w:val="1"/>
          <w:u w:val="single" w:color="auto"/>
          <w:color w:val="0000FF"/>
        </w:rPr>
        <w:t>3.05</w:t>
      </w:r>
      <w:r>
        <w:rPr>
          <w:sz w:val="20"/>
          <w:szCs w:val="20"/>
          <w:color w:val="auto"/>
        </w:rPr>
        <w:tab/>
      </w:r>
      <w:r>
        <w:rPr>
          <w:rFonts w:ascii="Arial" w:cs="Arial" w:eastAsia="Arial" w:hAnsi="Arial"/>
          <w:sz w:val="16"/>
          <w:szCs w:val="16"/>
          <w:color w:val="auto"/>
        </w:rPr>
        <w:t xml:space="preserve">Mitigation Obligations; Replacement of Lenders. (xi) If any Lender requests compensation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FF0000"/>
          <w:strike w:val="1"/>
        </w:rPr>
        <w:t>3.04</w:t>
      </w:r>
      <w:r>
        <w:rPr>
          <w:rFonts w:ascii="Arial" w:cs="Arial" w:eastAsia="Arial" w:hAnsi="Arial"/>
          <w:sz w:val="16"/>
          <w:szCs w:val="16"/>
          <w:b w:val="1"/>
          <w:bCs w:val="1"/>
          <w:u w:val="single" w:color="auto"/>
          <w:color w:val="0000FF"/>
        </w:rPr>
        <w:t>3.03</w:t>
      </w:r>
      <w:r>
        <w:rPr>
          <w:rFonts w:ascii="Arial" w:cs="Arial" w:eastAsia="Arial" w:hAnsi="Arial"/>
          <w:sz w:val="16"/>
          <w:szCs w:val="16"/>
          <w:color w:val="auto"/>
        </w:rPr>
        <w: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-7620</wp:posOffset>
            </wp:positionV>
            <wp:extent cx="28467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line="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Borrower is required to pay any additional amount to any Lender, any L/C Issuer, or any Governmental Authority for the account of any Lender or any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written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such Lender or such L/C Issuer shall, as applicable, use reasonable efforts (which shall not require such Lender or such L/C Issuer to incur an unreimbursed loss or unreimbursed cost or expense or otherwise take any action inconsistent with its internal policies or legal or regulatory restrictions or suffer any disadvantage or burden reasonably deemed by it to be significant) to mitigate or reduce the additional amounts payable, which reasonable efforts may include designating a different Lending Office for funding or booking its Loans hereunder or assigning its rights and obligations hereunder to another of its offices, branches or affiliates, if, in the judgment of such Lender or such L/C Issuer, such change or other measure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FF0000"/>
          <w:strike w:val="1"/>
        </w:rPr>
        <w:t>3.04</w:t>
      </w:r>
      <w:r>
        <w:rPr>
          <w:rFonts w:ascii="Arial" w:cs="Arial" w:eastAsia="Arial" w:hAnsi="Arial"/>
          <w:sz w:val="17"/>
          <w:szCs w:val="17"/>
          <w:b w:val="1"/>
          <w:bCs w:val="1"/>
          <w:u w:val="single" w:color="auto"/>
          <w:color w:val="0000FF"/>
        </w:rPr>
        <w:t>3.03</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9" w:name="page140"/>
    <w:bookmarkEnd w:id="139"/>
    <w:p>
      <w:pPr>
        <w:jc w:val="both"/>
        <w:ind w:firstLine="1304"/>
        <w:spacing w:after="0" w:line="266" w:lineRule="auto"/>
        <w:tabs>
          <w:tab w:leader="none" w:pos="1969"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FF0000"/>
        </w:rPr>
        <w:t>3.04</w:t>
      </w:r>
      <w:r>
        <w:rPr>
          <w:rFonts w:ascii="Arial" w:cs="Arial" w:eastAsia="Arial" w:hAnsi="Arial"/>
          <w:sz w:val="18"/>
          <w:szCs w:val="18"/>
          <w:b w:val="1"/>
          <w:bCs w:val="1"/>
          <w:u w:val="single" w:color="auto"/>
          <w:color w:val="0000FF"/>
        </w:rPr>
        <w:t>3.03</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-313055</wp:posOffset>
            </wp:positionV>
            <wp:extent cx="2286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-364490</wp:posOffset>
            </wp:positionV>
            <wp:extent cx="2286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5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u w:val="single" w:color="auto"/>
          <w:color w:val="FF0000"/>
          <w:strike w:val="1"/>
        </w:rPr>
        <w:t>3.07</w:t>
      </w:r>
      <w:r>
        <w:rPr>
          <w:rFonts w:ascii="Arial" w:cs="Arial" w:eastAsia="Arial" w:hAnsi="Arial"/>
          <w:sz w:val="18"/>
          <w:szCs w:val="18"/>
          <w:b w:val="1"/>
          <w:bCs w:val="1"/>
          <w:u w:val="single" w:color="auto"/>
          <w:color w:val="0000FF"/>
        </w:rPr>
        <w:t>3.06</w:t>
      </w:r>
      <w:r>
        <w:rPr>
          <w:sz w:val="20"/>
          <w:szCs w:val="20"/>
          <w:color w:val="auto"/>
        </w:rPr>
        <w:tab/>
      </w:r>
      <w:r>
        <w:rPr>
          <w:rFonts w:ascii="Arial" w:cs="Arial" w:eastAsia="Arial" w:hAnsi="Arial"/>
          <w:sz w:val="16"/>
          <w:szCs w:val="16"/>
          <w:color w:val="auto"/>
        </w:rPr>
        <w:t>Survival. All of the Loan Parties’ obligations and all of the Lenders’, L/C Issuers’ and Administrative Agent’s obligations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-7620</wp:posOffset>
            </wp:positionV>
            <wp:extent cx="8324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any assignment of rights by (or the replacement of) a Lender and resignation of the Administrative Agent.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 TO CREDIT EXTENSIONS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4.01 Conditions of Initial Credit Extension. The effectiveness of this Agreement and the obligation of each L/C Issuer and each Lender to make its initial Credit Extension hereunder is subject to satisfaction or waiver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following conditions precedent, in addition to each of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on or prior to April 25, 2014 </w:t>
      </w:r>
      <w:r>
        <w:rPr>
          <w:rFonts w:ascii="Arial" w:cs="Arial" w:eastAsia="Arial" w:hAnsi="Arial"/>
          <w:sz w:val="18"/>
          <w:szCs w:val="18"/>
          <w:b w:val="1"/>
          <w:bCs w:val="1"/>
          <w:u w:val="single" w:color="auto"/>
          <w:color w:val="0000FF"/>
        </w:rPr>
        <w:t>(it being acknowledged that such conditions precedents were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satisfied or waived as of April 25, 2014)</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-446405</wp:posOffset>
            </wp:positionV>
            <wp:extent cx="22288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7" w:lineRule="exact"/>
        <w:rPr>
          <w:sz w:val="20"/>
          <w:szCs w:val="20"/>
          <w:color w:val="auto"/>
        </w:rPr>
      </w:pPr>
    </w:p>
    <w:p>
      <w:pPr>
        <w:jc w:val="both"/>
        <w:ind w:firstLine="1304"/>
        <w:spacing w:after="0" w:line="259" w:lineRule="auto"/>
        <w:tabs>
          <w:tab w:leader="none" w:pos="20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electronically transmitted copies of originals (followed as soon as reasonably practicable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86" w:lineRule="exact"/>
        <w:rPr>
          <w:rFonts w:ascii="Arial" w:cs="Arial" w:eastAsia="Arial" w:hAnsi="Arial"/>
          <w:sz w:val="18"/>
          <w:szCs w:val="18"/>
          <w:color w:val="auto"/>
        </w:rPr>
      </w:pPr>
    </w:p>
    <w:p>
      <w:pPr>
        <w:ind w:left="2600" w:hanging="648"/>
        <w:spacing w:after="0"/>
        <w:tabs>
          <w:tab w:leader="none" w:pos="26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executed counterparts of this Agreement;</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Note executed by the Borrower in favor of each Lender requesting a Note;</w:t>
      </w:r>
    </w:p>
    <w:p>
      <w:pPr>
        <w:spacing w:after="0" w:line="225" w:lineRule="exact"/>
        <w:rPr>
          <w:rFonts w:ascii="Arial" w:cs="Arial" w:eastAsia="Arial" w:hAnsi="Arial"/>
          <w:sz w:val="18"/>
          <w:szCs w:val="18"/>
          <w:color w:val="auto"/>
        </w:rPr>
      </w:pPr>
    </w:p>
    <w:p>
      <w:pPr>
        <w:ind w:left="660" w:firstLine="1292"/>
        <w:spacing w:after="0" w:line="277" w:lineRule="auto"/>
        <w:tabs>
          <w:tab w:leader="none" w:pos="285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an amended and restated pledge and security agreement, in substantially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Security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duly executed by each Loan Party, together with:</w:t>
      </w:r>
    </w:p>
    <w:p>
      <w:pPr>
        <w:spacing w:after="0" w:line="170" w:lineRule="exact"/>
        <w:rPr>
          <w:rFonts w:ascii="Arial" w:cs="Arial" w:eastAsia="Arial" w:hAnsi="Arial"/>
          <w:sz w:val="18"/>
          <w:szCs w:val="18"/>
          <w:color w:val="auto"/>
        </w:rPr>
      </w:pPr>
    </w:p>
    <w:p>
      <w:pPr>
        <w:ind w:left="1300" w:right="20" w:firstLine="1300"/>
        <w:spacing w:after="0" w:line="277" w:lineRule="auto"/>
        <w:tabs>
          <w:tab w:leader="none" w:pos="3548" w:val="left"/>
        </w:tabs>
        <w:numPr>
          <w:ilvl w:val="2"/>
          <w:numId w:val="124"/>
        </w:numPr>
        <w:rPr>
          <w:rFonts w:ascii="Arial" w:cs="Arial" w:eastAsia="Arial" w:hAnsi="Arial"/>
          <w:sz w:val="18"/>
          <w:szCs w:val="18"/>
          <w:color w:val="auto"/>
        </w:rPr>
      </w:pPr>
      <w:r>
        <w:rPr>
          <w:rFonts w:ascii="Arial" w:cs="Arial" w:eastAsia="Arial" w:hAnsi="Arial"/>
          <w:sz w:val="18"/>
          <w:szCs w:val="18"/>
          <w:color w:val="auto"/>
        </w:rPr>
        <w:t>certificates representing the Pledged Equity referred to therein accompanied by undated stock or other transfer powers executed in blank and instruments evidencing the Pledged Debt endorsed in blank,</w:t>
      </w:r>
    </w:p>
    <w:p>
      <w:pPr>
        <w:spacing w:after="0" w:line="170" w:lineRule="exact"/>
        <w:rPr>
          <w:rFonts w:ascii="Arial" w:cs="Arial" w:eastAsia="Arial" w:hAnsi="Arial"/>
          <w:sz w:val="18"/>
          <w:szCs w:val="18"/>
          <w:color w:val="auto"/>
        </w:rPr>
      </w:pPr>
    </w:p>
    <w:p>
      <w:pPr>
        <w:jc w:val="both"/>
        <w:ind w:left="1300" w:firstLine="1300"/>
        <w:spacing w:after="0" w:line="263" w:lineRule="auto"/>
        <w:tabs>
          <w:tab w:leader="none" w:pos="3556" w:val="left"/>
        </w:tabs>
        <w:numPr>
          <w:ilvl w:val="2"/>
          <w:numId w:val="124"/>
        </w:numPr>
        <w:rPr>
          <w:rFonts w:ascii="Arial" w:cs="Arial" w:eastAsia="Arial" w:hAnsi="Arial"/>
          <w:sz w:val="18"/>
          <w:szCs w:val="18"/>
          <w:color w:val="auto"/>
        </w:rPr>
      </w:pPr>
      <w:r>
        <w:rPr>
          <w:rFonts w:ascii="Arial" w:cs="Arial" w:eastAsia="Arial" w:hAnsi="Arial"/>
          <w:sz w:val="18"/>
          <w:szCs w:val="18"/>
          <w:color w:val="auto"/>
        </w:rPr>
        <w:t>proper financing statements in form appropriate for filing under the Uniform Commercial Code of all jurisdictions required to perfect the Liens created under the Security Agreement, covering the Collateral described in the Security Agreement,</w:t>
      </w:r>
    </w:p>
    <w:p>
      <w:pPr>
        <w:spacing w:after="0" w:line="183" w:lineRule="exact"/>
        <w:rPr>
          <w:rFonts w:ascii="Arial" w:cs="Arial" w:eastAsia="Arial" w:hAnsi="Arial"/>
          <w:sz w:val="18"/>
          <w:szCs w:val="18"/>
          <w:color w:val="auto"/>
        </w:rPr>
      </w:pPr>
    </w:p>
    <w:p>
      <w:pPr>
        <w:jc w:val="both"/>
        <w:ind w:left="1300" w:firstLine="1300"/>
        <w:spacing w:after="0" w:line="257" w:lineRule="auto"/>
        <w:tabs>
          <w:tab w:leader="none" w:pos="3541" w:val="left"/>
        </w:tabs>
        <w:numPr>
          <w:ilvl w:val="2"/>
          <w:numId w:val="124"/>
        </w:numPr>
        <w:rPr>
          <w:rFonts w:ascii="Arial" w:cs="Arial" w:eastAsia="Arial" w:hAnsi="Arial"/>
          <w:sz w:val="18"/>
          <w:szCs w:val="18"/>
          <w:color w:val="auto"/>
        </w:rPr>
      </w:pPr>
      <w:r>
        <w:rPr>
          <w:rFonts w:ascii="Arial" w:cs="Arial" w:eastAsia="Arial" w:hAnsi="Arial"/>
          <w:sz w:val="18"/>
          <w:szCs w:val="18"/>
          <w:color w:val="auto"/>
        </w:rPr>
        <w:t xml:space="preserve">completed results of a search of the UCC filings made with respect to the Persons in the jurisdictions contemplated by the Collateral Questionnaire, dated on or before the Closing Date, listing all effective financing statements that name any Loan Party as debtor disclosed by such search and evidence reasonably satisfactory to the Administrative Agent that the Liens indicated by such financing statements are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have been or will be contemporaneously released or terminated, and</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jc w:val="both"/>
        <w:ind w:left="1300" w:firstLine="1300"/>
        <w:spacing w:after="0" w:line="286" w:lineRule="auto"/>
        <w:tabs>
          <w:tab w:leader="none" w:pos="3491" w:val="left"/>
        </w:tabs>
        <w:numPr>
          <w:ilvl w:val="2"/>
          <w:numId w:val="125"/>
        </w:numPr>
        <w:rPr>
          <w:rFonts w:ascii="Arial" w:cs="Arial" w:eastAsia="Arial" w:hAnsi="Arial"/>
          <w:sz w:val="17"/>
          <w:szCs w:val="17"/>
          <w:color w:val="auto"/>
        </w:rPr>
      </w:pPr>
      <w:r>
        <w:rPr>
          <w:rFonts w:ascii="Arial" w:cs="Arial" w:eastAsia="Arial" w:hAnsi="Arial"/>
          <w:sz w:val="17"/>
          <w:szCs w:val="17"/>
          <w:color w:val="auto"/>
        </w:rPr>
        <w:t>evidence of the completion of all other actions, recordings and filings of or with respect to the Security Agreement required to perfect (subject to Section 4.7(b) of the Security Agreement, in the case of IP Rights) the Liens created under the Security Agreement (including receipt of duly executed payoff letters and UCC-3 termination statements);</w:t>
      </w:r>
    </w:p>
    <w:p>
      <w:pPr>
        <w:spacing w:after="0" w:line="165" w:lineRule="exact"/>
        <w:rPr>
          <w:rFonts w:ascii="Arial" w:cs="Arial" w:eastAsia="Arial" w:hAnsi="Arial"/>
          <w:sz w:val="17"/>
          <w:szCs w:val="17"/>
          <w:color w:val="auto"/>
        </w:rPr>
      </w:pPr>
    </w:p>
    <w:p>
      <w:pPr>
        <w:jc w:val="both"/>
        <w:ind w:left="660" w:firstLine="1292"/>
        <w:spacing w:after="0" w:line="291" w:lineRule="auto"/>
        <w:tabs>
          <w:tab w:leader="none" w:pos="2696"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a certificate of the secretary or assistant secretary of each Loan Party dated the Closing Date, certifying (I) that attached thereto is a true and complete copy of each Organization Document of such Loan Party certified (to the extent applicable) as of a recent date by the Secretary of State (or equivalent Governmental Authority) of the state or jurisdiction of its organization, and a certificate as to the good standing of each Loan Party and each Company Group Party as of a recent date, from such Secretary of State, (II) that attached thereto is a true and complete copy of resolutions duly authorizing the execution, delivery and performance of the Loan Documents to which such person is a party, (III) as to the incumbency and specimen signature of each officer executing any Loan Document and (B) a certificate of another Responsible Officer as to the incumbency and specimen signature of the secretary or assistant secretary executing the certificate pursuant to clause (A) above;</w:t>
      </w:r>
    </w:p>
    <w:p>
      <w:pPr>
        <w:spacing w:after="0" w:line="166" w:lineRule="exact"/>
        <w:rPr>
          <w:rFonts w:ascii="Arial" w:cs="Arial" w:eastAsia="Arial" w:hAnsi="Arial"/>
          <w:sz w:val="16"/>
          <w:szCs w:val="16"/>
          <w:color w:val="auto"/>
        </w:rPr>
      </w:pPr>
    </w:p>
    <w:p>
      <w:pPr>
        <w:ind w:left="660" w:firstLine="1292"/>
        <w:spacing w:after="0" w:line="277" w:lineRule="auto"/>
        <w:tabs>
          <w:tab w:leader="none" w:pos="270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favorable opinion of Kirkland &amp; Ellis LLP, counsel to the Loan Parties, addressed to the Administrative Agent and each Revolving Credit lender, in form and substance reasonably satisfactory to the Administrative Agent;</w:t>
      </w:r>
    </w:p>
    <w:p>
      <w:pPr>
        <w:spacing w:after="0" w:line="170" w:lineRule="exact"/>
        <w:rPr>
          <w:rFonts w:ascii="Arial" w:cs="Arial" w:eastAsia="Arial" w:hAnsi="Arial"/>
          <w:sz w:val="18"/>
          <w:szCs w:val="18"/>
          <w:color w:val="auto"/>
        </w:rPr>
      </w:pPr>
    </w:p>
    <w:p>
      <w:pPr>
        <w:jc w:val="both"/>
        <w:ind w:left="660" w:firstLine="1292"/>
        <w:spacing w:after="0" w:line="286" w:lineRule="auto"/>
        <w:tabs>
          <w:tab w:leader="none" w:pos="2679" w:val="left"/>
        </w:tabs>
        <w:numPr>
          <w:ilvl w:val="1"/>
          <w:numId w:val="126"/>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the Borrower certifying (A) that the conditions specified in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165" w:lineRule="exact"/>
        <w:rPr>
          <w:rFonts w:ascii="Arial" w:cs="Arial" w:eastAsia="Arial" w:hAnsi="Arial"/>
          <w:sz w:val="17"/>
          <w:szCs w:val="17"/>
          <w:color w:val="auto"/>
        </w:rPr>
      </w:pPr>
    </w:p>
    <w:p>
      <w:pPr>
        <w:ind w:left="2600" w:hanging="648"/>
        <w:spacing w:after="0"/>
        <w:tabs>
          <w:tab w:leader="none" w:pos="26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Closing Date Projections;</w:t>
      </w:r>
    </w:p>
    <w:p>
      <w:pPr>
        <w:spacing w:after="0" w:line="225" w:lineRule="exact"/>
        <w:rPr>
          <w:rFonts w:ascii="Arial" w:cs="Arial" w:eastAsia="Arial" w:hAnsi="Arial"/>
          <w:sz w:val="18"/>
          <w:szCs w:val="18"/>
          <w:color w:val="auto"/>
        </w:rPr>
      </w:pPr>
    </w:p>
    <w:p>
      <w:pPr>
        <w:ind w:left="660" w:firstLine="1292"/>
        <w:spacing w:after="0" w:line="277" w:lineRule="auto"/>
        <w:tabs>
          <w:tab w:leader="none" w:pos="264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certificates attesting to the Solvency of the Loan Parties, taken as a whole after giving effect to the Transaction, from the chief financial officer of Holdings; and</w:t>
      </w:r>
    </w:p>
    <w:p>
      <w:pPr>
        <w:spacing w:after="0" w:line="170" w:lineRule="exact"/>
        <w:rPr>
          <w:rFonts w:ascii="Arial" w:cs="Arial" w:eastAsia="Arial" w:hAnsi="Arial"/>
          <w:sz w:val="18"/>
          <w:szCs w:val="18"/>
          <w:color w:val="auto"/>
        </w:rPr>
      </w:pPr>
    </w:p>
    <w:p>
      <w:pPr>
        <w:ind w:left="660" w:right="20" w:firstLine="1292"/>
        <w:spacing w:after="0" w:line="277" w:lineRule="auto"/>
        <w:tabs>
          <w:tab w:leader="none" w:pos="277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 completed Collateral Questionnaire dated the Closing Date and executed by a Responsible Officer of each Loan Party, together with all attachments contemplated thereby.</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2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All fees required to be paid to the Administrative Agent and the Arrangers on or before the Closing Date shall have been paid and (ii) all fees required to be paid to the Lenders on or before the Closing Date, including pursuant to the Engagement Letter and the Fee Letter, shall have been paid.</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1" w:name="page142"/>
    <w:bookmarkEnd w:id="141"/>
    <w:p>
      <w:pPr>
        <w:ind w:right="20" w:firstLine="1304"/>
        <w:spacing w:after="0" w:line="277" w:lineRule="auto"/>
        <w:tabs>
          <w:tab w:leader="none" w:pos="196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Borrower shall have paid all reasonable and documented fees, charges and disbursements of counsel to the Administrative Agent directly to such counsel to the extent invoiced within two Business Days prior to the Closing Date.</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214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At least three (3) Business Days prior to the Closing Date,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that has been requested at least ten (10) days prior to the Closing Date.</w:t>
      </w:r>
    </w:p>
    <w:p>
      <w:pPr>
        <w:spacing w:after="0" w:line="171" w:lineRule="exact"/>
        <w:rPr>
          <w:rFonts w:ascii="Arial" w:cs="Arial" w:eastAsia="Arial" w:hAnsi="Arial"/>
          <w:sz w:val="17"/>
          <w:szCs w:val="17"/>
          <w:color w:val="auto"/>
        </w:rPr>
      </w:pPr>
    </w:p>
    <w:p>
      <w:pPr>
        <w:jc w:val="both"/>
        <w:ind w:firstLine="1304"/>
        <w:spacing w:after="0" w:line="263" w:lineRule="auto"/>
        <w:tabs>
          <w:tab w:leader="none" w:pos="205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Arrangers shall have received from Parent the Audited Financial Statements referred to in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and the unaudited financial statements referred to in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(it being understood that the audited financial statements filed on Form 10-K with the SEC shall satisfy the condition set forth in this clause (e)).</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02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No event, circumstance or change shall have occurred since the date of the Audited Financial Statements that has resulted,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Without limiting the generality of the provisions of clause (f) of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4.01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4.02 Conditions to all Credit Extensions. The obligation of each Lender to honor any Request for Credit Extension (other than a Committed Loan Notice requesting only a conversion of Loans to </w:t>
      </w:r>
      <w:r>
        <w:rPr>
          <w:rFonts w:ascii="Arial" w:cs="Arial" w:eastAsia="Arial" w:hAnsi="Arial"/>
          <w:sz w:val="18"/>
          <w:szCs w:val="18"/>
          <w:b w:val="1"/>
          <w:bCs w:val="1"/>
          <w:color w:val="FF0000"/>
          <w:strike w:val="1"/>
        </w:rPr>
        <w:t>the other</w:t>
      </w:r>
      <w:r>
        <w:rPr>
          <w:rFonts w:ascii="Arial" w:cs="Arial" w:eastAsia="Arial" w:hAnsi="Arial"/>
          <w:sz w:val="18"/>
          <w:szCs w:val="18"/>
          <w:b w:val="1"/>
          <w:bCs w:val="1"/>
          <w:u w:val="single" w:color="auto"/>
          <w:color w:val="0000FF"/>
        </w:rPr>
        <w:t>another</w:t>
      </w:r>
      <w:r>
        <w:rPr>
          <w:rFonts w:ascii="Arial" w:cs="Arial" w:eastAsia="Arial" w:hAnsi="Arial"/>
          <w:sz w:val="18"/>
          <w:szCs w:val="18"/>
          <w:color w:val="auto"/>
        </w:rPr>
        <w:t xml:space="preserve"> Type, or a continuation of </w:t>
      </w:r>
      <w:r>
        <w:rPr>
          <w:rFonts w:ascii="Arial" w:cs="Arial" w:eastAsia="Arial" w:hAnsi="Arial"/>
          <w:sz w:val="18"/>
          <w:szCs w:val="18"/>
          <w:b w:val="1"/>
          <w:bCs w:val="1"/>
          <w:color w:val="FF0000"/>
          <w:strike w:val="1"/>
        </w:rPr>
        <w:t>Eurodollar Rate</w:t>
      </w:r>
      <w:r>
        <w:rPr>
          <w:rFonts w:ascii="Arial" w:cs="Arial" w:eastAsia="Arial" w:hAnsi="Arial"/>
          <w:sz w:val="18"/>
          <w:szCs w:val="18"/>
          <w:b w:val="1"/>
          <w:bCs w:val="1"/>
          <w:u w:val="single" w:color="auto"/>
          <w:color w:val="0000FF"/>
        </w:rPr>
        <w:t>Term Benchmark Loans or RFR</w:t>
      </w:r>
      <w:r>
        <w:rPr>
          <w:rFonts w:ascii="Arial" w:cs="Arial" w:eastAsia="Arial" w:hAnsi="Arial"/>
          <w:sz w:val="18"/>
          <w:szCs w:val="18"/>
          <w:color w:val="auto"/>
        </w:rPr>
        <w:t xml:space="preserve"> Loans) is subject to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-311150</wp:posOffset>
            </wp:positionV>
            <wp:extent cx="20656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64" w:lineRule="exact"/>
        <w:rPr>
          <w:sz w:val="20"/>
          <w:szCs w:val="20"/>
          <w:color w:val="auto"/>
        </w:rPr>
      </w:pPr>
    </w:p>
    <w:p>
      <w:pPr>
        <w:jc w:val="both"/>
        <w:ind w:firstLine="1304"/>
        <w:spacing w:after="0" w:line="270" w:lineRule="auto"/>
        <w:tabs>
          <w:tab w:leader="none" w:pos="214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Loan Parties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other Loan Document, or which are contained in any document furnished at any time under or in connection herewith or therewith, shall be true and correct in all material respects (except to the extent any such representation and warranty itself is qualified by “materiality”, “Material Adverse Effect” or any similar qualifier, in which case, it shall be true and correct in all respects) on and as of the date of such Credit Extension (except as may otherwise be limited in connection with an Incremental Term Loan Commitment pursuant to </w:t>
      </w:r>
      <w:r>
        <w:rPr>
          <w:rFonts w:ascii="Arial" w:cs="Arial" w:eastAsia="Arial" w:hAnsi="Arial"/>
          <w:sz w:val="17"/>
          <w:szCs w:val="17"/>
          <w:u w:val="single" w:color="auto"/>
          <w:color w:val="auto"/>
        </w:rPr>
        <w:t>Section 2.13(i)</w:t>
      </w:r>
      <w:r>
        <w:rPr>
          <w:rFonts w:ascii="Arial" w:cs="Arial" w:eastAsia="Arial" w:hAnsi="Arial"/>
          <w:sz w:val="17"/>
          <w:szCs w:val="17"/>
          <w:color w:val="auto"/>
        </w:rPr>
        <w:t xml:space="preserve">),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Sections 5.05(a)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and the representations and warranties contained in </w:t>
      </w:r>
      <w:r>
        <w:rPr>
          <w:rFonts w:ascii="Arial" w:cs="Arial" w:eastAsia="Arial" w:hAnsi="Arial"/>
          <w:sz w:val="17"/>
          <w:szCs w:val="17"/>
          <w:u w:val="single" w:color="auto"/>
          <w:color w:val="auto"/>
        </w:rPr>
        <w:t>Section 5.05(c)</w:t>
      </w:r>
      <w:r>
        <w:rPr>
          <w:rFonts w:ascii="Arial" w:cs="Arial" w:eastAsia="Arial" w:hAnsi="Arial"/>
          <w:sz w:val="17"/>
          <w:szCs w:val="17"/>
          <w:color w:val="auto"/>
        </w:rPr>
        <w:t xml:space="preserve"> shall be deemed to refer to the statements furnished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with respect to the fiscal year ended December 31, </w:t>
      </w:r>
      <w:r>
        <w:rPr>
          <w:rFonts w:ascii="Arial" w:cs="Arial" w:eastAsia="Arial" w:hAnsi="Arial"/>
          <w:sz w:val="17"/>
          <w:szCs w:val="17"/>
          <w:b w:val="1"/>
          <w:bCs w:val="1"/>
          <w:color w:val="FF0000"/>
          <w:strike w:val="1"/>
        </w:rPr>
        <w:t>2017</w:t>
      </w:r>
      <w:r>
        <w:rPr>
          <w:rFonts w:ascii="Arial" w:cs="Arial" w:eastAsia="Arial" w:hAnsi="Arial"/>
          <w:sz w:val="17"/>
          <w:szCs w:val="17"/>
          <w:b w:val="1"/>
          <w:bCs w:val="1"/>
          <w:u w:val="single" w:color="auto"/>
          <w:color w:val="0000FF"/>
        </w:rPr>
        <w:t>2022</w:t>
      </w:r>
      <w:r>
        <w:rPr>
          <w:rFonts w:ascii="Arial" w:cs="Arial" w:eastAsia="Arial" w:hAnsi="Arial"/>
          <w:sz w:val="17"/>
          <w:szCs w:val="17"/>
          <w:color w:val="auto"/>
        </w:rPr>
        <w:t>.</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2" w:name="page143"/>
    <w:bookmarkEnd w:id="142"/>
    <w:p>
      <w:pPr>
        <w:ind w:firstLine="1304"/>
        <w:spacing w:after="0" w:line="277" w:lineRule="auto"/>
        <w:tabs>
          <w:tab w:leader="none" w:pos="209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No Default shall exist, or would result from such proposed Credit Extension or from the application of the proceeds thereof (except as may otherwise be limited in connection with an Incremental Term Loan Commitment pursuant to </w:t>
      </w:r>
      <w:r>
        <w:rPr>
          <w:rFonts w:ascii="Arial" w:cs="Arial" w:eastAsia="Arial" w:hAnsi="Arial"/>
          <w:sz w:val="18"/>
          <w:szCs w:val="18"/>
          <w:u w:val="single" w:color="auto"/>
          <w:color w:val="auto"/>
        </w:rPr>
        <w:t>Section 2.13(i)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20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Administrative Agent and, if applicable, the applicable L/C Issuer shall have received a Request for Credit Extension in accordance with the requirements 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Each Request for Credit Extension (other than a Committed Loan Notice requesting only a conversion of Loans to the other Type or a continuation of </w:t>
      </w:r>
      <w:r>
        <w:rPr>
          <w:rFonts w:ascii="Arial" w:cs="Arial" w:eastAsia="Arial" w:hAnsi="Arial"/>
          <w:sz w:val="17"/>
          <w:szCs w:val="17"/>
          <w:b w:val="1"/>
          <w:bCs w:val="1"/>
          <w:color w:val="FF0000"/>
          <w:strike w:val="1"/>
        </w:rPr>
        <w:t>Eurodollar Rate</w:t>
      </w:r>
      <w:r>
        <w:rPr>
          <w:rFonts w:ascii="Arial" w:cs="Arial" w:eastAsia="Arial" w:hAnsi="Arial"/>
          <w:sz w:val="17"/>
          <w:szCs w:val="17"/>
          <w:b w:val="1"/>
          <w:bCs w:val="1"/>
          <w:u w:val="single" w:color="auto"/>
          <w:color w:val="0000FF"/>
        </w:rPr>
        <w:t>Term Benchmark Loans or RFR</w:t>
      </w:r>
      <w:r>
        <w:rPr>
          <w:rFonts w:ascii="Arial" w:cs="Arial" w:eastAsia="Arial" w:hAnsi="Arial"/>
          <w:sz w:val="17"/>
          <w:szCs w:val="17"/>
          <w:color w:val="auto"/>
        </w:rPr>
        <w:t xml:space="preserve"> Loans) submitted by the Borrower shall be deemed to be a representation and warranty that the conditions specified in </w:t>
      </w:r>
      <w:r>
        <w:rPr>
          <w:rFonts w:ascii="Arial" w:cs="Arial" w:eastAsia="Arial" w:hAnsi="Arial"/>
          <w:sz w:val="17"/>
          <w:szCs w:val="17"/>
          <w:u w:val="single" w:color="auto"/>
          <w:color w:val="auto"/>
        </w:rPr>
        <w:t>Sections 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on and as of the date of the applicable Credit Extension.</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Loan Parties represents and warrants to the Administrative Agent and the Lenders that: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5.01 Existence, Qualification and Power. Each Loan Party and each of their respective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-852805</wp:posOffset>
            </wp:positionV>
            <wp:extent cx="20866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5.02 Authorization; No Contravention.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(c) result in the creation or imposition of any Lien upon or with respect to any property or assets now owned or hereafter acquired by such Person or any of its Subsidiaries (other than Liens created under the Collateral Documents); or (d) violate any material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-863600</wp:posOffset>
            </wp:positionV>
            <wp:extent cx="19615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3" w:name="page144"/>
    <w:bookmarkEnd w:id="143"/>
    <w:p>
      <w:pPr>
        <w:jc w:val="both"/>
        <w:ind w:firstLine="648"/>
        <w:spacing w:after="0" w:line="269" w:lineRule="auto"/>
        <w:rPr>
          <w:sz w:val="20"/>
          <w:szCs w:val="20"/>
          <w:color w:val="auto"/>
        </w:rPr>
      </w:pPr>
      <w:r>
        <w:rPr>
          <w:rFonts w:ascii="Arial" w:cs="Arial" w:eastAsia="Arial" w:hAnsi="Arial"/>
          <w:sz w:val="17"/>
          <w:szCs w:val="17"/>
          <w:color w:val="auto"/>
        </w:rPr>
        <w:t xml:space="preserve">5.03 Governmental Authorization.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(subject to Section 4.7(b) of the Security Agreement in the case of IP Rights)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except for (i) the authorizations, approvals, actions, notices and filings listed on </w:t>
      </w:r>
      <w:r>
        <w:rPr>
          <w:rFonts w:ascii="Arial" w:cs="Arial" w:eastAsia="Arial" w:hAnsi="Arial"/>
          <w:sz w:val="17"/>
          <w:szCs w:val="17"/>
          <w:u w:val="single" w:color="auto"/>
          <w:color w:val="auto"/>
        </w:rPr>
        <w:t>Schedule 5.03</w:t>
      </w:r>
      <w:r>
        <w:rPr>
          <w:rFonts w:ascii="Arial" w:cs="Arial" w:eastAsia="Arial" w:hAnsi="Arial"/>
          <w:sz w:val="17"/>
          <w:szCs w:val="17"/>
          <w:color w:val="auto"/>
        </w:rPr>
        <w:t xml:space="preserve">, which will be sought, (ii) any immaterial actions, consents, approvals, registrations or filings, (iii) any additional filings in connection with any IP Rights acquired after the </w:t>
      </w:r>
      <w:r>
        <w:rPr>
          <w:rFonts w:ascii="Arial" w:cs="Arial" w:eastAsia="Arial" w:hAnsi="Arial"/>
          <w:sz w:val="17"/>
          <w:szCs w:val="17"/>
          <w:b w:val="1"/>
          <w:bCs w:val="1"/>
          <w:color w:val="FF0000"/>
          <w:strike w:val="1"/>
        </w:rPr>
        <w:t>date hereof</w:t>
      </w:r>
      <w:r>
        <w:rPr>
          <w:rFonts w:ascii="Arial" w:cs="Arial" w:eastAsia="Arial" w:hAnsi="Arial"/>
          <w:sz w:val="17"/>
          <w:szCs w:val="17"/>
          <w:b w:val="1"/>
          <w:bCs w:val="1"/>
          <w:u w:val="single" w:color="auto"/>
          <w:color w:val="0000FF"/>
        </w:rPr>
        <w:t>A&amp;R Credit Agreement Eighth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Amendment Effective Date</w:t>
      </w:r>
      <w:r>
        <w:rPr>
          <w:rFonts w:ascii="Arial" w:cs="Arial" w:eastAsia="Arial" w:hAnsi="Arial"/>
          <w:sz w:val="17"/>
          <w:szCs w:val="17"/>
          <w:b w:val="1"/>
          <w:bCs w:val="1"/>
          <w:color w:val="0000FF"/>
        </w:rPr>
        <w:t xml:space="preserve"> </w:t>
      </w:r>
      <w:r>
        <w:rPr>
          <w:rFonts w:ascii="Arial" w:cs="Arial" w:eastAsia="Arial" w:hAnsi="Arial"/>
          <w:sz w:val="17"/>
          <w:szCs w:val="17"/>
          <w:color w:val="000000"/>
        </w:rPr>
        <w:t>and (iv) approvals, consents, exemptions, authorizations, or other actions by, or notices to, or filings with, FERC or state</w:t>
      </w:r>
      <w:r>
        <w:rPr>
          <w:rFonts w:ascii="Arial" w:cs="Arial" w:eastAsia="Arial" w:hAnsi="Arial"/>
          <w:sz w:val="17"/>
          <w:szCs w:val="17"/>
          <w:b w:val="1"/>
          <w:bCs w:val="1"/>
          <w:color w:val="0000FF"/>
        </w:rPr>
        <w:t xml:space="preserve"> </w:t>
      </w:r>
      <w:r>
        <w:rPr>
          <w:rFonts w:ascii="Arial" w:cs="Arial" w:eastAsia="Arial" w:hAnsi="Arial"/>
          <w:sz w:val="17"/>
          <w:szCs w:val="17"/>
          <w:color w:val="000000"/>
        </w:rPr>
        <w:t>regulatory authorities under the FPA or state laws respecting the rates of, or the financial or organizational regulation of, public utilities that may be required in connection with the exercise of certain foreclosure remedies allowed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-1409065</wp:posOffset>
            </wp:positionV>
            <wp:extent cx="18624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62455" cy="8255"/>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5.04 Binding Effect.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the enforceability hereof or thereof may be limited by (a) bankruptcy, insolvency, reorganization, moratorium, fraudulent transfer or other laws now or hereafter in effect relating to creditors’ rights generally (including specific performance) and (b) general equitable principles (whether considered in a proceeding in equity or at law), and to the discretion of the court before which any proceeding may be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-725805</wp:posOffset>
            </wp:positionV>
            <wp:extent cx="10991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5.05 Financial Statements; No Material Adverse Effect. (xii) The Audited Financial Statements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in accordance with GAAP consistently applied throughout the period covered thereby, except as otherwise expressly noted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-455930</wp:posOffset>
            </wp:positionV>
            <wp:extent cx="27539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53995" cy="8890"/>
                    </a:xfrm>
                    <a:prstGeom prst="rect">
                      <a:avLst/>
                    </a:prstGeom>
                    <a:noFill/>
                  </pic:spPr>
                </pic:pic>
              </a:graphicData>
            </a:graphic>
          </wp:anchor>
        </w:drawing>
      </w:r>
    </w:p>
    <w:p>
      <w:pPr>
        <w:spacing w:after="0" w:line="151" w:lineRule="exact"/>
        <w:rPr>
          <w:sz w:val="20"/>
          <w:szCs w:val="20"/>
          <w:color w:val="auto"/>
        </w:rPr>
      </w:pPr>
    </w:p>
    <w:p>
      <w:pPr>
        <w:jc w:val="both"/>
        <w:ind w:firstLine="1304"/>
        <w:spacing w:after="0" w:line="275" w:lineRule="auto"/>
        <w:tabs>
          <w:tab w:leader="none" w:pos="196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unaudited consolidated balance sheets of Parent and its Subsidiaries dated September 30, 2013,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subject, in the case of clauses (i) and (ii), to the absence of footnotes and to normal year-end audit adjustments.</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4" w:name="page145"/>
    <w:bookmarkEnd w:id="144"/>
    <w:p>
      <w:pPr>
        <w:ind w:firstLine="1304"/>
        <w:spacing w:after="0" w:line="282" w:lineRule="auto"/>
        <w:tabs>
          <w:tab w:leader="none" w:pos="213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Since </w:t>
      </w:r>
      <w:r>
        <w:rPr>
          <w:rFonts w:ascii="Arial" w:cs="Arial" w:eastAsia="Arial" w:hAnsi="Arial"/>
          <w:sz w:val="18"/>
          <w:szCs w:val="18"/>
          <w:b w:val="1"/>
          <w:bCs w:val="1"/>
          <w:color w:val="FF0000"/>
          <w:strike w:val="1"/>
        </w:rPr>
        <w:t>the date of the Audited Financial Statements</w:t>
      </w:r>
      <w:r>
        <w:rPr>
          <w:rFonts w:ascii="Arial" w:cs="Arial" w:eastAsia="Arial" w:hAnsi="Arial"/>
          <w:sz w:val="18"/>
          <w:szCs w:val="18"/>
          <w:b w:val="1"/>
          <w:bCs w:val="1"/>
          <w:u w:val="single" w:color="auto"/>
          <w:color w:val="0000FF"/>
        </w:rPr>
        <w:t>December 31, 2022</w:t>
      </w:r>
      <w:r>
        <w:rPr>
          <w:rFonts w:ascii="Arial" w:cs="Arial" w:eastAsia="Arial" w:hAnsi="Arial"/>
          <w:sz w:val="18"/>
          <w:szCs w:val="18"/>
          <w:color w:val="auto"/>
        </w:rPr>
        <w:t>, there has been no event or circumstance, either individually or in the aggregate, that has had or could reasonably be expected to have a Material Adverse Effect.</w:t>
      </w:r>
    </w:p>
    <w:p>
      <w:pPr>
        <w:spacing w:after="0" w:line="165" w:lineRule="exact"/>
        <w:rPr>
          <w:rFonts w:ascii="Arial" w:cs="Arial" w:eastAsia="Arial" w:hAnsi="Arial"/>
          <w:sz w:val="18"/>
          <w:szCs w:val="18"/>
          <w:color w:val="auto"/>
        </w:rPr>
      </w:pPr>
    </w:p>
    <w:p>
      <w:pPr>
        <w:jc w:val="both"/>
        <w:ind w:firstLine="1304"/>
        <w:spacing w:after="0" w:line="301" w:lineRule="auto"/>
        <w:tabs>
          <w:tab w:leader="none" w:pos="204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Projections were prepared in good faith upon accounting principles consistent with the Audited Financial Statements and upon assumptions that are reasonable at the time made and at the time the related Projections are made available to the Administrative Agent and the Arrangers, it being understood that the Projections are not to be viewed as facts and are subject to significant uncertainties and contingencies, many of which are beyond the Borrower’s control (and that may be material) and that no assurance can be given that any Projection will be realized.</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5.06 Litigation. There are no actions, suits, proceedings, claims or disputes pending or, to the knowledge of the Loan Parties, threatened in writing, at law, in equity, in arbitration or before any Governmental Authority, by or against any Loan Party or any of its Subsidiaries or against any of their properties or revenues that (a) purport to affect or pertain to this Agreement, any other Loan Document or the consummation of the Transaction or (b) 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or in SEC filings made prior to the A&amp;R Credit Agreement </w:t>
      </w:r>
      <w:r>
        <w:rPr>
          <w:rFonts w:ascii="Arial" w:cs="Arial" w:eastAsia="Arial" w:hAnsi="Arial"/>
          <w:sz w:val="18"/>
          <w:szCs w:val="18"/>
          <w:b w:val="1"/>
          <w:bCs w:val="1"/>
          <w:color w:val="FF0000"/>
          <w:strike w:val="1"/>
        </w:rPr>
        <w:t>Third</w:t>
      </w:r>
      <w:r>
        <w:rPr>
          <w:rFonts w:ascii="Arial" w:cs="Arial" w:eastAsia="Arial" w:hAnsi="Arial"/>
          <w:sz w:val="18"/>
          <w:szCs w:val="18"/>
          <w:b w:val="1"/>
          <w:bCs w:val="1"/>
          <w:u w:val="single" w:color="auto"/>
          <w:color w:val="0000FF"/>
        </w:rPr>
        <w:t>Eighth</w:t>
      </w:r>
      <w:r>
        <w:rPr>
          <w:rFonts w:ascii="Arial" w:cs="Arial" w:eastAsia="Arial" w:hAnsi="Arial"/>
          <w:sz w:val="18"/>
          <w:szCs w:val="18"/>
          <w:color w:val="auto"/>
        </w:rPr>
        <w:t xml:space="preserve"> Amendment Effective Date (the “</w:t>
      </w:r>
      <w:r>
        <w:rPr>
          <w:rFonts w:ascii="Arial" w:cs="Arial" w:eastAsia="Arial" w:hAnsi="Arial"/>
          <w:sz w:val="18"/>
          <w:szCs w:val="18"/>
          <w:u w:val="single" w:color="auto"/>
          <w:color w:val="auto"/>
        </w:rPr>
        <w:t>Disclosed Litigation</w:t>
      </w:r>
      <w:r>
        <w:rPr>
          <w:rFonts w:ascii="Arial" w:cs="Arial" w:eastAsia="Arial" w:hAnsi="Arial"/>
          <w:sz w:val="18"/>
          <w:szCs w:val="18"/>
          <w:color w:val="auto"/>
        </w:rPr>
        <w:t>”), either individually or in the aggregate, if there is a reasonable possibility of an adverse determination and if determined adversely,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-716915</wp:posOffset>
            </wp:positionV>
            <wp:extent cx="901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7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5.07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No Default has occurred and is continuing or would result from the consummation of the Transactions.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5.08 Ownership of Properties. Each Loan Party and each of their respective Subsidiaries has good record and marketable title in all property used in the ordinary conduct of its business, except as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-212090</wp:posOffset>
            </wp:positionV>
            <wp:extent cx="15595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59560" cy="8255"/>
                    </a:xfrm>
                    <a:prstGeom prst="rect">
                      <a:avLst/>
                    </a:prstGeom>
                    <a:noFill/>
                  </pic:spPr>
                </pic:pic>
              </a:graphicData>
            </a:graphic>
          </wp:anchor>
        </w:drawing>
      </w:r>
    </w:p>
    <w:p>
      <w:pPr>
        <w:spacing w:after="0" w:line="10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5.09</w:t>
      </w:r>
      <w:r>
        <w:rPr>
          <w:sz w:val="20"/>
          <w:szCs w:val="20"/>
          <w:color w:val="auto"/>
        </w:rPr>
        <w:tab/>
      </w:r>
      <w:r>
        <w:rPr>
          <w:rFonts w:ascii="Arial" w:cs="Arial" w:eastAsia="Arial" w:hAnsi="Arial"/>
          <w:sz w:val="16"/>
          <w:szCs w:val="16"/>
          <w:u w:val="single" w:color="auto"/>
          <w:color w:val="auto"/>
        </w:rPr>
        <w:t>Environmental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2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Loan Party and their respective Subsidiaries is in compliance in all material respects with the requirements of all Environmental Laws and all orders, writs, injunctions and decrees applicable to it or to its material properties under Environmental Law, except in such instances in which (a) such requirement of Environmental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204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of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jc w:val="both"/>
        <w:ind w:firstLine="1304"/>
        <w:spacing w:after="0" w:line="270" w:lineRule="auto"/>
        <w:tabs>
          <w:tab w:leader="none" w:pos="201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 None of the properties currently or formerly owned or operated by any Loan Party or any of their respective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any of their respective Subsidiaries or, to the knowledge of the Loan Parties, on any property formerly owned or operated by any Loan Party or any of their respective Subsidiaries; (iii) there is no asbestos or asbestos-containing material on any property currently owned or operated by any Loan Party or any of their respective Subsidiaries; and (iv) Hazardous Materials have not been released, discharged or disposed of on any property currently or formerly owned or operated by any Loan Party or any of their respective Subsidiaries that in each case referred to in clauses (i) through (iv) above individually or in the aggregate has had, or could reasonably be expected to have, a Material Adverse Effect.</w:t>
      </w:r>
    </w:p>
    <w:p>
      <w:pPr>
        <w:spacing w:after="0" w:line="180" w:lineRule="exact"/>
        <w:rPr>
          <w:rFonts w:ascii="Arial" w:cs="Arial" w:eastAsia="Arial" w:hAnsi="Arial"/>
          <w:sz w:val="17"/>
          <w:szCs w:val="17"/>
          <w:color w:val="auto"/>
        </w:rPr>
      </w:pPr>
    </w:p>
    <w:p>
      <w:pPr>
        <w:jc w:val="both"/>
        <w:ind w:firstLine="1304"/>
        <w:spacing w:after="0" w:line="291" w:lineRule="auto"/>
        <w:tabs>
          <w:tab w:leader="none" w:pos="205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in each case that individually or in the aggregate has had, or could reasonably be expected to have, a Material Adverse Effect; and all Hazardous Materials generated, used, treated, handled or stored at, or transported to or from, any property currently or formerly owned or operated by any Loan Party or any of their respective Subsidiaries have been disposed of in a manner not reasonably expected to result in liability to any Loan Party or any of their respective Subsidiaries that could reasonably be expected to have a Material Adverse Effect.</w:t>
      </w:r>
    </w:p>
    <w:p>
      <w:pPr>
        <w:spacing w:after="0" w:line="166" w:lineRule="exact"/>
        <w:rPr>
          <w:rFonts w:ascii="Arial" w:cs="Arial" w:eastAsia="Arial" w:hAnsi="Arial"/>
          <w:sz w:val="16"/>
          <w:szCs w:val="16"/>
          <w:color w:val="auto"/>
        </w:rPr>
      </w:pPr>
    </w:p>
    <w:p>
      <w:pPr>
        <w:jc w:val="both"/>
        <w:ind w:firstLine="1304"/>
        <w:spacing w:after="0" w:line="279" w:lineRule="auto"/>
        <w:tabs>
          <w:tab w:leader="none" w:pos="210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There are no actions, suits, proceedings, claims or disputes pending or, to the knowledge of the Loan Parties, threatened in writing, at law, in equity, in arbitration or before any Governmental Authority under any Environmental Law, by or against any Loan Party or any of its Subsidiaries or against any of their properties, either individually or in the aggregate, in respect of which there is a reasonable possibility of an adverse determination and which, if determined adversely, could reasonably be expected to have a Material Adverse Effect.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Notwithstanding anything set forth in this Agreement or any other Loan Document to the contrary, the representations and warranties set forth in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are the sole representations and warranties in any Loan Document with respect to environmental matters, including those relating to Environmental Laws or Hazardous Materials.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5.10 Insurance. The properties of the Loan Parties and their respective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Loan Party or its applicable Subsidiary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-322580</wp:posOffset>
            </wp:positionV>
            <wp:extent cx="8521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6" w:name="page147"/>
    <w:bookmarkEnd w:id="146"/>
    <w:p>
      <w:pPr>
        <w:jc w:val="both"/>
        <w:ind w:firstLine="648"/>
        <w:spacing w:after="0" w:line="287" w:lineRule="auto"/>
        <w:rPr>
          <w:sz w:val="20"/>
          <w:szCs w:val="20"/>
          <w:color w:val="auto"/>
        </w:rPr>
      </w:pPr>
      <w:r>
        <w:rPr>
          <w:rFonts w:ascii="Arial" w:cs="Arial" w:eastAsia="Arial" w:hAnsi="Arial"/>
          <w:sz w:val="16"/>
          <w:szCs w:val="16"/>
          <w:color w:val="auto"/>
        </w:rPr>
        <w:t>5.11 Taxes. Except as would not</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either individually or in the aggregate,</w:t>
      </w:r>
      <w:r>
        <w:rPr>
          <w:rFonts w:ascii="Arial" w:cs="Arial" w:eastAsia="Arial" w:hAnsi="Arial"/>
          <w:sz w:val="16"/>
          <w:szCs w:val="16"/>
          <w:color w:val="auto"/>
        </w:rPr>
        <w:t xml:space="preserve"> reasonably be expected to result in a Material Adverse Effect, the Loan Parties and each of their respective Subsidiaries have filed all Federal, state and other Tax returns and reports required to be filed, and have paid all Federal, state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-434975</wp:posOffset>
            </wp:positionV>
            <wp:extent cx="712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jc w:val="both"/>
        <w:spacing w:after="0" w:line="302" w:lineRule="auto"/>
        <w:rPr>
          <w:sz w:val="20"/>
          <w:szCs w:val="20"/>
          <w:color w:val="auto"/>
        </w:rPr>
      </w:pPr>
      <w:r>
        <w:rPr>
          <w:rFonts w:ascii="Arial" w:cs="Arial" w:eastAsia="Arial" w:hAnsi="Arial"/>
          <w:sz w:val="16"/>
          <w:szCs w:val="16"/>
          <w:b w:val="1"/>
          <w:bCs w:val="1"/>
          <w:color w:val="FF0000"/>
          <w:strike w:val="1"/>
        </w:rPr>
        <w:t>There is no proposed Tax assessment against the Loan Parties or any of their respective Subsidiaries that would, if made, have a Material Adverse Effect. Neither any Loan Party nor any Subsidiary thereof is party to any Tax sharing agreement. No Tax liability with respect to any of the Loan Parties or their respective Subsidiaries could reasonably be expected to result in, either in any case or in the aggregate, a Material Adverse Effect.</w:t>
      </w:r>
    </w:p>
    <w:p>
      <w:pPr>
        <w:spacing w:after="0" w:line="15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5.12 ERISA Compliance. (xiii) Except as could not reasonably be expected to have a Material Adverse Effect: (i) each Plan is in compliance with the applicable provisions of ERISA, the Code and other Federal or state Laws; (ii) each Plan that is intended to qualify under Section 401(a) of the Code has received a favorable determination letter from the IRS or an application for such a letter is currently being processed by the IRS with respect thereto and, to the knowledge of the Borrower, nothing has occurred which would prevent, or cause the loss of, such qualification; and (iii) the Borrower and each ERISA Affiliate have made all required contributions to each Plan subject to Section 412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-589915</wp:posOffset>
            </wp:positionV>
            <wp:extent cx="13360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spacing w:after="0" w:line="156" w:lineRule="exact"/>
        <w:rPr>
          <w:sz w:val="20"/>
          <w:szCs w:val="20"/>
          <w:color w:val="auto"/>
        </w:rPr>
      </w:pPr>
    </w:p>
    <w:p>
      <w:pPr>
        <w:jc w:val="both"/>
        <w:ind w:firstLine="1304"/>
        <w:spacing w:after="0" w:line="259" w:lineRule="auto"/>
        <w:tabs>
          <w:tab w:leader="none" w:pos="229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194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Except as could not reasonably be expected to have a Material Adverse Effect: (i) no ERISA Event has occurred or is reasonably expected to occur; (ii) neither the Borrower nor any ERISA Affiliate has incurred, or reasonably expects to incur, any liability under Title IV of ERISA with respect to any Pension Plan (other than premiums due and not delinquent under Section 4007 of ERISA); (iii) neither the Borrower nor any ERISA Affiliate has incurred any liability that remains outstanding (and no event has occurred which, with the giving of notice under Section 4219 of ERISA, would result in such liability) under Section 4201 of ERISA with respect to a Multiemployer Plan; and (iv) neither the Borrower nor any ERISA Affiliate has engaged in a transaction that could reasonably be expected to be subject to Section 4069 or 4212(c) of ERISA.</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5.13 Subsidiaries; Equity Interests; Loan Parties; Project Companies. As of the A&amp;R Credit Agreement </w:t>
      </w:r>
      <w:r>
        <w:rPr>
          <w:rFonts w:ascii="Arial" w:cs="Arial" w:eastAsia="Arial" w:hAnsi="Arial"/>
          <w:sz w:val="16"/>
          <w:szCs w:val="16"/>
          <w:b w:val="1"/>
          <w:bCs w:val="1"/>
          <w:color w:val="FF0000"/>
          <w:strike w:val="1"/>
        </w:rPr>
        <w:t>Third</w:t>
      </w:r>
      <w:r>
        <w:rPr>
          <w:rFonts w:ascii="Arial" w:cs="Arial" w:eastAsia="Arial" w:hAnsi="Arial"/>
          <w:sz w:val="16"/>
          <w:szCs w:val="16"/>
          <w:b w:val="1"/>
          <w:bCs w:val="1"/>
          <w:u w:val="single" w:color="auto"/>
          <w:color w:val="0000FF"/>
        </w:rPr>
        <w:t>Eighth</w:t>
      </w:r>
      <w:r>
        <w:rPr>
          <w:rFonts w:ascii="Arial" w:cs="Arial" w:eastAsia="Arial" w:hAnsi="Arial"/>
          <w:sz w:val="16"/>
          <w:szCs w:val="16"/>
          <w:color w:val="auto"/>
        </w:rPr>
        <w:t xml:space="preserve"> Amendment Effective Date, no Loan Party has any Subsidiaries other than those specifically disclosed in Part (a)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and all of the outstanding Equity Interests in such Subsidiaries have been validly issued, are fully paid and to the extent constituting shares in a corporation, if any, are non-assessable and are owned by a Loan Party in the amounts specified on Part (a)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in the case of Pledged Equity, free and clear of all Liens except Liens set forth in Sections 7.01(a), (c) and (q). As of the A&amp;R Credit Agreement </w:t>
      </w:r>
      <w:r>
        <w:rPr>
          <w:rFonts w:ascii="Arial" w:cs="Arial" w:eastAsia="Arial" w:hAnsi="Arial"/>
          <w:sz w:val="16"/>
          <w:szCs w:val="16"/>
          <w:b w:val="1"/>
          <w:bCs w:val="1"/>
          <w:color w:val="FF0000"/>
          <w:strike w:val="1"/>
        </w:rPr>
        <w:t>Third</w:t>
      </w:r>
      <w:r>
        <w:rPr>
          <w:rFonts w:ascii="Arial" w:cs="Arial" w:eastAsia="Arial" w:hAnsi="Arial"/>
          <w:sz w:val="16"/>
          <w:szCs w:val="16"/>
          <w:b w:val="1"/>
          <w:bCs w:val="1"/>
          <w:u w:val="single" w:color="auto"/>
          <w:color w:val="0000FF"/>
        </w:rPr>
        <w:t>Eighth</w:t>
      </w:r>
      <w:r>
        <w:rPr>
          <w:rFonts w:ascii="Arial" w:cs="Arial" w:eastAsia="Arial" w:hAnsi="Arial"/>
          <w:sz w:val="16"/>
          <w:szCs w:val="16"/>
          <w:color w:val="auto"/>
        </w:rPr>
        <w:t xml:space="preserve"> Amendment Effective Date, no Loan Party has any equity investments in any other Person other than those specifically disclosed in Part (b)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All of the outstanding Equity Interests in the Borrower have been validly issued, are fully paid and are owned by Holdings in the amounts specified on Part (c)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free and clear of all Liens (other than Liens set forth in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(q)</w:t>
      </w:r>
      <w:r>
        <w:rPr>
          <w:rFonts w:ascii="Arial" w:cs="Arial" w:eastAsia="Arial" w:hAnsi="Arial"/>
          <w:sz w:val="16"/>
          <w:szCs w:val="16"/>
          <w:color w:val="auto"/>
        </w:rPr>
        <w:t xml:space="preserve">) except those created under the Collateral Documents. Set forth on Part (d)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is a complete and accurate list of all Loan Parties, showing as of the A&amp;R Credit Agreement </w:t>
      </w:r>
      <w:r>
        <w:rPr>
          <w:rFonts w:ascii="Arial" w:cs="Arial" w:eastAsia="Arial" w:hAnsi="Arial"/>
          <w:sz w:val="16"/>
          <w:szCs w:val="16"/>
          <w:b w:val="1"/>
          <w:bCs w:val="1"/>
          <w:color w:val="FF0000"/>
          <w:strike w:val="1"/>
        </w:rPr>
        <w:t>Third</w:t>
      </w:r>
      <w:r>
        <w:rPr>
          <w:rFonts w:ascii="Arial" w:cs="Arial" w:eastAsia="Arial" w:hAnsi="Arial"/>
          <w:sz w:val="16"/>
          <w:szCs w:val="16"/>
          <w:b w:val="1"/>
          <w:bCs w:val="1"/>
          <w:u w:val="single" w:color="auto"/>
          <w:color w:val="0000FF"/>
        </w:rPr>
        <w:t>Eighth</w:t>
      </w:r>
      <w:r>
        <w:rPr>
          <w:rFonts w:ascii="Arial" w:cs="Arial" w:eastAsia="Arial" w:hAnsi="Arial"/>
          <w:sz w:val="16"/>
          <w:szCs w:val="16"/>
          <w:color w:val="auto"/>
        </w:rPr>
        <w:t xml:space="preserve"> Amendment Effective Date its jurisdiction of its incorporation, the address of its principal place of business and its U.S. taxpayer identification number. Set forth on Part (e)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is a complete and accurate list of each Project Company as of the A&amp;R Credit Agreement </w:t>
      </w:r>
      <w:r>
        <w:rPr>
          <w:rFonts w:ascii="Arial" w:cs="Arial" w:eastAsia="Arial" w:hAnsi="Arial"/>
          <w:sz w:val="16"/>
          <w:szCs w:val="16"/>
          <w:b w:val="1"/>
          <w:bCs w:val="1"/>
          <w:color w:val="FF0000"/>
          <w:strike w:val="1"/>
        </w:rPr>
        <w:t>Third</w:t>
      </w:r>
      <w:r>
        <w:rPr>
          <w:rFonts w:ascii="Arial" w:cs="Arial" w:eastAsia="Arial" w:hAnsi="Arial"/>
          <w:sz w:val="16"/>
          <w:szCs w:val="16"/>
          <w:b w:val="1"/>
          <w:bCs w:val="1"/>
          <w:u w:val="single" w:color="auto"/>
          <w:color w:val="0000FF"/>
        </w:rPr>
        <w:t>Eighth</w:t>
      </w:r>
      <w:r>
        <w:rPr>
          <w:rFonts w:ascii="Arial" w:cs="Arial" w:eastAsia="Arial" w:hAnsi="Arial"/>
          <w:sz w:val="16"/>
          <w:szCs w:val="16"/>
          <w:color w:val="auto"/>
        </w:rPr>
        <w:t xml:space="preserve"> Amendment Effective Date. Set forth on Part (f)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is a complete and accurate list of each Company Group Party that is not a Loan Party as of the A&amp;R Credit Agreement </w:t>
      </w:r>
      <w:r>
        <w:rPr>
          <w:rFonts w:ascii="Arial" w:cs="Arial" w:eastAsia="Arial" w:hAnsi="Arial"/>
          <w:sz w:val="16"/>
          <w:szCs w:val="16"/>
          <w:b w:val="1"/>
          <w:bCs w:val="1"/>
          <w:color w:val="FF0000"/>
          <w:strike w:val="1"/>
        </w:rPr>
        <w:t>Third</w:t>
      </w:r>
      <w:r>
        <w:rPr>
          <w:rFonts w:ascii="Arial" w:cs="Arial" w:eastAsia="Arial" w:hAnsi="Arial"/>
          <w:sz w:val="16"/>
          <w:szCs w:val="16"/>
          <w:b w:val="1"/>
          <w:bCs w:val="1"/>
          <w:u w:val="single" w:color="auto"/>
          <w:color w:val="0000FF"/>
        </w:rPr>
        <w:t>Eighth</w:t>
      </w:r>
      <w:r>
        <w:rPr>
          <w:rFonts w:ascii="Arial" w:cs="Arial" w:eastAsia="Arial" w:hAnsi="Arial"/>
          <w:sz w:val="16"/>
          <w:szCs w:val="16"/>
          <w:color w:val="auto"/>
        </w:rPr>
        <w:t xml:space="preserv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-1552575</wp:posOffset>
            </wp:positionV>
            <wp:extent cx="33972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jc w:val="both"/>
        <w:ind w:firstLine="648"/>
        <w:spacing w:after="0" w:line="275" w:lineRule="auto"/>
        <w:rPr>
          <w:sz w:val="20"/>
          <w:szCs w:val="20"/>
          <w:color w:val="auto"/>
        </w:rPr>
      </w:pPr>
      <w:r>
        <w:rPr>
          <w:rFonts w:ascii="Arial" w:cs="Arial" w:eastAsia="Arial" w:hAnsi="Arial"/>
          <w:sz w:val="17"/>
          <w:szCs w:val="17"/>
          <w:u w:val="single" w:color="auto"/>
          <w:color w:val="auto"/>
        </w:rPr>
        <w:t>5.14 Margin Regulations; Investment Company Act</w:t>
      </w:r>
      <w:r>
        <w:rPr>
          <w:rFonts w:ascii="Arial" w:cs="Arial" w:eastAsia="Arial" w:hAnsi="Arial"/>
          <w:sz w:val="17"/>
          <w:szCs w:val="17"/>
          <w:color w:val="auto"/>
        </w:rPr>
        <w:t>. (xiv) None of the Loan Parties is engaged and will not engage, principally or as one of its important activities, in the business of purchasing or carrying margin stock (within the meaning of Regulation U issued by the FRB), or extending credit for the purpose of purchasing or carrying margin stock. No portion of the proceeds of any Credit Extension shall be used in any manner, whether directly or indirectly, that causes or could reasonably be expected to cause, such Credit Extension or the application of such proceeds to violate Regulation T, Regulation U or Regulation X of the Board of Governors or any other regulation thereof or to violate the Exchange Act.</w:t>
      </w:r>
    </w:p>
    <w:p>
      <w:pPr>
        <w:spacing w:after="0" w:line="176" w:lineRule="exact"/>
        <w:rPr>
          <w:sz w:val="20"/>
          <w:szCs w:val="20"/>
          <w:color w:val="auto"/>
        </w:rPr>
      </w:pPr>
    </w:p>
    <w:p>
      <w:pPr>
        <w:ind w:right="20" w:firstLine="1304"/>
        <w:spacing w:after="0" w:line="277" w:lineRule="auto"/>
        <w:tabs>
          <w:tab w:leader="none" w:pos="198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None of the Loan Parties, or any of the Loan Parties’ Subsidiaries is or is required to be registered as an “investment company” under the Investment Company Act of 1940.</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5.15 Disclosure. Neither this Agreement nor any other document, certificate or written statement, in each case concerning any Loan Party or any Subsidiary thereof (expressly excluding projections</w:t>
      </w:r>
      <w:r>
        <w:rPr>
          <w:rFonts w:ascii="Arial" w:cs="Arial" w:eastAsia="Arial" w:hAnsi="Arial"/>
          <w:sz w:val="17"/>
          <w:szCs w:val="17"/>
          <w:b w:val="1"/>
          <w:bCs w:val="1"/>
          <w:u w:val="single" w:color="auto"/>
          <w:color w:val="0000FF"/>
        </w:rPr>
        <w:t>, forecasts, pro forma financial information</w:t>
      </w:r>
      <w:r>
        <w:rPr>
          <w:rFonts w:ascii="Arial" w:cs="Arial" w:eastAsia="Arial" w:hAnsi="Arial"/>
          <w:sz w:val="17"/>
          <w:szCs w:val="17"/>
          <w:color w:val="auto"/>
        </w:rPr>
        <w:t xml:space="preserve"> and other forward-looking statements and, to the extent not prepared by Parent or its Subsidiaries, general market data and information of a general economic or industry specific nature), furnished to the Administrative Agent by or on behalf of any Loan Party in connection herewith contains, as of the date prepared and taken as a whole </w:t>
      </w:r>
      <w:r>
        <w:rPr>
          <w:rFonts w:ascii="Arial" w:cs="Arial" w:eastAsia="Arial" w:hAnsi="Arial"/>
          <w:sz w:val="17"/>
          <w:szCs w:val="17"/>
          <w:b w:val="1"/>
          <w:bCs w:val="1"/>
          <w:color w:val="0000FF"/>
        </w:rPr>
        <w:t>(in each case, after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giving effect to all supplements and updates thereto)</w:t>
      </w:r>
      <w:r>
        <w:rPr>
          <w:rFonts w:ascii="Arial" w:cs="Arial" w:eastAsia="Arial" w:hAnsi="Arial"/>
          <w:sz w:val="17"/>
          <w:szCs w:val="17"/>
          <w:color w:val="000000"/>
        </w:rPr>
        <w:t>, any untrue statement of a material fact or omits to state any material fact necessary in order to</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make the statements contained herein and therein not materially misleading, in light of the circumstances under which they were made;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to the extent any such other document, certificate or statement constitutes a </w:t>
      </w:r>
      <w:r>
        <w:rPr>
          <w:rFonts w:ascii="Arial" w:cs="Arial" w:eastAsia="Arial" w:hAnsi="Arial"/>
          <w:sz w:val="17"/>
          <w:szCs w:val="17"/>
          <w:b w:val="1"/>
          <w:bCs w:val="1"/>
          <w:color w:val="FF0000"/>
          <w:strike w:val="1"/>
        </w:rPr>
        <w:t>forecast or</w:t>
      </w:r>
      <w:r>
        <w:rPr>
          <w:rFonts w:ascii="Arial" w:cs="Arial" w:eastAsia="Arial" w:hAnsi="Arial"/>
          <w:sz w:val="17"/>
          <w:szCs w:val="17"/>
          <w:color w:val="000000"/>
        </w:rPr>
        <w:t xml:space="preserve"> projection, </w:t>
      </w:r>
      <w:r>
        <w:rPr>
          <w:rFonts w:ascii="Arial" w:cs="Arial" w:eastAsia="Arial" w:hAnsi="Arial"/>
          <w:sz w:val="17"/>
          <w:szCs w:val="17"/>
          <w:b w:val="1"/>
          <w:bCs w:val="1"/>
          <w:u w:val="single" w:color="auto"/>
          <w:color w:val="0000FF"/>
        </w:rPr>
        <w:t>forecast, pro forma financial information and other</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forward-looking statement and, to the extent not prepared by Parent or its Subsidiaries, general market data and information of a general economic or industry specific nature,</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Loan Parties represent only that they acted in good faith and utilized assumptions believed by them to be</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reasonable at the time made and furnished (it being understood that </w:t>
      </w:r>
      <w:r>
        <w:rPr>
          <w:rFonts w:ascii="Arial" w:cs="Arial" w:eastAsia="Arial" w:hAnsi="Arial"/>
          <w:sz w:val="17"/>
          <w:szCs w:val="17"/>
          <w:b w:val="1"/>
          <w:bCs w:val="1"/>
          <w:color w:val="FF0000"/>
          <w:strike w:val="1"/>
        </w:rPr>
        <w:t>forecasts and projections</w:t>
      </w:r>
      <w:r>
        <w:rPr>
          <w:rFonts w:ascii="Arial" w:cs="Arial" w:eastAsia="Arial" w:hAnsi="Arial"/>
          <w:sz w:val="17"/>
          <w:szCs w:val="17"/>
          <w:b w:val="1"/>
          <w:bCs w:val="1"/>
          <w:u w:val="single" w:color="auto"/>
          <w:color w:val="0000FF"/>
        </w:rPr>
        <w:t>such information as it relates to future events is not to be</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viewed as fact,</w:t>
      </w:r>
      <w:r>
        <w:rPr>
          <w:rFonts w:ascii="Arial" w:cs="Arial" w:eastAsia="Arial" w:hAnsi="Arial"/>
          <w:sz w:val="17"/>
          <w:szCs w:val="17"/>
          <w:b w:val="1"/>
          <w:bCs w:val="1"/>
          <w:color w:val="0000FF"/>
        </w:rPr>
        <w:t xml:space="preserve"> </w:t>
      </w:r>
      <w:r>
        <w:rPr>
          <w:rFonts w:ascii="Arial" w:cs="Arial" w:eastAsia="Arial" w:hAnsi="Arial"/>
          <w:sz w:val="17"/>
          <w:szCs w:val="17"/>
          <w:color w:val="000000"/>
        </w:rPr>
        <w:t>are subject to significant contingencies and assumptions, many of which are beyond the control of the Loan Parties and their respective</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Subsidiaries, and that no assurance can be given that </w:t>
      </w:r>
      <w:r>
        <w:rPr>
          <w:rFonts w:ascii="Arial" w:cs="Arial" w:eastAsia="Arial" w:hAnsi="Arial"/>
          <w:sz w:val="17"/>
          <w:szCs w:val="17"/>
          <w:color w:val="FF0000"/>
          <w:strike w:val="1"/>
        </w:rPr>
        <w:t>the projections or forecasts will be realized).</w:t>
      </w:r>
      <w:r>
        <w:rPr>
          <w:rFonts w:ascii="Arial" w:cs="Arial" w:eastAsia="Arial" w:hAnsi="Arial"/>
          <w:sz w:val="17"/>
          <w:szCs w:val="17"/>
          <w:b w:val="1"/>
          <w:bCs w:val="1"/>
          <w:u w:val="single" w:color="auto"/>
          <w:color w:val="0000FF"/>
        </w:rPr>
        <w:t>any particular information of such nature will be</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realized and that actual results during the period or periods covered thereby may differ significantly from the projected results set forth therein and such differences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-1819275</wp:posOffset>
            </wp:positionV>
            <wp:extent cx="9226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-1390650</wp:posOffset>
            </wp:positionV>
            <wp:extent cx="9429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-1407795</wp:posOffset>
            </wp:positionV>
            <wp:extent cx="9442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44245" cy="8890"/>
                    </a:xfrm>
                    <a:prstGeom prst="rect">
                      <a:avLst/>
                    </a:prstGeom>
                    <a:noFill/>
                  </pic:spPr>
                </pic:pic>
              </a:graphicData>
            </a:graphic>
          </wp:anchor>
        </w:drawing>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8" w:name="page149"/>
    <w:bookmarkEnd w:id="148"/>
    <w:p>
      <w:pPr>
        <w:jc w:val="both"/>
        <w:ind w:firstLine="648"/>
        <w:spacing w:after="0" w:line="279" w:lineRule="auto"/>
        <w:rPr>
          <w:sz w:val="20"/>
          <w:szCs w:val="20"/>
          <w:color w:val="auto"/>
        </w:rPr>
      </w:pPr>
      <w:r>
        <w:rPr>
          <w:rFonts w:ascii="Arial" w:cs="Arial" w:eastAsia="Arial" w:hAnsi="Arial"/>
          <w:sz w:val="17"/>
          <w:szCs w:val="17"/>
          <w:color w:val="auto"/>
        </w:rPr>
        <w:t>5.16 Compliance with Laws. Each Loan Party and each of their respective Subsidiaries is in compliance in all material respects with the requirements of all Laws and all orders, writs, injunctions and decrees applicable to it or to its material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-455930</wp:posOffset>
            </wp:positionV>
            <wp:extent cx="15627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62735" cy="8255"/>
                    </a:xfrm>
                    <a:prstGeom prst="rect">
                      <a:avLst/>
                    </a:prstGeom>
                    <a:noFill/>
                  </pic:spPr>
                </pic:pic>
              </a:graphicData>
            </a:graphic>
          </wp:anchor>
        </w:drawing>
      </w:r>
    </w:p>
    <w:p>
      <w:pPr>
        <w:spacing w:after="0" w:line="15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5.17</w:t>
      </w:r>
      <w:r>
        <w:rPr>
          <w:sz w:val="20"/>
          <w:szCs w:val="20"/>
          <w:color w:val="auto"/>
        </w:rPr>
        <w:tab/>
      </w:r>
      <w:r>
        <w:rPr>
          <w:rFonts w:ascii="Arial" w:cs="Arial" w:eastAsia="Arial" w:hAnsi="Arial"/>
          <w:sz w:val="16"/>
          <w:szCs w:val="16"/>
          <w:u w:val="single" w:color="auto"/>
          <w:color w:val="auto"/>
        </w:rPr>
        <w:t>Energy 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209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Each Generation Portfolio Company that owns or operates facilities used for the generation, transmission, or distribution of electric energy for sale meets the requirements for, and has been determined by FERC to be, either an “exempt wholesale generator” (“</w:t>
      </w:r>
      <w:r>
        <w:rPr>
          <w:rFonts w:ascii="Arial" w:cs="Arial" w:eastAsia="Arial" w:hAnsi="Arial"/>
          <w:sz w:val="17"/>
          <w:szCs w:val="17"/>
          <w:u w:val="single" w:color="auto"/>
          <w:color w:val="auto"/>
        </w:rPr>
        <w:t>Exempt Wholesale</w:t>
      </w:r>
      <w:r>
        <w:rPr>
          <w:rFonts w:ascii="Arial" w:cs="Arial" w:eastAsia="Arial" w:hAnsi="Arial"/>
          <w:sz w:val="17"/>
          <w:szCs w:val="17"/>
          <w:color w:val="auto"/>
        </w:rPr>
        <w:t xml:space="preserve"> </w:t>
      </w:r>
      <w:r>
        <w:rPr>
          <w:rFonts w:ascii="Arial" w:cs="Arial" w:eastAsia="Arial" w:hAnsi="Arial"/>
          <w:sz w:val="17"/>
          <w:szCs w:val="17"/>
          <w:u w:val="single" w:color="auto"/>
          <w:color w:val="auto"/>
        </w:rPr>
        <w:t>Generator</w:t>
      </w:r>
      <w:r>
        <w:rPr>
          <w:rFonts w:ascii="Arial" w:cs="Arial" w:eastAsia="Arial" w:hAnsi="Arial"/>
          <w:sz w:val="17"/>
          <w:szCs w:val="17"/>
          <w:color w:val="auto"/>
        </w:rPr>
        <w:t>”) within the meaning of PUHCA or such facilities meet the requirements of a “qualifying cogeneration facility” or a “qualifying small power production facility” (either a “</w:t>
      </w:r>
      <w:r>
        <w:rPr>
          <w:rFonts w:ascii="Arial" w:cs="Arial" w:eastAsia="Arial" w:hAnsi="Arial"/>
          <w:sz w:val="17"/>
          <w:szCs w:val="17"/>
          <w:u w:val="single" w:color="auto"/>
          <w:color w:val="auto"/>
        </w:rPr>
        <w:t>Qualifying Facility</w:t>
      </w:r>
      <w:r>
        <w:rPr>
          <w:rFonts w:ascii="Arial" w:cs="Arial" w:eastAsia="Arial" w:hAnsi="Arial"/>
          <w:sz w:val="17"/>
          <w:szCs w:val="17"/>
          <w:color w:val="auto"/>
        </w:rPr>
        <w:t>”) within the meaning of PURPA. The Loan Parties, the Company Group Parties and the Generation Portfolio Companies are not subject to or are exempt from regulation under PUHCA (other than, with respect to the Generation Portfolio Companies that own or operate facilities used for the generation, transmission, or distribution of electric energy for sale, maintaining status as a Qualifying Facility under PURPA or an Exempt Wholesale Generator within the meaning of PUHCA).</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210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Each of (i) the Generation Portfolio Companies that are a “public utility” within the meaning of the FPA and not otherwise exempt from regulation under Sections 205 and 206 of the FPA (“FPA-Jurisdictional Generation Portfolio Companies”) have a validly-issued order from FERC, not subject to any pending challenge or investigation: (x) authorizing it to engage in wholesale sales of electricity and, to the extent permitted under its market-based rate tariff, other products and services at market-based rates; and (y) granting such waivers and authorizations as are customarily granted to power marketers by FERC, including blanket authorizations to issue securities and assume liabilities pursuant to Section 204 of the FPA (together, “FPA MBR Authorizations, Exemptions and Waivers”). As of the </w:t>
      </w:r>
      <w:r>
        <w:rPr>
          <w:rFonts w:ascii="Arial" w:cs="Arial" w:eastAsia="Arial" w:hAnsi="Arial"/>
          <w:sz w:val="17"/>
          <w:szCs w:val="17"/>
          <w:b w:val="1"/>
          <w:bCs w:val="1"/>
          <w:color w:val="FF0000"/>
          <w:strike w:val="1"/>
        </w:rPr>
        <w:t>Closing</w:t>
      </w:r>
      <w:r>
        <w:rPr>
          <w:rFonts w:ascii="Arial" w:cs="Arial" w:eastAsia="Arial" w:hAnsi="Arial"/>
          <w:sz w:val="17"/>
          <w:szCs w:val="17"/>
          <w:b w:val="1"/>
          <w:bCs w:val="1"/>
          <w:u w:val="single" w:color="auto"/>
          <w:color w:val="0000FF"/>
        </w:rPr>
        <w:t>A&amp;R Credit Agreement Eighth Amendment Effective</w:t>
      </w:r>
      <w:r>
        <w:rPr>
          <w:rFonts w:ascii="Arial" w:cs="Arial" w:eastAsia="Arial" w:hAnsi="Arial"/>
          <w:sz w:val="17"/>
          <w:szCs w:val="17"/>
          <w:color w:val="auto"/>
        </w:rPr>
        <w:t xml:space="preserve"> Date, FERC had not issued any orders imposing a rate cap, mitigation measure, or other limitation on the FPA MBR Authorizations, Exemptions and Waivers of the FPA-Jurisdictional Generation Portfolio Companies or any of the FPA-Jurisdictional Generation Portfolio Companies’ authority to engage in sales of electricity at market-based rates, other than rate caps and mitigation measures generally applicable to wholesale suppliers participating in the applicable FERC-jurisdictional electric market (although, to the knowledge of the Loan Parties, there are no generally applicable challenges currently pending before FERC to the market-based rate authorization of wholesale suppliers in the electric markets in which the Generation Portfolio Companies make wholesale sales under their market-based rate tariffs).</w:t>
      </w:r>
    </w:p>
    <w:p>
      <w:pPr>
        <w:spacing w:after="0" w:line="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9" w:name="page150"/>
    <w:bookmarkEnd w:id="149"/>
    <w:p>
      <w:pPr>
        <w:jc w:val="both"/>
        <w:ind w:firstLine="1304"/>
        <w:spacing w:after="0" w:line="311" w:lineRule="auto"/>
        <w:tabs>
          <w:tab w:leader="none" w:pos="211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Each of the Generation Portfolio Companies that are not a FPA-Jurisdictional Generation Portfolio Company (“</w:t>
      </w:r>
      <w:r>
        <w:rPr>
          <w:rFonts w:ascii="Arial" w:cs="Arial" w:eastAsia="Arial" w:hAnsi="Arial"/>
          <w:sz w:val="16"/>
          <w:szCs w:val="16"/>
          <w:u w:val="single" w:color="auto"/>
          <w:color w:val="auto"/>
        </w:rPr>
        <w:t>Non-FPA-Jurisdictional Generation Portfolio Companies</w:t>
      </w:r>
      <w:r>
        <w:rPr>
          <w:rFonts w:ascii="Arial" w:cs="Arial" w:eastAsia="Arial" w:hAnsi="Arial"/>
          <w:sz w:val="16"/>
          <w:szCs w:val="16"/>
          <w:color w:val="auto"/>
        </w:rPr>
        <w:t>”) have made all filings with and obtained all authorizations necessary from the applicable Governmental Authority to generate electric energy and sell electric energy, capacity or ancillary services at wholesale or retail (“</w:t>
      </w:r>
      <w:r>
        <w:rPr>
          <w:rFonts w:ascii="Arial" w:cs="Arial" w:eastAsia="Arial" w:hAnsi="Arial"/>
          <w:sz w:val="16"/>
          <w:szCs w:val="16"/>
          <w:u w:val="single" w:color="auto"/>
          <w:color w:val="auto"/>
        </w:rPr>
        <w:t>Non-FPA Sales Authorizations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920" w:hanging="616"/>
        <w:spacing w:after="0"/>
        <w:tabs>
          <w:tab w:leader="none" w:pos="19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Thermal Utilities are subject to state public utility commission regulation with respect to rates or financial organization.</w:t>
      </w:r>
    </w:p>
    <w:p>
      <w:pPr>
        <w:spacing w:after="0" w:line="236" w:lineRule="exact"/>
        <w:rPr>
          <w:rFonts w:ascii="Arial" w:cs="Arial" w:eastAsia="Arial" w:hAnsi="Arial"/>
          <w:sz w:val="17"/>
          <w:szCs w:val="17"/>
          <w:color w:val="auto"/>
        </w:rPr>
      </w:pPr>
    </w:p>
    <w:p>
      <w:pPr>
        <w:jc w:val="both"/>
        <w:ind w:firstLine="1304"/>
        <w:spacing w:after="0" w:line="255" w:lineRule="auto"/>
        <w:tabs>
          <w:tab w:leader="none" w:pos="204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Loan Party, Company Group Party or Project Company will, as the result of the ownership, construction, testing, repair, maintenance, use and/or operation of any facility or the sale of electricity and other services related to the sale of electricity from the facilities or the entering into of, or the performance of any obligations under any of the agreements to which any of them are a party or the consummation of any transaction contemplated thereby, be subject to regulation under the laws of any state governing the rates charged by, or the financial or organizational regulation of, electric utilities, electrical transmission and distribution utilities, retail electric utilities, electrical public utilities, electric public service companies, or other similar entities relating to the sale of electricity.</w:t>
      </w:r>
    </w:p>
    <w:p>
      <w:pPr>
        <w:spacing w:after="0" w:line="192" w:lineRule="exact"/>
        <w:rPr>
          <w:rFonts w:ascii="Arial" w:cs="Arial" w:eastAsia="Arial" w:hAnsi="Arial"/>
          <w:sz w:val="18"/>
          <w:szCs w:val="18"/>
          <w:color w:val="auto"/>
        </w:rPr>
      </w:pPr>
    </w:p>
    <w:p>
      <w:pPr>
        <w:jc w:val="both"/>
        <w:ind w:firstLine="1304"/>
        <w:spacing w:after="0" w:line="291" w:lineRule="auto"/>
        <w:tabs>
          <w:tab w:leader="none" w:pos="205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None of the Lenders nor any “affiliate” (as that term is defined in PUHCA) of any of them will, solely as a result of each Generation Portfolio Company’s respective ownership, leasing or operation of its facility, the sale or transmission of thermal energy or electricity therefrom or the Borrower’s, any Loan Party’s, any Project Company’s, or any Generation Portfolio Company’s entering into any Loan Document, or any transaction contemplated hereby or thereby, be subject to regulation under the FPA, PUHCA, or state laws and regulations respecting the rates of, or the financial or organizational regulation of, public utilities, except that the exercise by the Administrative Agent or the Lenders of certain foreclosure remedies allowed under the Loan Documents may subject the Administrative Agent, the Lenders and their “affiliates” (as that term is defined in PUHCA) to regulation under the FPA, PUHCA or state laws respecting the rates of, or the financial or organizational regulation of, public utilities.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5.18 Intellectual Property; Licenses, Etc</w:t>
      </w:r>
      <w:r>
        <w:rPr>
          <w:rFonts w:ascii="Arial" w:cs="Arial" w:eastAsia="Arial" w:hAnsi="Arial"/>
          <w:sz w:val="18"/>
          <w:szCs w:val="18"/>
          <w:color w:val="auto"/>
        </w:rPr>
        <w:t>. Each Loan Party and each of its Subsidiaries owns, or possesses rights to use, all of the IP Rights that are reasonably necessary for the operation of their respective businesses, except where failure to so own or possess such right, either individually or in the aggregate, could not reasonably be expected to have a Material Adverse Effect. To the knowledge of the Borrower, the conduct of the respective businesses of Loan Parties or any of their respective Subsidiaries is not infringing upon any IP Rights owned by any other Person, except where such infringement could reasonably be expected to have a Material Adverse Effect.</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5.19 Solvency. As of the </w:t>
      </w:r>
      <w:r>
        <w:rPr>
          <w:rFonts w:ascii="Arial" w:cs="Arial" w:eastAsia="Arial" w:hAnsi="Arial"/>
          <w:sz w:val="18"/>
          <w:szCs w:val="18"/>
          <w:b w:val="1"/>
          <w:bCs w:val="1"/>
          <w:color w:val="FF0000"/>
          <w:strike w:val="1"/>
        </w:rPr>
        <w:t>Closing</w:t>
      </w:r>
      <w:r>
        <w:rPr>
          <w:rFonts w:ascii="Arial" w:cs="Arial" w:eastAsia="Arial" w:hAnsi="Arial"/>
          <w:sz w:val="18"/>
          <w:szCs w:val="18"/>
          <w:b w:val="1"/>
          <w:bCs w:val="1"/>
          <w:u w:val="single" w:color="auto"/>
          <w:color w:val="0000FF"/>
        </w:rPr>
        <w:t>A&amp;R Credit Agreement Eighth Amendment Effective</w:t>
      </w:r>
      <w:r>
        <w:rPr>
          <w:rFonts w:ascii="Arial" w:cs="Arial" w:eastAsia="Arial" w:hAnsi="Arial"/>
          <w:sz w:val="18"/>
          <w:szCs w:val="18"/>
          <w:color w:val="auto"/>
        </w:rPr>
        <w:t xml:space="preserve"> Date, each Loan Party, and the Loan Parties and their Subsidiaries taken as a whole, is Solvent.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-185420</wp:posOffset>
            </wp:positionV>
            <wp:extent cx="8763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76300" cy="8890"/>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5.20 Casualty, Etc. Neither the businesses nor the properties of any Loan Party or any of their respective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-332740</wp:posOffset>
            </wp:positionV>
            <wp:extent cx="10185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0" w:name="page151"/>
    <w:bookmarkEnd w:id="150"/>
    <w:p>
      <w:pPr>
        <w:jc w:val="both"/>
        <w:ind w:firstLine="648"/>
        <w:spacing w:after="0" w:line="263" w:lineRule="auto"/>
        <w:rPr>
          <w:sz w:val="20"/>
          <w:szCs w:val="20"/>
          <w:color w:val="auto"/>
        </w:rPr>
      </w:pPr>
      <w:r>
        <w:rPr>
          <w:rFonts w:ascii="Arial" w:cs="Arial" w:eastAsia="Arial" w:hAnsi="Arial"/>
          <w:sz w:val="18"/>
          <w:szCs w:val="18"/>
          <w:color w:val="auto"/>
        </w:rPr>
        <w:t>5.21 Labor Matters. Neither any Loan Party nor any of their respective Subsidiaries has suffered any strikes, walkouts, work stoppages or other material labor difficulty within the last five years, that either individually or in the aggregate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-311150</wp:posOffset>
            </wp:positionV>
            <wp:extent cx="1127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5.22 Collateral Documents. The provisions of the Collateral Documents are effective to create in favor of the Administrative Agent for the benefit of the Secured Parties a legal, valid and enforceable first priority Lien (subject to Permitted Prior Liens) on all right, title and interest of the respective Loan Parties in the Collateral described therein. Except for filings completed on or prior to the </w:t>
      </w:r>
      <w:r>
        <w:rPr>
          <w:rFonts w:ascii="Arial" w:cs="Arial" w:eastAsia="Arial" w:hAnsi="Arial"/>
          <w:sz w:val="18"/>
          <w:szCs w:val="18"/>
          <w:b w:val="1"/>
          <w:bCs w:val="1"/>
          <w:color w:val="FF0000"/>
          <w:strike w:val="1"/>
        </w:rPr>
        <w:t>Closing</w:t>
      </w:r>
      <w:r>
        <w:rPr>
          <w:rFonts w:ascii="Arial" w:cs="Arial" w:eastAsia="Arial" w:hAnsi="Arial"/>
          <w:sz w:val="18"/>
          <w:szCs w:val="18"/>
          <w:b w:val="1"/>
          <w:bCs w:val="1"/>
          <w:u w:val="single" w:color="auto"/>
          <w:color w:val="0000FF"/>
        </w:rPr>
        <w:t>A&amp;R Credit Agreement Eighth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Amendment Effective</w:t>
      </w:r>
      <w:r>
        <w:rPr>
          <w:rFonts w:ascii="Arial" w:cs="Arial" w:eastAsia="Arial" w:hAnsi="Arial"/>
          <w:sz w:val="18"/>
          <w:szCs w:val="18"/>
          <w:b w:val="1"/>
          <w:bCs w:val="1"/>
          <w:color w:val="0000FF"/>
        </w:rPr>
        <w:t xml:space="preserve"> </w:t>
      </w:r>
      <w:r>
        <w:rPr>
          <w:rFonts w:ascii="Arial" w:cs="Arial" w:eastAsia="Arial" w:hAnsi="Arial"/>
          <w:sz w:val="18"/>
          <w:szCs w:val="18"/>
          <w:color w:val="000000"/>
        </w:rPr>
        <w:t>Date or as contemplated hereby or by the Collateral Documents (subject to Section 4.7(b) of the Security Agreement in the case of</w:t>
      </w:r>
      <w:r>
        <w:rPr>
          <w:rFonts w:ascii="Arial" w:cs="Arial" w:eastAsia="Arial" w:hAnsi="Arial"/>
          <w:sz w:val="18"/>
          <w:szCs w:val="18"/>
          <w:b w:val="1"/>
          <w:bCs w:val="1"/>
          <w:color w:val="0000FF"/>
        </w:rPr>
        <w:t xml:space="preserve"> </w:t>
      </w:r>
      <w:r>
        <w:rPr>
          <w:rFonts w:ascii="Arial" w:cs="Arial" w:eastAsia="Arial" w:hAnsi="Arial"/>
          <w:sz w:val="18"/>
          <w:szCs w:val="18"/>
          <w:color w:val="000000"/>
        </w:rPr>
        <w:t>IP Rights), no filing or other action will be necessary to perfect or protect such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-582295</wp:posOffset>
            </wp:positionV>
            <wp:extent cx="145923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59230"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5.23 Anti-Corruption Laws and Sanctions. The Borrower has implemented and maintains in effect policies and procedures designed to ensure compliance by the Borrower, its Subsidiaries and their respective directors, officers and employees with Anti-Corruption Laws and applicable Sanctions. The Borrower and its Subsidiaries</w:t>
      </w:r>
      <w:r>
        <w:rPr>
          <w:rFonts w:ascii="Arial" w:cs="Arial" w:eastAsia="Arial" w:hAnsi="Arial"/>
          <w:sz w:val="18"/>
          <w:szCs w:val="18"/>
          <w:b w:val="1"/>
          <w:bCs w:val="1"/>
          <w:u w:val="single" w:color="auto"/>
          <w:color w:val="0000FF"/>
        </w:rPr>
        <w:t>, their respective officers, directors</w:t>
      </w:r>
      <w:r>
        <w:rPr>
          <w:rFonts w:ascii="Arial" w:cs="Arial" w:eastAsia="Arial" w:hAnsi="Arial"/>
          <w:sz w:val="18"/>
          <w:szCs w:val="18"/>
          <w:color w:val="auto"/>
        </w:rPr>
        <w:t xml:space="preserve"> and, to the knowledge of the Borrower, </w:t>
      </w:r>
      <w:r>
        <w:rPr>
          <w:rFonts w:ascii="Arial" w:cs="Arial" w:eastAsia="Arial" w:hAnsi="Arial"/>
          <w:sz w:val="18"/>
          <w:szCs w:val="18"/>
          <w:b w:val="1"/>
          <w:bCs w:val="1"/>
          <w:color w:val="FF0000"/>
          <w:strike w:val="1"/>
        </w:rPr>
        <w:t>their respective officers, directors and</w:t>
      </w:r>
      <w:r>
        <w:rPr>
          <w:rFonts w:ascii="Arial" w:cs="Arial" w:eastAsia="Arial" w:hAnsi="Arial"/>
          <w:sz w:val="18"/>
          <w:szCs w:val="18"/>
          <w:color w:val="auto"/>
        </w:rPr>
        <w:t xml:space="preserve"> employees, are not Sanctioned Persons. No Borrowing or Letter of Credit will be used, directly, or to the knowledge of the Borrower, indirectly, in violation of Anti-Corruption Laws or applicable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-582295</wp:posOffset>
            </wp:positionV>
            <wp:extent cx="21107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10740" cy="8890"/>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5.24 Restricted Payments. As of the A&amp;R Credit Agreement </w:t>
      </w:r>
      <w:r>
        <w:rPr>
          <w:rFonts w:ascii="Arial" w:cs="Arial" w:eastAsia="Arial" w:hAnsi="Arial"/>
          <w:sz w:val="18"/>
          <w:szCs w:val="18"/>
          <w:b w:val="1"/>
          <w:bCs w:val="1"/>
          <w:color w:val="FF0000"/>
          <w:strike w:val="1"/>
        </w:rPr>
        <w:t>Third</w:t>
      </w:r>
      <w:r>
        <w:rPr>
          <w:rFonts w:ascii="Arial" w:cs="Arial" w:eastAsia="Arial" w:hAnsi="Arial"/>
          <w:sz w:val="18"/>
          <w:szCs w:val="18"/>
          <w:b w:val="1"/>
          <w:bCs w:val="1"/>
          <w:u w:val="single" w:color="auto"/>
          <w:color w:val="0000FF"/>
        </w:rPr>
        <w:t>Eighth</w:t>
      </w:r>
      <w:r>
        <w:rPr>
          <w:rFonts w:ascii="Arial" w:cs="Arial" w:eastAsia="Arial" w:hAnsi="Arial"/>
          <w:sz w:val="18"/>
          <w:szCs w:val="18"/>
          <w:color w:val="auto"/>
        </w:rPr>
        <w:t xml:space="preserve"> Amendment Effective Date, no Contractual Obligation limits the ability of any Subsidiary of the Borrower to make Restricted Payments, directly or through one or more intermediate Subsidiaries of the Borrower, to the Borrower or to otherwise transfer property to or invest in the Borrower, except for any agreement in effect on the date </w:t>
      </w:r>
      <w:r>
        <w:rPr>
          <w:rFonts w:ascii="Arial" w:cs="Arial" w:eastAsia="Arial" w:hAnsi="Arial"/>
          <w:sz w:val="18"/>
          <w:szCs w:val="18"/>
          <w:b w:val="1"/>
          <w:bCs w:val="1"/>
          <w:color w:val="FF0000"/>
          <w:strike w:val="1"/>
        </w:rPr>
        <w:t>hereof</w:t>
      </w:r>
      <w:r>
        <w:rPr>
          <w:rFonts w:ascii="Arial" w:cs="Arial" w:eastAsia="Arial" w:hAnsi="Arial"/>
          <w:sz w:val="18"/>
          <w:szCs w:val="18"/>
          <w:b w:val="1"/>
          <w:bCs w:val="1"/>
          <w:u w:val="single" w:color="auto"/>
          <w:color w:val="0000FF"/>
        </w:rPr>
        <w:t>A&amp;R Credit Agreement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Eighth Amendment Effective Date</w:t>
      </w:r>
      <w:r>
        <w:rPr>
          <w:rFonts w:ascii="Arial" w:cs="Arial" w:eastAsia="Arial" w:hAnsi="Arial"/>
          <w:sz w:val="18"/>
          <w:szCs w:val="18"/>
          <w:b w:val="1"/>
          <w:bCs w:val="1"/>
          <w:color w:val="0000FF"/>
        </w:rPr>
        <w:t xml:space="preserve"> </w:t>
      </w:r>
      <w:r>
        <w:rPr>
          <w:rFonts w:ascii="Arial" w:cs="Arial" w:eastAsia="Arial" w:hAnsi="Arial"/>
          <w:sz w:val="18"/>
          <w:szCs w:val="18"/>
          <w:color w:val="000000"/>
        </w:rPr>
        <w:t>and set forth on</w:t>
      </w:r>
      <w:r>
        <w:rPr>
          <w:rFonts w:ascii="Arial" w:cs="Arial" w:eastAsia="Arial" w:hAnsi="Arial"/>
          <w:sz w:val="18"/>
          <w:szCs w:val="18"/>
          <w:b w:val="1"/>
          <w:bCs w:val="1"/>
          <w:color w:val="0000FF"/>
        </w:rPr>
        <w:t xml:space="preserve"> </w:t>
      </w:r>
      <w:r>
        <w:rPr>
          <w:rFonts w:ascii="Arial" w:cs="Arial" w:eastAsia="Arial" w:hAnsi="Arial"/>
          <w:sz w:val="18"/>
          <w:szCs w:val="18"/>
          <w:u w:val="single" w:color="auto"/>
          <w:color w:val="000000"/>
        </w:rPr>
        <w:t>Schedule 5.24</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-448310</wp:posOffset>
            </wp:positionV>
            <wp:extent cx="13785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5.25 PATRIOT Act, Etc. To the extent applicable, each Loan Party and its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w:t>
      </w:r>
      <w:r>
        <w:rPr>
          <w:rFonts w:ascii="Arial" w:cs="Arial" w:eastAsia="Arial" w:hAnsi="Arial"/>
          <w:sz w:val="16"/>
          <w:szCs w:val="16"/>
          <w:b w:val="1"/>
          <w:bCs w:val="1"/>
          <w:color w:val="FF0000"/>
          <w:strike w:val="1"/>
        </w:rPr>
        <w:t>any of the foreign assets control regulations of the United States Treasury</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Department (31 C.F. R., Subtitle B, Chapter V, as amended), any Sanctions</w:t>
      </w:r>
      <w:r>
        <w:rPr>
          <w:rFonts w:ascii="Arial" w:cs="Arial" w:eastAsia="Arial" w:hAnsi="Arial"/>
          <w:sz w:val="16"/>
          <w:szCs w:val="16"/>
          <w:b w:val="1"/>
          <w:bCs w:val="1"/>
          <w:color w:val="FF0000"/>
        </w:rPr>
        <w:t xml:space="preserve"> </w:t>
      </w:r>
      <w:r>
        <w:rPr>
          <w:rFonts w:ascii="Arial" w:cs="Arial" w:eastAsia="Arial" w:hAnsi="Arial"/>
          <w:sz w:val="16"/>
          <w:szCs w:val="16"/>
          <w:color w:val="000000"/>
        </w:rPr>
        <w:t>or any other applicable anti-corruption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-870585</wp:posOffset>
            </wp:positionV>
            <wp:extent cx="133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So long as any Lender shall have any Commitment hereunder, any Loan or other Obligation hereunder shall remain unpaid or unsatisfied, or any Letter of Credit shall remain outstanding, in each case, other than Contingent Obligations as to which no claim has been made, Obligations in respect of Secured Cash Management Agreements and Obligations in respect of Secured Hedge Agreements, each of Holdings and the Borrower shall, and shall (except in the case of the covenants set forth in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w:t>
      </w:r>
      <w:r>
        <w:rPr>
          <w:rFonts w:ascii="Arial" w:cs="Arial" w:eastAsia="Arial" w:hAnsi="Arial"/>
          <w:sz w:val="17"/>
          <w:szCs w:val="17"/>
          <w:u w:val="single" w:color="auto"/>
          <w:color w:val="auto"/>
        </w:rPr>
        <w:t>6.03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6.11</w:t>
      </w:r>
      <w:r>
        <w:rPr>
          <w:rFonts w:ascii="Arial" w:cs="Arial" w:eastAsia="Arial" w:hAnsi="Arial"/>
          <w:sz w:val="17"/>
          <w:szCs w:val="17"/>
          <w:color w:val="auto"/>
        </w:rPr>
        <w:t>) cause each Company Group Party to:</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6.01 Financial Statements. Deliver to the Administrative Agent and each Lender, in form reasonably satisfactory to the Administrative Agent and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-182245</wp:posOffset>
            </wp:positionV>
            <wp:extent cx="13804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150" w:lineRule="exact"/>
        <w:rPr>
          <w:sz w:val="20"/>
          <w:szCs w:val="20"/>
          <w:color w:val="auto"/>
        </w:rPr>
      </w:pPr>
    </w:p>
    <w:p>
      <w:pPr>
        <w:jc w:val="both"/>
        <w:ind w:firstLine="1304"/>
        <w:spacing w:after="0" w:line="287" w:lineRule="auto"/>
        <w:tabs>
          <w:tab w:leader="none" w:pos="206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120 days (or earlier as may be required for the filing of the Parent’s financial statements by the SEC) after the end of each fiscal year of Parent (commencing with the fiscal year ended December 31, 2013), a consolidated balance sheet of Parent and its Subsidiaries as at the end of such fiscal year, and the related consolidated statements of income or operations, changes in shareholders’ equity, and cash flows for such fiscal year, setting forth in each case in comparative form the figures for the previous fiscal year, commencing with the first fiscal year for which such corresponding figures are available,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(other than (x) a result of the pending maturity of any of the Facilities or (y) a potential Event of Default as a result of the failure to comply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(provided that, in the case of clause (y), the Borrower shall have delivered to the Administrative Agent a certificate of a Responsible Officer of the Borrower certifying as to the Borrower’s intention to exercise the Cure Right);</w:t>
      </w:r>
    </w:p>
    <w:p>
      <w:pPr>
        <w:spacing w:after="0" w:line="171" w:lineRule="exact"/>
        <w:rPr>
          <w:rFonts w:ascii="Arial" w:cs="Arial" w:eastAsia="Arial" w:hAnsi="Arial"/>
          <w:sz w:val="16"/>
          <w:szCs w:val="16"/>
          <w:color w:val="auto"/>
        </w:rPr>
      </w:pPr>
    </w:p>
    <w:p>
      <w:pPr>
        <w:jc w:val="both"/>
        <w:ind w:firstLine="1304"/>
        <w:spacing w:after="0" w:line="270" w:lineRule="auto"/>
        <w:tabs>
          <w:tab w:leader="none" w:pos="209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as soon as available, but in any event within 60 days (or earlier as may be required for the filing of the Parent’s financial statements by the SEC) after the end of each of the first three fiscal quarters of each fiscal year of Parent (commencing with the fiscal quarter ended March 31, 2014), a consolidated balance sheet of Parent and its Subsidiaries as at the end of such fiscal quarter, and the related consolidated statements of income or operations, changes in shareholders’ equity, and cash flows for such fiscal quarter and for the portion of Parent’s fiscal year then ended, setting forth in each case in comparative form the figures for the corresponding fiscal quarter of the previous fiscal year and the corresponding portion of the previous fiscal year, commencing with the first fiscal quarter for which such corresponding figures are available, all in reasonable detail, such consolidated statements to be certified by the chief executive officer, chief financial officer, treasurer or controller of Parent as fairly presenting, in all material respects, the financial condition, results of operations, shareholders’ equity and cash flows of Parent and its Subsidiaries in accordance with GAAP, subject only to normal year-end audit adjustments and the absence of footnotes; and</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2" w:name="page153"/>
    <w:bookmarkEnd w:id="152"/>
    <w:p>
      <w:pPr>
        <w:jc w:val="both"/>
        <w:ind w:left="-60" w:firstLine="1304"/>
        <w:spacing w:after="0" w:line="275" w:lineRule="auto"/>
        <w:tabs>
          <w:tab w:leader="none" w:pos="190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 soon as available, but in any event no later than the earlier of (i) twenty (20) Business Days following the occurrence of the annual investor earnings presentation with respect to Parent and (ii) ninety (90) days following the beginning of each fiscal year of Holdings, forecasts and projections prepared by management of Holdings consistent with the type of information that would be customarily found in earnings presentations delivered by public filing companies (it being understood that delivery of earnings presentation material that contain such forecasts and projections which are made available to the public shall be sufficient for purposes hereof) (the “</w:t>
      </w:r>
      <w:r>
        <w:rPr>
          <w:rFonts w:ascii="Arial" w:cs="Arial" w:eastAsia="Arial" w:hAnsi="Arial"/>
          <w:sz w:val="17"/>
          <w:szCs w:val="17"/>
          <w:u w:val="single" w:color="auto"/>
          <w:color w:val="auto"/>
        </w:rPr>
        <w:t>Annual Projections</w:t>
      </w:r>
      <w:r>
        <w:rPr>
          <w:rFonts w:ascii="Arial" w:cs="Arial" w:eastAsia="Arial" w:hAnsi="Arial"/>
          <w:sz w:val="17"/>
          <w:szCs w:val="17"/>
          <w:color w:val="auto"/>
        </w:rPr>
        <w:t>”).</w:t>
      </w:r>
    </w:p>
    <w:p>
      <w:pPr>
        <w:spacing w:after="0" w:line="176" w:lineRule="exact"/>
        <w:rPr>
          <w:sz w:val="20"/>
          <w:szCs w:val="20"/>
          <w:color w:val="auto"/>
        </w:rPr>
      </w:pPr>
    </w:p>
    <w:p>
      <w:pPr>
        <w:jc w:val="center"/>
        <w:spacing w:after="0"/>
        <w:tabs>
          <w:tab w:leader="none" w:pos="280" w:val="left"/>
        </w:tabs>
        <w:rPr>
          <w:sz w:val="20"/>
          <w:szCs w:val="20"/>
          <w:color w:val="auto"/>
        </w:rPr>
      </w:pPr>
      <w:r>
        <w:rPr>
          <w:rFonts w:ascii="Arial" w:cs="Arial" w:eastAsia="Arial" w:hAnsi="Arial"/>
          <w:sz w:val="18"/>
          <w:szCs w:val="18"/>
          <w:u w:val="single" w:color="auto"/>
          <w:color w:val="auto"/>
        </w:rPr>
        <w:t>6.02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Deliver to the Administrative Agent, in form reasonably satisfactory to the Administrative Agent:</w:t>
      </w:r>
    </w:p>
    <w:p>
      <w:pPr>
        <w:spacing w:after="0" w:line="225" w:lineRule="exact"/>
        <w:rPr>
          <w:sz w:val="20"/>
          <w:szCs w:val="20"/>
          <w:color w:val="auto"/>
        </w:rPr>
      </w:pPr>
    </w:p>
    <w:p>
      <w:pPr>
        <w:jc w:val="both"/>
        <w:ind w:left="-60" w:firstLine="1304"/>
        <w:spacing w:after="0" w:line="259" w:lineRule="auto"/>
        <w:tabs>
          <w:tab w:leader="none" w:pos="188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(b) (commencing with the delivery of the financial statements for the fiscal quarter ended March 31, 2014), (i) a duly completed Compliance Certificate signed by the chief executive officer, chief financial officer, treasurer or controller of Parent or Holdings and (ii) a copy of management’s discussion and analysis with respect to such financial statements;</w:t>
      </w:r>
    </w:p>
    <w:p>
      <w:pPr>
        <w:spacing w:after="0" w:line="186" w:lineRule="exact"/>
        <w:rPr>
          <w:rFonts w:ascii="Arial" w:cs="Arial" w:eastAsia="Arial" w:hAnsi="Arial"/>
          <w:sz w:val="18"/>
          <w:szCs w:val="18"/>
          <w:color w:val="auto"/>
        </w:rPr>
      </w:pPr>
    </w:p>
    <w:p>
      <w:pPr>
        <w:jc w:val="both"/>
        <w:ind w:left="-60" w:firstLine="1304"/>
        <w:spacing w:after="0" w:line="263" w:lineRule="auto"/>
        <w:tabs>
          <w:tab w:leader="none" w:pos="195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copies of any audit reports, management letters or recommendations submitted to the board of directors or similar governing authority (or the audit committee thereof) of any Loan Party by independent accountants in connection with the accounts or books of any Loan Party or any of its Subsidiaries, or any audit of any of them;</w:t>
      </w:r>
    </w:p>
    <w:p>
      <w:pPr>
        <w:spacing w:after="0" w:line="183" w:lineRule="exact"/>
        <w:rPr>
          <w:rFonts w:ascii="Arial" w:cs="Arial" w:eastAsia="Arial" w:hAnsi="Arial"/>
          <w:sz w:val="18"/>
          <w:szCs w:val="18"/>
          <w:color w:val="auto"/>
        </w:rPr>
      </w:pPr>
    </w:p>
    <w:p>
      <w:pPr>
        <w:jc w:val="both"/>
        <w:ind w:left="-60" w:firstLine="1304"/>
        <w:spacing w:after="0" w:line="279" w:lineRule="auto"/>
        <w:tabs>
          <w:tab w:leader="none" w:pos="194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promptly, and in any event within fifteen (15) Business Days after receipt thereof by any Loan Party or any Company Group Party, copies of (i) each amendment to any Organization Document of any Loan Party or any Company Group Party and (ii) each notice or other correspondence received from the SEC (or comparable agency in any applicable non-U.S. jurisdiction) concerning any investigation or possible investigation or other inquiry by such agency regarding financial or other operational results of any Loan Party, any Company Group Party or Parent;</w:t>
      </w:r>
    </w:p>
    <w:p>
      <w:pPr>
        <w:spacing w:after="0" w:line="171" w:lineRule="exact"/>
        <w:rPr>
          <w:rFonts w:ascii="Arial" w:cs="Arial" w:eastAsia="Arial" w:hAnsi="Arial"/>
          <w:sz w:val="17"/>
          <w:szCs w:val="17"/>
          <w:color w:val="auto"/>
        </w:rPr>
      </w:pPr>
    </w:p>
    <w:p>
      <w:pPr>
        <w:jc w:val="both"/>
        <w:ind w:left="-60" w:firstLine="1304"/>
        <w:spacing w:after="0" w:line="263" w:lineRule="auto"/>
        <w:tabs>
          <w:tab w:leader="none" w:pos="193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the assertion or occurrence thereof, notice of any action or proceeding against or of any noncompliance by any Loan Party or any of their respective Subsidiaries with any Environmental Law or Environmental Permit that could reasonably be expected to have a Material Adverse Effect;</w:t>
      </w:r>
    </w:p>
    <w:p>
      <w:pPr>
        <w:spacing w:after="0" w:line="183" w:lineRule="exact"/>
        <w:rPr>
          <w:rFonts w:ascii="Arial" w:cs="Arial" w:eastAsia="Arial" w:hAnsi="Arial"/>
          <w:sz w:val="18"/>
          <w:szCs w:val="18"/>
          <w:color w:val="auto"/>
        </w:rPr>
      </w:pPr>
    </w:p>
    <w:p>
      <w:pPr>
        <w:jc w:val="both"/>
        <w:ind w:left="-60" w:firstLine="1304"/>
        <w:spacing w:after="0" w:line="259" w:lineRule="auto"/>
        <w:tabs>
          <w:tab w:leader="none" w:pos="197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each year, at the time of delivery of annual financial statements with respect to the preceding fiscal year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a certificate of a Responsible Officer of the Borrower either confirming that there has been no change in the information set forth in the Collateral Questionnaire delivered on the Closing Date or the date of the most recent certificate delivered pursuant to this </w:t>
      </w:r>
      <w:r>
        <w:rPr>
          <w:rFonts w:ascii="Arial" w:cs="Arial" w:eastAsia="Arial" w:hAnsi="Arial"/>
          <w:sz w:val="18"/>
          <w:szCs w:val="18"/>
          <w:u w:val="single" w:color="auto"/>
          <w:color w:val="auto"/>
        </w:rPr>
        <w:t>Section 6.02(e)</w:t>
      </w:r>
      <w:r>
        <w:rPr>
          <w:rFonts w:ascii="Arial" w:cs="Arial" w:eastAsia="Arial" w:hAnsi="Arial"/>
          <w:sz w:val="18"/>
          <w:szCs w:val="18"/>
          <w:color w:val="auto"/>
        </w:rPr>
        <w:t>, as applicable, and/or identifying any such changes;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4" w:right="339" w:bottom="1440" w:gutter="0" w:footer="0" w:header="0"/>
        </w:sectPr>
      </w:pPr>
    </w:p>
    <w:bookmarkStart w:id="153" w:name="page154"/>
    <w:bookmarkEnd w:id="153"/>
    <w:p>
      <w:pPr>
        <w:jc w:val="both"/>
        <w:ind w:firstLine="1304"/>
        <w:spacing w:after="0" w:line="286" w:lineRule="auto"/>
        <w:tabs>
          <w:tab w:leader="none" w:pos="189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if the Borrower elects to have an Acquisition Period apply with respect to a Qualified Acquisition, written notice of such election no later than the earlier of (i) 10 Business Days following the Qualified Acquisition Closing Date with respect thereto and (ii) the date of delivery of the Compliance Certificate required under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for the fiscal quarter during which the Qualified Acquisition occurred; and</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215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legal or corporate affairs of any Loan Party, any Company Group Party or any Project Company, or compliance with the terms of the Loan Documents, as the Administrative Agent may from time to time reasonably request.</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Any 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may be delivered electronically (including by having been publicly filed with the SEC) and if so delivered, shall be deemed to have been delivered on the date (i) on which Parent posts such documents, or provides a link thereto on Parent’s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(ii) on which such documents are posted on the Borrower’s behalf on an Internet or intranet website, if any, to which each Lender and the Administrative Agent has access (whether a commercial, third-party website or whether sponsored by the Administrative Agent); or (iii) if publicly filed with the SEC, as of the date of such filing;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promptly notify the Administrative Agent (by telecopier or electronic mail) of the posting of any such documents and provide to the Administrative Agent by electronic mail electronic versions of such documents.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Borrower hereby acknowledges that (a) the Administrative Agent and/or the Arrangers will make available to the Lenders and the L/C Issuers materials and/or information provided by or on behalf of the Loan Parties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L/C Issuers and the Lenders to treat such Borrower Materials as not containing any material non-public information (although it may be sensitive and proprietary) with respect to the Loan Parties or their respective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Unless otherwise marked “PUBLIC” all Borrower Materials will be presumed to be available for non-Public Lenders only.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4" w:name="page155"/>
    <w:bookmarkEnd w:id="154"/>
    <w:p>
      <w:pPr>
        <w:ind w:left="660"/>
        <w:spacing w:after="0"/>
        <w:tabs>
          <w:tab w:leader="none" w:pos="1260" w:val="left"/>
        </w:tabs>
        <w:rPr>
          <w:sz w:val="20"/>
          <w:szCs w:val="20"/>
          <w:color w:val="auto"/>
        </w:rPr>
      </w:pPr>
      <w:r>
        <w:rPr>
          <w:rFonts w:ascii="Arial" w:cs="Arial" w:eastAsia="Arial" w:hAnsi="Arial"/>
          <w:sz w:val="18"/>
          <w:szCs w:val="18"/>
          <w:u w:val="single" w:color="auto"/>
          <w:color w:val="auto"/>
        </w:rPr>
        <w:t>6.03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Promptly notify the Administrative Agent:</w:t>
      </w:r>
    </w:p>
    <w:p>
      <w:pPr>
        <w:spacing w:after="0" w:line="225" w:lineRule="exact"/>
        <w:rPr>
          <w:sz w:val="20"/>
          <w:szCs w:val="20"/>
          <w:color w:val="auto"/>
        </w:rPr>
      </w:pPr>
    </w:p>
    <w:p>
      <w:pPr>
        <w:ind w:left="1900" w:hanging="596"/>
        <w:spacing w:after="0"/>
        <w:tabs>
          <w:tab w:leader="none" w:pos="1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 the existence of any Default;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6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 (including as a result of a violation by any Loan Party or any of their respective Subsidiaries of, or a liability of any Loan Party or any of their respective Subsidiaries arising under, Environmental Laws);</w:t>
      </w:r>
    </w:p>
    <w:p>
      <w:pPr>
        <w:spacing w:after="0" w:line="183" w:lineRule="exact"/>
        <w:rPr>
          <w:rFonts w:ascii="Arial" w:cs="Arial" w:eastAsia="Arial" w:hAnsi="Arial"/>
          <w:sz w:val="18"/>
          <w:szCs w:val="18"/>
          <w:color w:val="auto"/>
        </w:rPr>
      </w:pPr>
    </w:p>
    <w:p>
      <w:pPr>
        <w:ind w:right="20" w:firstLine="1304"/>
        <w:spacing w:after="0" w:line="277" w:lineRule="auto"/>
        <w:tabs>
          <w:tab w:leader="none" w:pos="201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within ten (10) days after any officer of a Loan Party knows of the occurrence of any ERISA Event that could reasonably be expected to have a Material Adverse Effect; and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Holdings shall provide notification to the Administrative Agent promptly upon the making of any Holdings Tax Equity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Payments.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Each notice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6.03(a)</w:t>
      </w:r>
      <w:r>
        <w:rPr>
          <w:rFonts w:ascii="Arial" w:cs="Arial" w:eastAsia="Arial" w:hAnsi="Arial"/>
          <w:sz w:val="17"/>
          <w:szCs w:val="17"/>
          <w:color w:val="auto"/>
        </w:rPr>
        <w:t xml:space="preserve"> shall describe with particularity any and all provisions of this Agreement and any other Loan Document that have been breached.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6.04 Payment of Obligations</w:t>
      </w:r>
      <w:r>
        <w:rPr>
          <w:rFonts w:ascii="Arial" w:cs="Arial" w:eastAsia="Arial" w:hAnsi="Arial"/>
          <w:sz w:val="18"/>
          <w:szCs w:val="18"/>
          <w:color w:val="auto"/>
        </w:rPr>
        <w:t xml:space="preserve">. Except as could not reasonably be expected to result in a Material Adverse Effect,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Company Group Party and (b) all lawful claims which, if unpaid, would by law become a Lien upon its property (except for Liens described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6.05 Preservation of Existence, Etc. (a) Preserve, renew and maintain in full force and effect its legal existence and good standing under the Laws of the jurisdiction of its organization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(i) issued patents and (ii) registered trademarks, trade names and service marks, in each case with respect to clauses (i) and (ii), owned by any Loan Party, the non-preservation of which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-716915</wp:posOffset>
            </wp:positionV>
            <wp:extent cx="18078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07845" cy="8255"/>
                    </a:xfrm>
                    <a:prstGeom prst="rect">
                      <a:avLst/>
                    </a:prstGeom>
                    <a:noFill/>
                  </pic:spPr>
                </pic:pic>
              </a:graphicData>
            </a:graphic>
          </wp:anchor>
        </w:drawing>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5" w:name="page156"/>
    <w:bookmarkEnd w:id="155"/>
    <w:p>
      <w:pPr>
        <w:jc w:val="both"/>
        <w:ind w:firstLine="648"/>
        <w:spacing w:after="0" w:line="311" w:lineRule="auto"/>
        <w:rPr>
          <w:sz w:val="20"/>
          <w:szCs w:val="20"/>
          <w:color w:val="auto"/>
        </w:rPr>
      </w:pPr>
      <w:r>
        <w:rPr>
          <w:rFonts w:ascii="Arial" w:cs="Arial" w:eastAsia="Arial" w:hAnsi="Arial"/>
          <w:sz w:val="16"/>
          <w:szCs w:val="16"/>
          <w:color w:val="auto"/>
        </w:rPr>
        <w:t>6.06 Maintenance of Properties. (xv) Maintain, preserve and protect all of its material tangible properties and equipment necessary in the operation of its business in good working order and condition, ordinary wear and tear excepted; and (b) make all necessary repairs thereto and renewals and replacements thereof, in each case, except where the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-332740</wp:posOffset>
            </wp:positionV>
            <wp:extent cx="16795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79575" cy="8890"/>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6.07 Maintenance of Insurance</w:t>
      </w:r>
      <w:r>
        <w:rPr>
          <w:rFonts w:ascii="Arial" w:cs="Arial" w:eastAsia="Arial" w:hAnsi="Arial"/>
          <w:sz w:val="18"/>
          <w:szCs w:val="18"/>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by the Borrower (or the Borrower’s insurance agent and/or broker) of termination, lapse or cancellation of such insurance.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6.08 Compliance with Laws. Comply in all material respects with the requirements of all Laws (including the United States Foreign Corrupt Practices Act of 1977, as amended, and each of the foreign assets control regulations of the United States Treasury Department (31 C.F.R., Subtitle B, Chapter V, as amended))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-589915</wp:posOffset>
            </wp:positionV>
            <wp:extent cx="1482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6.09 Books and Records. (xvi) Maintain proper books of record and account, in which true and correct entries in conformity with GAAP consistently applied shall be made of all financial transactions and matters involving the assets and business of the applicable Loan Party or such Company Group Party, as the case may be; and (b) maintain such books of record and account in material conformity with all applicable requirements of any Governmental Authority having regulatory jurisdiction over such Loan Party or such Company Group Party,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-455930</wp:posOffset>
            </wp:positionV>
            <wp:extent cx="13538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6.10 Inspection Rights. Permit representatives of the Administrative Agent to visit and inspect any of the properties of the Loan Parties and their respective material Subsidiaries, to examine the corporate, financial and operating records of the Loan Parties and their respective material Subsidiaries, and make copies thereof or abstracts therefrom, and to discuss the affairs, finances and accounts of the Loan Parties and their respective material Subsidiaries with the directors, officers, and independent public accountants of the Loan Parties, all at the expense of the Borrower and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unless an Event of Default has occurred and is continuing, occur not more than twice during any fiscal year of the Borrower;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so long as no Event of Default shall have occurred and be continuing, any visit pursuant to this Section in excess of once per calendar year by the Administrative Agent shall be at the expense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however, that when an Event of Default exists the Administrative Agent may do any of the foregoing at the expense of the Borrower at any time during normal business hours and without advance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-1144905</wp:posOffset>
            </wp:positionV>
            <wp:extent cx="12255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6" w:name="page157"/>
    <w:bookmarkEnd w:id="156"/>
    <w:p>
      <w:pPr>
        <w:jc w:val="both"/>
        <w:ind w:firstLine="648"/>
        <w:spacing w:after="0" w:line="275" w:lineRule="auto"/>
        <w:rPr>
          <w:sz w:val="20"/>
          <w:szCs w:val="20"/>
          <w:color w:val="auto"/>
        </w:rPr>
      </w:pPr>
      <w:r>
        <w:rPr>
          <w:rFonts w:ascii="Arial" w:cs="Arial" w:eastAsia="Arial" w:hAnsi="Arial"/>
          <w:sz w:val="17"/>
          <w:szCs w:val="17"/>
          <w:u w:val="single" w:color="auto"/>
          <w:color w:val="auto"/>
        </w:rPr>
        <w:t>6.11 Use of Proceeds and Letters of Credit</w:t>
      </w:r>
      <w:r>
        <w:rPr>
          <w:rFonts w:ascii="Arial" w:cs="Arial" w:eastAsia="Arial" w:hAnsi="Arial"/>
          <w:sz w:val="17"/>
          <w:szCs w:val="17"/>
          <w:color w:val="auto"/>
        </w:rPr>
        <w:t xml:space="preserve">. Use the proceeds of the Credit Extensions for ongoing working capital and other general corporate purposes, including acquisitions permitted under </w:t>
      </w:r>
      <w:r>
        <w:rPr>
          <w:rFonts w:ascii="Arial" w:cs="Arial" w:eastAsia="Arial" w:hAnsi="Arial"/>
          <w:sz w:val="17"/>
          <w:szCs w:val="17"/>
          <w:u w:val="single" w:color="auto"/>
          <w:color w:val="auto"/>
        </w:rPr>
        <w:t>Section 7.03(g)</w:t>
      </w:r>
      <w:r>
        <w:rPr>
          <w:rFonts w:ascii="Arial" w:cs="Arial" w:eastAsia="Arial" w:hAnsi="Arial"/>
          <w:sz w:val="17"/>
          <w:szCs w:val="17"/>
          <w:color w:val="auto"/>
        </w:rPr>
        <w:t xml:space="preserve"> and capital expenditures, and not use, directly or, to the knowledge of the Borrower, indirectly, or otherwise make available such proceeds to any Subsidiary or any other Person to fund, finance or facilitate any activities or business of or with any Person that is, at the time of such funding, a Sanctioned Person or in any country or territory that is at the time of such funding a Sanctioned Country or in any other manner that would result in a violation of any Sanctions applicable to any party hereto.</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u w:val="single" w:color="auto"/>
          <w:color w:val="auto"/>
        </w:rPr>
        <w:t>6.12 Covenant to Give Security</w:t>
      </w:r>
      <w:r>
        <w:rPr>
          <w:rFonts w:ascii="Arial" w:cs="Arial" w:eastAsia="Arial" w:hAnsi="Arial"/>
          <w:sz w:val="18"/>
          <w:szCs w:val="18"/>
          <w:color w:val="auto"/>
        </w:rPr>
        <w:t>. (xvii) Upon the formation or acquisition of any new Company Group Party or Project Company (unless, in the case of a Company Group Party or Project Company that is not wholly owned by a Loan Party or Affiliate thereof, such Company Group Party’s or Project Company’s Organization Documents prohibit Liens on Equity Interests of such Company Group Party or such Project Company pursuant to the Security Agreement, or in the case of any Project Company, such Lien is prohibited due to the terms of any Project-Level Indebtedness or any Permitted Tax Equity Financing binding upon such Person or another Project Company that is the direct or indirect parent of such Person or expected to become binding upon such Person or another Project Company that is the direct or indirect parent of such Person within one hundred eighty (180) days (or such longer period not to exceed 270 days as is reasonably acceptable to the Administrative Agent), following its formation or acquisition by any Loan Party) owned directly by any Loan Party, then the Borrower shall, at the Borrower’s expense, with respect to the Equity Interests in each such Company Group Party or Project Company:</w:t>
      </w:r>
    </w:p>
    <w:p>
      <w:pPr>
        <w:spacing w:after="0" w:line="196" w:lineRule="exact"/>
        <w:rPr>
          <w:sz w:val="20"/>
          <w:szCs w:val="20"/>
          <w:color w:val="auto"/>
        </w:rPr>
      </w:pPr>
    </w:p>
    <w:p>
      <w:pPr>
        <w:jc w:val="both"/>
        <w:ind w:left="660" w:firstLine="1292"/>
        <w:spacing w:after="0" w:line="290" w:lineRule="auto"/>
        <w:tabs>
          <w:tab w:leader="none" w:pos="269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within 15 Business Days (or such longer period as may be agreed to by the Administrative Agent in its reasonable discretion) after such formation or acquisition, duly execute and deliver to the Administrative Agent Security Agreement Supplements and other security and pledge agreements, as specified by and in form and substance reasonably satisfactory to the Administrative Agent, together with all Pledged Equity issued by such Company Group Party or Project Company and owned by a Loan Party and other instruments of the type specified in </w:t>
      </w:r>
      <w:r>
        <w:rPr>
          <w:rFonts w:ascii="Arial" w:cs="Arial" w:eastAsia="Arial" w:hAnsi="Arial"/>
          <w:sz w:val="16"/>
          <w:szCs w:val="16"/>
          <w:u w:val="single" w:color="auto"/>
          <w:color w:val="auto"/>
        </w:rPr>
        <w:t>Section 4.01(a)(iii)</w:t>
      </w:r>
      <w:r>
        <w:rPr>
          <w:rFonts w:ascii="Arial" w:cs="Arial" w:eastAsia="Arial" w:hAnsi="Arial"/>
          <w:sz w:val="16"/>
          <w:szCs w:val="16"/>
          <w:color w:val="auto"/>
        </w:rPr>
        <w:t xml:space="preserve">, securing payment of all the Obligations of such Loan Party and constituting Liens on all such properties (provided that in no event shall such security interests or Liens apply to, in the case of any Foreign Subsidiary, more than 65% of the voting equity interests and 100% of non-voting equity interests in such Foreign Subsidiary; provided further, that in no event shall any Foreign Subsidiary or any direct or indirect Subsidiary of a Foreign Subsidiary be required to pledge or grant a security interest in any of its assets pursuant to this </w:t>
      </w:r>
      <w:r>
        <w:rPr>
          <w:rFonts w:ascii="Arial" w:cs="Arial" w:eastAsia="Arial" w:hAnsi="Arial"/>
          <w:sz w:val="16"/>
          <w:szCs w:val="16"/>
          <w:u w:val="single" w:color="auto"/>
          <w:color w:val="auto"/>
        </w:rPr>
        <w:t>Section 6.12(a)(i)</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left="660" w:firstLine="1292"/>
        <w:spacing w:after="0" w:line="273" w:lineRule="auto"/>
        <w:tabs>
          <w:tab w:leader="none" w:pos="26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within 15 Business Days (or such longer period as may be agreed to by the Administrative Agent in its reasonable discretion) after such formation or acquisition, cause the Loan Parties or their Subsidiaries to take whatever action (including the filing of Uniform Commercial Code financing statements and the giving of notices) may be necessary to vest in the Administrative Agent (or in any representative of the Administrative Agent designated by it) valid and subsisting first priority Liens (other than with respect to Permitted Prior Liens) on the properties purported to be subject to the Security Agreement Supplements and security and pledge agreements delivered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6.12</w:t>
      </w:r>
      <w:r>
        <w:rPr>
          <w:rFonts w:ascii="Arial" w:cs="Arial" w:eastAsia="Arial" w:hAnsi="Arial"/>
          <w:sz w:val="17"/>
          <w:szCs w:val="17"/>
          <w:color w:val="auto"/>
        </w:rPr>
        <w:t>, enforceable against all third parties in accordance with their terms; and</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7" w:name="page158"/>
    <w:bookmarkEnd w:id="157"/>
    <w:p>
      <w:pPr>
        <w:jc w:val="both"/>
        <w:ind w:left="600" w:firstLine="1292"/>
        <w:spacing w:after="0" w:line="255" w:lineRule="auto"/>
        <w:tabs>
          <w:tab w:leader="none" w:pos="261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within 15 Business Days (or such longer period as may be agreed to by the Administrative Agent in its reasonable discretion) after such formation or acquisition, to the extent reasonably requested by the Administrative Agent, deliver to the Administrative Agent a signed copy of a favorable opinion, addressed to the Administrative Agent and the other Secured Parties, of counsel for the Loan Parties reasonably acceptable to the Administrative Agent as to the matters contained in clauses (i) and (ii) above, and as to such other matters as the Administrative Agent may reasonably request and being substantially consistent with the opinions delivered pursuant to </w:t>
      </w:r>
      <w:r>
        <w:rPr>
          <w:rFonts w:ascii="Arial" w:cs="Arial" w:eastAsia="Arial" w:hAnsi="Arial"/>
          <w:sz w:val="18"/>
          <w:szCs w:val="18"/>
          <w:u w:val="single" w:color="auto"/>
          <w:color w:val="auto"/>
        </w:rPr>
        <w:t>Section 4.01(a)(v)</w:t>
      </w:r>
      <w:r>
        <w:rPr>
          <w:rFonts w:ascii="Arial" w:cs="Arial" w:eastAsia="Arial" w:hAnsi="Arial"/>
          <w:sz w:val="18"/>
          <w:szCs w:val="18"/>
          <w:color w:val="auto"/>
        </w:rPr>
        <w:t xml:space="preserve"> on the Closing Date.</w:t>
      </w:r>
    </w:p>
    <w:p>
      <w:pPr>
        <w:spacing w:after="0" w:line="192" w:lineRule="exact"/>
        <w:rPr>
          <w:rFonts w:ascii="Arial" w:cs="Arial" w:eastAsia="Arial" w:hAnsi="Arial"/>
          <w:sz w:val="18"/>
          <w:szCs w:val="18"/>
          <w:color w:val="auto"/>
        </w:rPr>
      </w:pPr>
    </w:p>
    <w:p>
      <w:pPr>
        <w:jc w:val="both"/>
        <w:ind w:left="-60" w:firstLine="1304"/>
        <w:spacing w:after="0" w:line="286" w:lineRule="auto"/>
        <w:tabs>
          <w:tab w:leader="none" w:pos="190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Subject to any limitations set forth in the Security Agreement with respect to particular types of assets or property, in the event that any Loan Party acquires any assets or property not referred to in </w:t>
      </w:r>
      <w:r>
        <w:rPr>
          <w:rFonts w:ascii="Arial" w:cs="Arial" w:eastAsia="Arial" w:hAnsi="Arial"/>
          <w:sz w:val="16"/>
          <w:szCs w:val="16"/>
          <w:u w:val="single" w:color="auto"/>
          <w:color w:val="auto"/>
        </w:rPr>
        <w:t>Section 6.12(a)</w:t>
      </w:r>
      <w:r>
        <w:rPr>
          <w:rFonts w:ascii="Arial" w:cs="Arial" w:eastAsia="Arial" w:hAnsi="Arial"/>
          <w:sz w:val="16"/>
          <w:szCs w:val="16"/>
          <w:color w:val="auto"/>
        </w:rPr>
        <w:t xml:space="preserve"> or any fee interest in any real property (with a fair market value, inclusive of fixtures located thereon, in excess of the greater of (i) $</w:t>
      </w:r>
      <w:r>
        <w:rPr>
          <w:rFonts w:ascii="Arial" w:cs="Arial" w:eastAsia="Arial" w:hAnsi="Arial"/>
          <w:sz w:val="16"/>
          <w:szCs w:val="16"/>
          <w:b w:val="1"/>
          <w:bCs w:val="1"/>
          <w:color w:val="FF0000"/>
          <w:strike w:val="1"/>
        </w:rPr>
        <w:t>20,000,000</w:t>
      </w:r>
      <w:r>
        <w:rPr>
          <w:rFonts w:ascii="Arial" w:cs="Arial" w:eastAsia="Arial" w:hAnsi="Arial"/>
          <w:sz w:val="16"/>
          <w:szCs w:val="16"/>
          <w:b w:val="1"/>
          <w:bCs w:val="1"/>
          <w:u w:val="single" w:color="auto"/>
          <w:color w:val="0000FF"/>
        </w:rPr>
        <w:t>24,000,000</w:t>
      </w:r>
      <w:r>
        <w:rPr>
          <w:rFonts w:ascii="Arial" w:cs="Arial" w:eastAsia="Arial" w:hAnsi="Arial"/>
          <w:sz w:val="16"/>
          <w:szCs w:val="16"/>
          <w:color w:val="auto"/>
        </w:rPr>
        <w:t xml:space="preserve"> and (ii) 0.50% of Total Assets in the case of such real property), or any Person owns any such assets or property at the time it becomes a Loan Party, and such assets, property or interest in real property have not otherwise been made subject to the Lien of the Collateral Documents in favor of the Administrative Agent, for the benefit of Secured Parties, then such Loan Party shall promptly take all such actions and execute and deliver, or cause to be executed and delivered, all such documents, instruments, agreements, opinions and certificates, including those which are similar to those described in </w:t>
      </w:r>
      <w:r>
        <w:rPr>
          <w:rFonts w:ascii="Arial" w:cs="Arial" w:eastAsia="Arial" w:hAnsi="Arial"/>
          <w:sz w:val="16"/>
          <w:szCs w:val="16"/>
          <w:u w:val="single" w:color="auto"/>
          <w:color w:val="auto"/>
        </w:rPr>
        <w:t>Section 4.01(a)(iii)</w:t>
      </w:r>
      <w:r>
        <w:rPr>
          <w:rFonts w:ascii="Arial" w:cs="Arial" w:eastAsia="Arial" w:hAnsi="Arial"/>
          <w:sz w:val="16"/>
          <w:szCs w:val="16"/>
          <w:color w:val="auto"/>
        </w:rPr>
        <w:t>, with respect to each such asset, property or interest in real property (other than Excluded Assets (as defined in the Security Agreement)), that the Administrative Agent shall reasonably request to create in favor of the Administrative Agent, for the benefit of Secured Parties, a valid and perfected (subject to Section 4.7(b) of the Security Agreement in the case of IP Rights) first priority (other than with respect to Permitted Prior Liens) security interest in such assets, property or interest in real property. The Administrative Agent shall receive from the applicable Loan Party within 90 days following the date that such Loan Party acquires any fee interest in any real property with a fair market value, inclusive of fixtures located thereon, in excess of the greater of (i) $</w:t>
      </w:r>
      <w:r>
        <w:rPr>
          <w:rFonts w:ascii="Arial" w:cs="Arial" w:eastAsia="Arial" w:hAnsi="Arial"/>
          <w:sz w:val="16"/>
          <w:szCs w:val="16"/>
          <w:b w:val="1"/>
          <w:bCs w:val="1"/>
          <w:color w:val="FF0000"/>
          <w:strike w:val="1"/>
        </w:rPr>
        <w:t>20,000,000</w:t>
      </w:r>
      <w:r>
        <w:rPr>
          <w:rFonts w:ascii="Arial" w:cs="Arial" w:eastAsia="Arial" w:hAnsi="Arial"/>
          <w:sz w:val="16"/>
          <w:szCs w:val="16"/>
          <w:b w:val="1"/>
          <w:bCs w:val="1"/>
          <w:u w:val="single" w:color="auto"/>
          <w:color w:val="0000FF"/>
        </w:rPr>
        <w:t>24,000,000</w:t>
      </w:r>
      <w:r>
        <w:rPr>
          <w:rFonts w:ascii="Arial" w:cs="Arial" w:eastAsia="Arial" w:hAnsi="Arial"/>
          <w:sz w:val="16"/>
          <w:szCs w:val="16"/>
          <w:color w:val="auto"/>
        </w:rPr>
        <w:t xml:space="preserve"> and (ii) 0.50% of Total Assets (“</w:t>
      </w:r>
      <w:r>
        <w:rPr>
          <w:rFonts w:ascii="Arial" w:cs="Arial" w:eastAsia="Arial" w:hAnsi="Arial"/>
          <w:sz w:val="16"/>
          <w:szCs w:val="16"/>
          <w:u w:val="single" w:color="auto"/>
          <w:color w:val="auto"/>
        </w:rPr>
        <w:t>Mortgaged Property</w:t>
      </w:r>
      <w:r>
        <w:rPr>
          <w:rFonts w:ascii="Arial" w:cs="Arial" w:eastAsia="Arial" w:hAnsi="Arial"/>
          <w:sz w:val="16"/>
          <w:szCs w:val="16"/>
          <w:color w:val="auto"/>
        </w:rPr>
        <w:t>”) (or such longer period of time as may be agreed to by the Administrative Agent in its reasonable discretion) or, in the case of any real property owned by a Person at the time it becomes a Loan Party, within 90 days following the date that such Person becomes a Loan Party (or such longer period of time as may be agreed to by the Administrative Agent in its reasonable discretion), the following documents and instruments:</w:t>
      </w:r>
    </w:p>
    <w:p>
      <w:pPr>
        <w:spacing w:after="0" w:line="167" w:lineRule="exact"/>
        <w:rPr>
          <w:rFonts w:ascii="Arial" w:cs="Arial" w:eastAsia="Arial" w:hAnsi="Arial"/>
          <w:sz w:val="16"/>
          <w:szCs w:val="16"/>
          <w:color w:val="auto"/>
        </w:rPr>
      </w:pPr>
    </w:p>
    <w:p>
      <w:pPr>
        <w:jc w:val="both"/>
        <w:ind w:left="600" w:firstLine="1292"/>
        <w:spacing w:after="0" w:line="273" w:lineRule="auto"/>
        <w:tabs>
          <w:tab w:leader="none" w:pos="2489"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a mortgage duly authorized and executed, in proper form for recording in the recording office of each jurisdiction where such Mortgaged Property to be encumbered thereby is situated, in favor of the Administrative Agent, for the benefit of the Secured Parties, together with such other instruments as shall be necessary or appropriate (in the reasonable judgment of the Administrative Agent) to create a Lien under applicable law, all of which shall be in form and substance reasonably satisfactory to the Administrative Agent, which mortgage and other instruments shall be effective to create and/or maintain a first priority Lien on such Mortgaged Property, as the case may be, subject to no Liens other than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applicable to such Mortgaged Property;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4" w:right="339" w:bottom="1440" w:gutter="0" w:footer="0" w:header="0"/>
        </w:sectPr>
      </w:pPr>
    </w:p>
    <w:bookmarkStart w:id="158" w:name="page159"/>
    <w:bookmarkEnd w:id="158"/>
    <w:p>
      <w:pPr>
        <w:jc w:val="both"/>
        <w:ind w:left="-460" w:firstLine="1292"/>
        <w:spacing w:after="0" w:line="272" w:lineRule="auto"/>
        <w:tabs>
          <w:tab w:leader="none" w:pos="173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fully paid American Land Title Association Lender’s Extended Coverage title insurance policies (the “</w:t>
      </w:r>
      <w:r>
        <w:rPr>
          <w:rFonts w:ascii="Arial" w:cs="Arial" w:eastAsia="Arial" w:hAnsi="Arial"/>
          <w:sz w:val="17"/>
          <w:szCs w:val="17"/>
          <w:u w:val="single" w:color="auto"/>
          <w:color w:val="auto"/>
        </w:rPr>
        <w:t>Mortgage</w:t>
      </w:r>
      <w:r>
        <w:rPr>
          <w:rFonts w:ascii="Arial" w:cs="Arial" w:eastAsia="Arial" w:hAnsi="Arial"/>
          <w:sz w:val="17"/>
          <w:szCs w:val="17"/>
          <w:color w:val="auto"/>
        </w:rPr>
        <w:t xml:space="preserve"> </w:t>
      </w:r>
      <w:r>
        <w:rPr>
          <w:rFonts w:ascii="Arial" w:cs="Arial" w:eastAsia="Arial" w:hAnsi="Arial"/>
          <w:sz w:val="17"/>
          <w:szCs w:val="17"/>
          <w:u w:val="single" w:color="auto"/>
          <w:color w:val="auto"/>
        </w:rPr>
        <w:t>Policies</w:t>
      </w:r>
      <w:r>
        <w:rPr>
          <w:rFonts w:ascii="Arial" w:cs="Arial" w:eastAsia="Arial" w:hAnsi="Arial"/>
          <w:sz w:val="17"/>
          <w:szCs w:val="17"/>
          <w:color w:val="auto"/>
        </w:rPr>
        <w:t xml:space="preserve">”), with endorsements and in amounts reasonably acceptable to the Administrative Agent, issued, coinsured and reinsured by title insurers reasonably acceptable to and reasonably required by the Administrative Agent, insuring the mortgages to be valid first and subsisting Liens on the property described therein, free and clear of all defects (including, but not limited to, mechanics’ and materialmen’s Liens) and encumbrances, other than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and providing for such other affirmative insurance (including endorsements for future advances under the Loan Documents and for zoning of the applicable property) and such coinsurance and direct access reinsurance as the Administrative Agent may deem reasonably necessary or desirable and are available in the relevant jurisdiction;</w:t>
      </w:r>
    </w:p>
    <w:p>
      <w:pPr>
        <w:spacing w:after="0" w:line="177" w:lineRule="exact"/>
        <w:rPr>
          <w:rFonts w:ascii="Arial" w:cs="Arial" w:eastAsia="Arial" w:hAnsi="Arial"/>
          <w:sz w:val="17"/>
          <w:szCs w:val="17"/>
          <w:color w:val="auto"/>
        </w:rPr>
      </w:pPr>
    </w:p>
    <w:p>
      <w:pPr>
        <w:jc w:val="both"/>
        <w:ind w:left="-460" w:firstLine="1292"/>
        <w:spacing w:after="0" w:line="269" w:lineRule="auto"/>
        <w:tabs>
          <w:tab w:leader="none" w:pos="154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American Land Title Association/American Congress on Surveying and Mapping form surveys or such other forms of surveys as are reasonably acceptable to the Administrative Agent, including ExpressMaps prepared by First American Commercial Due Diligence Services, for which all necessary fees (where applicable) have been paid, and dated no more than 90 days before the date on which a mortgage in respect thereof is required to be delivered hereby (or such other dates as shall be reasonably acceptable to the Administrative Agent), either (i) certified by a land surveyor duly registered and licensed in the States in which the property described in such surveys is located and reasonably acceptable to the Administrative Agent, showing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reasonably acceptable to the Administrative Agent or (ii) as to ExpressMaps, in form and substance reasonably acceptable to the issuer of the Mortgage Policies to delete the standard survey exceptions and to issue endorsements to the same extent as such exceptions could have been deleted and such endorsements issued had an ALTA/ACSM Survey been provided rather than an ExpressMap;</w:t>
      </w:r>
    </w:p>
    <w:p>
      <w:pPr>
        <w:spacing w:after="0" w:line="181" w:lineRule="exact"/>
        <w:rPr>
          <w:rFonts w:ascii="Arial" w:cs="Arial" w:eastAsia="Arial" w:hAnsi="Arial"/>
          <w:sz w:val="17"/>
          <w:szCs w:val="17"/>
          <w:color w:val="auto"/>
        </w:rPr>
      </w:pPr>
    </w:p>
    <w:p>
      <w:pPr>
        <w:ind w:left="-460" w:firstLine="1292"/>
        <w:spacing w:after="0" w:line="308" w:lineRule="auto"/>
        <w:tabs>
          <w:tab w:leader="none" w:pos="155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all such other items as shall be reasonably necessary in the opinion of counsel to the Administrative Agent to create a valid and perfected first priority mortgage Lien on such Mortgaged Property, subject only to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460" w:firstLine="1292"/>
        <w:spacing w:after="0" w:line="263" w:lineRule="auto"/>
        <w:tabs>
          <w:tab w:leader="none" w:pos="156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opinions of local counsel for the Loan Parties in states in which the Mortgaged Properties are located, with respect to the enforceability and validity of the mortgages and any related fixture filings in form and substance reasonably satisfactory to the Administrative Agent; and</w:t>
      </w:r>
    </w:p>
    <w:p>
      <w:pPr>
        <w:spacing w:after="0" w:line="183" w:lineRule="exact"/>
        <w:rPr>
          <w:rFonts w:ascii="Arial" w:cs="Arial" w:eastAsia="Arial" w:hAnsi="Arial"/>
          <w:sz w:val="18"/>
          <w:szCs w:val="18"/>
          <w:color w:val="auto"/>
        </w:rPr>
      </w:pPr>
    </w:p>
    <w:p>
      <w:pPr>
        <w:jc w:val="both"/>
        <w:ind w:left="-460" w:firstLine="1292"/>
        <w:spacing w:after="0" w:line="272" w:lineRule="auto"/>
        <w:tabs>
          <w:tab w:leader="none" w:pos="150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to the extent any Mortgaged Property is subject to the provisions of the Flood Insurance Laws, (i) (x) concurrently with the delivery of the mortgage in favor of the Administrative Agent in connection therewith and (y) at any other time if necessary for compliance with applicable Flood Insurance Laws, a standard flood hazard determination form for such Mortgaged Property and (ii) if improvements located on such Mortgaged Property are located in an area designated a “flood hazard area” in any Flood Insurance Rate Map published by the Federal Emergency Management Agency (or any successor agency), evidence of flood insurance in such amount as the Administrative Agent may from time to time reasonably require, and otherwise to ensure compliance with the National Flood Insurance Program as set forth in the Flood Disaster Protection Act of 1973, as it may be amended from time to time (the “</w:t>
      </w:r>
      <w:r>
        <w:rPr>
          <w:rFonts w:ascii="Arial" w:cs="Arial" w:eastAsia="Arial" w:hAnsi="Arial"/>
          <w:sz w:val="17"/>
          <w:szCs w:val="17"/>
          <w:u w:val="single" w:color="auto"/>
          <w:color w:val="auto"/>
        </w:rPr>
        <w:t>Flood Insurance Laws</w:t>
      </w:r>
      <w:r>
        <w:rPr>
          <w:rFonts w:ascii="Arial" w:cs="Arial" w:eastAsia="Arial" w:hAnsi="Arial"/>
          <w:sz w:val="17"/>
          <w:szCs w:val="17"/>
          <w:color w:val="auto"/>
        </w:rPr>
        <w:t>”).</w:t>
      </w:r>
    </w:p>
    <w:p>
      <w:pPr>
        <w:spacing w:after="0" w:line="6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159" w:name="page160"/>
    <w:bookmarkEnd w:id="159"/>
    <w:p>
      <w:pPr>
        <w:jc w:val="both"/>
        <w:ind w:left="-60" w:firstLine="1304"/>
        <w:spacing w:after="0" w:line="288" w:lineRule="auto"/>
        <w:tabs>
          <w:tab w:leader="none" w:pos="198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If any Loan Party is prohibited from providing a Lien on the Equity Interests it owns in a Project Company pursuant to the requirements of </w:t>
      </w:r>
      <w:r>
        <w:rPr>
          <w:rFonts w:ascii="Arial" w:cs="Arial" w:eastAsia="Arial" w:hAnsi="Arial"/>
          <w:sz w:val="16"/>
          <w:szCs w:val="16"/>
          <w:u w:val="single" w:color="auto"/>
          <w:color w:val="auto"/>
        </w:rPr>
        <w:t>Section 6.12(a)</w:t>
      </w:r>
      <w:r>
        <w:rPr>
          <w:rFonts w:ascii="Arial" w:cs="Arial" w:eastAsia="Arial" w:hAnsi="Arial"/>
          <w:sz w:val="16"/>
          <w:szCs w:val="16"/>
          <w:color w:val="auto"/>
        </w:rPr>
        <w:t xml:space="preserve"> due to the terms of any Project-Level Indebtedness or Permitted Tax Equity Financing entered into by such Project Company or any other Project Company that is the direct or indirect parent of such Project Company after the Closing Date, and such prohibition was not implemented by the Borrower or any of its Affiliates primarily to prevent such Equity Interests from being Collateral (as determined from the standpoint of the Borrower (rather than any lenders of Project-Level Indebtedness)), then the Borrower shall provide written notice of the foregoing to the Administrative Agent and any such Lien on such Equity Interests under the Loan Documents shall automatically be discharged and released without any further action by any Person effective as of the time of entering into of such Project-Level Indebtedness Document or Permitted Tax Equity Financing Document or containing such prohibition. The Administrative Agent hereby agrees to execute and deliver such documentation (including, without limitation, releases and UCC termination statements with respect to any such pledge) at the Borrower’s expense as the Borrower may reasonably request to evidence any such discharge and release provided for in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the Lenders hereby authorize the Administrative Agent to do so.</w:t>
      </w:r>
    </w:p>
    <w:p>
      <w:pPr>
        <w:spacing w:after="0" w:line="168" w:lineRule="exact"/>
        <w:rPr>
          <w:rFonts w:ascii="Arial" w:cs="Arial" w:eastAsia="Arial" w:hAnsi="Arial"/>
          <w:sz w:val="16"/>
          <w:szCs w:val="16"/>
          <w:color w:val="auto"/>
        </w:rPr>
      </w:pPr>
    </w:p>
    <w:p>
      <w:pPr>
        <w:jc w:val="both"/>
        <w:ind w:left="-60" w:firstLine="1304"/>
        <w:spacing w:after="0" w:line="269" w:lineRule="auto"/>
        <w:tabs>
          <w:tab w:leader="none" w:pos="189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In the event that any Subsidiary of any Loan Party which is a Project Company shall no longer constitute a Project Company or any Loan Party acquires any Subsidiary which is not a Project Company (unless, in the case of a Subsidiary that is not wholly owned by a Loan Party or Affiliate thereof, such Subsidiary’s Organization Documents prohibit the guarantee by such Subsidiary of the Obligations pursuant to the Guaranty or the granting of a security interest by such Subsidiary to secure the Obligations), and, in each case, such Subsidiary is not a Foreign Subsidiary, the Borrower shall (a) cause such Subsidiary to become a Guarantor hereunder and a Grantor under the Security Agreement within fifteen (15) Business Days of the date thereof (or up to twenty (20) Business Days of the date thereof if reasonably acceptable to the Administrative Agent) by executing and delivering to the Administrative Agent a Counterpart Agreement and a Joinder Agreement under the Security Agreement and (b) take all such actions and execute and deliver, or cause to be executed and delivered, all such documents, instruments, agreements and certificates reasonably requested by the Administrative Agent, including those which are similar to those described in </w:t>
      </w:r>
      <w:r>
        <w:rPr>
          <w:rFonts w:ascii="Arial" w:cs="Arial" w:eastAsia="Arial" w:hAnsi="Arial"/>
          <w:sz w:val="17"/>
          <w:szCs w:val="17"/>
          <w:u w:val="single" w:color="auto"/>
          <w:color w:val="auto"/>
        </w:rPr>
        <w:t>Sections 4.01(a)(iii)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With respect to each such Subsidiary, the Borrower shall promptly send to the Administrative Agent written notice setting forth with respect to such Subsidiary (i) the date on which such Subsidiary shall no longer constitute a Project Company or the date of acquisition of such Subsidiary, as applicable and (ii) all of the data required to be set forth in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with respect to all Subsidiaries of the Borrower.</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4" w:right="339" w:bottom="1440" w:gutter="0" w:footer="0" w:header="0"/>
        </w:sectPr>
      </w:pPr>
    </w:p>
    <w:bookmarkStart w:id="160" w:name="page161"/>
    <w:bookmarkEnd w:id="160"/>
    <w:p>
      <w:pPr>
        <w:jc w:val="both"/>
        <w:ind w:firstLine="648"/>
        <w:spacing w:after="0" w:line="271" w:lineRule="auto"/>
        <w:rPr>
          <w:sz w:val="20"/>
          <w:szCs w:val="20"/>
          <w:color w:val="auto"/>
        </w:rPr>
      </w:pPr>
      <w:r>
        <w:rPr>
          <w:rFonts w:ascii="Arial" w:cs="Arial" w:eastAsia="Arial" w:hAnsi="Arial"/>
          <w:sz w:val="17"/>
          <w:szCs w:val="17"/>
          <w:u w:val="single" w:color="auto"/>
          <w:color w:val="auto"/>
        </w:rPr>
        <w:t>6.13 Compliance with Environmental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FF0000"/>
          <w:strike w:val="1"/>
        </w:rPr>
        <w:t>Law</w:t>
      </w:r>
      <w:r>
        <w:rPr>
          <w:rFonts w:ascii="Arial" w:cs="Arial" w:eastAsia="Arial" w:hAnsi="Arial"/>
          <w:sz w:val="17"/>
          <w:szCs w:val="17"/>
          <w:b w:val="1"/>
          <w:bCs w:val="1"/>
          <w:u w:val="single" w:color="auto"/>
          <w:color w:val="0000FF"/>
        </w:rPr>
        <w:t>Law</w:t>
      </w:r>
      <w:r>
        <w:rPr>
          <w:rFonts w:ascii="Arial" w:cs="Arial" w:eastAsia="Arial" w:hAnsi="Arial"/>
          <w:sz w:val="17"/>
          <w:szCs w:val="17"/>
          <w:color w:val="auto"/>
        </w:rPr>
        <w:t xml:space="preserve">. Except as could not reasonably be expected to have a Material Adverse Effect (i) comply, and cause all lessees and other Persons operating or occupying properties and facilities owned, leased or operated by it or the Company Group Parties to comply, in all material respects, with all applicable Environmental Laws and Environmental Permits; (ii) timely obtain and renew all Environmental Permits necessary for the ownership, leasing, use, and operation of its and the Company Group Parties’ properties; and (iii) if required pursuant to applicable Environmental Law, conduct any investigation, study, sampling and testing, and undertake any cleanup, removal, remedial or other action necessary to remove and clean up all Hazardous Materials from any of its and the Company Group Parties’ properties, in accordance with the requirements of all Environmental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Loan Parties nor any of the Company Group Parties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u w:val="single" w:color="auto"/>
          <w:color w:val="auto"/>
        </w:rPr>
        <w:t>6.14 Further Assurances</w:t>
      </w:r>
      <w:r>
        <w:rPr>
          <w:rFonts w:ascii="Arial" w:cs="Arial" w:eastAsia="Arial" w:hAnsi="Arial"/>
          <w:sz w:val="17"/>
          <w:szCs w:val="17"/>
          <w:color w:val="auto"/>
        </w:rPr>
        <w: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and documents as the Administrative Agent, or any Lender through the Administrative Agent, may reasonably require from time to time in order to perfect (subject to Section 4.7(b) of the Security Agreement in the case of IP Rights), preserve and maintain the validity, effectiveness and priority of the Guaranty, the Collateral Documents and the Liens intended to be created thereunder.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6.15 Maintenance of Energy Regulatory Authorizations and Status. (xviii) Each of the FPA-Jurisdictional Generation Portfolio Companies shall maintain and preserve its (i) FPA MBR Authorizations, Exemptions and Waivers and (ii) status as either an Exempt Wholesale Generator within the meaning of PUHCA or a Qualifying Facility under PURPA, except to the extent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-446405</wp:posOffset>
            </wp:positionV>
            <wp:extent cx="33439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43910" cy="8255"/>
                    </a:xfrm>
                    <a:prstGeom prst="rect">
                      <a:avLst/>
                    </a:prstGeom>
                    <a:noFill/>
                  </pic:spPr>
                </pic:pic>
              </a:graphicData>
            </a:graphic>
          </wp:anchor>
        </w:drawing>
      </w:r>
    </w:p>
    <w:p>
      <w:pPr>
        <w:spacing w:after="0" w:line="167" w:lineRule="exact"/>
        <w:rPr>
          <w:sz w:val="20"/>
          <w:szCs w:val="20"/>
          <w:color w:val="auto"/>
        </w:rPr>
      </w:pPr>
    </w:p>
    <w:p>
      <w:pPr>
        <w:jc w:val="both"/>
        <w:ind w:firstLine="1304"/>
        <w:spacing w:after="0" w:line="259" w:lineRule="auto"/>
        <w:tabs>
          <w:tab w:leader="none" w:pos="220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of the Non-FPA-Jurisdictional Generation Portfolio Companies shall maintain and preserve (i) its Non-FPA Sales Authorizations and (ii) to the extent such Non-FPA-Jurisdictional Portfolio Company owns or operates facilities used for the generation, transmission, or distribution of electric energy for sale, its status as either an Exempt Wholesale Generator within the meaning of PUHCA or a Qualifying Facility under PURPA, except to the extent failure to do so could not reasonably be expected to have a Material Adverse Effect.</w:t>
      </w:r>
    </w:p>
    <w:p>
      <w:pPr>
        <w:spacing w:after="0" w:line="186" w:lineRule="exact"/>
        <w:rPr>
          <w:rFonts w:ascii="Arial" w:cs="Arial" w:eastAsia="Arial" w:hAnsi="Arial"/>
          <w:sz w:val="18"/>
          <w:szCs w:val="18"/>
          <w:color w:val="auto"/>
        </w:rPr>
      </w:pPr>
    </w:p>
    <w:p>
      <w:pPr>
        <w:ind w:firstLine="1304"/>
        <w:spacing w:after="0" w:line="277" w:lineRule="auto"/>
        <w:tabs>
          <w:tab w:leader="none" w:pos="199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of the Thermal Utilities shall maintain and preserve its authority under the appropriate state public utility commission to produce and sell thermal energy.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6.16 Post-Closing Obligations. As promptly as practicable, and in any event within the time periods following the Closing Date specified on </w:t>
      </w:r>
      <w:r>
        <w:rPr>
          <w:rFonts w:ascii="Arial" w:cs="Arial" w:eastAsia="Arial" w:hAnsi="Arial"/>
          <w:sz w:val="18"/>
          <w:szCs w:val="18"/>
          <w:u w:val="single" w:color="auto"/>
          <w:color w:val="auto"/>
        </w:rPr>
        <w:t>Schedule 6.16</w:t>
      </w:r>
      <w:r>
        <w:rPr>
          <w:rFonts w:ascii="Arial" w:cs="Arial" w:eastAsia="Arial" w:hAnsi="Arial"/>
          <w:sz w:val="18"/>
          <w:szCs w:val="18"/>
          <w:color w:val="auto"/>
        </w:rPr>
        <w:t xml:space="preserve"> or such later date as the Administrative Agent agrees to in writing in its reasonable discretion, the Borrower and each other applicable Loan Party shall deliver the documents or take the actions specified on </w:t>
      </w:r>
      <w:r>
        <w:rPr>
          <w:rFonts w:ascii="Arial" w:cs="Arial" w:eastAsia="Arial" w:hAnsi="Arial"/>
          <w:sz w:val="18"/>
          <w:szCs w:val="18"/>
          <w:u w:val="single" w:color="auto"/>
          <w:color w:val="auto"/>
        </w:rPr>
        <w:t>Schedule 6.16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the Borrower or the applicable Grantor has closed any of the Deposit Accounts listed on </w:t>
      </w:r>
      <w:r>
        <w:rPr>
          <w:rFonts w:ascii="Arial" w:cs="Arial" w:eastAsia="Arial" w:hAnsi="Arial"/>
          <w:sz w:val="18"/>
          <w:szCs w:val="18"/>
          <w:u w:val="single" w:color="auto"/>
          <w:color w:val="auto"/>
        </w:rPr>
        <w:t>Schedule 6.16</w:t>
      </w:r>
      <w:r>
        <w:rPr>
          <w:rFonts w:ascii="Arial" w:cs="Arial" w:eastAsia="Arial" w:hAnsi="Arial"/>
          <w:sz w:val="18"/>
          <w:szCs w:val="18"/>
          <w:color w:val="auto"/>
        </w:rPr>
        <w:t xml:space="preserve"> on or prior to the date that is sixty (60) days following the Closing Date or (b) any of the Deposit Accounts listed on </w:t>
      </w:r>
      <w:r>
        <w:rPr>
          <w:rFonts w:ascii="Arial" w:cs="Arial" w:eastAsia="Arial" w:hAnsi="Arial"/>
          <w:sz w:val="18"/>
          <w:szCs w:val="18"/>
          <w:u w:val="single" w:color="auto"/>
          <w:color w:val="auto"/>
        </w:rPr>
        <w:t>Schedule 6.16</w:t>
      </w:r>
      <w:r>
        <w:rPr>
          <w:rFonts w:ascii="Arial" w:cs="Arial" w:eastAsia="Arial" w:hAnsi="Arial"/>
          <w:sz w:val="18"/>
          <w:szCs w:val="18"/>
          <w:color w:val="auto"/>
        </w:rPr>
        <w:t xml:space="preserve"> shall constitute an Excluded Account (as defined in the Security Agreement), the Borrower or the applicable Grantor shall not be required to deliver the applicable Control Agreement (as defined in the Security Agreement) in respect of such Deposit Account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-852805</wp:posOffset>
            </wp:positionV>
            <wp:extent cx="15862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any Letter of Credit shall remain outstanding, in each case, other than Contingent Obligations as to which no claim has been made, Obligations in respect of Secured Cash Management Agreements and Obligations in respect of Secured Hedge Agreements, the Borrower shall not, nor shall it permit any Company Group Party, and solely in the case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7.17</w:t>
      </w:r>
      <w:r>
        <w:rPr>
          <w:rFonts w:ascii="Arial" w:cs="Arial" w:eastAsia="Arial" w:hAnsi="Arial"/>
          <w:sz w:val="18"/>
          <w:szCs w:val="18"/>
          <w:b w:val="1"/>
          <w:bCs w:val="1"/>
          <w:u w:val="single" w:color="auto"/>
          <w:color w:val="0000FF"/>
        </w:rPr>
        <w:t>7.16</w:t>
      </w:r>
      <w:r>
        <w:rPr>
          <w:rFonts w:ascii="Arial" w:cs="Arial" w:eastAsia="Arial" w:hAnsi="Arial"/>
          <w:sz w:val="18"/>
          <w:szCs w:val="18"/>
          <w:color w:val="auto"/>
        </w:rPr>
        <w:t>, Holdings shall not: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7.01 Liens. Create, incur, assume or suffer to exist any Lien upon any of its property, assets or revenues, whether now owned or hereafter acquired other than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-182245</wp:posOffset>
            </wp:positionV>
            <wp:extent cx="7137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150" w:lineRule="exact"/>
        <w:rPr>
          <w:sz w:val="20"/>
          <w:szCs w:val="20"/>
          <w:color w:val="auto"/>
        </w:rPr>
      </w:pPr>
    </w:p>
    <w:p>
      <w:pPr>
        <w:ind w:left="1900" w:hanging="596"/>
        <w:spacing w:after="0"/>
        <w:tabs>
          <w:tab w:leader="none" w:pos="1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1" w:lineRule="exact"/>
        <w:rPr>
          <w:rFonts w:ascii="Arial" w:cs="Arial" w:eastAsia="Arial" w:hAnsi="Arial"/>
          <w:sz w:val="18"/>
          <w:szCs w:val="18"/>
          <w:color w:val="auto"/>
        </w:rPr>
      </w:pPr>
    </w:p>
    <w:p>
      <w:pPr>
        <w:jc w:val="both"/>
        <w:ind w:firstLine="1304"/>
        <w:spacing w:after="0" w:line="303" w:lineRule="auto"/>
        <w:tabs>
          <w:tab w:leader="none" w:pos="20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Liens existing on the A&amp;R Credit Agreement </w:t>
      </w:r>
      <w:r>
        <w:rPr>
          <w:rFonts w:ascii="Arial" w:cs="Arial" w:eastAsia="Arial" w:hAnsi="Arial"/>
          <w:sz w:val="16"/>
          <w:szCs w:val="16"/>
          <w:b w:val="1"/>
          <w:bCs w:val="1"/>
          <w:color w:val="FF0000"/>
          <w:strike w:val="1"/>
        </w:rPr>
        <w:t>Third</w:t>
      </w:r>
      <w:r>
        <w:rPr>
          <w:rFonts w:ascii="Arial" w:cs="Arial" w:eastAsia="Arial" w:hAnsi="Arial"/>
          <w:sz w:val="16"/>
          <w:szCs w:val="16"/>
          <w:b w:val="1"/>
          <w:bCs w:val="1"/>
          <w:u w:val="single" w:color="auto"/>
          <w:color w:val="0000FF"/>
        </w:rPr>
        <w:t>Eighth</w:t>
      </w:r>
      <w:r>
        <w:rPr>
          <w:rFonts w:ascii="Arial" w:cs="Arial" w:eastAsia="Arial" w:hAnsi="Arial"/>
          <w:sz w:val="16"/>
          <w:szCs w:val="16"/>
          <w:color w:val="auto"/>
        </w:rPr>
        <w:t xml:space="preserve"> Amendment Effective Date and listed on </w:t>
      </w:r>
      <w:r>
        <w:rPr>
          <w:rFonts w:ascii="Arial" w:cs="Arial" w:eastAsia="Arial" w:hAnsi="Arial"/>
          <w:sz w:val="16"/>
          <w:szCs w:val="16"/>
          <w:u w:val="single" w:color="auto"/>
          <w:color w:val="auto"/>
        </w:rPr>
        <w:t>Schedule 7.01</w:t>
      </w:r>
      <w:r>
        <w:rPr>
          <w:rFonts w:ascii="Arial" w:cs="Arial" w:eastAsia="Arial" w:hAnsi="Arial"/>
          <w:sz w:val="16"/>
          <w:szCs w:val="16"/>
          <w:color w:val="auto"/>
        </w:rPr>
        <w:t xml:space="preserve"> and any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property covered thereby is not changed (except for additions, improvements or other similar ancillary assets thereto), (ii) the amount secured thereby is not increased except as contemplated by </w:t>
      </w:r>
      <w:r>
        <w:rPr>
          <w:rFonts w:ascii="Arial" w:cs="Arial" w:eastAsia="Arial" w:hAnsi="Arial"/>
          <w:sz w:val="16"/>
          <w:szCs w:val="16"/>
          <w:u w:val="single" w:color="auto"/>
          <w:color w:val="auto"/>
        </w:rPr>
        <w:t>Section 7.02(d)</w:t>
      </w:r>
      <w:r>
        <w:rPr>
          <w:rFonts w:ascii="Arial" w:cs="Arial" w:eastAsia="Arial" w:hAnsi="Arial"/>
          <w:sz w:val="16"/>
          <w:szCs w:val="16"/>
          <w:color w:val="auto"/>
        </w:rPr>
        <w:t xml:space="preserve">, and except for underwriting, issuance and other related transaction fees and expenses and (iii) any renewal or extension of the obligations secured or benefited thereby is permitted by </w:t>
      </w:r>
      <w:r>
        <w:rPr>
          <w:rFonts w:ascii="Arial" w:cs="Arial" w:eastAsia="Arial" w:hAnsi="Arial"/>
          <w:sz w:val="16"/>
          <w:szCs w:val="16"/>
          <w:u w:val="single" w:color="auto"/>
          <w:color w:val="auto"/>
        </w:rPr>
        <w:t>Section 7.02(d)</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firstLine="1304"/>
        <w:spacing w:after="0" w:line="277" w:lineRule="auto"/>
        <w:tabs>
          <w:tab w:leader="none" w:pos="199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9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45 days or which are being contested in good faith and by appropriate proceedings diligently conducted, if adequate reserves with respect thereto are maintained on the books of the applicable Person;</w:t>
      </w:r>
    </w:p>
    <w:p>
      <w:pPr>
        <w:spacing w:after="0" w:line="183" w:lineRule="exact"/>
        <w:rPr>
          <w:rFonts w:ascii="Arial" w:cs="Arial" w:eastAsia="Arial" w:hAnsi="Arial"/>
          <w:sz w:val="18"/>
          <w:szCs w:val="18"/>
          <w:color w:val="auto"/>
        </w:rPr>
      </w:pPr>
    </w:p>
    <w:p>
      <w:pPr>
        <w:ind w:firstLine="1304"/>
        <w:spacing w:after="0" w:line="277" w:lineRule="auto"/>
        <w:tabs>
          <w:tab w:leader="none" w:pos="195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contractual obligations and leases (in each case, other than Indebtedness), statutory obligations, surety and appeal bonds, performance bonds and other obligations of a like nature incurred in the ordinary course of business;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2" w:name="page163"/>
    <w:bookmarkEnd w:id="162"/>
    <w:p>
      <w:pPr>
        <w:jc w:val="both"/>
        <w:ind w:left="-60" w:firstLine="1304"/>
        <w:spacing w:after="0" w:line="263" w:lineRule="auto"/>
        <w:tabs>
          <w:tab w:leader="none" w:pos="193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3" w:lineRule="exact"/>
        <w:rPr>
          <w:rFonts w:ascii="Arial" w:cs="Arial" w:eastAsia="Arial" w:hAnsi="Arial"/>
          <w:sz w:val="18"/>
          <w:szCs w:val="18"/>
          <w:color w:val="auto"/>
        </w:rPr>
      </w:pPr>
    </w:p>
    <w:p>
      <w:pPr>
        <w:ind w:left="1820" w:hanging="576"/>
        <w:spacing w:after="0"/>
        <w:tabs>
          <w:tab w:leader="none" w:pos="18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 w:firstLine="1304"/>
        <w:spacing w:after="0" w:line="259" w:lineRule="auto"/>
        <w:tabs>
          <w:tab w:leader="none" w:pos="201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Liens on Equity Interests of Project Companies owned by Company Group Parties securing Project-Level Indebtedness or Permitted Tax Equity Financing or otherwise created pursuant to Contractual Obligations of such Project Company, or Liens on Equity Interests of </w:t>
      </w:r>
      <w:r>
        <w:rPr>
          <w:rFonts w:ascii="Arial" w:cs="Arial" w:eastAsia="Arial" w:hAnsi="Arial"/>
          <w:sz w:val="18"/>
          <w:szCs w:val="18"/>
          <w:b w:val="1"/>
          <w:bCs w:val="1"/>
          <w:color w:val="FF0000"/>
          <w:strike w:val="1"/>
        </w:rPr>
        <w:t>Equity</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Investor</w:t>
      </w:r>
      <w:r>
        <w:rPr>
          <w:rFonts w:ascii="Arial" w:cs="Arial" w:eastAsia="Arial" w:hAnsi="Arial"/>
          <w:sz w:val="18"/>
          <w:szCs w:val="18"/>
          <w:b w:val="1"/>
          <w:bCs w:val="1"/>
          <w:u w:val="single" w:color="auto"/>
          <w:color w:val="0000FF"/>
        </w:rPr>
        <w:t>Sponsor</w:t>
      </w:r>
      <w:r>
        <w:rPr>
          <w:rFonts w:ascii="Arial" w:cs="Arial" w:eastAsia="Arial" w:hAnsi="Arial"/>
          <w:sz w:val="18"/>
          <w:szCs w:val="18"/>
          <w:b w:val="1"/>
          <w:bCs w:val="1"/>
          <w:color w:val="FF0000"/>
        </w:rPr>
        <w:t xml:space="preserve"> </w:t>
      </w:r>
      <w:r>
        <w:rPr>
          <w:rFonts w:ascii="Arial" w:cs="Arial" w:eastAsia="Arial" w:hAnsi="Arial"/>
          <w:sz w:val="18"/>
          <w:szCs w:val="18"/>
          <w:color w:val="000000"/>
        </w:rPr>
        <w:t>Subsidiaries or other joint ventures owned by Company Group Parties securing Indebtedness of such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Equity Investor</w:t>
      </w:r>
      <w:r>
        <w:rPr>
          <w:rFonts w:ascii="Arial" w:cs="Arial" w:eastAsia="Arial" w:hAnsi="Arial"/>
          <w:sz w:val="18"/>
          <w:szCs w:val="18"/>
          <w:b w:val="1"/>
          <w:bCs w:val="1"/>
          <w:u w:val="single" w:color="auto"/>
          <w:color w:val="0000FF"/>
        </w:rPr>
        <w:t>Sponsor</w:t>
      </w:r>
      <w:r>
        <w:rPr>
          <w:rFonts w:ascii="Arial" w:cs="Arial" w:eastAsia="Arial" w:hAnsi="Arial"/>
          <w:sz w:val="18"/>
          <w:szCs w:val="18"/>
          <w:b w:val="1"/>
          <w:bCs w:val="1"/>
          <w:color w:val="FF0000"/>
        </w:rPr>
        <w:t xml:space="preserve"> </w:t>
      </w:r>
      <w:r>
        <w:rPr>
          <w:rFonts w:ascii="Arial" w:cs="Arial" w:eastAsia="Arial" w:hAnsi="Arial"/>
          <w:sz w:val="18"/>
          <w:szCs w:val="18"/>
          <w:color w:val="000000"/>
        </w:rPr>
        <w:t>Subsidiary or joint venture;</w:t>
      </w:r>
    </w:p>
    <w:p>
      <w:pPr>
        <w:spacing w:after="0" w:line="186" w:lineRule="exact"/>
        <w:rPr>
          <w:rFonts w:ascii="Arial" w:cs="Arial" w:eastAsia="Arial" w:hAnsi="Arial"/>
          <w:sz w:val="18"/>
          <w:szCs w:val="18"/>
          <w:color w:val="auto"/>
        </w:rPr>
      </w:pPr>
    </w:p>
    <w:p>
      <w:pPr>
        <w:jc w:val="both"/>
        <w:ind w:left="-60" w:firstLine="1304"/>
        <w:spacing w:after="0" w:line="259" w:lineRule="auto"/>
        <w:tabs>
          <w:tab w:leader="none" w:pos="19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on cash deposits and other funds maintained with a depositary institution, in each case arising in the ordinary course of business by virtue of any statutory or common law provision relating to a banker’s lien, including Section 4-210 of the UCC, and/or arising from customary contractual fee provisions, the reimbursement of funds advanced by a depositary or intermediary institution (and/or its Affiliates) on account of investments made or securities purchased, indemnity, returned check and other similar provisions;</w:t>
      </w:r>
    </w:p>
    <w:p>
      <w:pPr>
        <w:spacing w:after="0" w:line="186" w:lineRule="exact"/>
        <w:rPr>
          <w:rFonts w:ascii="Arial" w:cs="Arial" w:eastAsia="Arial" w:hAnsi="Arial"/>
          <w:sz w:val="18"/>
          <w:szCs w:val="18"/>
          <w:color w:val="auto"/>
        </w:rPr>
      </w:pPr>
    </w:p>
    <w:p>
      <w:pPr>
        <w:ind w:left="-60" w:firstLine="1304"/>
        <w:spacing w:after="0" w:line="277" w:lineRule="auto"/>
        <w:tabs>
          <w:tab w:leader="none" w:pos="186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on assets or securities deemed to arise in connection with the execution, delivery or performance of contracts to sell such assets or stock otherwise permitted under this Agreement;</w:t>
      </w:r>
    </w:p>
    <w:p>
      <w:pPr>
        <w:spacing w:after="0" w:line="170" w:lineRule="exact"/>
        <w:rPr>
          <w:rFonts w:ascii="Arial" w:cs="Arial" w:eastAsia="Arial" w:hAnsi="Arial"/>
          <w:sz w:val="18"/>
          <w:szCs w:val="18"/>
          <w:color w:val="auto"/>
        </w:rPr>
      </w:pPr>
    </w:p>
    <w:p>
      <w:pPr>
        <w:jc w:val="both"/>
        <w:ind w:left="-60" w:firstLine="1304"/>
        <w:spacing w:after="0" w:line="279" w:lineRule="auto"/>
        <w:tabs>
          <w:tab w:leader="none" w:pos="191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Liens resulting from restrictions on any Equity Interest or undivided interests, as the case may be, of a Person providing for a breach, termination or default under any joint venture, stockholder, membership, limited liability company, partnership, owners’, participation or other similar agreement between such Person and one or more other holders of Equity Interests or undivided interests of such Person, as the case may be, if a Lien is created on such Equity Interest or undivided interest, as the case may be, as a result thereof;</w:t>
      </w:r>
    </w:p>
    <w:p>
      <w:pPr>
        <w:spacing w:after="0" w:line="171" w:lineRule="exact"/>
        <w:rPr>
          <w:rFonts w:ascii="Arial" w:cs="Arial" w:eastAsia="Arial" w:hAnsi="Arial"/>
          <w:sz w:val="17"/>
          <w:szCs w:val="17"/>
          <w:color w:val="auto"/>
        </w:rPr>
      </w:pPr>
    </w:p>
    <w:p>
      <w:pPr>
        <w:jc w:val="both"/>
        <w:ind w:left="-60" w:firstLine="1304"/>
        <w:spacing w:after="0" w:line="259" w:lineRule="auto"/>
        <w:tabs>
          <w:tab w:leader="none" w:pos="221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other Liens securing Indebtedness outstanding in an aggregate principal amount not to exceed the greater of (x) $</w:t>
      </w:r>
      <w:r>
        <w:rPr>
          <w:rFonts w:ascii="Arial" w:cs="Arial" w:eastAsia="Arial" w:hAnsi="Arial"/>
          <w:sz w:val="18"/>
          <w:szCs w:val="18"/>
          <w:b w:val="1"/>
          <w:bCs w:val="1"/>
          <w:color w:val="FF0000"/>
          <w:strike w:val="1"/>
        </w:rPr>
        <w:t>100,000,000</w:t>
      </w:r>
      <w:r>
        <w:rPr>
          <w:rFonts w:ascii="Arial" w:cs="Arial" w:eastAsia="Arial" w:hAnsi="Arial"/>
          <w:sz w:val="18"/>
          <w:szCs w:val="18"/>
          <w:b w:val="1"/>
          <w:bCs w:val="1"/>
          <w:u w:val="single" w:color="auto"/>
          <w:color w:val="0000FF"/>
        </w:rPr>
        <w:t>120,000,000</w:t>
      </w:r>
      <w:r>
        <w:rPr>
          <w:rFonts w:ascii="Arial" w:cs="Arial" w:eastAsia="Arial" w:hAnsi="Arial"/>
          <w:sz w:val="18"/>
          <w:szCs w:val="18"/>
          <w:color w:val="auto"/>
        </w:rPr>
        <w:t xml:space="preserve"> and (y) 10% of Unencumbered Total Assets (which shall be measured as of the date such Lien is created, incurred or assumed and shall take into account any Lien previously or concurrently created, incurred or assumed pursuant to this clause (m) and then outstanding as of such date);</w:t>
      </w:r>
    </w:p>
    <w:p>
      <w:pPr>
        <w:spacing w:after="0" w:line="186" w:lineRule="exact"/>
        <w:rPr>
          <w:rFonts w:ascii="Arial" w:cs="Arial" w:eastAsia="Arial" w:hAnsi="Arial"/>
          <w:sz w:val="18"/>
          <w:szCs w:val="18"/>
          <w:color w:val="auto"/>
        </w:rPr>
      </w:pPr>
    </w:p>
    <w:p>
      <w:pPr>
        <w:jc w:val="both"/>
        <w:ind w:left="-60" w:firstLine="1304"/>
        <w:spacing w:after="0" w:line="269" w:lineRule="auto"/>
        <w:tabs>
          <w:tab w:leader="none" w:pos="198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(i) Liens securing Indebtedness permitted by </w:t>
      </w:r>
      <w:r>
        <w:rPr>
          <w:rFonts w:ascii="Arial" w:cs="Arial" w:eastAsia="Arial" w:hAnsi="Arial"/>
          <w:sz w:val="17"/>
          <w:szCs w:val="17"/>
          <w:u w:val="single" w:color="auto"/>
          <w:color w:val="auto"/>
        </w:rPr>
        <w:t>Section 7.02(k)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Lien incurred in connection with such Indebtedness shall extend to or cover property other than the respective property so acquired, and additions, improvements, warranties, and other similar assets, and the principal amount of Indebtedness secured by any such Lien shall at no time exceed the original purchase price of such property plus brokerage, acquisition, financing and other similar fees, costs and expenses and (ii) Liens existing on any property or asset prior to the acquisition thereof by any Company Group Party or existing prior to the time such Person becomes a Company Group Party on any property or asset of any Person that becomes a Company Group Party after the </w:t>
      </w:r>
      <w:r>
        <w:rPr>
          <w:rFonts w:ascii="Arial" w:cs="Arial" w:eastAsia="Arial" w:hAnsi="Arial"/>
          <w:sz w:val="17"/>
          <w:szCs w:val="17"/>
          <w:b w:val="1"/>
          <w:bCs w:val="1"/>
          <w:color w:val="FF0000"/>
          <w:strike w:val="1"/>
        </w:rPr>
        <w:t>date hereof</w:t>
      </w:r>
      <w:r>
        <w:rPr>
          <w:rFonts w:ascii="Arial" w:cs="Arial" w:eastAsia="Arial" w:hAnsi="Arial"/>
          <w:sz w:val="17"/>
          <w:szCs w:val="17"/>
          <w:b w:val="1"/>
          <w:bCs w:val="1"/>
          <w:u w:val="single" w:color="auto"/>
          <w:color w:val="0000FF"/>
        </w:rPr>
        <w:t>Closing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is not created in contemplation of or in connection with such acquisition or such Person becoming a Subsidiary, as the case may be, (B) such Lien shall not apply to any other property or asset of any Loan Party or Company Group Party and (C) such Lien shall secure only those obligations that it secures on the date of such acquisition or the date such Person becomes a Company Group Party, as the case may be, and extensions, renewals and replacements thereof so long as the principal amount secured does not exceed the principal amount of the obligations being extended, renewed or replaced (plus any accrued but unpaid interest and premium thereon and fees, costs and expenses associated with such extensions, renewals and replacements);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4" w:right="339" w:bottom="1440" w:gutter="0" w:footer="0" w:header="0"/>
        </w:sectPr>
      </w:pPr>
    </w:p>
    <w:bookmarkStart w:id="163" w:name="page164"/>
    <w:bookmarkEnd w:id="163"/>
    <w:p>
      <w:pPr>
        <w:ind w:left="1920" w:hanging="616"/>
        <w:spacing w:after="0"/>
        <w:tabs>
          <w:tab w:leader="none" w:pos="19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licenses and sublicenses of IP Rights in the ordinary course of business;</w:t>
      </w:r>
    </w:p>
    <w:p>
      <w:pPr>
        <w:spacing w:after="0" w:line="221" w:lineRule="exact"/>
        <w:rPr>
          <w:rFonts w:ascii="Arial" w:cs="Arial" w:eastAsia="Arial" w:hAnsi="Arial"/>
          <w:sz w:val="18"/>
          <w:szCs w:val="18"/>
          <w:color w:val="auto"/>
        </w:rPr>
      </w:pPr>
    </w:p>
    <w:p>
      <w:pPr>
        <w:ind w:firstLine="1304"/>
        <w:spacing w:after="0" w:line="282" w:lineRule="auto"/>
        <w:tabs>
          <w:tab w:leader="none" w:pos="211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Liens on cash or Cash Equivalents in an aggregate principal amount not to exceed $</w:t>
      </w:r>
      <w:r>
        <w:rPr>
          <w:rFonts w:ascii="Arial" w:cs="Arial" w:eastAsia="Arial" w:hAnsi="Arial"/>
          <w:sz w:val="18"/>
          <w:szCs w:val="18"/>
          <w:b w:val="1"/>
          <w:bCs w:val="1"/>
          <w:color w:val="FF0000"/>
          <w:strike w:val="1"/>
        </w:rPr>
        <w:t>40,000,000.00</w:t>
      </w:r>
      <w:r>
        <w:rPr>
          <w:rFonts w:ascii="Arial" w:cs="Arial" w:eastAsia="Arial" w:hAnsi="Arial"/>
          <w:sz w:val="18"/>
          <w:szCs w:val="18"/>
          <w:b w:val="1"/>
          <w:bCs w:val="1"/>
          <w:u w:val="single" w:color="auto"/>
          <w:color w:val="0000FF"/>
        </w:rPr>
        <w:t>48,000,000</w:t>
      </w:r>
      <w:r>
        <w:rPr>
          <w:rFonts w:ascii="Arial" w:cs="Arial" w:eastAsia="Arial" w:hAnsi="Arial"/>
          <w:sz w:val="18"/>
          <w:szCs w:val="18"/>
          <w:color w:val="auto"/>
        </w:rPr>
        <w:t xml:space="preserve"> at any time pledged by a Company Group Party or the Borrower to secure Swap Contracts permitted under </w:t>
      </w:r>
      <w:r>
        <w:rPr>
          <w:rFonts w:ascii="Arial" w:cs="Arial" w:eastAsia="Arial" w:hAnsi="Arial"/>
          <w:sz w:val="18"/>
          <w:szCs w:val="18"/>
          <w:u w:val="single" w:color="auto"/>
          <w:color w:val="auto"/>
        </w:rPr>
        <w:t>Section 7.02(a)</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1960" w:hanging="656"/>
        <w:spacing w:after="0"/>
        <w:tabs>
          <w:tab w:leader="none" w:pos="19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Liens securing Incremental Equivalent Debt incurred pursuant to Section 7.02(</w:t>
      </w:r>
      <w:r>
        <w:rPr>
          <w:rFonts w:ascii="Arial" w:cs="Arial" w:eastAsia="Arial" w:hAnsi="Arial"/>
          <w:sz w:val="16"/>
          <w:szCs w:val="16"/>
          <w:b w:val="1"/>
          <w:bCs w:val="1"/>
          <w:color w:val="FF0000"/>
          <w:strike w:val="1"/>
        </w:rPr>
        <w:t>p</w:t>
      </w:r>
      <w:r>
        <w:rPr>
          <w:rFonts w:ascii="Arial" w:cs="Arial" w:eastAsia="Arial" w:hAnsi="Arial"/>
          <w:sz w:val="16"/>
          <w:szCs w:val="16"/>
          <w:b w:val="1"/>
          <w:bCs w:val="1"/>
          <w:u w:val="single" w:color="auto"/>
          <w:color w:val="0000FF"/>
        </w:rPr>
        <w:t>o</w:t>
      </w:r>
      <w:r>
        <w:rPr>
          <w:rFonts w:ascii="Arial" w:cs="Arial" w:eastAsia="Arial" w:hAnsi="Arial"/>
          <w:sz w:val="16"/>
          <w:szCs w:val="16"/>
          <w:color w:val="auto"/>
        </w:rPr>
        <w:t>) and any Permitted Refinancing Indebtedness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respect thereof.</w:t>
      </w:r>
    </w:p>
    <w:p>
      <w:pPr>
        <w:spacing w:after="0" w:line="2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7.02</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 Create, incur, assume or suffer to exist any Indebtedness, except:</w:t>
      </w:r>
    </w:p>
    <w:p>
      <w:pPr>
        <w:spacing w:after="0" w:line="225" w:lineRule="exact"/>
        <w:rPr>
          <w:sz w:val="20"/>
          <w:szCs w:val="20"/>
          <w:color w:val="auto"/>
        </w:rPr>
      </w:pPr>
    </w:p>
    <w:p>
      <w:pPr>
        <w:jc w:val="both"/>
        <w:ind w:firstLine="1304"/>
        <w:spacing w:after="0" w:line="257" w:lineRule="auto"/>
        <w:tabs>
          <w:tab w:leader="none" w:pos="194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(i) of the Borrower existing or arising under any Swap Contract in respect of interest rates on Incremental Term Loans </w:t>
      </w:r>
      <w:r>
        <w:rPr>
          <w:rFonts w:ascii="Arial" w:cs="Arial" w:eastAsia="Arial" w:hAnsi="Arial"/>
          <w:sz w:val="18"/>
          <w:szCs w:val="18"/>
          <w:b w:val="1"/>
          <w:bCs w:val="1"/>
          <w:color w:val="FF0000"/>
        </w:rPr>
        <w:t>or the 2021 Bridge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obligations are (or were) entered into by such Person in the ordinary course of business for the purpose of directly mitigating risks associated with fluctuations in interest rates and (y) such Swap Contract is not for speculative purposes and (ii) of the Borrower or any Company Group Party existing or arising under any other Swap Contract entered into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Swap Contract is not for speculative purposes;</w:t>
      </w:r>
    </w:p>
    <w:p>
      <w:pPr>
        <w:spacing w:after="0" w:line="187" w:lineRule="exact"/>
        <w:rPr>
          <w:rFonts w:ascii="Arial" w:cs="Arial" w:eastAsia="Arial" w:hAnsi="Arial"/>
          <w:sz w:val="18"/>
          <w:szCs w:val="18"/>
          <w:color w:val="auto"/>
        </w:rPr>
      </w:pPr>
    </w:p>
    <w:p>
      <w:pPr>
        <w:jc w:val="both"/>
        <w:ind w:right="20" w:firstLine="1304"/>
        <w:spacing w:after="0" w:line="263" w:lineRule="auto"/>
        <w:tabs>
          <w:tab w:leader="none" w:pos="197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Indebtedness of a Company Group Party owed to the Borrower or a wholly-owned Company Group Party, which Indebtedness shall (i) in the case of Indebtedness owed to a Loan Party, constitute “Pledged Debt” under the Security Agreement and (ii) be otherwise permitted under the provisions of </w:t>
      </w:r>
      <w:r>
        <w:rPr>
          <w:rFonts w:ascii="Arial" w:cs="Arial" w:eastAsia="Arial" w:hAnsi="Arial"/>
          <w:sz w:val="18"/>
          <w:szCs w:val="18"/>
          <w:u w:val="single" w:color="auto"/>
          <w:color w:val="auto"/>
        </w:rPr>
        <w:t>Section 7.03 (c)</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900" w:hanging="596"/>
        <w:spacing w:after="0"/>
        <w:tabs>
          <w:tab w:leader="none" w:pos="1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1" w:lineRule="exact"/>
        <w:rPr>
          <w:rFonts w:ascii="Arial" w:cs="Arial" w:eastAsia="Arial" w:hAnsi="Arial"/>
          <w:sz w:val="18"/>
          <w:szCs w:val="18"/>
          <w:color w:val="auto"/>
        </w:rPr>
      </w:pPr>
    </w:p>
    <w:p>
      <w:pPr>
        <w:jc w:val="both"/>
        <w:ind w:firstLine="1304"/>
        <w:spacing w:after="0" w:line="261" w:lineRule="auto"/>
        <w:tabs>
          <w:tab w:leader="none" w:pos="2032"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FF0000"/>
          <w:strike w:val="1"/>
        </w:rPr>
        <w:t>(i)</w:t>
      </w:r>
      <w:r>
        <w:rPr>
          <w:rFonts w:ascii="Arial" w:cs="Arial" w:eastAsia="Arial" w:hAnsi="Arial"/>
          <w:sz w:val="18"/>
          <w:szCs w:val="18"/>
          <w:b w:val="1"/>
          <w:bCs w:val="1"/>
          <w:color w:val="FF0000"/>
        </w:rPr>
        <w:t xml:space="preserve"> </w:t>
      </w:r>
      <w:r>
        <w:rPr>
          <w:rFonts w:ascii="Arial" w:cs="Arial" w:eastAsia="Arial" w:hAnsi="Arial"/>
          <w:sz w:val="18"/>
          <w:szCs w:val="18"/>
          <w:color w:val="000000"/>
        </w:rPr>
        <w:t>Indebtedness outstanding on the A&amp;R Credit Agreement</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Third</w:t>
      </w:r>
      <w:r>
        <w:rPr>
          <w:rFonts w:ascii="Arial" w:cs="Arial" w:eastAsia="Arial" w:hAnsi="Arial"/>
          <w:sz w:val="18"/>
          <w:szCs w:val="18"/>
          <w:b w:val="1"/>
          <w:bCs w:val="1"/>
          <w:u w:val="single" w:color="auto"/>
          <w:color w:val="0000FF"/>
        </w:rPr>
        <w:t>Eighth</w:t>
      </w:r>
      <w:r>
        <w:rPr>
          <w:rFonts w:ascii="Arial" w:cs="Arial" w:eastAsia="Arial" w:hAnsi="Arial"/>
          <w:sz w:val="18"/>
          <w:szCs w:val="18"/>
          <w:b w:val="1"/>
          <w:bCs w:val="1"/>
          <w:color w:val="FF0000"/>
        </w:rPr>
        <w:t xml:space="preserve"> </w:t>
      </w:r>
      <w:r>
        <w:rPr>
          <w:rFonts w:ascii="Arial" w:cs="Arial" w:eastAsia="Arial" w:hAnsi="Arial"/>
          <w:sz w:val="18"/>
          <w:szCs w:val="18"/>
          <w:color w:val="000000"/>
        </w:rPr>
        <w:t>Amendment Effective Date and listed on</w:t>
      </w:r>
      <w:r>
        <w:rPr>
          <w:rFonts w:ascii="Arial" w:cs="Arial" w:eastAsia="Arial" w:hAnsi="Arial"/>
          <w:sz w:val="18"/>
          <w:szCs w:val="18"/>
          <w:b w:val="1"/>
          <w:bCs w:val="1"/>
          <w:color w:val="FF0000"/>
        </w:rPr>
        <w:t xml:space="preserve"> </w:t>
      </w:r>
      <w:r>
        <w:rPr>
          <w:rFonts w:ascii="Arial" w:cs="Arial" w:eastAsia="Arial" w:hAnsi="Arial"/>
          <w:sz w:val="18"/>
          <w:szCs w:val="18"/>
          <w:u w:val="single" w:color="auto"/>
          <w:color w:val="000000"/>
        </w:rPr>
        <w:t>Schedule</w:t>
      </w:r>
      <w:r>
        <w:rPr>
          <w:rFonts w:ascii="Arial" w:cs="Arial" w:eastAsia="Arial" w:hAnsi="Arial"/>
          <w:sz w:val="18"/>
          <w:szCs w:val="18"/>
          <w:b w:val="1"/>
          <w:bCs w:val="1"/>
          <w:color w:val="FF0000"/>
        </w:rPr>
        <w:t xml:space="preserve"> </w:t>
      </w:r>
      <w:r>
        <w:rPr>
          <w:rFonts w:ascii="Arial" w:cs="Arial" w:eastAsia="Arial" w:hAnsi="Arial"/>
          <w:sz w:val="18"/>
          <w:szCs w:val="18"/>
          <w:u w:val="single" w:color="auto"/>
          <w:color w:val="000000"/>
        </w:rPr>
        <w:t>7.02(d)</w:t>
      </w:r>
      <w:r>
        <w:rPr>
          <w:rFonts w:ascii="Arial" w:cs="Arial" w:eastAsia="Arial" w:hAnsi="Arial"/>
          <w:sz w:val="18"/>
          <w:szCs w:val="18"/>
          <w:color w:val="000000"/>
        </w:rPr>
        <w:t xml:space="preserve"> and any Permitted Refinancing Indebtedness in respect thereof </w:t>
      </w:r>
      <w:r>
        <w:rPr>
          <w:rFonts w:ascii="Arial" w:cs="Arial" w:eastAsia="Arial" w:hAnsi="Arial"/>
          <w:sz w:val="18"/>
          <w:szCs w:val="18"/>
          <w:b w:val="1"/>
          <w:bCs w:val="1"/>
          <w:color w:val="FF0000"/>
        </w:rPr>
        <w:t>and (ii) from and after the Acquisition Closing Date, Indebtedness constituting</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the Bridge Financing and any Permitted Refinancing Indebtedness (but without giving effect to clause (b) of the definition thereof) in respect thereof</w:t>
      </w:r>
      <w:r>
        <w:rPr>
          <w:rFonts w:ascii="Arial" w:cs="Arial" w:eastAsia="Arial" w:hAnsi="Arial"/>
          <w:sz w:val="18"/>
          <w:szCs w:val="18"/>
          <w:color w:val="000000"/>
          <w:strike w:val="1"/>
        </w:rPr>
        <w: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1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Guarantees by any Loan Party in respect of Indebtedness otherwise permitted hereunder of any other Loan Party, and Guarantees by any Company Group Party that is not a Loan Party in respect of Indebtedness otherwise permitted hereunder of any other Company Group Party that is not a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-2557145</wp:posOffset>
            </wp:positionV>
            <wp:extent cx="13982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98270" cy="8890"/>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-911225</wp:posOffset>
            </wp:positionV>
            <wp:extent cx="38855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85565" cy="8255"/>
                    </a:xfrm>
                    <a:prstGeom prst="rect">
                      <a:avLst/>
                    </a:prstGeom>
                    <a:noFill/>
                  </pic:spPr>
                </pic:pic>
              </a:graphicData>
            </a:graphic>
          </wp:anchor>
        </w:drawing>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4" w:name="page165"/>
    <w:bookmarkEnd w:id="164"/>
    <w:p>
      <w:pPr>
        <w:jc w:val="both"/>
        <w:ind w:left="-8" w:firstLine="1304"/>
        <w:spacing w:after="0" w:line="263" w:lineRule="auto"/>
        <w:tabs>
          <w:tab w:leader="none" w:pos="207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incurrence by the Borrower or any Company Group Party of Indebtedness arising from the honoring by a bank or other financial institution of a check, draft or similar instrument (except in the case of daylight overdrafts) inadvertently drawn against insufficient funds in the ordinary course of business, so long as such Indebtedness is covered within five (5) Business Days;</w:t>
      </w:r>
    </w:p>
    <w:p>
      <w:pPr>
        <w:spacing w:after="0" w:line="183" w:lineRule="exact"/>
        <w:rPr>
          <w:rFonts w:ascii="Arial" w:cs="Arial" w:eastAsia="Arial" w:hAnsi="Arial"/>
          <w:sz w:val="18"/>
          <w:szCs w:val="18"/>
          <w:color w:val="auto"/>
        </w:rPr>
      </w:pPr>
    </w:p>
    <w:p>
      <w:pPr>
        <w:ind w:left="-8" w:firstLine="1304"/>
        <w:spacing w:after="0" w:line="308" w:lineRule="auto"/>
        <w:tabs>
          <w:tab w:leader="none" w:pos="2001"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incurrence by the Borrower or any Company Group Party of Indebtedness consisting of (i) workers’ compensation claims and self-insurance obligations and (ii) surety, performance, statutory or appeal bonds or similar obligations in the ordinary course of business;</w:t>
      </w:r>
    </w:p>
    <w:p>
      <w:pPr>
        <w:spacing w:after="0" w:line="146" w:lineRule="exact"/>
        <w:rPr>
          <w:rFonts w:ascii="Arial" w:cs="Arial" w:eastAsia="Arial" w:hAnsi="Arial"/>
          <w:sz w:val="17"/>
          <w:szCs w:val="17"/>
          <w:color w:val="auto"/>
        </w:rPr>
      </w:pPr>
    </w:p>
    <w:p>
      <w:pPr>
        <w:jc w:val="both"/>
        <w:ind w:left="-8" w:firstLine="1304"/>
        <w:spacing w:after="0" w:line="279" w:lineRule="auto"/>
        <w:tabs>
          <w:tab w:leader="none" w:pos="198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the incurrence of Indebtedness that may be deemed to arise as a result of agreements of the Borrower or any Company Group Party providing for indemnification, adjustment of purchase price or any similar obligations, in each case, incurred in connection with the disposition of any business, assets or Equity Interests of any Subsidiary permitted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maximum liability associated with such provisions may not exceed the gross proceeds (including non-cash proceeds) of such disposition;</w:t>
      </w:r>
    </w:p>
    <w:p>
      <w:pPr>
        <w:spacing w:after="0" w:line="171" w:lineRule="exact"/>
        <w:rPr>
          <w:rFonts w:ascii="Arial" w:cs="Arial" w:eastAsia="Arial" w:hAnsi="Arial"/>
          <w:sz w:val="17"/>
          <w:szCs w:val="17"/>
          <w:color w:val="auto"/>
        </w:rPr>
      </w:pPr>
    </w:p>
    <w:p>
      <w:pPr>
        <w:ind w:left="-8" w:firstLine="1304"/>
        <w:spacing w:after="0" w:line="277" w:lineRule="auto"/>
        <w:tabs>
          <w:tab w:leader="none" w:pos="193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Indebtedness of the Borrower or any Company Group Party consisting of (i) the financing of insurance premiums or (ii) take-or-pay obligations contained in supply arrangements, in each case, in the ordinary course of business;</w:t>
      </w:r>
    </w:p>
    <w:p>
      <w:pPr>
        <w:spacing w:after="0" w:line="170" w:lineRule="exact"/>
        <w:rPr>
          <w:rFonts w:ascii="Arial" w:cs="Arial" w:eastAsia="Arial" w:hAnsi="Arial"/>
          <w:sz w:val="18"/>
          <w:szCs w:val="18"/>
          <w:color w:val="auto"/>
        </w:rPr>
      </w:pPr>
    </w:p>
    <w:p>
      <w:pPr>
        <w:jc w:val="both"/>
        <w:ind w:left="-8" w:firstLine="1304"/>
        <w:spacing w:after="0" w:line="271" w:lineRule="auto"/>
        <w:tabs>
          <w:tab w:leader="none" w:pos="2163"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(i) Guarantees and/or other credit support by a Company Group Party of Indebtedness of a Project Company directly or indirectly owned by such Company Group Party to the extent such Guarantees are required by the terms of Project-Level Indebtedness; (ii) Guarantees and/or other credit support by the Borrower of Indebtedness of a Project Company that constitute an Investment in such Project Company permitted by </w:t>
      </w:r>
      <w:r>
        <w:rPr>
          <w:rFonts w:ascii="Arial" w:cs="Arial" w:eastAsia="Arial" w:hAnsi="Arial"/>
          <w:sz w:val="17"/>
          <w:szCs w:val="17"/>
          <w:u w:val="single" w:color="auto"/>
          <w:color w:val="auto"/>
        </w:rPr>
        <w:t>Section 7.03(c)(i)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7.03(c)(iii)(A)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Guarantees and/or other credit support will be deemed to be an Investment pursuant to such </w:t>
      </w:r>
      <w:r>
        <w:rPr>
          <w:rFonts w:ascii="Arial" w:cs="Arial" w:eastAsia="Arial" w:hAnsi="Arial"/>
          <w:sz w:val="17"/>
          <w:szCs w:val="17"/>
          <w:u w:val="single" w:color="auto"/>
          <w:color w:val="auto"/>
        </w:rPr>
        <w:t>Section 7.03(c)(i)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7.03(c)(iii)(A)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(iii) to the extent constituting Indebtedness and otherwise permitted by </w:t>
      </w:r>
      <w:r>
        <w:rPr>
          <w:rFonts w:ascii="Arial" w:cs="Arial" w:eastAsia="Arial" w:hAnsi="Arial"/>
          <w:sz w:val="17"/>
          <w:szCs w:val="17"/>
          <w:u w:val="single" w:color="auto"/>
          <w:color w:val="auto"/>
        </w:rPr>
        <w:t>Section 7.03(c)</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Letters of Credit, surety, performance, statutory or appeal bonds and other credit support by a Company Group Party to any Subsidiary or joint venture of such Company Group Party; and (iv) (A) Permitted Guarantees and obligations in respect of Letters of Credit and/or (B) other credit support in respect of obligations that otherwise could have been guaranteed pursuant to a Permitted Guarantee.</w:t>
      </w:r>
    </w:p>
    <w:p>
      <w:pPr>
        <w:spacing w:after="0" w:line="178" w:lineRule="exact"/>
        <w:rPr>
          <w:rFonts w:ascii="Arial" w:cs="Arial" w:eastAsia="Arial" w:hAnsi="Arial"/>
          <w:sz w:val="17"/>
          <w:szCs w:val="17"/>
          <w:color w:val="auto"/>
        </w:rPr>
      </w:pPr>
    </w:p>
    <w:p>
      <w:pPr>
        <w:jc w:val="both"/>
        <w:ind w:left="-8" w:firstLine="1304"/>
        <w:spacing w:after="0" w:line="283" w:lineRule="auto"/>
        <w:tabs>
          <w:tab w:leader="none" w:pos="2192"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incurrence by the Borrower or any Company Group Party of Indebtedness represented by obligations in respect of Capitalized Leases, mortgage financings or purchase money obligations, in each case, incurred for the purpose of financing all or any part of the purchase price or cost of design, construction, installation or improvement or lease of property (real or personal), plant or equipment used or useful in the business of the Borrower or any Company Group Party or incurred within 180 days thereafter, in an aggregate principal amount, including all Permitted Refinancing Indebtedness incurred to refund, refinance, replace, defease or discharge any Indebtedness incurred pursuant to this clause (k), not to exceed at any time outstanding (x) in the case of property (real or personal) that following the purchase thereof are intended to be contributed to one or more Project Companies, an amount equal to 10% of Unencumbered Total Assets (which shall be measured as of the date such Indebtedness is created, incurred or assumed and shall take into account any Indebtedness previously or concurrently created, incurred or assumed pursuant to this clause (k)(x) and then outstanding as of such date) (provided that, following such contribution to one or more Project Companies, such amount shall be reinstated in the amount of the Capitalized Lease, mortgage financing or purchase money obligation actually contributed to the applicable Project Company (so long as the Borrower and Company Group Parties are no longer liable with respect to such Capitalized Lease, mortgage financing or purchase money obligation)) and</w:t>
      </w:r>
    </w:p>
    <w:p>
      <w:pPr>
        <w:spacing w:after="0" w:line="3" w:lineRule="exact"/>
        <w:rPr>
          <w:rFonts w:ascii="Arial" w:cs="Arial" w:eastAsia="Arial" w:hAnsi="Arial"/>
          <w:sz w:val="16"/>
          <w:szCs w:val="16"/>
          <w:color w:val="auto"/>
        </w:rPr>
      </w:pPr>
    </w:p>
    <w:p>
      <w:pPr>
        <w:ind w:left="252" w:hanging="252"/>
        <w:spacing w:after="0"/>
        <w:tabs>
          <w:tab w:leader="none" w:pos="25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all other cases, $</w:t>
      </w:r>
      <w:r>
        <w:rPr>
          <w:rFonts w:ascii="Arial" w:cs="Arial" w:eastAsia="Arial" w:hAnsi="Arial"/>
          <w:sz w:val="18"/>
          <w:szCs w:val="18"/>
          <w:b w:val="1"/>
          <w:bCs w:val="1"/>
          <w:color w:val="FF0000"/>
          <w:strike w:val="1"/>
        </w:rPr>
        <w:t>50,000,000</w:t>
      </w:r>
      <w:r>
        <w:rPr>
          <w:rFonts w:ascii="Arial" w:cs="Arial" w:eastAsia="Arial" w:hAnsi="Arial"/>
          <w:sz w:val="18"/>
          <w:szCs w:val="18"/>
          <w:b w:val="1"/>
          <w:bCs w:val="1"/>
          <w:u w:val="single" w:color="auto"/>
          <w:color w:val="0000FF"/>
        </w:rPr>
        <w:t>60,000,000</w:t>
      </w:r>
      <w:r>
        <w:rPr>
          <w:rFonts w:ascii="Arial" w:cs="Arial" w:eastAsia="Arial" w:hAnsi="Arial"/>
          <w:sz w:val="18"/>
          <w:szCs w:val="18"/>
          <w:b w:val="1"/>
          <w:bCs w:val="1"/>
          <w:color w:val="auto"/>
        </w:rPr>
        <w:t>;</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65" w:name="page166"/>
    <w:bookmarkEnd w:id="165"/>
    <w:p>
      <w:pPr>
        <w:jc w:val="both"/>
        <w:ind w:left="-60" w:firstLine="1304"/>
        <w:spacing w:after="0" w:line="259" w:lineRule="auto"/>
        <w:tabs>
          <w:tab w:leader="none" w:pos="19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Indebtedness of the Borrower and/or a Company Group Party in an aggregate principal amount not to exceed the greater of (i) $</w:t>
      </w:r>
      <w:r>
        <w:rPr>
          <w:rFonts w:ascii="Arial" w:cs="Arial" w:eastAsia="Arial" w:hAnsi="Arial"/>
          <w:sz w:val="18"/>
          <w:szCs w:val="18"/>
          <w:b w:val="1"/>
          <w:bCs w:val="1"/>
          <w:color w:val="FF0000"/>
          <w:strike w:val="1"/>
        </w:rPr>
        <w:t>100,000,000</w:t>
      </w:r>
      <w:r>
        <w:rPr>
          <w:rFonts w:ascii="Arial" w:cs="Arial" w:eastAsia="Arial" w:hAnsi="Arial"/>
          <w:sz w:val="18"/>
          <w:szCs w:val="18"/>
          <w:b w:val="1"/>
          <w:bCs w:val="1"/>
          <w:u w:val="single" w:color="auto"/>
          <w:color w:val="0000FF"/>
        </w:rPr>
        <w:t>120,000,000</w:t>
      </w:r>
      <w:r>
        <w:rPr>
          <w:rFonts w:ascii="Arial" w:cs="Arial" w:eastAsia="Arial" w:hAnsi="Arial"/>
          <w:sz w:val="18"/>
          <w:szCs w:val="18"/>
          <w:color w:val="auto"/>
        </w:rPr>
        <w:t xml:space="preserve"> and (ii) 2.00% of Total Assets (which shall be measured as of the date such Indebtedness is created, incurred or assumed and shall take into account any Indebtedness previously or concurrently created, incurred or assumed pursuant to this clause (l) and then outstanding as of such date) at any time outstanding for all such Persons;</w:t>
      </w:r>
    </w:p>
    <w:p>
      <w:pPr>
        <w:spacing w:after="0" w:line="186" w:lineRule="exact"/>
        <w:rPr>
          <w:rFonts w:ascii="Arial" w:cs="Arial" w:eastAsia="Arial" w:hAnsi="Arial"/>
          <w:sz w:val="18"/>
          <w:szCs w:val="18"/>
          <w:color w:val="auto"/>
        </w:rPr>
      </w:pPr>
    </w:p>
    <w:p>
      <w:pPr>
        <w:ind w:left="-60" w:right="20" w:firstLine="1304"/>
        <w:spacing w:after="0" w:line="308" w:lineRule="auto"/>
        <w:tabs>
          <w:tab w:leader="none" w:pos="197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Indebtedness of the Borrower or any Company Group Party consisting of obligations under deferred compensation, deferred purchase price, earn-outs or similar arrangements incurred in connection with any acquisition permitted under </w:t>
      </w:r>
      <w:r>
        <w:rPr>
          <w:rFonts w:ascii="Arial" w:cs="Arial" w:eastAsia="Arial" w:hAnsi="Arial"/>
          <w:sz w:val="17"/>
          <w:szCs w:val="17"/>
          <w:u w:val="single" w:color="auto"/>
          <w:color w:val="auto"/>
        </w:rPr>
        <w:t>Section 7.03(g)</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jc w:val="both"/>
        <w:ind w:left="-60" w:firstLine="1304"/>
        <w:spacing w:after="0" w:line="286" w:lineRule="auto"/>
        <w:tabs>
          <w:tab w:leader="none" w:pos="203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(x) Indebtedness incurred by a Loan Party and owed to the </w:t>
      </w:r>
      <w:r>
        <w:rPr>
          <w:rFonts w:ascii="Arial" w:cs="Arial" w:eastAsia="Arial" w:hAnsi="Arial"/>
          <w:sz w:val="16"/>
          <w:szCs w:val="16"/>
          <w:b w:val="1"/>
          <w:bCs w:val="1"/>
          <w:color w:val="FF0000"/>
          <w:strike w:val="1"/>
        </w:rPr>
        <w:t>Equity Investor</w:t>
      </w:r>
      <w:r>
        <w:rPr>
          <w:rFonts w:ascii="Arial" w:cs="Arial" w:eastAsia="Arial" w:hAnsi="Arial"/>
          <w:sz w:val="16"/>
          <w:szCs w:val="16"/>
          <w:b w:val="1"/>
          <w:bCs w:val="1"/>
          <w:u w:val="single" w:color="auto"/>
          <w:color w:val="0000FF"/>
        </w:rPr>
        <w:t>Sponsor</w:t>
      </w:r>
      <w:r>
        <w:rPr>
          <w:rFonts w:ascii="Arial" w:cs="Arial" w:eastAsia="Arial" w:hAnsi="Arial"/>
          <w:sz w:val="16"/>
          <w:szCs w:val="16"/>
          <w:color w:val="auto"/>
        </w:rPr>
        <w:t xml:space="preserve"> and (y) Indebtedness incurred by the Borrower and owed to the Parent </w:t>
      </w:r>
      <w:r>
        <w:rPr>
          <w:rFonts w:ascii="Arial" w:cs="Arial" w:eastAsia="Arial" w:hAnsi="Arial"/>
          <w:sz w:val="16"/>
          <w:szCs w:val="16"/>
          <w:b w:val="1"/>
          <w:bCs w:val="1"/>
          <w:color w:val="FF0000"/>
          <w:strike w:val="1"/>
        </w:rPr>
        <w:t>(including the Parent CSN Proceeds Loan)</w:t>
      </w:r>
      <w:r>
        <w:rPr>
          <w:rFonts w:ascii="Arial" w:cs="Arial" w:eastAsia="Arial" w:hAnsi="Arial"/>
          <w:sz w:val="16"/>
          <w:szCs w:val="16"/>
          <w:color w:val="auto"/>
        </w:rPr>
        <w:t xml:space="preserve">; provided that, in the case of each of clauses (x) and (y), (i) </w:t>
      </w:r>
      <w:r>
        <w:rPr>
          <w:rFonts w:ascii="Arial" w:cs="Arial" w:eastAsia="Arial" w:hAnsi="Arial"/>
          <w:sz w:val="16"/>
          <w:szCs w:val="16"/>
          <w:b w:val="1"/>
          <w:bCs w:val="1"/>
          <w:color w:val="FF0000"/>
          <w:strike w:val="1"/>
        </w:rPr>
        <w:t>except in the</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case of the Parent CSN Proceeds Loan,</w:t>
      </w:r>
      <w:r>
        <w:rPr>
          <w:rFonts w:ascii="Arial" w:cs="Arial" w:eastAsia="Arial" w:hAnsi="Arial"/>
          <w:sz w:val="16"/>
          <w:szCs w:val="16"/>
          <w:b w:val="1"/>
          <w:bCs w:val="1"/>
          <w:color w:val="FF0000"/>
        </w:rPr>
        <w:t xml:space="preserve"> </w:t>
      </w:r>
      <w:r>
        <w:rPr>
          <w:rFonts w:ascii="Arial" w:cs="Arial" w:eastAsia="Arial" w:hAnsi="Arial"/>
          <w:sz w:val="16"/>
          <w:szCs w:val="16"/>
          <w:color w:val="000000"/>
        </w:rPr>
        <w:t>such Indebtedness is subordinated to the Obligations on terms and conditions substantially in the form of</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Exhibit</w:t>
      </w:r>
      <w:r>
        <w:rPr>
          <w:rFonts w:ascii="Arial" w:cs="Arial" w:eastAsia="Arial" w:hAnsi="Arial"/>
          <w:sz w:val="16"/>
          <w:szCs w:val="16"/>
          <w:b w:val="1"/>
          <w:bCs w:val="1"/>
          <w:color w:val="FF0000"/>
        </w:rPr>
        <w:t xml:space="preserve"> </w:t>
      </w:r>
      <w:r>
        <w:rPr>
          <w:rFonts w:ascii="Arial" w:cs="Arial" w:eastAsia="Arial" w:hAnsi="Arial"/>
          <w:sz w:val="16"/>
          <w:szCs w:val="16"/>
          <w:u w:val="single" w:color="auto"/>
          <w:color w:val="000000"/>
        </w:rPr>
        <w:t>H</w:t>
      </w:r>
      <w:r>
        <w:rPr>
          <w:rFonts w:ascii="Arial" w:cs="Arial" w:eastAsia="Arial" w:hAnsi="Arial"/>
          <w:sz w:val="16"/>
          <w:szCs w:val="16"/>
          <w:color w:val="000000"/>
        </w:rPr>
        <w:t xml:space="preserve"> (which subordinated debt may allow for interest payments in cash and payments of principal to the extent such payments could be made under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7.06(f)</w:t>
      </w:r>
      <w:r>
        <w:rPr>
          <w:rFonts w:ascii="Arial" w:cs="Arial" w:eastAsia="Arial" w:hAnsi="Arial"/>
          <w:sz w:val="16"/>
          <w:szCs w:val="16"/>
          <w:color w:val="000000"/>
        </w:rPr>
        <w:t>)</w:t>
      </w:r>
      <w:r>
        <w:rPr>
          <w:rFonts w:ascii="Arial" w:cs="Arial" w:eastAsia="Arial" w:hAnsi="Arial"/>
          <w:sz w:val="16"/>
          <w:szCs w:val="16"/>
          <w:b w:val="1"/>
          <w:bCs w:val="1"/>
          <w:color w:val="FF0000"/>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FF0000"/>
          <w:strike w:val="1"/>
        </w:rPr>
        <w:t>provided</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that (A) if the Convertible Senior Notes shall no longer exist for any reason or (B) following the conversion of all of the</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 xml:space="preserve">outstanding Convertible Senior Notes into equity pursuant to the terms thereof, in the case of each of the foregoing clauses (A) and (B), payments may continue to be made with respect to the Parent CSN Proceeds Loan only if such Indebtedness is subordinated to the Obligations on terms and conditions substantially in the form of </w:t>
      </w:r>
      <w:r>
        <w:rPr>
          <w:rFonts w:ascii="Arial" w:cs="Arial" w:eastAsia="Arial" w:hAnsi="Arial"/>
          <w:sz w:val="16"/>
          <w:szCs w:val="16"/>
          <w:b w:val="1"/>
          <w:bCs w:val="1"/>
          <w:u w:val="single" w:color="auto"/>
          <w:color w:val="FF0000"/>
          <w:strike w:val="1"/>
        </w:rPr>
        <w:t>Exhibit H</w:t>
      </w: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0000FF"/>
          <w:strike w:val="1"/>
        </w:rPr>
        <w:t>,</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(ii) immediately before and immediately after giving effect to the incurrence of any such</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 xml:space="preserve">Indebtedness, no Default or Event of Default shall have occurred and be continuing and (iii) immediately after giving effect to the incurrence of such Indebtedness, the Borrower shall be in pro forma compliance with the covenants set forth in </w:t>
      </w:r>
      <w:r>
        <w:rPr>
          <w:rFonts w:ascii="Arial" w:cs="Arial" w:eastAsia="Arial" w:hAnsi="Arial"/>
          <w:sz w:val="16"/>
          <w:szCs w:val="16"/>
          <w:u w:val="single" w:color="auto"/>
          <w:color w:val="000000"/>
          <w:strike w:val="1"/>
        </w:rPr>
        <w:t>Section 7.11</w:t>
      </w:r>
      <w:r>
        <w:rPr>
          <w:rFonts w:ascii="Arial" w:cs="Arial" w:eastAsia="Arial" w:hAnsi="Arial"/>
          <w:sz w:val="16"/>
          <w:szCs w:val="16"/>
          <w:color w:val="000000"/>
          <w:strike w:val="1"/>
        </w:rPr>
        <w:t xml:space="preserve">, such compliance to be determined on the basis of the financial information most recently delivered to the Administrative Agent and the Lenders pursuant to </w:t>
      </w:r>
      <w:r>
        <w:rPr>
          <w:rFonts w:ascii="Arial" w:cs="Arial" w:eastAsia="Arial" w:hAnsi="Arial"/>
          <w:sz w:val="16"/>
          <w:szCs w:val="16"/>
          <w:u w:val="single" w:color="auto"/>
          <w:color w:val="000000"/>
          <w:strike w:val="1"/>
        </w:rPr>
        <w:t>Section 6.01(a)</w:t>
      </w:r>
      <w:r>
        <w:rPr>
          <w:rFonts w:ascii="Arial" w:cs="Arial" w:eastAsia="Arial" w:hAnsi="Arial"/>
          <w:sz w:val="16"/>
          <w:szCs w:val="16"/>
          <w:color w:val="000000"/>
          <w:strike w:val="1"/>
        </w:rPr>
        <w:t xml:space="preserve"> </w:t>
      </w:r>
      <w:r>
        <w:rPr>
          <w:rFonts w:ascii="Arial" w:cs="Arial" w:eastAsia="Arial" w:hAnsi="Arial"/>
          <w:sz w:val="16"/>
          <w:szCs w:val="16"/>
          <w:b w:val="1"/>
          <w:bCs w:val="1"/>
          <w:color w:val="FF0000"/>
          <w:strike w:val="1"/>
        </w:rPr>
        <w:t>(provided that in the case of</w:t>
      </w:r>
      <w:r>
        <w:rPr>
          <w:rFonts w:ascii="Arial" w:cs="Arial" w:eastAsia="Arial" w:hAnsi="Arial"/>
          <w:sz w:val="16"/>
          <w:szCs w:val="16"/>
          <w:color w:val="000000"/>
          <w:strike w:val="1"/>
        </w:rPr>
        <w:t xml:space="preserve"> </w:t>
      </w:r>
      <w:r>
        <w:rPr>
          <w:rFonts w:ascii="Arial" w:cs="Arial" w:eastAsia="Arial" w:hAnsi="Arial"/>
          <w:sz w:val="16"/>
          <w:szCs w:val="16"/>
          <w:b w:val="1"/>
          <w:bCs w:val="1"/>
          <w:color w:val="FF0000"/>
          <w:strike w:val="1"/>
        </w:rPr>
        <w:t xml:space="preserve">any Indebtedness incurred by the Borrower pursuant to the preceding clause (y) at any time from and after the First Amendment Effective Date until but not including the date of delivery of the audited financial statements for the fiscal year ended December 31, 2013 in accordance with </w:t>
      </w:r>
      <w:r>
        <w:rPr>
          <w:rFonts w:ascii="Arial" w:cs="Arial" w:eastAsia="Arial" w:hAnsi="Arial"/>
          <w:sz w:val="16"/>
          <w:szCs w:val="16"/>
          <w:b w:val="1"/>
          <w:bCs w:val="1"/>
          <w:u w:val="single" w:color="auto"/>
          <w:color w:val="FF0000"/>
          <w:strike w:val="1"/>
        </w:rPr>
        <w:t>Section 6.01(a)</w:t>
      </w:r>
      <w:r>
        <w:rPr>
          <w:rFonts w:ascii="Arial" w:cs="Arial" w:eastAsia="Arial" w:hAnsi="Arial"/>
          <w:sz w:val="16"/>
          <w:szCs w:val="16"/>
          <w:b w:val="1"/>
          <w:bCs w:val="1"/>
          <w:color w:val="FF0000"/>
          <w:strike w:val="1"/>
        </w:rPr>
        <w:t xml:space="preserve">, the financial calculations for determining compliance with the preceding clause (iii) shall be based upon the financial information delivered to the Administrative Agent pursuant to Section III.C. of the First Amendment) </w:t>
      </w:r>
      <w:r>
        <w:rPr>
          <w:rFonts w:ascii="Arial" w:cs="Arial" w:eastAsia="Arial" w:hAnsi="Arial"/>
          <w:sz w:val="16"/>
          <w:szCs w:val="16"/>
          <w:color w:val="000000"/>
          <w:strike w:val="1"/>
        </w:rPr>
        <w:t>or</w:t>
      </w:r>
      <w:r>
        <w:rPr>
          <w:rFonts w:ascii="Arial" w:cs="Arial" w:eastAsia="Arial" w:hAnsi="Arial"/>
          <w:sz w:val="16"/>
          <w:szCs w:val="16"/>
          <w:b w:val="1"/>
          <w:bCs w:val="1"/>
          <w:color w:val="FF0000"/>
          <w:strike w:val="1"/>
        </w:rPr>
        <w:t xml:space="preserve"> </w:t>
      </w:r>
      <w:r>
        <w:rPr>
          <w:rFonts w:ascii="Arial" w:cs="Arial" w:eastAsia="Arial" w:hAnsi="Arial"/>
          <w:sz w:val="16"/>
          <w:szCs w:val="16"/>
          <w:u w:val="single" w:color="auto"/>
          <w:color w:val="000000"/>
          <w:strike w:val="1"/>
        </w:rPr>
        <w:t>(b)</w:t>
      </w:r>
      <w:r>
        <w:rPr>
          <w:rFonts w:ascii="Arial" w:cs="Arial" w:eastAsia="Arial" w:hAnsi="Arial"/>
          <w:sz w:val="16"/>
          <w:szCs w:val="16"/>
          <w:color w:val="000000"/>
          <w:strike w:val="1"/>
        </w:rPr>
        <w:t>, as though such Indebtedness had been incurred as of</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the first day of the most recently completed Measurement Period and remained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-372110</wp:posOffset>
            </wp:positionV>
            <wp:extent cx="71278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27875" cy="8890"/>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4" w:right="339" w:bottom="1440" w:gutter="0" w:footer="0" w:header="0"/>
        </w:sectPr>
      </w:pPr>
    </w:p>
    <w:bookmarkStart w:id="166" w:name="page167"/>
    <w:bookmarkEnd w:id="166"/>
    <w:p>
      <w:pPr>
        <w:jc w:val="both"/>
        <w:ind w:firstLine="656"/>
        <w:spacing w:after="0" w:line="266" w:lineRule="auto"/>
        <w:tabs>
          <w:tab w:leader="none" w:pos="1636" w:val="left"/>
        </w:tabs>
        <w:numPr>
          <w:ilvl w:val="0"/>
          <w:numId w:val="157"/>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unsecured guarantees by (x) the Borrower of the Indebtedness represented by the Convertible Senior Notes and (y) any Company Group Party of the Indebtedness represented by the Convertible Senior Notes, but solely in the case of this clause (y) to the extent that such Company Group Party guarantees the Obligations;</w:t>
      </w:r>
    </w:p>
    <w:p>
      <w:pPr>
        <w:spacing w:after="0" w:line="176"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FF0000"/>
          <w:strike w:val="1"/>
        </w:rPr>
        <w:t>p</w:t>
      </w:r>
      <w:r>
        <w:rPr>
          <w:rFonts w:ascii="Arial" w:cs="Arial" w:eastAsia="Arial" w:hAnsi="Arial"/>
          <w:sz w:val="16"/>
          <w:szCs w:val="16"/>
          <w:b w:val="1"/>
          <w:bCs w:val="1"/>
          <w:u w:val="single" w:color="auto"/>
          <w:color w:val="0000FF"/>
        </w:rPr>
        <w:t>o</w:t>
      </w:r>
      <w:r>
        <w:rPr>
          <w:rFonts w:ascii="Arial" w:cs="Arial" w:eastAsia="Arial" w:hAnsi="Arial"/>
          <w:sz w:val="16"/>
          <w:szCs w:val="16"/>
          <w:color w:val="auto"/>
        </w:rPr>
        <w:t>) senior secured first lien or junior lien debt securities or term loans, senior unsecured debt securities or term loans or subordinated debt securities or term loans, in each case borrowed by the Borrower or issued by the Borrower in a public offering, Rule 144A or other private placement or bridge financing in an amount not to exceed the Incremental Facility Amount minus the outstanding principal amount and/or commitments, as applicable, of any Incremental Facility incurred on or prior to the date of the incurrence of any such Indebtedness pursuant to this clause (p) (such debt securities or term loans, as applicable, “</w:t>
      </w:r>
      <w:r>
        <w:rPr>
          <w:rFonts w:ascii="Arial" w:cs="Arial" w:eastAsia="Arial" w:hAnsi="Arial"/>
          <w:sz w:val="16"/>
          <w:szCs w:val="16"/>
          <w:u w:val="single" w:color="auto"/>
          <w:color w:val="auto"/>
        </w:rPr>
        <w:t>Incremental Equivalent Debt</w:t>
      </w:r>
      <w:r>
        <w:rPr>
          <w:rFonts w:ascii="Arial" w:cs="Arial" w:eastAsia="Arial" w:hAnsi="Arial"/>
          <w:sz w:val="16"/>
          <w:szCs w:val="16"/>
          <w:color w:val="auto"/>
        </w:rPr>
        <w:t>”); provided that (i) no Event of Default shall exist before or after giving effect to the incurrence of such Incremental Equivalent Debt; (ii) the representations and warranties contained in Article V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date of incurrence of such Incremental Equivalent Debt, except to the extent that such representations and warranties specifically refer to an earlier date, in which case they are true and correct as of such earlier date, and except that for purposes of this Section 7.02(</w:t>
      </w:r>
      <w:r>
        <w:rPr>
          <w:rFonts w:ascii="Arial" w:cs="Arial" w:eastAsia="Arial" w:hAnsi="Arial"/>
          <w:sz w:val="16"/>
          <w:szCs w:val="16"/>
          <w:b w:val="1"/>
          <w:bCs w:val="1"/>
          <w:color w:val="FF0000"/>
          <w:strike w:val="1"/>
        </w:rPr>
        <w:t>p</w:t>
      </w:r>
      <w:r>
        <w:rPr>
          <w:rFonts w:ascii="Arial" w:cs="Arial" w:eastAsia="Arial" w:hAnsi="Arial"/>
          <w:sz w:val="16"/>
          <w:szCs w:val="16"/>
          <w:b w:val="1"/>
          <w:bCs w:val="1"/>
          <w:u w:val="single" w:color="auto"/>
          <w:color w:val="0000FF"/>
        </w:rPr>
        <w:t>o</w:t>
      </w:r>
      <w:r>
        <w:rPr>
          <w:rFonts w:ascii="Arial" w:cs="Arial" w:eastAsia="Arial" w:hAnsi="Arial"/>
          <w:sz w:val="16"/>
          <w:szCs w:val="16"/>
          <w:color w:val="auto"/>
        </w:rPr>
        <w:t xml:space="preserve">), the representations and warranties contained in subsections (a) and (b) of Section 5.05 shall be deemed to refer to the most recent statements furnished pursuant to clauses (a) and (b), respectively, of Section 6.01; provided that to the extent that such Incremental Equivalent Debt will be used concurrently with the initial provision of such Incremental Equivalent Debt to finance any Investment permitted pursuant to Section 7.03(g),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(iii) such Incremental Equivalent Debt shall not be Guaranteed by any Person that is not a Guarantor; (iv) subject to the limitations in clauses (v) and (vi) below, the terms and provisions of such Incremental Equivalent Debt shall not be more restrictive, taken as a whole, to the Borrower and the other Loan Parties than those applicable to any Facility at the time of incurrence of such Incremental Equivalent Debt, unless such other terms (1) apply only after the Latest Maturity Date of each Facility at the time of incurrence of such Incremental Equivalent Debt, (2) shall also apply to the existing Facilities (which such application shall not require the consent of the Lenders or the Administrative Agent if so reasonably determined by the Borrower) or (3) relate only to mandatory prepayments customary for such type of debt securities or term loans, premiums (including make-whole provisions), interest, fees or (subject to the foregoing) maturity or amortization; (v) with respect to Incremental Equivalent Debt </w:t>
      </w:r>
      <w:r>
        <w:rPr>
          <w:rFonts w:ascii="Arial" w:cs="Arial" w:eastAsia="Arial" w:hAnsi="Arial"/>
          <w:sz w:val="16"/>
          <w:szCs w:val="16"/>
          <w:b w:val="1"/>
          <w:bCs w:val="1"/>
          <w:color w:val="FF0000"/>
        </w:rPr>
        <w:t>other than Indebtedness incurred pursuant to the 2021 Bridge Facility</w:t>
      </w:r>
      <w:r>
        <w:rPr>
          <w:rFonts w:ascii="Arial" w:cs="Arial" w:eastAsia="Arial" w:hAnsi="Arial"/>
          <w:sz w:val="16"/>
          <w:szCs w:val="16"/>
          <w:color w:val="auto"/>
        </w:rPr>
        <w:t xml:space="preserve">, the Weighted Average Life to Maturity of such Incremental Equivalent Debt shall be no shorter than that of any Facility in effect at the time of incurrence of such Incremental Equivalent Debt; (vi) with respect to Incremental Equivalent Debt </w:t>
      </w:r>
      <w:r>
        <w:rPr>
          <w:rFonts w:ascii="Arial" w:cs="Arial" w:eastAsia="Arial" w:hAnsi="Arial"/>
          <w:sz w:val="16"/>
          <w:szCs w:val="16"/>
          <w:b w:val="1"/>
          <w:bCs w:val="1"/>
          <w:color w:val="FF0000"/>
          <w:strike w:val="1"/>
        </w:rPr>
        <w:t>other than Indebtedness incurred pursuant to the 2021 Bridge Facility</w:t>
      </w:r>
      <w:r>
        <w:rPr>
          <w:rFonts w:ascii="Arial" w:cs="Arial" w:eastAsia="Arial" w:hAnsi="Arial"/>
          <w:sz w:val="16"/>
          <w:szCs w:val="16"/>
          <w:color w:val="auto"/>
        </w:rPr>
        <w:t xml:space="preserve">, the Stated Maturity of such Incremental Equivalent Debt shall be no shorter than the Latest Maturity Date at the time of incurrence of such Incremental Equivalent Debt; and (vii) if such Incremental Equivalent Debt is in the form of secured debt securities or term loans, a representative acting on behalf of the holders of such Incremental Equivalent Debt shall have executed and delivered a joinder to the Pari Passu Intercreditor Agreement or the Second Lien Intercreditor Agreement, as applicable, to the Administrative Agent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issuance of Indebtedness designated as “Other First Lien Obligations” or “Second Lien Obligations” thereunder, then the Borrower, the Guarantors, the Administrative Agent and the representative for such Other First Lien Obligations shall have executed and delivered the Pari Passu Intercreditor Agreement or the Second Lien Intercreditor Agreement, as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-1180465</wp:posOffset>
            </wp:positionV>
            <wp:extent cx="35794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579495" cy="8255"/>
                    </a:xfrm>
                    <a:prstGeom prst="rect">
                      <a:avLst/>
                    </a:prstGeom>
                    <a:noFill/>
                  </pic:spPr>
                </pic:pic>
              </a:graphicData>
            </a:graphic>
          </wp:anchor>
        </w:drawing>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jc w:val="both"/>
        <w:ind w:firstLine="129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q</w:t>
      </w:r>
      <w:r>
        <w:rPr>
          <w:rFonts w:ascii="Arial" w:cs="Arial" w:eastAsia="Arial" w:hAnsi="Arial"/>
          <w:sz w:val="18"/>
          <w:szCs w:val="18"/>
          <w:b w:val="1"/>
          <w:bCs w:val="1"/>
          <w:u w:val="single" w:color="auto"/>
          <w:color w:val="0000FF"/>
        </w:rPr>
        <w:t>p</w:t>
      </w:r>
      <w:r>
        <w:rPr>
          <w:rFonts w:ascii="Arial" w:cs="Arial" w:eastAsia="Arial" w:hAnsi="Arial"/>
          <w:sz w:val="18"/>
          <w:szCs w:val="18"/>
          <w:color w:val="auto"/>
        </w:rPr>
        <w:t xml:space="preserve">) other senior unsecured Indebtedness of the Borrower; provided that (i) no Default or Event of Default shall exist before or after giving effect to the incurrence of such Indebtedness and (ii) the Borrower shall be in pro forma compliance with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compliance to be determined on the basis of the financial information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though such Indebtedness had been incurred as of the first day of the most recently completed Measurement Period and remained outstanding.</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7.03</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Make or hold any Investments, except:</w:t>
      </w:r>
    </w:p>
    <w:p>
      <w:pPr>
        <w:spacing w:after="0" w:line="225" w:lineRule="exact"/>
        <w:rPr>
          <w:sz w:val="20"/>
          <w:szCs w:val="20"/>
          <w:color w:val="auto"/>
        </w:rPr>
      </w:pPr>
    </w:p>
    <w:p>
      <w:pPr>
        <w:ind w:left="1960" w:hanging="656"/>
        <w:spacing w:after="0"/>
        <w:tabs>
          <w:tab w:leader="none" w:pos="1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Investments held by the Borrower and the Company Group Parties in the form of cash and Cash Equivalents;</w:t>
      </w:r>
    </w:p>
    <w:p>
      <w:pPr>
        <w:spacing w:after="0" w:line="225" w:lineRule="exact"/>
        <w:rPr>
          <w:rFonts w:ascii="Arial" w:cs="Arial" w:eastAsia="Arial" w:hAnsi="Arial"/>
          <w:sz w:val="18"/>
          <w:szCs w:val="18"/>
          <w:color w:val="auto"/>
        </w:rPr>
      </w:pPr>
    </w:p>
    <w:p>
      <w:pPr>
        <w:ind w:firstLine="1304"/>
        <w:spacing w:after="0" w:line="308" w:lineRule="auto"/>
        <w:tabs>
          <w:tab w:leader="none" w:pos="214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advances to officers, directors and employees of the Borrower and Company Group Parties in an aggregate amount not to exceed $</w:t>
      </w:r>
      <w:r>
        <w:rPr>
          <w:rFonts w:ascii="Arial" w:cs="Arial" w:eastAsia="Arial" w:hAnsi="Arial"/>
          <w:sz w:val="17"/>
          <w:szCs w:val="17"/>
          <w:b w:val="1"/>
          <w:bCs w:val="1"/>
          <w:color w:val="FF0000"/>
          <w:strike w:val="1"/>
        </w:rPr>
        <w:t>2,000,000</w:t>
      </w:r>
      <w:r>
        <w:rPr>
          <w:rFonts w:ascii="Arial" w:cs="Arial" w:eastAsia="Arial" w:hAnsi="Arial"/>
          <w:sz w:val="17"/>
          <w:szCs w:val="17"/>
          <w:b w:val="1"/>
          <w:bCs w:val="1"/>
          <w:u w:val="single" w:color="auto"/>
          <w:color w:val="0000FF"/>
        </w:rPr>
        <w:t>2,400,000</w:t>
      </w:r>
      <w:r>
        <w:rPr>
          <w:rFonts w:ascii="Arial" w:cs="Arial" w:eastAsia="Arial" w:hAnsi="Arial"/>
          <w:sz w:val="17"/>
          <w:szCs w:val="17"/>
          <w:color w:val="auto"/>
        </w:rPr>
        <w:t xml:space="preserve"> at any time outstanding, for travel, entertainment, relocation and analogous ordinary business purposes;</w:t>
      </w:r>
    </w:p>
    <w:p>
      <w:pPr>
        <w:spacing w:after="0" w:line="146" w:lineRule="exact"/>
        <w:rPr>
          <w:rFonts w:ascii="Arial" w:cs="Arial" w:eastAsia="Arial" w:hAnsi="Arial"/>
          <w:sz w:val="17"/>
          <w:szCs w:val="17"/>
          <w:color w:val="auto"/>
        </w:rPr>
      </w:pPr>
    </w:p>
    <w:p>
      <w:pPr>
        <w:jc w:val="both"/>
        <w:ind w:firstLine="1304"/>
        <w:spacing w:after="0" w:line="286" w:lineRule="auto"/>
        <w:tabs>
          <w:tab w:leader="none" w:pos="195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(A) Investments by the Borrower and the Company Group Parties in their respective Subsidiaries in an amount equal to the sum of (A) amounts outstanding on the </w:t>
      </w:r>
      <w:r>
        <w:rPr>
          <w:rFonts w:ascii="Arial" w:cs="Arial" w:eastAsia="Arial" w:hAnsi="Arial"/>
          <w:sz w:val="17"/>
          <w:szCs w:val="17"/>
          <w:b w:val="1"/>
          <w:bCs w:val="1"/>
          <w:color w:val="FF0000"/>
          <w:strike w:val="1"/>
        </w:rPr>
        <w:t>date hereof</w:t>
      </w:r>
      <w:r>
        <w:rPr>
          <w:rFonts w:ascii="Arial" w:cs="Arial" w:eastAsia="Arial" w:hAnsi="Arial"/>
          <w:sz w:val="17"/>
          <w:szCs w:val="17"/>
          <w:b w:val="1"/>
          <w:bCs w:val="1"/>
          <w:u w:val="single" w:color="auto"/>
          <w:color w:val="0000FF"/>
        </w:rPr>
        <w:t>A&amp;R Credit Agreement Eighth Amendment Effective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any returns thereon from and after the </w:t>
      </w:r>
      <w:r>
        <w:rPr>
          <w:rFonts w:ascii="Arial" w:cs="Arial" w:eastAsia="Arial" w:hAnsi="Arial"/>
          <w:sz w:val="17"/>
          <w:szCs w:val="17"/>
          <w:b w:val="1"/>
          <w:bCs w:val="1"/>
          <w:color w:val="FF0000"/>
          <w:strike w:val="1"/>
        </w:rPr>
        <w:t>date hereof</w:t>
      </w:r>
      <w:r>
        <w:rPr>
          <w:rFonts w:ascii="Arial" w:cs="Arial" w:eastAsia="Arial" w:hAnsi="Arial"/>
          <w:sz w:val="17"/>
          <w:szCs w:val="17"/>
          <w:b w:val="1"/>
          <w:bCs w:val="1"/>
          <w:u w:val="single" w:color="auto"/>
          <w:color w:val="0000FF"/>
        </w:rPr>
        <w:t>A&amp;R Credit Agreement Eighth Amendment Effective Date</w:t>
      </w:r>
      <w:r>
        <w:rPr>
          <w:rFonts w:ascii="Arial" w:cs="Arial" w:eastAsia="Arial" w:hAnsi="Arial"/>
          <w:sz w:val="17"/>
          <w:szCs w:val="17"/>
          <w:color w:val="auto"/>
        </w:rPr>
        <w:t xml:space="preserve"> that do not constitute Available Cash;</w:t>
      </w:r>
    </w:p>
    <w:p>
      <w:pPr>
        <w:spacing w:after="0" w:line="165" w:lineRule="exact"/>
        <w:rPr>
          <w:rFonts w:ascii="Arial" w:cs="Arial" w:eastAsia="Arial" w:hAnsi="Arial"/>
          <w:sz w:val="17"/>
          <w:szCs w:val="17"/>
          <w:color w:val="auto"/>
        </w:rPr>
      </w:pPr>
    </w:p>
    <w:p>
      <w:pPr>
        <w:ind w:left="660" w:firstLine="1292"/>
        <w:spacing w:after="0" w:line="277" w:lineRule="auto"/>
        <w:tabs>
          <w:tab w:leader="none" w:pos="263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Investments by the Borrower or any Company Group Party in the Borrower or another Company Group Party wholly-owned, directly or indirectly, by the Borrower; and</w:t>
      </w:r>
    </w:p>
    <w:p>
      <w:pPr>
        <w:spacing w:after="0" w:line="170" w:lineRule="exact"/>
        <w:rPr>
          <w:rFonts w:ascii="Arial" w:cs="Arial" w:eastAsia="Arial" w:hAnsi="Arial"/>
          <w:sz w:val="18"/>
          <w:szCs w:val="18"/>
          <w:color w:val="auto"/>
        </w:rPr>
      </w:pPr>
    </w:p>
    <w:p>
      <w:pPr>
        <w:jc w:val="both"/>
        <w:ind w:left="660" w:firstLine="1292"/>
        <w:spacing w:after="0" w:line="271" w:lineRule="auto"/>
        <w:tabs>
          <w:tab w:leader="none" w:pos="275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Investments by the Borrower or a Company Group Party in a Subsidiary owned, in whole or in part, by it on the Closing Date, plus Investments that would be permitted by </w:t>
      </w:r>
      <w:r>
        <w:rPr>
          <w:rFonts w:ascii="Arial" w:cs="Arial" w:eastAsia="Arial" w:hAnsi="Arial"/>
          <w:sz w:val="17"/>
          <w:szCs w:val="17"/>
          <w:u w:val="single" w:color="auto"/>
          <w:color w:val="auto"/>
        </w:rPr>
        <w:t>Section 7.03(g)</w:t>
      </w:r>
      <w:r>
        <w:rPr>
          <w:rFonts w:ascii="Arial" w:cs="Arial" w:eastAsia="Arial" w:hAnsi="Arial"/>
          <w:sz w:val="17"/>
          <w:szCs w:val="17"/>
          <w:color w:val="auto"/>
        </w:rPr>
        <w:t xml:space="preserve"> (without giving effect to clause (iii)(y)(B) thereof) and other Investments, in each case made from, without duplication, (A) an issuance of Equity Interests or debt by Parent that is contributed to or loaned, in each case within six months prior to the date of such Investment (subject to the delivery of a certificate from a Responsible Officer certifying that the proceeds used to finance such Investment were derived from such contribution or loan) to Holdings, and by Holdings to the Borrower, on a subordinated basis in the form of Indebtedness of Holdings or the Borrower (as applicable) permitted by </w:t>
      </w:r>
      <w:r>
        <w:rPr>
          <w:rFonts w:ascii="Arial" w:cs="Arial" w:eastAsia="Arial" w:hAnsi="Arial"/>
          <w:sz w:val="17"/>
          <w:szCs w:val="17"/>
          <w:u w:val="single" w:color="auto"/>
          <w:color w:val="auto"/>
        </w:rPr>
        <w:t>Section 7.02(n)</w:t>
      </w:r>
      <w:r>
        <w:rPr>
          <w:rFonts w:ascii="Arial" w:cs="Arial" w:eastAsia="Arial" w:hAnsi="Arial"/>
          <w:sz w:val="17"/>
          <w:szCs w:val="17"/>
          <w:color w:val="auto"/>
        </w:rPr>
        <w:t xml:space="preserve">, that does not constitute Available Cash or (B) Available Cash that is not being used to support Other Permitted Guarantees as contemplated by clause (b) of the definition thereof pursuant to </w:t>
      </w:r>
      <w:r>
        <w:rPr>
          <w:rFonts w:ascii="Arial" w:cs="Arial" w:eastAsia="Arial" w:hAnsi="Arial"/>
          <w:sz w:val="17"/>
          <w:szCs w:val="17"/>
          <w:u w:val="single" w:color="auto"/>
          <w:color w:val="auto"/>
        </w:rPr>
        <w:t>Section 7.02(j)(iv)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7.03(e)</w:t>
      </w:r>
      <w:r>
        <w:rPr>
          <w:rFonts w:ascii="Arial" w:cs="Arial" w:eastAsia="Arial" w:hAnsi="Arial"/>
          <w:sz w:val="17"/>
          <w:szCs w:val="17"/>
          <w:color w:val="auto"/>
        </w:rPr>
        <w:t>;</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8" w:name="page169"/>
    <w:bookmarkEnd w:id="168"/>
    <w:p>
      <w:pPr>
        <w:jc w:val="both"/>
        <w:ind w:left="-60" w:firstLine="1304"/>
        <w:spacing w:after="0" w:line="263" w:lineRule="auto"/>
        <w:tabs>
          <w:tab w:leader="none" w:pos="195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w:t>
      </w:r>
    </w:p>
    <w:p>
      <w:pPr>
        <w:spacing w:after="0" w:line="183" w:lineRule="exact"/>
        <w:rPr>
          <w:rFonts w:ascii="Arial" w:cs="Arial" w:eastAsia="Arial" w:hAnsi="Arial"/>
          <w:sz w:val="18"/>
          <w:szCs w:val="18"/>
          <w:color w:val="auto"/>
        </w:rPr>
      </w:pPr>
    </w:p>
    <w:p>
      <w:pPr>
        <w:ind w:left="1900" w:hanging="656"/>
        <w:spacing w:after="0"/>
        <w:tabs>
          <w:tab w:leader="none" w:pos="1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(x) 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(y) Permitted Guarantees;</w:t>
      </w:r>
    </w:p>
    <w:p>
      <w:pPr>
        <w:spacing w:after="0" w:line="221" w:lineRule="exact"/>
        <w:rPr>
          <w:rFonts w:ascii="Arial" w:cs="Arial" w:eastAsia="Arial" w:hAnsi="Arial"/>
          <w:sz w:val="18"/>
          <w:szCs w:val="18"/>
          <w:color w:val="auto"/>
        </w:rPr>
      </w:pPr>
    </w:p>
    <w:p>
      <w:pPr>
        <w:ind w:left="-60" w:right="20" w:firstLine="1304"/>
        <w:spacing w:after="0" w:line="282" w:lineRule="auto"/>
        <w:tabs>
          <w:tab w:leader="none" w:pos="197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Investments existing on the A&amp;R Credit Agreement </w:t>
      </w:r>
      <w:r>
        <w:rPr>
          <w:rFonts w:ascii="Arial" w:cs="Arial" w:eastAsia="Arial" w:hAnsi="Arial"/>
          <w:sz w:val="18"/>
          <w:szCs w:val="18"/>
          <w:b w:val="1"/>
          <w:bCs w:val="1"/>
          <w:color w:val="FF0000"/>
          <w:strike w:val="1"/>
        </w:rPr>
        <w:t>Third</w:t>
      </w:r>
      <w:r>
        <w:rPr>
          <w:rFonts w:ascii="Arial" w:cs="Arial" w:eastAsia="Arial" w:hAnsi="Arial"/>
          <w:sz w:val="18"/>
          <w:szCs w:val="18"/>
          <w:b w:val="1"/>
          <w:bCs w:val="1"/>
          <w:u w:val="single" w:color="auto"/>
          <w:color w:val="0000FF"/>
        </w:rPr>
        <w:t>Eighth</w:t>
      </w:r>
      <w:r>
        <w:rPr>
          <w:rFonts w:ascii="Arial" w:cs="Arial" w:eastAsia="Arial" w:hAnsi="Arial"/>
          <w:sz w:val="18"/>
          <w:szCs w:val="18"/>
          <w:color w:val="auto"/>
        </w:rPr>
        <w:t xml:space="preserve"> Amendment Effective Date (other than those referred to in </w:t>
      </w:r>
      <w:r>
        <w:rPr>
          <w:rFonts w:ascii="Arial" w:cs="Arial" w:eastAsia="Arial" w:hAnsi="Arial"/>
          <w:sz w:val="18"/>
          <w:szCs w:val="18"/>
          <w:u w:val="single" w:color="auto"/>
          <w:color w:val="auto"/>
        </w:rPr>
        <w:t>Section 7.03(c)(i)</w:t>
      </w:r>
      <w:r>
        <w:rPr>
          <w:rFonts w:ascii="Arial" w:cs="Arial" w:eastAsia="Arial" w:hAnsi="Arial"/>
          <w:sz w:val="18"/>
          <w:szCs w:val="18"/>
          <w:color w:val="auto"/>
        </w:rPr>
        <w:t xml:space="preserve">) and set forth on </w:t>
      </w:r>
      <w:r>
        <w:rPr>
          <w:rFonts w:ascii="Arial" w:cs="Arial" w:eastAsia="Arial" w:hAnsi="Arial"/>
          <w:sz w:val="18"/>
          <w:szCs w:val="18"/>
          <w:u w:val="single" w:color="auto"/>
          <w:color w:val="auto"/>
        </w:rPr>
        <w:t>Schedule 7.03(f)</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60" w:firstLine="1304"/>
        <w:spacing w:after="0" w:line="296" w:lineRule="auto"/>
        <w:tabs>
          <w:tab w:leader="none" w:pos="191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(i) the formation of any Person in connection with a Permitted Tax Equity Financing, (ii) the purchase or other acquisition of all or any portion of the Equity Interests in any Person, (iii) the purchase by any Company Group Party of all or substantially all of the property of any Person, in each case, where the Equity Interests in, or the assets of, such Person, upon the consummation of such formation, transaction, purchase or other acquisition, will be owned directly by the Borrower or one or more of the Company Group Parties (including as a result of a merger or consolidation with a Company Group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formation, transaction, purchase or other acquisition made pursuant to this </w:t>
      </w:r>
      <w:r>
        <w:rPr>
          <w:rFonts w:ascii="Arial" w:cs="Arial" w:eastAsia="Arial" w:hAnsi="Arial"/>
          <w:sz w:val="16"/>
          <w:szCs w:val="16"/>
          <w:u w:val="single" w:color="auto"/>
          <w:color w:val="auto"/>
        </w:rPr>
        <w:t>Section 7.03(g)</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2540" w:hanging="648"/>
        <w:spacing w:after="0"/>
        <w:tabs>
          <w:tab w:leader="none" w:pos="25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the Loan Parties shall comply with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 to the extent applicable;</w:t>
      </w:r>
    </w:p>
    <w:p>
      <w:pPr>
        <w:spacing w:after="0" w:line="225" w:lineRule="exact"/>
        <w:rPr>
          <w:rFonts w:ascii="Arial" w:cs="Arial" w:eastAsia="Arial" w:hAnsi="Arial"/>
          <w:sz w:val="18"/>
          <w:szCs w:val="18"/>
          <w:color w:val="auto"/>
        </w:rPr>
      </w:pPr>
    </w:p>
    <w:p>
      <w:pPr>
        <w:jc w:val="both"/>
        <w:ind w:left="600" w:firstLine="1292"/>
        <w:spacing w:after="0" w:line="279" w:lineRule="auto"/>
        <w:tabs>
          <w:tab w:leader="none" w:pos="255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lines of business of the Person to be (or the property of which is to be) so formed, purchased or otherwise acquired shall be substantially the same lines of business as one or more of the principal businesses of the Borrower and its Subsidiaries in the ordinary course (including, for the avoidance of doubt, the ownership, lease or development of energy generating, transmission or distribution assets, or assets related thereto, or of any other power or energy facility, or any assets relating to any of the foregoing);</w:t>
      </w:r>
    </w:p>
    <w:p>
      <w:pPr>
        <w:spacing w:after="0" w:line="171" w:lineRule="exact"/>
        <w:rPr>
          <w:rFonts w:ascii="Arial" w:cs="Arial" w:eastAsia="Arial" w:hAnsi="Arial"/>
          <w:sz w:val="17"/>
          <w:szCs w:val="17"/>
          <w:color w:val="auto"/>
        </w:rPr>
      </w:pPr>
    </w:p>
    <w:p>
      <w:pPr>
        <w:jc w:val="both"/>
        <w:ind w:left="600" w:firstLine="1292"/>
        <w:spacing w:after="0" w:line="254" w:lineRule="auto"/>
        <w:tabs>
          <w:tab w:leader="none" w:pos="258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(A) immediately before and immediately after giving pro forma effect to any such formation, transaction, purchase or other acquisition, no Event of Default shall have occurred and be continuing and (B) immediately after giving effect to such formation, transaction, purchase or other acquisition, the Borrower and its Subsidiaries shall be in pro forma compliance with all of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compliance to be determined on the basis of the financial statements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though such formation, transaction, purchase or other acquisition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for this clause (B) in reasonable detail; and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584" w:right="339" w:bottom="1440" w:gutter="0" w:footer="0" w:header="0"/>
        </w:sectPr>
      </w:pPr>
    </w:p>
    <w:bookmarkStart w:id="169" w:name="page170"/>
    <w:bookmarkEnd w:id="169"/>
    <w:p>
      <w:pPr>
        <w:jc w:val="both"/>
        <w:ind w:left="600" w:firstLine="1292"/>
        <w:spacing w:after="0" w:line="254" w:lineRule="auto"/>
        <w:tabs>
          <w:tab w:leader="none" w:pos="288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the Borrower shall have delivered to the Administrative Agent and each Lender, solely with respect to the consummation of any Qualified Acquisition, at least one Business Day prior to the date on which any such Qualified Acquisition is to be consummated (provided that if no Borrowing will be made in connection with such Qualified Acquisition, the Borrower shall deliver to the Administrative Agent and each Lender the following certificate no later than thirty (30) days following the closing date of such Qualified Acquisition), a certificate of a Responsible Officer certifying that all of the requirements set forth in this clause (g) have been satisfied or will be satisfied on or prior to the consummation of such formation, transaction, purchase or other acquisition (or, in the case of clause (g)(i), will be satisfied within the periods required by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1900" w:hanging="656"/>
        <w:spacing w:after="0"/>
        <w:tabs>
          <w:tab w:leader="none" w:pos="1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to the extent (if any) constituting an Investment, Swap Contracts permitted by </w:t>
      </w:r>
      <w:r>
        <w:rPr>
          <w:rFonts w:ascii="Arial" w:cs="Arial" w:eastAsia="Arial" w:hAnsi="Arial"/>
          <w:sz w:val="18"/>
          <w:szCs w:val="18"/>
          <w:u w:val="single" w:color="auto"/>
          <w:color w:val="auto"/>
        </w:rPr>
        <w:t>Section 7.02(a)</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60" w:firstLine="1304"/>
        <w:spacing w:after="0" w:line="266" w:lineRule="auto"/>
        <w:tabs>
          <w:tab w:leader="none" w:pos="207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Investments made pursuant to </w:t>
      </w:r>
      <w:r>
        <w:rPr>
          <w:rFonts w:ascii="Arial" w:cs="Arial" w:eastAsia="Arial" w:hAnsi="Arial"/>
          <w:sz w:val="18"/>
          <w:szCs w:val="18"/>
          <w:b w:val="1"/>
          <w:bCs w:val="1"/>
          <w:color w:val="FF0000"/>
          <w:strike w:val="1"/>
        </w:rPr>
        <w:t>the RoFo Agreement</w:t>
      </w:r>
      <w:r>
        <w:rPr>
          <w:rFonts w:ascii="Arial" w:cs="Arial" w:eastAsia="Arial" w:hAnsi="Arial"/>
          <w:sz w:val="18"/>
          <w:szCs w:val="18"/>
          <w:b w:val="1"/>
          <w:bCs w:val="1"/>
          <w:u w:val="single" w:color="auto"/>
          <w:color w:val="0000FF"/>
        </w:rPr>
        <w:t>a Drop-Down Transaction</w:t>
      </w:r>
      <w:r>
        <w:rPr>
          <w:rFonts w:ascii="Arial" w:cs="Arial" w:eastAsia="Arial" w:hAnsi="Arial"/>
          <w:sz w:val="18"/>
          <w:szCs w:val="18"/>
          <w:color w:val="auto"/>
        </w:rPr>
        <w:t xml:space="preserve">; provided that </w:t>
      </w:r>
      <w:r>
        <w:rPr>
          <w:rFonts w:ascii="Arial" w:cs="Arial" w:eastAsia="Arial" w:hAnsi="Arial"/>
          <w:sz w:val="18"/>
          <w:szCs w:val="18"/>
          <w:b w:val="1"/>
          <w:bCs w:val="1"/>
          <w:u w:val="single" w:color="auto"/>
          <w:color w:val="0000FF"/>
        </w:rPr>
        <w:t>such Drop-Down Transaction is permitted pursuant to Section 7.08(h); provided further that</w:t>
      </w:r>
      <w:r>
        <w:rPr>
          <w:rFonts w:ascii="Arial" w:cs="Arial" w:eastAsia="Arial" w:hAnsi="Arial"/>
          <w:sz w:val="18"/>
          <w:szCs w:val="18"/>
          <w:color w:val="auto"/>
        </w:rPr>
        <w:t xml:space="preserve">, with respect to each Investment made pursuant to this </w:t>
      </w:r>
      <w:r>
        <w:rPr>
          <w:rFonts w:ascii="Arial" w:cs="Arial" w:eastAsia="Arial" w:hAnsi="Arial"/>
          <w:sz w:val="18"/>
          <w:szCs w:val="18"/>
          <w:u w:val="single" w:color="auto"/>
          <w:color w:val="auto"/>
        </w:rPr>
        <w:t>Section 7.03(i)</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2500" w:hanging="608"/>
        <w:spacing w:after="0"/>
        <w:tabs>
          <w:tab w:leader="none" w:pos="25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the Loan Parties shall comply with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 to the extent applicable;</w:t>
      </w:r>
    </w:p>
    <w:p>
      <w:pPr>
        <w:spacing w:after="0" w:line="225" w:lineRule="exact"/>
        <w:rPr>
          <w:rFonts w:ascii="Arial" w:cs="Arial" w:eastAsia="Arial" w:hAnsi="Arial"/>
          <w:sz w:val="18"/>
          <w:szCs w:val="18"/>
          <w:color w:val="auto"/>
        </w:rPr>
      </w:pPr>
    </w:p>
    <w:p>
      <w:pPr>
        <w:jc w:val="both"/>
        <w:ind w:left="600" w:firstLine="1292"/>
        <w:spacing w:after="0" w:line="293" w:lineRule="auto"/>
        <w:tabs>
          <w:tab w:leader="none" w:pos="2613"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(A) immediately before and immediately after giving pro forma effect to any such Investment, no Default shall have occurred and be continuing and (B) immediately after giving effect to such Investment, Borrower and its Subsidiaries shall be in pro forma compliance with all of the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compliance to be determined on the basis of the financial statements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as though such Investment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in reasonable detail; and</w:t>
      </w:r>
    </w:p>
    <w:p>
      <w:pPr>
        <w:spacing w:after="0" w:line="164" w:lineRule="exact"/>
        <w:rPr>
          <w:rFonts w:ascii="Arial" w:cs="Arial" w:eastAsia="Arial" w:hAnsi="Arial"/>
          <w:sz w:val="16"/>
          <w:szCs w:val="16"/>
          <w:color w:val="auto"/>
        </w:rPr>
      </w:pPr>
    </w:p>
    <w:p>
      <w:pPr>
        <w:jc w:val="both"/>
        <w:ind w:left="600" w:firstLine="1292"/>
        <w:spacing w:after="0" w:line="286" w:lineRule="auto"/>
        <w:tabs>
          <w:tab w:leader="none" w:pos="2505"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Borrower shall have delivered to the Administrative Agent and each Lender, at least three Business Days prior to the date on which any such Investment is to be consummated, a certificate of a Responsible Officer certifying that all of the requirements set forth in this clause (i) have been satisfied or will be satisfied on or prior to the consummation of such Investment; and</w:t>
      </w:r>
    </w:p>
    <w:p>
      <w:pPr>
        <w:spacing w:after="0" w:line="165" w:lineRule="exact"/>
        <w:rPr>
          <w:rFonts w:ascii="Arial" w:cs="Arial" w:eastAsia="Arial" w:hAnsi="Arial"/>
          <w:sz w:val="17"/>
          <w:szCs w:val="17"/>
          <w:color w:val="auto"/>
        </w:rPr>
      </w:pPr>
    </w:p>
    <w:p>
      <w:pPr>
        <w:jc w:val="both"/>
        <w:ind w:left="-60" w:firstLine="1304"/>
        <w:spacing w:after="0" w:line="259" w:lineRule="auto"/>
        <w:tabs>
          <w:tab w:leader="none" w:pos="185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so long as no Default has occurred and is continuing or would result from such Investment, any other Investments made since the </w:t>
      </w:r>
      <w:r>
        <w:rPr>
          <w:rFonts w:ascii="Arial" w:cs="Arial" w:eastAsia="Arial" w:hAnsi="Arial"/>
          <w:sz w:val="18"/>
          <w:szCs w:val="18"/>
          <w:b w:val="1"/>
          <w:bCs w:val="1"/>
          <w:color w:val="FF0000"/>
          <w:strike w:val="1"/>
        </w:rPr>
        <w:t>Closing</w:t>
      </w:r>
      <w:r>
        <w:rPr>
          <w:rFonts w:ascii="Arial" w:cs="Arial" w:eastAsia="Arial" w:hAnsi="Arial"/>
          <w:sz w:val="18"/>
          <w:szCs w:val="18"/>
          <w:b w:val="1"/>
          <w:bCs w:val="1"/>
          <w:u w:val="single" w:color="auto"/>
          <w:color w:val="0000FF"/>
        </w:rPr>
        <w:t>A&amp;R Credit Agreement Eighth Amendment Effective</w:t>
      </w:r>
      <w:r>
        <w:rPr>
          <w:rFonts w:ascii="Arial" w:cs="Arial" w:eastAsia="Arial" w:hAnsi="Arial"/>
          <w:sz w:val="18"/>
          <w:szCs w:val="18"/>
          <w:b w:val="1"/>
          <w:bCs w:val="1"/>
          <w:color w:val="FF0000"/>
        </w:rPr>
        <w:t xml:space="preserve"> </w:t>
      </w:r>
      <w:r>
        <w:rPr>
          <w:rFonts w:ascii="Arial" w:cs="Arial" w:eastAsia="Arial" w:hAnsi="Arial"/>
          <w:sz w:val="18"/>
          <w:szCs w:val="18"/>
          <w:color w:val="000000"/>
        </w:rPr>
        <w:t>Date in an amount not to exceed the greater of (i) $</w:t>
      </w:r>
      <w:r>
        <w:rPr>
          <w:rFonts w:ascii="Arial" w:cs="Arial" w:eastAsia="Arial" w:hAnsi="Arial"/>
          <w:sz w:val="18"/>
          <w:szCs w:val="18"/>
          <w:b w:val="1"/>
          <w:bCs w:val="1"/>
          <w:color w:val="FF0000"/>
          <w:strike w:val="1"/>
        </w:rPr>
        <w:t>150,000,000</w:t>
      </w:r>
      <w:r>
        <w:rPr>
          <w:rFonts w:ascii="Arial" w:cs="Arial" w:eastAsia="Arial" w:hAnsi="Arial"/>
          <w:sz w:val="18"/>
          <w:szCs w:val="18"/>
          <w:b w:val="1"/>
          <w:bCs w:val="1"/>
          <w:u w:val="single" w:color="auto"/>
          <w:color w:val="0000FF"/>
        </w:rPr>
        <w:t>180,000,000</w:t>
      </w:r>
      <w:r>
        <w:rPr>
          <w:rFonts w:ascii="Arial" w:cs="Arial" w:eastAsia="Arial" w:hAnsi="Arial"/>
          <w:sz w:val="18"/>
          <w:szCs w:val="18"/>
          <w:b w:val="1"/>
          <w:bCs w:val="1"/>
          <w:color w:val="FF0000"/>
        </w:rPr>
        <w:t xml:space="preserve"> </w:t>
      </w:r>
      <w:r>
        <w:rPr>
          <w:rFonts w:ascii="Arial" w:cs="Arial" w:eastAsia="Arial" w:hAnsi="Arial"/>
          <w:sz w:val="18"/>
          <w:szCs w:val="18"/>
          <w:color w:val="000000"/>
        </w:rPr>
        <w:t>and (ii)</w:t>
      </w:r>
      <w:r>
        <w:rPr>
          <w:rFonts w:ascii="Arial" w:cs="Arial" w:eastAsia="Arial" w:hAnsi="Arial"/>
          <w:sz w:val="18"/>
          <w:szCs w:val="18"/>
          <w:b w:val="1"/>
          <w:bCs w:val="1"/>
          <w:color w:val="FF0000"/>
        </w:rPr>
        <w:t xml:space="preserve"> </w:t>
      </w:r>
      <w:r>
        <w:rPr>
          <w:rFonts w:ascii="Arial" w:cs="Arial" w:eastAsia="Arial" w:hAnsi="Arial"/>
          <w:sz w:val="18"/>
          <w:szCs w:val="18"/>
          <w:color w:val="000000"/>
        </w:rPr>
        <w:t>2.00% of Total Assets (which shall be measured as of the date such Investment is made and shall take into account any Investment previously or concurrently made pursuant to this clause (j) and then held as of such date) in the aggregate.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584" w:right="339" w:bottom="1440" w:gutter="0" w:footer="0" w:header="0"/>
        </w:sectPr>
      </w:pPr>
    </w:p>
    <w:bookmarkStart w:id="170" w:name="page171"/>
    <w:bookmarkEnd w:id="170"/>
    <w:p>
      <w:pPr>
        <w:jc w:val="both"/>
        <w:ind w:firstLine="648"/>
        <w:spacing w:after="0" w:line="263" w:lineRule="auto"/>
        <w:rPr>
          <w:sz w:val="20"/>
          <w:szCs w:val="20"/>
          <w:color w:val="auto"/>
        </w:rPr>
      </w:pPr>
      <w:r>
        <w:rPr>
          <w:rFonts w:ascii="Arial" w:cs="Arial" w:eastAsia="Arial" w:hAnsi="Arial"/>
          <w:sz w:val="18"/>
          <w:szCs w:val="18"/>
          <w:u w:val="single" w:color="auto"/>
          <w:color w:val="auto"/>
        </w:rPr>
        <w:t>7.04 Fundamental Changes</w:t>
      </w:r>
      <w:r>
        <w:rPr>
          <w:rFonts w:ascii="Arial" w:cs="Arial" w:eastAsia="Arial" w:hAnsi="Arial"/>
          <w:sz w:val="18"/>
          <w:szCs w:val="18"/>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84" w:lineRule="exact"/>
        <w:rPr>
          <w:sz w:val="20"/>
          <w:szCs w:val="20"/>
          <w:color w:val="auto"/>
        </w:rPr>
      </w:pPr>
    </w:p>
    <w:p>
      <w:pPr>
        <w:jc w:val="both"/>
        <w:ind w:firstLine="1304"/>
        <w:spacing w:after="0" w:line="259" w:lineRule="auto"/>
        <w:tabs>
          <w:tab w:leader="none" w:pos="193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any Unencumbered Company Group Party may merge with (i)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(ii) any Company Group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any Guarantor is merging with another Company Group Party, such Guarantor shall be the continuing or surviving Person and when any wholly-owned Company Group Party is merging with another Company Group Party, such wholly-owned Company Group Party shall be the continuing or surviving person;</w:t>
      </w:r>
    </w:p>
    <w:p>
      <w:pPr>
        <w:spacing w:after="0" w:line="186" w:lineRule="exact"/>
        <w:rPr>
          <w:rFonts w:ascii="Arial" w:cs="Arial" w:eastAsia="Arial" w:hAnsi="Arial"/>
          <w:sz w:val="18"/>
          <w:szCs w:val="18"/>
          <w:color w:val="auto"/>
        </w:rPr>
      </w:pPr>
    </w:p>
    <w:p>
      <w:pPr>
        <w:jc w:val="both"/>
        <w:ind w:firstLine="1304"/>
        <w:spacing w:after="0" w:line="311" w:lineRule="auto"/>
        <w:tabs>
          <w:tab w:leader="none" w:pos="194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(x) any Company Group Party that is a Loan Party may dispose of all or substantially all of its assets (including any Disposition that is in the nature of a liquidation) to (i) another Company Group Party that is a Loan Party or (ii) to the Borrower and (y) any Company Group Party that is not a Loan Party may dispose of all or substantially all of its assets (including any Disposition that it is the nature of a liquidation) to any Guarantor; and</w:t>
      </w:r>
    </w:p>
    <w:p>
      <w:pPr>
        <w:spacing w:after="0" w:line="148" w:lineRule="exact"/>
        <w:rPr>
          <w:rFonts w:ascii="Arial" w:cs="Arial" w:eastAsia="Arial" w:hAnsi="Arial"/>
          <w:sz w:val="16"/>
          <w:szCs w:val="16"/>
          <w:color w:val="auto"/>
        </w:rPr>
      </w:pPr>
    </w:p>
    <w:p>
      <w:pPr>
        <w:jc w:val="both"/>
        <w:ind w:firstLine="1304"/>
        <w:spacing w:after="0" w:line="263" w:lineRule="auto"/>
        <w:tabs>
          <w:tab w:leader="none" w:pos="193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in connection with any acquisition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any Company Group Party may merge into or consolidate with any other Person or permit any other Person to merge into or consolidate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Person surviving such merger shall be a wholly-owned Company Group Party.</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color w:val="auto"/>
        </w:rPr>
        <w:t>Dispositions. Make any Disposition or, in the case of any Company Group Party, issue, sell or otherwise transfer or dispose of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9886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886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Equity Interests, except:</w:t>
      </w:r>
    </w:p>
    <w:p>
      <w:pPr>
        <w:spacing w:after="0" w:line="211" w:lineRule="exact"/>
        <w:rPr>
          <w:sz w:val="20"/>
          <w:szCs w:val="20"/>
          <w:color w:val="auto"/>
        </w:rPr>
      </w:pPr>
    </w:p>
    <w:p>
      <w:pPr>
        <w:ind w:left="2080" w:hanging="776"/>
        <w:spacing w:after="0"/>
        <w:tabs>
          <w:tab w:leader="none" w:pos="2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Dispositions of obsolete, damaged, surplus or worn out property, whether now owned or hereafter acquired,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left="1920" w:hanging="616"/>
        <w:spacing w:after="0"/>
        <w:tabs>
          <w:tab w:leader="none" w:pos="19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225" w:lineRule="exact"/>
        <w:rPr>
          <w:rFonts w:ascii="Arial" w:cs="Arial" w:eastAsia="Arial" w:hAnsi="Arial"/>
          <w:sz w:val="18"/>
          <w:szCs w:val="18"/>
          <w:color w:val="auto"/>
        </w:rPr>
      </w:pPr>
    </w:p>
    <w:p>
      <w:pPr>
        <w:jc w:val="both"/>
        <w:ind w:firstLine="1304"/>
        <w:spacing w:after="0" w:line="342" w:lineRule="auto"/>
        <w:tabs>
          <w:tab w:leader="none" w:pos="195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23" w:lineRule="exact"/>
        <w:rPr>
          <w:rFonts w:ascii="Arial" w:cs="Arial" w:eastAsia="Arial" w:hAnsi="Arial"/>
          <w:sz w:val="16"/>
          <w:szCs w:val="16"/>
          <w:color w:val="auto"/>
        </w:rPr>
      </w:pPr>
    </w:p>
    <w:p>
      <w:pPr>
        <w:ind w:right="20" w:firstLine="1304"/>
        <w:spacing w:after="0" w:line="277" w:lineRule="auto"/>
        <w:tabs>
          <w:tab w:leader="none" w:pos="201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Dispositions of property, or issuances of its Equity Interests, by any Company Group Party to the Borrower or to a Company Group Party that is wholly-owned, directly or indirectly, by the Borrower;</w:t>
      </w:r>
    </w:p>
    <w:p>
      <w:pPr>
        <w:spacing w:after="0" w:line="170" w:lineRule="exact"/>
        <w:rPr>
          <w:rFonts w:ascii="Arial" w:cs="Arial" w:eastAsia="Arial" w:hAnsi="Arial"/>
          <w:sz w:val="18"/>
          <w:szCs w:val="18"/>
          <w:color w:val="auto"/>
        </w:rPr>
      </w:pPr>
    </w:p>
    <w:p>
      <w:pPr>
        <w:ind w:left="1900" w:hanging="596"/>
        <w:spacing w:after="0"/>
        <w:tabs>
          <w:tab w:leader="none" w:pos="1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Sections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7.06</w:t>
      </w:r>
      <w:r>
        <w:rPr>
          <w:rFonts w:ascii="Arial" w:cs="Arial" w:eastAsia="Arial" w:hAnsi="Arial"/>
          <w:sz w:val="18"/>
          <w:szCs w:val="18"/>
          <w:color w:val="auto"/>
        </w:rPr>
        <w: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1" w:name="page172"/>
    <w:bookmarkEnd w:id="171"/>
    <w:p>
      <w:pPr>
        <w:jc w:val="both"/>
        <w:ind w:firstLine="1304"/>
        <w:spacing w:after="0" w:line="296" w:lineRule="auto"/>
        <w:tabs>
          <w:tab w:leader="none" w:pos="190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Dispositions by the Borrower and the Company Group Parties not otherwise permitted under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has occurred and is continuing at the time of and immediately after giving effect to such Disposition and (ii) only if the relevant Disposition is in excess of $</w:t>
      </w:r>
      <w:r>
        <w:rPr>
          <w:rFonts w:ascii="Arial" w:cs="Arial" w:eastAsia="Arial" w:hAnsi="Arial"/>
          <w:sz w:val="16"/>
          <w:szCs w:val="16"/>
          <w:b w:val="1"/>
          <w:bCs w:val="1"/>
          <w:color w:val="FF0000"/>
          <w:strike w:val="1"/>
        </w:rPr>
        <w:t>20,000,000</w:t>
      </w:r>
      <w:r>
        <w:rPr>
          <w:rFonts w:ascii="Arial" w:cs="Arial" w:eastAsia="Arial" w:hAnsi="Arial"/>
          <w:sz w:val="16"/>
          <w:szCs w:val="16"/>
          <w:b w:val="1"/>
          <w:bCs w:val="1"/>
          <w:u w:val="single" w:color="auto"/>
          <w:color w:val="0000FF"/>
        </w:rPr>
        <w:t>24,000,000</w:t>
      </w:r>
      <w:r>
        <w:rPr>
          <w:rFonts w:ascii="Arial" w:cs="Arial" w:eastAsia="Arial" w:hAnsi="Arial"/>
          <w:sz w:val="16"/>
          <w:szCs w:val="16"/>
          <w:color w:val="auto"/>
        </w:rPr>
        <w:t xml:space="preserve">, after giving effect to such Disposition, the Borrower shall be in pro forma compliance with all of the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as if such Disposition had occurred on the first day of the applicable Measurement Period, such compliance to be determined on the basis of the financial information most recently delivered to the Administrative Agent and the Lenders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1920" w:hanging="616"/>
        <w:spacing w:after="0"/>
        <w:tabs>
          <w:tab w:leader="none" w:pos="1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Disposition of cash or Cash Equivalents;</w:t>
      </w:r>
    </w:p>
    <w:p>
      <w:pPr>
        <w:spacing w:after="0" w:line="225" w:lineRule="exact"/>
        <w:rPr>
          <w:rFonts w:ascii="Arial" w:cs="Arial" w:eastAsia="Arial" w:hAnsi="Arial"/>
          <w:sz w:val="18"/>
          <w:szCs w:val="18"/>
          <w:color w:val="auto"/>
        </w:rPr>
      </w:pPr>
    </w:p>
    <w:p>
      <w:pPr>
        <w:ind w:left="1920" w:hanging="616"/>
        <w:spacing w:after="0"/>
        <w:tabs>
          <w:tab w:leader="none" w:pos="1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licenses and sublicenses of IP Rights in the ordinary course of business; and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88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lapse, abandonment, expiration or other Disposition of any IP Rights that are immaterial or otherwise determined by Borrower or any Company Group Party to be no longer economically practicable to maintain, worth the cost of maintaining, or used or useful in any material respect, or the expiration of IP Rights in accordance with their respective statutory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Disposition pursuant to </w:t>
      </w:r>
      <w:r>
        <w:rPr>
          <w:rFonts w:ascii="Arial" w:cs="Arial" w:eastAsia="Arial" w:hAnsi="Arial"/>
          <w:sz w:val="18"/>
          <w:szCs w:val="18"/>
          <w:u w:val="single" w:color="auto"/>
          <w:color w:val="auto"/>
        </w:rPr>
        <w:t>Section 7.05(b),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shall be for fair market value.</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7.06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make, directly or indirectly, any Restricted Payment, except that:</w:t>
      </w:r>
    </w:p>
    <w:p>
      <w:pPr>
        <w:spacing w:after="0" w:line="225" w:lineRule="exact"/>
        <w:rPr>
          <w:sz w:val="20"/>
          <w:szCs w:val="20"/>
          <w:color w:val="auto"/>
        </w:rPr>
      </w:pPr>
    </w:p>
    <w:p>
      <w:pPr>
        <w:jc w:val="both"/>
        <w:ind w:firstLine="1304"/>
        <w:spacing w:after="0" w:line="263" w:lineRule="auto"/>
        <w:tabs>
          <w:tab w:leader="none" w:pos="199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Company Group Party may make Restricted Payments to the Borrower, or to any other Person that owns a direct Equity Interest in such Company Group Party, ratably according to their respective holdings of the type of Equity Interests in respect of which such Restricted Payment is being made;</w:t>
      </w:r>
    </w:p>
    <w:p>
      <w:pPr>
        <w:spacing w:after="0" w:line="183" w:lineRule="exact"/>
        <w:rPr>
          <w:rFonts w:ascii="Arial" w:cs="Arial" w:eastAsia="Arial" w:hAnsi="Arial"/>
          <w:sz w:val="18"/>
          <w:szCs w:val="18"/>
          <w:color w:val="auto"/>
        </w:rPr>
      </w:pPr>
    </w:p>
    <w:p>
      <w:pPr>
        <w:ind w:firstLine="1304"/>
        <w:spacing w:after="0" w:line="277" w:lineRule="auto"/>
        <w:tabs>
          <w:tab w:leader="none" w:pos="19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and each Company Group Party may declare and make dividend payments or other distributions payable solely in the common stock or other common Equity Interests of such Person;</w:t>
      </w:r>
    </w:p>
    <w:p>
      <w:pPr>
        <w:spacing w:after="0" w:line="170" w:lineRule="exact"/>
        <w:rPr>
          <w:rFonts w:ascii="Arial" w:cs="Arial" w:eastAsia="Arial" w:hAnsi="Arial"/>
          <w:sz w:val="18"/>
          <w:szCs w:val="18"/>
          <w:color w:val="auto"/>
        </w:rPr>
      </w:pPr>
    </w:p>
    <w:p>
      <w:pPr>
        <w:ind w:firstLine="1304"/>
        <w:spacing w:after="0" w:line="277" w:lineRule="auto"/>
        <w:tabs>
          <w:tab w:leader="none" w:pos="195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and each Company Group Party may purchase, redeem or otherwise acquire its common Equity Interests with the proceeds received from the substantially concurrent issue of new common Equity Interests;</w:t>
      </w:r>
    </w:p>
    <w:p>
      <w:pPr>
        <w:spacing w:after="0" w:line="170" w:lineRule="exact"/>
        <w:rPr>
          <w:rFonts w:ascii="Arial" w:cs="Arial" w:eastAsia="Arial" w:hAnsi="Arial"/>
          <w:sz w:val="18"/>
          <w:szCs w:val="18"/>
          <w:color w:val="auto"/>
        </w:rPr>
      </w:pPr>
    </w:p>
    <w:p>
      <w:pPr>
        <w:jc w:val="both"/>
        <w:ind w:firstLine="1304"/>
        <w:spacing w:after="0" w:line="287" w:lineRule="auto"/>
        <w:tabs>
          <w:tab w:leader="none" w:pos="203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the Borrower may declare and pay dividends in cash or Cash Equivalents to Holdings not to exceed an amount necessary to permit Holdings and Parent to pay (i) reasonable and customary corporate (including appropriate allocations of shared costs and expenses of the corporate group of the </w:t>
      </w:r>
      <w:r>
        <w:rPr>
          <w:rFonts w:ascii="Arial" w:cs="Arial" w:eastAsia="Arial" w:hAnsi="Arial"/>
          <w:sz w:val="16"/>
          <w:szCs w:val="16"/>
          <w:b w:val="1"/>
          <w:bCs w:val="1"/>
          <w:color w:val="FF0000"/>
          <w:strike w:val="1"/>
        </w:rPr>
        <w:t>Equity Investor</w:t>
      </w:r>
      <w:r>
        <w:rPr>
          <w:rFonts w:ascii="Arial" w:cs="Arial" w:eastAsia="Arial" w:hAnsi="Arial"/>
          <w:sz w:val="16"/>
          <w:szCs w:val="16"/>
          <w:b w:val="1"/>
          <w:bCs w:val="1"/>
          <w:u w:val="single" w:color="auto"/>
          <w:color w:val="0000FF"/>
        </w:rPr>
        <w:t>Sponsor</w:t>
      </w:r>
      <w:r>
        <w:rPr>
          <w:rFonts w:ascii="Arial" w:cs="Arial" w:eastAsia="Arial" w:hAnsi="Arial"/>
          <w:sz w:val="16"/>
          <w:szCs w:val="16"/>
          <w:color w:val="auto"/>
        </w:rPr>
        <w:t>) and operating expenses (including reasonable out-of-pocket expenses for legal, administrative and accounting services provided by third parties, umbrella insurance costs, and compensation, benefits and other amounts payable to officers and employees in connection with their employment in the ordinary course of business) and (ii) so long as the Borrower is properly treated as a disregarded entity and Holdings is properly treated as a partnership for U.S. federal and applicable state and local income tax purposes, distributions to Holdings which distributions shall be used by its equity holders to discharge the relevant U.S. federal, state and local income tax liabilities of such equity holders attributable to the Borrower; provided that the amount of any distribution pursuant to this clause (ii) shall not exceed the amount that the Borrower would be required to pay in respect of the relevant U.S. federal, state and local income taxes were it to pay such taxes as a stand alone corporate taxpayer, taking into account any net operating loss carryovers and other tax attributes arising from the Closing Date; provided, further, that any distribution pursuant to this clause (ii) shall be used to discharge the relevant tax liability of each such equity owner within 90 days of the distribution;</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2" w:name="page173"/>
    <w:bookmarkEnd w:id="172"/>
    <w:p>
      <w:pPr>
        <w:ind w:left="-60" w:firstLine="1304"/>
        <w:spacing w:after="0" w:line="277" w:lineRule="auto"/>
        <w:tabs>
          <w:tab w:leader="none" w:pos="185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and each Company Group Party may issue common Equity Interests to a Loan Party or, in the case of a Company Group Party, another Company Group Party, in each case that is its direct parent;</w:t>
      </w:r>
    </w:p>
    <w:p>
      <w:pPr>
        <w:spacing w:after="0" w:line="170" w:lineRule="exact"/>
        <w:rPr>
          <w:rFonts w:ascii="Arial" w:cs="Arial" w:eastAsia="Arial" w:hAnsi="Arial"/>
          <w:sz w:val="18"/>
          <w:szCs w:val="18"/>
          <w:color w:val="auto"/>
        </w:rPr>
      </w:pPr>
    </w:p>
    <w:p>
      <w:pPr>
        <w:jc w:val="both"/>
        <w:ind w:left="-60" w:firstLine="1304"/>
        <w:spacing w:after="0" w:line="279" w:lineRule="auto"/>
        <w:tabs>
          <w:tab w:leader="none" w:pos="1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so long as no Default has occurred and is continuing or would result from such Restricted Payment, the Borrower may declare and pay dividends in cash or Cash Equivalents to Holdings from Available Cash that is not being used to support Other Permitted Guarantees as contemplated by clause (b) of the definition thereof pursuant to </w:t>
      </w:r>
      <w:r>
        <w:rPr>
          <w:rFonts w:ascii="Arial" w:cs="Arial" w:eastAsia="Arial" w:hAnsi="Arial"/>
          <w:sz w:val="17"/>
          <w:szCs w:val="17"/>
          <w:u w:val="single" w:color="auto"/>
          <w:color w:val="auto"/>
        </w:rPr>
        <w:t>Section 7.02(j)(iv)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after giving effect to such dividend payment or other distribution, the Borrower shall be in pro forma compliance with all of the covenants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60" w:firstLine="1304"/>
        <w:spacing w:after="0" w:line="277" w:lineRule="auto"/>
        <w:tabs>
          <w:tab w:leader="none" w:pos="194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Borrower may declare and pay dividends in cash or Cash Equivalents to Holdings not to exceed an amount necessary to permit Holdings and Parent to pay franchise fees or similar taxes and fees required to maintain its corporate existence;</w:t>
      </w:r>
    </w:p>
    <w:p>
      <w:pPr>
        <w:spacing w:after="0" w:line="166" w:lineRule="exact"/>
        <w:rPr>
          <w:rFonts w:ascii="Arial" w:cs="Arial" w:eastAsia="Arial" w:hAnsi="Arial"/>
          <w:sz w:val="18"/>
          <w:szCs w:val="18"/>
          <w:color w:val="auto"/>
        </w:rPr>
      </w:pPr>
    </w:p>
    <w:p>
      <w:pPr>
        <w:ind w:left="1820" w:hanging="576"/>
        <w:spacing w:after="0"/>
        <w:tabs>
          <w:tab w:leader="none" w:pos="18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any Restricted Payments made pursuant to the Exchange Agreement; </w:t>
      </w:r>
      <w:r>
        <w:rPr>
          <w:rFonts w:ascii="Arial" w:cs="Arial" w:eastAsia="Arial" w:hAnsi="Arial"/>
          <w:sz w:val="18"/>
          <w:szCs w:val="18"/>
          <w:b w:val="1"/>
          <w:bCs w:val="1"/>
          <w:u w:val="single" w:color="auto"/>
          <w:color w:val="0000FF"/>
        </w:rPr>
        <w:t>and</w:t>
      </w:r>
    </w:p>
    <w:p>
      <w:pPr>
        <w:spacing w:after="0" w:line="229" w:lineRule="exact"/>
        <w:rPr>
          <w:rFonts w:ascii="Arial" w:cs="Arial" w:eastAsia="Arial" w:hAnsi="Arial"/>
          <w:sz w:val="18"/>
          <w:szCs w:val="18"/>
          <w:color w:val="auto"/>
        </w:rPr>
      </w:pPr>
    </w:p>
    <w:p>
      <w:pPr>
        <w:jc w:val="both"/>
        <w:ind w:left="-60" w:firstLine="1304"/>
        <w:spacing w:after="0" w:line="254" w:lineRule="auto"/>
        <w:tabs>
          <w:tab w:leader="none" w:pos="190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to the extent constituting a Restricted Payment, Restricted Payments by the Borrower as required pursuant to the Management Services Agreement to (i) pay monitoring, consulting, management, transaction, advisory, termination or similar fees payable to the </w:t>
      </w:r>
      <w:r>
        <w:rPr>
          <w:rFonts w:ascii="Arial" w:cs="Arial" w:eastAsia="Arial" w:hAnsi="Arial"/>
          <w:sz w:val="18"/>
          <w:szCs w:val="18"/>
          <w:b w:val="1"/>
          <w:bCs w:val="1"/>
          <w:color w:val="FF0000"/>
          <w:strike w:val="1"/>
        </w:rPr>
        <w:t>Equity</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Investor</w:t>
      </w:r>
      <w:r>
        <w:rPr>
          <w:rFonts w:ascii="Arial" w:cs="Arial" w:eastAsia="Arial" w:hAnsi="Arial"/>
          <w:sz w:val="18"/>
          <w:szCs w:val="18"/>
          <w:b w:val="1"/>
          <w:bCs w:val="1"/>
          <w:u w:val="single" w:color="auto"/>
          <w:color w:val="0000FF"/>
        </w:rPr>
        <w:t>Sponsor</w:t>
      </w:r>
      <w:r>
        <w:rPr>
          <w:rFonts w:ascii="Arial" w:cs="Arial" w:eastAsia="Arial" w:hAnsi="Arial"/>
          <w:sz w:val="18"/>
          <w:szCs w:val="18"/>
          <w:b w:val="1"/>
          <w:bCs w:val="1"/>
          <w:color w:val="FF0000"/>
        </w:rPr>
        <w:t xml:space="preserve"> </w:t>
      </w:r>
      <w:r>
        <w:rPr>
          <w:rFonts w:ascii="Arial" w:cs="Arial" w:eastAsia="Arial" w:hAnsi="Arial"/>
          <w:sz w:val="18"/>
          <w:szCs w:val="18"/>
          <w:color w:val="000000"/>
        </w:rPr>
        <w:t>and indemnities, reimbursements and reasonable and documented out-of-pocket fees and expenses of the</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Equity Investor</w:t>
      </w:r>
      <w:r>
        <w:rPr>
          <w:rFonts w:ascii="Arial" w:cs="Arial" w:eastAsia="Arial" w:hAnsi="Arial"/>
          <w:sz w:val="18"/>
          <w:szCs w:val="18"/>
          <w:b w:val="1"/>
          <w:bCs w:val="1"/>
          <w:u w:val="single" w:color="auto"/>
          <w:color w:val="0000FF"/>
        </w:rPr>
        <w:t>Sponsor</w:t>
      </w:r>
      <w:r>
        <w:rPr>
          <w:rFonts w:ascii="Arial" w:cs="Arial" w:eastAsia="Arial" w:hAnsi="Arial"/>
          <w:sz w:val="18"/>
          <w:szCs w:val="18"/>
          <w:b w:val="1"/>
          <w:bCs w:val="1"/>
          <w:color w:val="FF0000"/>
        </w:rPr>
        <w:t xml:space="preserve"> </w:t>
      </w:r>
      <w:r>
        <w:rPr>
          <w:rFonts w:ascii="Arial" w:cs="Arial" w:eastAsia="Arial" w:hAnsi="Arial"/>
          <w:sz w:val="18"/>
          <w:szCs w:val="18"/>
          <w:color w:val="000000"/>
        </w:rPr>
        <w:t>in</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connection therewith and (ii) reimburse the </w:t>
      </w:r>
      <w:r>
        <w:rPr>
          <w:rFonts w:ascii="Arial" w:cs="Arial" w:eastAsia="Arial" w:hAnsi="Arial"/>
          <w:sz w:val="18"/>
          <w:szCs w:val="18"/>
          <w:b w:val="1"/>
          <w:bCs w:val="1"/>
          <w:color w:val="FF0000"/>
          <w:strike w:val="1"/>
        </w:rPr>
        <w:t>Equity Investor</w:t>
      </w:r>
      <w:r>
        <w:rPr>
          <w:rFonts w:ascii="Arial" w:cs="Arial" w:eastAsia="Arial" w:hAnsi="Arial"/>
          <w:sz w:val="18"/>
          <w:szCs w:val="18"/>
          <w:b w:val="1"/>
          <w:bCs w:val="1"/>
          <w:u w:val="single" w:color="auto"/>
          <w:color w:val="0000FF"/>
        </w:rPr>
        <w:t>Sponsor</w:t>
      </w:r>
      <w:r>
        <w:rPr>
          <w:rFonts w:ascii="Arial" w:cs="Arial" w:eastAsia="Arial" w:hAnsi="Arial"/>
          <w:sz w:val="18"/>
          <w:szCs w:val="18"/>
          <w:color w:val="000000"/>
        </w:rPr>
        <w:t xml:space="preserve"> for costs and expenses of Holdings and its Subsidiaries incurred in the ordinary course of business, overhead costs and expenses and fees (including administrative, legal, accounting, insurance, cash management, reporting and compliance and/or similar expenses provided by third parties as well as trustee, directors, managers and general partner fees) which are paid by the </w:t>
      </w:r>
      <w:r>
        <w:rPr>
          <w:rFonts w:ascii="Arial" w:cs="Arial" w:eastAsia="Arial" w:hAnsi="Arial"/>
          <w:sz w:val="18"/>
          <w:szCs w:val="18"/>
          <w:b w:val="1"/>
          <w:bCs w:val="1"/>
          <w:color w:val="FF0000"/>
          <w:strike w:val="1"/>
        </w:rPr>
        <w:t>Equity</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Investor</w:t>
      </w:r>
      <w:r>
        <w:rPr>
          <w:rFonts w:ascii="Arial" w:cs="Arial" w:eastAsia="Arial" w:hAnsi="Arial"/>
          <w:sz w:val="18"/>
          <w:szCs w:val="18"/>
          <w:b w:val="1"/>
          <w:bCs w:val="1"/>
          <w:u w:val="single" w:color="auto"/>
          <w:color w:val="0000FF"/>
        </w:rPr>
        <w:t>Sponsor</w:t>
      </w:r>
      <w:r>
        <w:rPr>
          <w:rFonts w:ascii="Arial" w:cs="Arial" w:eastAsia="Arial" w:hAnsi="Arial"/>
          <w:sz w:val="18"/>
          <w:szCs w:val="18"/>
          <w:b w:val="1"/>
          <w:bCs w:val="1"/>
          <w:color w:val="FF0000"/>
        </w:rPr>
        <w:t xml:space="preserve"> </w:t>
      </w:r>
      <w:r>
        <w:rPr>
          <w:rFonts w:ascii="Arial" w:cs="Arial" w:eastAsia="Arial" w:hAnsi="Arial"/>
          <w:sz w:val="18"/>
          <w:szCs w:val="18"/>
          <w:color w:val="000000"/>
        </w:rPr>
        <w:t>on behalf of Holdings or its applicable Subsidiary</w:t>
      </w:r>
      <w:r>
        <w:rPr>
          <w:rFonts w:ascii="Arial" w:cs="Arial" w:eastAsia="Arial" w:hAnsi="Arial"/>
          <w:sz w:val="18"/>
          <w:szCs w:val="18"/>
          <w:b w:val="1"/>
          <w:bCs w:val="1"/>
          <w:color w:val="FF0000"/>
          <w:strike w:val="1"/>
        </w:rPr>
        <w:t>; and</w:t>
      </w:r>
      <w:r>
        <w:rPr>
          <w:rFonts w:ascii="Arial" w:cs="Arial" w:eastAsia="Arial" w:hAnsi="Arial"/>
          <w:sz w:val="18"/>
          <w:szCs w:val="18"/>
          <w:b w:val="1"/>
          <w:bCs w:val="1"/>
          <w:u w:val="single" w:color="auto"/>
          <w:color w:val="0000FF"/>
        </w:rPr>
        <w:t>.</w:t>
      </w:r>
    </w:p>
    <w:p>
      <w:pPr>
        <w:spacing w:after="0" w:line="190" w:lineRule="exact"/>
        <w:rPr>
          <w:rFonts w:ascii="Arial" w:cs="Arial" w:eastAsia="Arial" w:hAnsi="Arial"/>
          <w:sz w:val="18"/>
          <w:szCs w:val="18"/>
          <w:color w:val="auto"/>
        </w:rPr>
      </w:pPr>
    </w:p>
    <w:p>
      <w:pPr>
        <w:jc w:val="both"/>
        <w:ind w:left="-60" w:firstLine="1304"/>
        <w:spacing w:after="0" w:line="289" w:lineRule="auto"/>
        <w:tabs>
          <w:tab w:leader="none" w:pos="1875" w:val="left"/>
        </w:tabs>
        <w:numPr>
          <w:ilvl w:val="0"/>
          <w:numId w:val="166"/>
        </w:numPr>
        <w:rPr>
          <w:rFonts w:ascii="Arial" w:cs="Arial" w:eastAsia="Arial" w:hAnsi="Arial"/>
          <w:sz w:val="16"/>
          <w:szCs w:val="16"/>
          <w:b w:val="1"/>
          <w:bCs w:val="1"/>
          <w:color w:val="FF0000"/>
          <w:strike w:val="1"/>
        </w:rPr>
      </w:pPr>
      <w:r>
        <w:rPr>
          <w:rFonts w:ascii="Arial" w:cs="Arial" w:eastAsia="Arial" w:hAnsi="Arial"/>
          <w:sz w:val="16"/>
          <w:szCs w:val="16"/>
          <w:b w:val="1"/>
          <w:bCs w:val="1"/>
          <w:color w:val="FF0000"/>
          <w:strike w:val="1"/>
        </w:rPr>
        <w:t>(i) the Borrower shall be permitted to make payments of principal and interest under the Parent CSN Proceeds Loan so long as the proceeds thereof are directly used to make corresponding payments of principal, interest and other amounts due and payable under the Convertible Senior Notes or (ii) the Borrower may declare and pay dividends to Holdings so as to enable Holdings to (a) satisfy demands made against Holdings under the unsecured guarantee of Holdings of the Indebtedness represented by the Convertible Senior Notes or (b) make dividend payments or other distributions (including any repayment of intercompany indebtedness) to the Parent in order to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 or (c) on behalf of the Parent,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584" w:right="339" w:bottom="1440" w:gutter="0" w:footer="0" w:header="0"/>
        </w:sectPr>
      </w:pPr>
    </w:p>
    <w:bookmarkStart w:id="173" w:name="page174"/>
    <w:bookmarkEnd w:id="173"/>
    <w:p>
      <w:pPr>
        <w:jc w:val="both"/>
        <w:ind w:firstLine="648"/>
        <w:spacing w:after="0" w:line="279" w:lineRule="auto"/>
        <w:rPr>
          <w:sz w:val="20"/>
          <w:szCs w:val="20"/>
          <w:color w:val="auto"/>
        </w:rPr>
      </w:pPr>
      <w:r>
        <w:rPr>
          <w:rFonts w:ascii="Arial" w:cs="Arial" w:eastAsia="Arial" w:hAnsi="Arial"/>
          <w:sz w:val="17"/>
          <w:szCs w:val="17"/>
          <w:color w:val="auto"/>
        </w:rPr>
        <w:t>7.07 Change in Nature of Business. Engage in any material line of business substantially different from those lines of business conducted by the Borrower and the Company Group Parties on the Closing Date (including, for the avoidance of doubt, the ownership, lease or development of energy generating, transmission or distribution assets, or assets related thereto, or of any other power or energy facility, or any assets relating to any of the foregoing) or any business substantially related or incidental thereto, or permit the Project Companies, taken as a whole, to do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-455930</wp:posOffset>
            </wp:positionV>
            <wp:extent cx="18154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spacing w:after="0" w:line="15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7.08 Transactions with Affiliates. Consummate any transaction of any kind with any of its Affiliates, whether or not in the ordinary course of business,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-182245</wp:posOffset>
            </wp:positionV>
            <wp:extent cx="16929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692910" cy="8255"/>
                    </a:xfrm>
                    <a:prstGeom prst="rect">
                      <a:avLst/>
                    </a:prstGeom>
                    <a:noFill/>
                  </pic:spPr>
                </pic:pic>
              </a:graphicData>
            </a:graphic>
          </wp:anchor>
        </w:drawing>
      </w:r>
    </w:p>
    <w:p>
      <w:pPr>
        <w:spacing w:after="0" w:line="150" w:lineRule="exact"/>
        <w:rPr>
          <w:sz w:val="20"/>
          <w:szCs w:val="20"/>
          <w:color w:val="auto"/>
        </w:rPr>
      </w:pPr>
    </w:p>
    <w:p>
      <w:pPr>
        <w:ind w:firstLine="1304"/>
        <w:spacing w:after="0" w:line="342" w:lineRule="auto"/>
        <w:tabs>
          <w:tab w:leader="none" w:pos="192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on fair and reasonable terms substantially as favorable to the Borrower or such Company Group Party as would be obtainable by the Borrower or such Company Group Party at the time in a comparable arm’s length transaction with a Person other than an Affiliate thereof;</w:t>
      </w:r>
    </w:p>
    <w:p>
      <w:pPr>
        <w:spacing w:after="0" w:line="123" w:lineRule="exact"/>
        <w:rPr>
          <w:rFonts w:ascii="Arial" w:cs="Arial" w:eastAsia="Arial" w:hAnsi="Arial"/>
          <w:sz w:val="16"/>
          <w:szCs w:val="16"/>
          <w:color w:val="auto"/>
        </w:rPr>
      </w:pPr>
    </w:p>
    <w:p>
      <w:pPr>
        <w:ind w:left="1920" w:hanging="616"/>
        <w:spacing w:after="0"/>
        <w:tabs>
          <w:tab w:leader="none" w:pos="19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transaction between or among one or more of the Borrower and the Company Group Parties;</w:t>
      </w:r>
    </w:p>
    <w:p>
      <w:pPr>
        <w:spacing w:after="0" w:line="225" w:lineRule="exact"/>
        <w:rPr>
          <w:rFonts w:ascii="Arial" w:cs="Arial" w:eastAsia="Arial" w:hAnsi="Arial"/>
          <w:sz w:val="18"/>
          <w:szCs w:val="18"/>
          <w:color w:val="auto"/>
        </w:rPr>
      </w:pPr>
    </w:p>
    <w:p>
      <w:pPr>
        <w:jc w:val="both"/>
        <w:ind w:right="20" w:firstLine="1304"/>
        <w:spacing w:after="0" w:line="263" w:lineRule="auto"/>
        <w:tabs>
          <w:tab w:leader="none" w:pos="203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employment agreement or director’s engagement agreement, employee benefit plan, officer and director indemnification agreement or any similar arrangement entered into by the Borrower or any Company Group Party and approved by a Responsible Officer of the Borrower in good faith;</w:t>
      </w:r>
    </w:p>
    <w:p>
      <w:pPr>
        <w:spacing w:after="0" w:line="183" w:lineRule="exact"/>
        <w:rPr>
          <w:rFonts w:ascii="Arial" w:cs="Arial" w:eastAsia="Arial" w:hAnsi="Arial"/>
          <w:sz w:val="18"/>
          <w:szCs w:val="18"/>
          <w:color w:val="auto"/>
        </w:rPr>
      </w:pPr>
    </w:p>
    <w:p>
      <w:pPr>
        <w:ind w:left="1920" w:hanging="616"/>
        <w:spacing w:after="0"/>
        <w:tabs>
          <w:tab w:leader="none" w:pos="19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any issuance of Equity Interests (other than Disqualified Equity Interests) of the Borrower or any Company Group Party;</w:t>
      </w:r>
    </w:p>
    <w:p>
      <w:pPr>
        <w:spacing w:after="0" w:line="236" w:lineRule="exact"/>
        <w:rPr>
          <w:rFonts w:ascii="Arial" w:cs="Arial" w:eastAsia="Arial" w:hAnsi="Arial"/>
          <w:sz w:val="17"/>
          <w:szCs w:val="17"/>
          <w:color w:val="auto"/>
        </w:rPr>
      </w:pPr>
    </w:p>
    <w:p>
      <w:pPr>
        <w:ind w:left="1900" w:hanging="596"/>
        <w:spacing w:after="0"/>
        <w:tabs>
          <w:tab w:leader="none" w:pos="1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Restricted Payments that do not violate the provisions of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193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payments or advances to employees or consultants that are incurred in the ordinary course of business or that are approved by a Responsible Officer of the Borrower in good faith;</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2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existence of, or the performance by the Borrower or any Company Group Party of its obligations under the terms of, any stockholders agreement (including any registration rights agreement or purchase agreement related thereto) to which it is a party as of the Closing Date and any similar agreements which it may enter into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existence of, or the performance by the Borrower or any of the Company Group Parties of its obligations under, any future amendment to any such existing agreement or under any similar agreement entered into after the Closing Date shall only be permitted by this </w:t>
      </w:r>
      <w:r>
        <w:rPr>
          <w:rFonts w:ascii="Arial" w:cs="Arial" w:eastAsia="Arial" w:hAnsi="Arial"/>
          <w:sz w:val="18"/>
          <w:szCs w:val="18"/>
          <w:u w:val="single" w:color="auto"/>
          <w:color w:val="auto"/>
        </w:rPr>
        <w:t>Section 7.08(g)</w:t>
      </w:r>
      <w:r>
        <w:rPr>
          <w:rFonts w:ascii="Arial" w:cs="Arial" w:eastAsia="Arial" w:hAnsi="Arial"/>
          <w:sz w:val="18"/>
          <w:szCs w:val="18"/>
          <w:color w:val="auto"/>
        </w:rPr>
        <w:t xml:space="preserve"> to the extent that the terms of any such amendment or new agreement are not otherwise more disadvantageous to the Lenders in any material respect than those such agreements to which the Borrower or the Company Group Parties, as applicable, are party as of Closing Date;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4" w:name="page175"/>
    <w:bookmarkEnd w:id="174"/>
    <w:p>
      <w:pPr>
        <w:jc w:val="both"/>
        <w:ind w:firstLine="1304"/>
        <w:spacing w:after="0" w:line="314" w:lineRule="auto"/>
        <w:tabs>
          <w:tab w:leader="none" w:pos="1924" w:val="left"/>
        </w:tabs>
        <w:numPr>
          <w:ilvl w:val="0"/>
          <w:numId w:val="168"/>
        </w:numPr>
        <w:rPr>
          <w:rFonts w:ascii="Arial" w:cs="Arial" w:eastAsia="Arial" w:hAnsi="Arial"/>
          <w:sz w:val="16"/>
          <w:szCs w:val="16"/>
          <w:color w:val="auto"/>
        </w:rPr>
      </w:pPr>
      <w:r>
        <w:rPr>
          <w:rFonts w:ascii="Arial" w:cs="Arial" w:eastAsia="Arial" w:hAnsi="Arial"/>
          <w:sz w:val="16"/>
          <w:szCs w:val="16"/>
          <w:b w:val="1"/>
          <w:bCs w:val="1"/>
          <w:u w:val="single" w:color="auto"/>
          <w:color w:val="0000FF"/>
        </w:rPr>
        <w:t>Drop-Down Transactions and</w:t>
      </w:r>
      <w:r>
        <w:rPr>
          <w:rFonts w:ascii="Arial" w:cs="Arial" w:eastAsia="Arial" w:hAnsi="Arial"/>
          <w:sz w:val="16"/>
          <w:szCs w:val="16"/>
          <w:b w:val="1"/>
          <w:bCs w:val="1"/>
          <w:color w:val="0000FF"/>
        </w:rPr>
        <w:t xml:space="preserve"> </w:t>
      </w:r>
      <w:r>
        <w:rPr>
          <w:rFonts w:ascii="Arial" w:cs="Arial" w:eastAsia="Arial" w:hAnsi="Arial"/>
          <w:sz w:val="16"/>
          <w:szCs w:val="16"/>
          <w:color w:val="000000"/>
        </w:rPr>
        <w:t>transactions required pursuant to the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RoFo Agreement and the</w:t>
      </w:r>
      <w:r>
        <w:rPr>
          <w:rFonts w:ascii="Arial" w:cs="Arial" w:eastAsia="Arial" w:hAnsi="Arial"/>
          <w:sz w:val="16"/>
          <w:szCs w:val="16"/>
          <w:b w:val="1"/>
          <w:bCs w:val="1"/>
          <w:color w:val="0000FF"/>
        </w:rPr>
        <w:t xml:space="preserve"> </w:t>
      </w:r>
      <w:r>
        <w:rPr>
          <w:rFonts w:ascii="Arial" w:cs="Arial" w:eastAsia="Arial" w:hAnsi="Arial"/>
          <w:sz w:val="16"/>
          <w:szCs w:val="16"/>
          <w:color w:val="000000"/>
        </w:rPr>
        <w:t>Exchange Agreement;</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provided</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that any Drop-Down Transaction shall be (x) approved by Parent’s conflicts committee and (y) on fair and reasonable terms substantially as favorable to the applicable Borrower or Company Group Party as would be obtained at the time in a comparable arm’s length transaction;</w:t>
      </w:r>
    </w:p>
    <w:p>
      <w:pPr>
        <w:spacing w:after="0" w:line="145" w:lineRule="exact"/>
        <w:rPr>
          <w:rFonts w:ascii="Arial" w:cs="Arial" w:eastAsia="Arial" w:hAnsi="Arial"/>
          <w:sz w:val="16"/>
          <w:szCs w:val="16"/>
          <w:color w:val="auto"/>
        </w:rPr>
      </w:pPr>
    </w:p>
    <w:p>
      <w:pPr>
        <w:ind w:left="1920" w:hanging="616"/>
        <w:spacing w:after="0"/>
        <w:tabs>
          <w:tab w:leader="none" w:pos="19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licenses and sublicenses of IP Rights in the ordinary course of business;</w:t>
      </w:r>
    </w:p>
    <w:p>
      <w:pPr>
        <w:spacing w:after="0" w:line="221" w:lineRule="exact"/>
        <w:rPr>
          <w:rFonts w:ascii="Arial" w:cs="Arial" w:eastAsia="Arial" w:hAnsi="Arial"/>
          <w:sz w:val="18"/>
          <w:szCs w:val="18"/>
          <w:color w:val="auto"/>
        </w:rPr>
      </w:pPr>
    </w:p>
    <w:p>
      <w:pPr>
        <w:ind w:left="1920" w:hanging="616"/>
        <w:spacing w:after="0"/>
        <w:tabs>
          <w:tab w:leader="none" w:pos="19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transactions pursuant to the Management Services Agreement; </w:t>
      </w:r>
      <w:r>
        <w:rPr>
          <w:rFonts w:ascii="Arial" w:cs="Arial" w:eastAsia="Arial" w:hAnsi="Arial"/>
          <w:sz w:val="18"/>
          <w:szCs w:val="18"/>
          <w:b w:val="1"/>
          <w:bCs w:val="1"/>
          <w:color w:val="0000FF"/>
        </w:rPr>
        <w:t>or</w:t>
      </w:r>
    </w:p>
    <w:p>
      <w:pPr>
        <w:spacing w:after="0" w:line="225" w:lineRule="exact"/>
        <w:rPr>
          <w:rFonts w:ascii="Arial" w:cs="Arial" w:eastAsia="Arial" w:hAnsi="Arial"/>
          <w:sz w:val="18"/>
          <w:szCs w:val="18"/>
          <w:color w:val="auto"/>
        </w:rPr>
      </w:pPr>
    </w:p>
    <w:p>
      <w:pPr>
        <w:jc w:val="both"/>
        <w:ind w:firstLine="1304"/>
        <w:spacing w:after="0" w:line="261" w:lineRule="auto"/>
        <w:tabs>
          <w:tab w:leader="none" w:pos="2123" w:val="left"/>
        </w:tabs>
        <w:numPr>
          <w:ilvl w:val="0"/>
          <w:numId w:val="168"/>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the incurrence by the Borrower of the Parent CSN Proceeds Loan on the terms in effect on the First Amendment Effective Date and disclosed to the Administrative Agent and without giving effect to any amendments, restatements, supplements or other modifications thereof occurring after the First Amendment Effective Date that would be materially adverse to the interests of the Lenders or the Administrative Agent in their respective capacities as such;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-705485</wp:posOffset>
            </wp:positionV>
            <wp:extent cx="137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-722630</wp:posOffset>
            </wp:positionV>
            <wp:extent cx="1365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FF0000"/>
          <w:strike w:val="1"/>
        </w:rPr>
        <w:t>l</w:t>
      </w:r>
      <w:r>
        <w:rPr>
          <w:rFonts w:ascii="Arial" w:cs="Arial" w:eastAsia="Arial" w:hAnsi="Arial"/>
          <w:sz w:val="18"/>
          <w:szCs w:val="18"/>
          <w:b w:val="1"/>
          <w:bCs w:val="1"/>
          <w:u w:val="single" w:color="auto"/>
          <w:color w:val="0000FF"/>
        </w:rPr>
        <w:t>k</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Permitted Guarantees.</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7.09 Burdensome Agreements. Enter into or permit to exist any Contractual Obligation (other than this Agreement or any other Loan Document) that (a) limits the ability (i) of any Company Group Party to make Restricted Payments to the Borrower or to otherwise transfer property to or invest in the Borrower, except for any agreement in effect on the A&amp;R Credit Agreement </w:t>
      </w:r>
      <w:r>
        <w:rPr>
          <w:rFonts w:ascii="Arial" w:cs="Arial" w:eastAsia="Arial" w:hAnsi="Arial"/>
          <w:sz w:val="16"/>
          <w:szCs w:val="16"/>
          <w:b w:val="1"/>
          <w:bCs w:val="1"/>
          <w:color w:val="FF0000"/>
          <w:strike w:val="1"/>
        </w:rPr>
        <w:t>Third</w:t>
      </w:r>
      <w:r>
        <w:rPr>
          <w:rFonts w:ascii="Arial" w:cs="Arial" w:eastAsia="Arial" w:hAnsi="Arial"/>
          <w:sz w:val="16"/>
          <w:szCs w:val="16"/>
          <w:b w:val="1"/>
          <w:bCs w:val="1"/>
          <w:u w:val="single" w:color="auto"/>
          <w:color w:val="0000FF"/>
        </w:rPr>
        <w:t>Eighth</w:t>
      </w:r>
      <w:r>
        <w:rPr>
          <w:rFonts w:ascii="Arial" w:cs="Arial" w:eastAsia="Arial" w:hAnsi="Arial"/>
          <w:sz w:val="16"/>
          <w:szCs w:val="16"/>
          <w:color w:val="auto"/>
        </w:rPr>
        <w:t xml:space="preserve"> Amendment Effective Date and set forth on </w:t>
      </w:r>
      <w:r>
        <w:rPr>
          <w:rFonts w:ascii="Arial" w:cs="Arial" w:eastAsia="Arial" w:hAnsi="Arial"/>
          <w:sz w:val="16"/>
          <w:szCs w:val="16"/>
          <w:u w:val="single" w:color="auto"/>
          <w:color w:val="auto"/>
        </w:rPr>
        <w:t>Schedule 7.09</w:t>
      </w:r>
      <w:r>
        <w:rPr>
          <w:rFonts w:ascii="Arial" w:cs="Arial" w:eastAsia="Arial" w:hAnsi="Arial"/>
          <w:sz w:val="16"/>
          <w:szCs w:val="16"/>
          <w:color w:val="auto"/>
        </w:rPr>
        <w:t xml:space="preserve"> or (ii) of any Loan Party </w:t>
      </w:r>
      <w:r>
        <w:rPr>
          <w:rFonts w:ascii="Arial" w:cs="Arial" w:eastAsia="Arial" w:hAnsi="Arial"/>
          <w:sz w:val="16"/>
          <w:szCs w:val="16"/>
          <w:b w:val="1"/>
          <w:bCs w:val="1"/>
          <w:color w:val="FF0000"/>
          <w:strike w:val="1"/>
        </w:rPr>
        <w:t>(other than NRG South Trent Holdings LLC (to the extent such restrictions exist in agreements in respect of</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Indebtedness thereof in effect as of the Closing Date))</w:t>
      </w:r>
      <w:r>
        <w:rPr>
          <w:rFonts w:ascii="Arial" w:cs="Arial" w:eastAsia="Arial" w:hAnsi="Arial"/>
          <w:sz w:val="16"/>
          <w:szCs w:val="16"/>
          <w:b w:val="1"/>
          <w:bCs w:val="1"/>
          <w:color w:val="FF0000"/>
        </w:rPr>
        <w:t xml:space="preserve"> </w:t>
      </w:r>
      <w:r>
        <w:rPr>
          <w:rFonts w:ascii="Arial" w:cs="Arial" w:eastAsia="Arial" w:hAnsi="Arial"/>
          <w:sz w:val="16"/>
          <w:szCs w:val="16"/>
          <w:color w:val="000000"/>
        </w:rPr>
        <w:t>to create, incur, assume or suffer to exist Liens on property of such Person to secure the</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Obligations;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this clause (ii) shall not prohibit any negative pledge incurred or provided in connection with Indebtedness permitted under </w:t>
      </w:r>
      <w:r>
        <w:rPr>
          <w:rFonts w:ascii="Arial" w:cs="Arial" w:eastAsia="Arial" w:hAnsi="Arial"/>
          <w:sz w:val="16"/>
          <w:szCs w:val="16"/>
          <w:u w:val="single" w:color="auto"/>
          <w:color w:val="000000"/>
        </w:rPr>
        <w:t>Section 7.02(j)</w:t>
      </w:r>
      <w:r>
        <w:rPr>
          <w:rFonts w:ascii="Arial" w:cs="Arial" w:eastAsia="Arial" w:hAnsi="Arial"/>
          <w:sz w:val="16"/>
          <w:szCs w:val="16"/>
          <w:color w:val="000000"/>
        </w:rPr>
        <w:t xml:space="preserve"> (solely to the extent any such negative pledge relates to Equity Interests subject to a Lien permitted by </w:t>
      </w:r>
      <w:r>
        <w:rPr>
          <w:rFonts w:ascii="Arial" w:cs="Arial" w:eastAsia="Arial" w:hAnsi="Arial"/>
          <w:sz w:val="16"/>
          <w:szCs w:val="16"/>
          <w:u w:val="single" w:color="auto"/>
          <w:color w:val="000000"/>
        </w:rPr>
        <w:t>Section 7.01(i)</w:t>
      </w:r>
      <w:r>
        <w:rPr>
          <w:rFonts w:ascii="Arial" w:cs="Arial" w:eastAsia="Arial" w:hAnsi="Arial"/>
          <w:sz w:val="16"/>
          <w:szCs w:val="16"/>
          <w:color w:val="000000"/>
        </w:rPr>
        <w:t xml:space="preserve">) or (b) requires the grant of a Lien to secure an obligation of such Person if a Lien is granted to secure another obligation of such Person (other than in respect of Indebtedness permitted under </w:t>
      </w:r>
      <w:r>
        <w:rPr>
          <w:rFonts w:ascii="Arial" w:cs="Arial" w:eastAsia="Arial" w:hAnsi="Arial"/>
          <w:sz w:val="16"/>
          <w:szCs w:val="16"/>
          <w:u w:val="single" w:color="auto"/>
          <w:color w:val="000000"/>
        </w:rPr>
        <w:t>Section 7.02(</w:t>
      </w:r>
      <w:r>
        <w:rPr>
          <w:rFonts w:ascii="Arial" w:cs="Arial" w:eastAsia="Arial" w:hAnsi="Arial"/>
          <w:sz w:val="16"/>
          <w:szCs w:val="16"/>
          <w:b w:val="1"/>
          <w:bCs w:val="1"/>
          <w:u w:val="single" w:color="auto"/>
          <w:color w:val="FF0000"/>
          <w:strike w:val="1"/>
        </w:rPr>
        <w:t>p</w:t>
      </w:r>
      <w:r>
        <w:rPr>
          <w:rFonts w:ascii="Arial" w:cs="Arial" w:eastAsia="Arial" w:hAnsi="Arial"/>
          <w:sz w:val="16"/>
          <w:szCs w:val="16"/>
          <w:b w:val="1"/>
          <w:bCs w:val="1"/>
          <w:u w:val="single" w:color="auto"/>
          <w:color w:val="0000FF"/>
        </w:rPr>
        <w:t>o</w:t>
      </w:r>
      <w:r>
        <w:rPr>
          <w:rFonts w:ascii="Arial" w:cs="Arial" w:eastAsia="Arial" w:hAnsi="Arial"/>
          <w:sz w:val="16"/>
          <w:szCs w:val="16"/>
          <w:color w:val="000000"/>
        </w:rPr>
        <w:t>)</w:t>
      </w:r>
      <w:r>
        <w:rPr>
          <w:rFonts w:ascii="Arial" w:cs="Arial" w:eastAsia="Arial" w:hAnsi="Arial"/>
          <w:sz w:val="16"/>
          <w:szCs w:val="16"/>
          <w:b w:val="1"/>
          <w:bCs w:val="1"/>
          <w:color w:val="FF0000"/>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or</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7.02(</w:t>
      </w:r>
      <w:r>
        <w:rPr>
          <w:rFonts w:ascii="Arial" w:cs="Arial" w:eastAsia="Arial" w:hAnsi="Arial"/>
          <w:sz w:val="16"/>
          <w:szCs w:val="16"/>
          <w:b w:val="1"/>
          <w:bCs w:val="1"/>
          <w:u w:val="single" w:color="auto"/>
          <w:color w:val="FF0000"/>
          <w:strike w:val="1"/>
        </w:rPr>
        <w:t>q)</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or the Bridge Financing (provided that, in the case of the Bridge Financing, such Contractual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-1118870</wp:posOffset>
            </wp:positionV>
            <wp:extent cx="17322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jc w:val="both"/>
        <w:spacing w:after="0" w:line="260" w:lineRule="auto"/>
        <w:rPr>
          <w:sz w:val="20"/>
          <w:szCs w:val="20"/>
          <w:color w:val="auto"/>
        </w:rPr>
      </w:pPr>
      <w:r>
        <w:rPr>
          <w:rFonts w:ascii="Arial" w:cs="Arial" w:eastAsia="Arial" w:hAnsi="Arial"/>
          <w:sz w:val="18"/>
          <w:szCs w:val="18"/>
          <w:b w:val="1"/>
          <w:bCs w:val="1"/>
          <w:color w:val="FF0000"/>
          <w:strike w:val="1"/>
        </w:rPr>
        <w:t>Obligation shall be on customary terms for equal and ratable springing lien provisions in similar debt instruments in light of then prevailing market conditions).</w:t>
      </w:r>
      <w:r>
        <w:rPr>
          <w:rFonts w:ascii="Arial" w:cs="Arial" w:eastAsia="Arial" w:hAnsi="Arial"/>
          <w:sz w:val="18"/>
          <w:szCs w:val="18"/>
          <w:b w:val="1"/>
          <w:bCs w:val="1"/>
          <w:u w:val="single" w:color="auto"/>
          <w:color w:val="0000FF"/>
          <w:strike w:val="1"/>
        </w:rPr>
        <w:t>p)).</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7.10 Use of Proceeds.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-311150</wp:posOffset>
            </wp:positionV>
            <wp:extent cx="12738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5" w:name="page176"/>
    <w:bookmarkEnd w:id="175"/>
    <w:p>
      <w:pPr>
        <w:ind w:left="660"/>
        <w:spacing w:after="0"/>
        <w:tabs>
          <w:tab w:leader="none" w:pos="1260" w:val="left"/>
        </w:tabs>
        <w:rPr>
          <w:sz w:val="20"/>
          <w:szCs w:val="20"/>
          <w:color w:val="auto"/>
        </w:rPr>
      </w:pPr>
      <w:r>
        <w:rPr>
          <w:rFonts w:ascii="Arial" w:cs="Arial" w:eastAsia="Arial" w:hAnsi="Arial"/>
          <w:sz w:val="18"/>
          <w:szCs w:val="18"/>
          <w:u w:val="single" w:color="auto"/>
          <w:color w:val="auto"/>
        </w:rPr>
        <w:t>7.11</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1" w:lineRule="auto"/>
        <w:tabs>
          <w:tab w:leader="none" w:pos="1927"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Borrower Leverage Ratio</w:t>
      </w:r>
      <w:r>
        <w:rPr>
          <w:rFonts w:ascii="Arial" w:cs="Arial" w:eastAsia="Arial" w:hAnsi="Arial"/>
          <w:sz w:val="16"/>
          <w:szCs w:val="16"/>
          <w:color w:val="auto"/>
        </w:rPr>
        <w:t xml:space="preserve">. Commencing with the fiscal quarter ending June 30, 2014 and as of the last day of each fiscal quarter thereafter, permit the Borrower Leverage Ratio for the most recently completed Measurement Period to be greater than (i) on any date of determination other than during an Acquisition Period, 5.50:1.00 </w:t>
      </w:r>
      <w:r>
        <w:rPr>
          <w:rFonts w:ascii="Arial" w:cs="Arial" w:eastAsia="Arial" w:hAnsi="Arial"/>
          <w:sz w:val="16"/>
          <w:szCs w:val="16"/>
          <w:b w:val="1"/>
          <w:bCs w:val="1"/>
          <w:color w:val="FF0000"/>
          <w:strike w:val="1"/>
        </w:rPr>
        <w:t>or, with respect to any such date of determination (x) during the period from July 1, 2020 through</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 xml:space="preserve">and including December 31, 2020, 6.00:1.00 and (y) during the period from Sixth Amendment Effective Date through and including the Leverage Period Termination Date, 6.00:1.00 </w:t>
      </w:r>
      <w:r>
        <w:rPr>
          <w:rFonts w:ascii="Arial" w:cs="Arial" w:eastAsia="Arial" w:hAnsi="Arial"/>
          <w:sz w:val="16"/>
          <w:szCs w:val="16"/>
          <w:color w:val="000000"/>
          <w:strike w:val="1"/>
        </w:rPr>
        <w:t>and (ii) on any date of determination during an Acquisition Period, 6.00:1.00</w:t>
      </w:r>
      <w:r>
        <w:rPr>
          <w:rFonts w:ascii="Arial" w:cs="Arial" w:eastAsia="Arial" w:hAnsi="Arial"/>
          <w:sz w:val="16"/>
          <w:szCs w:val="16"/>
          <w:b w:val="1"/>
          <w:bCs w:val="1"/>
          <w:color w:val="FF0000"/>
          <w:strike w:val="1"/>
        </w:rPr>
        <w:t xml:space="preserve"> or, with respect to any such date of determination (x) during the period from July 1, 2020 through and including December 31, 2020, 6.50:1.00 and (y) during the period from Sixth Amendment Effective Date through and including the Leverage Period Termination Date, 6.50:1.00; and</w:t>
      </w:r>
      <w:r>
        <w:rPr>
          <w:rFonts w:ascii="Arial" w:cs="Arial" w:eastAsia="Arial" w:hAnsi="Arial"/>
          <w:sz w:val="16"/>
          <w:szCs w:val="16"/>
          <w:b w:val="1"/>
          <w:bCs w:val="1"/>
          <w:u w:val="single" w:color="auto"/>
          <w:color w:val="0000FF"/>
          <w:strike w:val="1"/>
        </w:rPr>
        <w:t>; and</w:t>
      </w:r>
    </w:p>
    <w:p>
      <w:pPr>
        <w:spacing w:after="0" w:line="166" w:lineRule="exact"/>
        <w:rPr>
          <w:rFonts w:ascii="Arial" w:cs="Arial" w:eastAsia="Arial" w:hAnsi="Arial"/>
          <w:sz w:val="16"/>
          <w:szCs w:val="16"/>
          <w:color w:val="auto"/>
        </w:rPr>
      </w:pPr>
    </w:p>
    <w:p>
      <w:pPr>
        <w:ind w:right="20" w:firstLine="1304"/>
        <w:spacing w:after="0" w:line="308" w:lineRule="auto"/>
        <w:tabs>
          <w:tab w:leader="none" w:pos="1924"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Borrower Interest Coverage Ratio</w:t>
      </w:r>
      <w:r>
        <w:rPr>
          <w:rFonts w:ascii="Arial" w:cs="Arial" w:eastAsia="Arial" w:hAnsi="Arial"/>
          <w:sz w:val="17"/>
          <w:szCs w:val="17"/>
          <w:color w:val="auto"/>
        </w:rPr>
        <w:t>. Commencing with the fiscal quarter ending June 30, 2014 and as of the last day of each fiscal quarter thereafter, permit the Borrower Interest Coverage Ratio for the most recently completed Measurement Period to be less than 1.75:1.00.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5361940</wp:posOffset>
            </wp:positionH>
            <wp:positionV relativeFrom="paragraph">
              <wp:posOffset>-797560</wp:posOffset>
            </wp:positionV>
            <wp:extent cx="17684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68475" cy="8255"/>
                    </a:xfrm>
                    <a:prstGeom prst="rect">
                      <a:avLst/>
                    </a:prstGeom>
                    <a:noFill/>
                  </pic:spPr>
                </pic:pic>
              </a:graphicData>
            </a:graphic>
          </wp:anchor>
        </w:drawing>
      </w:r>
    </w:p>
    <w:p>
      <w:pPr>
        <w:spacing w:after="0" w:line="12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7.12 Sanctions. Directly or indirectly, use the proceeds of any Credit Extension, or lend, contribute or otherwise make available such proceeds to any Subsidiary of the Borrower or any Company Group Party, or to any </w:t>
      </w:r>
      <w:r>
        <w:rPr>
          <w:rFonts w:ascii="Arial" w:cs="Arial" w:eastAsia="Arial" w:hAnsi="Arial"/>
          <w:sz w:val="16"/>
          <w:szCs w:val="16"/>
          <w:b w:val="1"/>
          <w:bCs w:val="1"/>
          <w:color w:val="FF0000"/>
          <w:strike w:val="1"/>
        </w:rPr>
        <w:t>Equity Investor</w:t>
      </w:r>
      <w:r>
        <w:rPr>
          <w:rFonts w:ascii="Arial" w:cs="Arial" w:eastAsia="Arial" w:hAnsi="Arial"/>
          <w:sz w:val="16"/>
          <w:szCs w:val="16"/>
          <w:b w:val="1"/>
          <w:bCs w:val="1"/>
          <w:u w:val="single" w:color="auto"/>
          <w:color w:val="0000FF"/>
        </w:rPr>
        <w:t>Sponsor</w:t>
      </w:r>
      <w:r>
        <w:rPr>
          <w:rFonts w:ascii="Arial" w:cs="Arial" w:eastAsia="Arial" w:hAnsi="Arial"/>
          <w:sz w:val="16"/>
          <w:szCs w:val="16"/>
          <w:color w:val="auto"/>
        </w:rPr>
        <w:t xml:space="preserve"> Subsidiary, joint venture partner or other </w:t>
      </w:r>
      <w:r>
        <w:rPr>
          <w:rFonts w:ascii="Arial" w:cs="Arial" w:eastAsia="Arial" w:hAnsi="Arial"/>
          <w:sz w:val="16"/>
          <w:szCs w:val="16"/>
          <w:b w:val="1"/>
          <w:bCs w:val="1"/>
          <w:color w:val="FF0000"/>
          <w:strike w:val="1"/>
        </w:rPr>
        <w:t>individual</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or entity</w:t>
      </w:r>
      <w:r>
        <w:rPr>
          <w:rFonts w:ascii="Arial" w:cs="Arial" w:eastAsia="Arial" w:hAnsi="Arial"/>
          <w:sz w:val="16"/>
          <w:szCs w:val="16"/>
          <w:b w:val="1"/>
          <w:bCs w:val="1"/>
          <w:u w:val="single" w:color="auto"/>
          <w:color w:val="0000FF"/>
        </w:rPr>
        <w:t>Person</w:t>
      </w:r>
      <w:r>
        <w:rPr>
          <w:rFonts w:ascii="Arial" w:cs="Arial" w:eastAsia="Arial" w:hAnsi="Arial"/>
          <w:sz w:val="16"/>
          <w:szCs w:val="16"/>
          <w:color w:val="000000"/>
        </w:rPr>
        <w:t>, to fund any activities of or business with any</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individual or entity</w:t>
      </w:r>
      <w:r>
        <w:rPr>
          <w:rFonts w:ascii="Arial" w:cs="Arial" w:eastAsia="Arial" w:hAnsi="Arial"/>
          <w:sz w:val="16"/>
          <w:szCs w:val="16"/>
          <w:b w:val="1"/>
          <w:bCs w:val="1"/>
          <w:u w:val="single" w:color="auto"/>
          <w:color w:val="0000FF"/>
        </w:rPr>
        <w:t>Person</w:t>
      </w:r>
      <w:r>
        <w:rPr>
          <w:rFonts w:ascii="Arial" w:cs="Arial" w:eastAsia="Arial" w:hAnsi="Arial"/>
          <w:sz w:val="16"/>
          <w:szCs w:val="16"/>
          <w:color w:val="000000"/>
        </w:rPr>
        <w:t>, or in any</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Designated Jurisdiction</w:t>
      </w:r>
      <w:r>
        <w:rPr>
          <w:rFonts w:ascii="Arial" w:cs="Arial" w:eastAsia="Arial" w:hAnsi="Arial"/>
          <w:sz w:val="16"/>
          <w:szCs w:val="16"/>
          <w:b w:val="1"/>
          <w:bCs w:val="1"/>
          <w:u w:val="single" w:color="auto"/>
          <w:color w:val="0000FF"/>
        </w:rPr>
        <w:t>Sanctioned Country</w:t>
      </w:r>
      <w:r>
        <w:rPr>
          <w:rFonts w:ascii="Arial" w:cs="Arial" w:eastAsia="Arial" w:hAnsi="Arial"/>
          <w:sz w:val="16"/>
          <w:szCs w:val="16"/>
          <w:color w:val="000000"/>
        </w:rPr>
        <w:t>, that,</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at the time of such funding, is the subject of Sanctions or in any other manner that will result in a violation by any </w:t>
      </w:r>
      <w:r>
        <w:rPr>
          <w:rFonts w:ascii="Arial" w:cs="Arial" w:eastAsia="Arial" w:hAnsi="Arial"/>
          <w:sz w:val="16"/>
          <w:szCs w:val="16"/>
          <w:b w:val="1"/>
          <w:bCs w:val="1"/>
          <w:color w:val="FF0000"/>
          <w:strike w:val="1"/>
        </w:rPr>
        <w:t>individual or entity</w:t>
      </w:r>
      <w:r>
        <w:rPr>
          <w:rFonts w:ascii="Arial" w:cs="Arial" w:eastAsia="Arial" w:hAnsi="Arial"/>
          <w:sz w:val="16"/>
          <w:szCs w:val="16"/>
          <w:b w:val="1"/>
          <w:bCs w:val="1"/>
          <w:u w:val="single" w:color="auto"/>
          <w:color w:val="0000FF"/>
        </w:rPr>
        <w:t>Person</w:t>
      </w:r>
      <w:r>
        <w:rPr>
          <w:rFonts w:ascii="Arial" w:cs="Arial" w:eastAsia="Arial" w:hAnsi="Arial"/>
          <w:sz w:val="16"/>
          <w:szCs w:val="16"/>
          <w:color w:val="000000"/>
        </w:rPr>
        <w:t xml:space="preserve"> (including any </w:t>
      </w:r>
      <w:r>
        <w:rPr>
          <w:rFonts w:ascii="Arial" w:cs="Arial" w:eastAsia="Arial" w:hAnsi="Arial"/>
          <w:sz w:val="16"/>
          <w:szCs w:val="16"/>
          <w:b w:val="1"/>
          <w:bCs w:val="1"/>
          <w:color w:val="FF0000"/>
          <w:strike w:val="1"/>
        </w:rPr>
        <w:t>individual or entity</w:t>
      </w:r>
      <w:r>
        <w:rPr>
          <w:rFonts w:ascii="Arial" w:cs="Arial" w:eastAsia="Arial" w:hAnsi="Arial"/>
          <w:sz w:val="16"/>
          <w:szCs w:val="16"/>
          <w:b w:val="1"/>
          <w:bCs w:val="1"/>
          <w:u w:val="single" w:color="auto"/>
          <w:color w:val="0000FF"/>
        </w:rPr>
        <w:t>Person</w:t>
      </w:r>
      <w:r>
        <w:rPr>
          <w:rFonts w:ascii="Arial" w:cs="Arial" w:eastAsia="Arial" w:hAnsi="Arial"/>
          <w:sz w:val="16"/>
          <w:szCs w:val="16"/>
          <w:color w:val="000000"/>
        </w:rPr>
        <w:t xml:space="preserve"> participating in the transaction, whether as Lender, Arranger, Administrative Agent, L/C Issuer or otherwise) of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-599440</wp:posOffset>
            </wp:positionV>
            <wp:extent cx="8528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2805" cy="8890"/>
                    </a:xfrm>
                    <a:prstGeom prst="rect">
                      <a:avLst/>
                    </a:prstGeom>
                    <a:noFill/>
                  </pic:spPr>
                </pic:pic>
              </a:graphicData>
            </a:graphic>
          </wp:anchor>
        </w:drawing>
      </w:r>
    </w:p>
    <w:p>
      <w:pPr>
        <w:spacing w:after="0" w:line="1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7.13 Amendments of Organization Documents</w:t>
      </w:r>
      <w:r>
        <w:rPr>
          <w:rFonts w:ascii="Arial" w:cs="Arial" w:eastAsia="Arial" w:hAnsi="Arial"/>
          <w:sz w:val="17"/>
          <w:szCs w:val="17"/>
          <w:color w:val="auto"/>
        </w:rPr>
        <w:t>. Amend any of the Organization Documents of any such Person, other than amendments that do not, taken as a whole, materially adversely affect the interests of any Agent, any Lender or any Secured Party in their capacity as such.</w:t>
      </w:r>
    </w:p>
    <w:p>
      <w:pPr>
        <w:spacing w:after="0" w:line="14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7.14</w:t>
      </w:r>
      <w:r>
        <w:rPr>
          <w:sz w:val="20"/>
          <w:szCs w:val="20"/>
          <w:color w:val="auto"/>
        </w:rPr>
        <w:tab/>
      </w:r>
      <w:r>
        <w:rPr>
          <w:rFonts w:ascii="Arial" w:cs="Arial" w:eastAsia="Arial" w:hAnsi="Arial"/>
          <w:sz w:val="16"/>
          <w:szCs w:val="16"/>
          <w:u w:val="single" w:color="auto"/>
          <w:color w:val="auto"/>
        </w:rPr>
        <w:t>Accounting Changes</w:t>
      </w:r>
      <w:r>
        <w:rPr>
          <w:rFonts w:ascii="Arial" w:cs="Arial" w:eastAsia="Arial" w:hAnsi="Arial"/>
          <w:sz w:val="16"/>
          <w:szCs w:val="16"/>
          <w:color w:val="auto"/>
        </w:rPr>
        <w:t>. Make any change in (a) accounting policies or reporting practices, except as required by GAAP, or (b) fiscal year.</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7.15 Prepayments, Etc. of Indebtedness. Prepay, redeem, purchase, defease or otherwise satisfy prior to the scheduled maturity thereof in any manner, or make any payment in violation of any subordination terms of, any unsecured Indebtedness, junior Lien Indebtedness or any Indebtedness which is contractually subordinated to the Obligations, except (a) regularly scheduled payments of principal and interest in respect of such Indebtedness in accordance with the terms of, and only to the extent required by, and subject to any subordination provisions contained in, the indenture or other agreement pursuant to which such Indebtedness was issued or incurred or any subordination agreement (including any subordination agreement entered into pursuant to </w:t>
      </w:r>
      <w:r>
        <w:rPr>
          <w:rFonts w:ascii="Arial" w:cs="Arial" w:eastAsia="Arial" w:hAnsi="Arial"/>
          <w:sz w:val="16"/>
          <w:szCs w:val="16"/>
          <w:u w:val="single" w:color="auto"/>
          <w:color w:val="auto"/>
        </w:rPr>
        <w:t>Section 7.02(n)</w:t>
      </w:r>
      <w:r>
        <w:rPr>
          <w:rFonts w:ascii="Arial" w:cs="Arial" w:eastAsia="Arial" w:hAnsi="Arial"/>
          <w:sz w:val="16"/>
          <w:szCs w:val="16"/>
          <w:color w:val="auto"/>
        </w:rPr>
        <w:t>) in respect 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regularly scheduled payments of principal shall not exceed 1.00% per annum of the aggregate principal amount of such Indebtedness), (b) prepayments and repayments of such Indebtedness made from cash of the Borrower that at such time would be permitted to be distributed to Holdings pursuant to </w:t>
      </w:r>
      <w:r>
        <w:rPr>
          <w:rFonts w:ascii="Arial" w:cs="Arial" w:eastAsia="Arial" w:hAnsi="Arial"/>
          <w:sz w:val="16"/>
          <w:szCs w:val="16"/>
          <w:u w:val="single" w:color="auto"/>
          <w:color w:val="auto"/>
        </w:rPr>
        <w:t>Section 7.06(f)</w:t>
      </w:r>
      <w:r>
        <w:rPr>
          <w:rFonts w:ascii="Arial" w:cs="Arial" w:eastAsia="Arial" w:hAnsi="Arial"/>
          <w:sz w:val="16"/>
          <w:szCs w:val="16"/>
          <w:color w:val="auto"/>
        </w:rPr>
        <w:t xml:space="preserve">, (c) prepayments and repayments of such Indebtedness made with the proceeds of Permitted Refinancing Indebtedness in respect thereof, (d) </w:t>
      </w:r>
      <w:r>
        <w:rPr>
          <w:rFonts w:ascii="Arial" w:cs="Arial" w:eastAsia="Arial" w:hAnsi="Arial"/>
          <w:sz w:val="16"/>
          <w:szCs w:val="16"/>
          <w:b w:val="1"/>
          <w:bCs w:val="1"/>
          <w:color w:val="FF0000"/>
          <w:strike w:val="1"/>
        </w:rPr>
        <w:t>following the Leverage Period Termination Date,</w:t>
      </w:r>
      <w:r>
        <w:rPr>
          <w:rFonts w:ascii="Arial" w:cs="Arial" w:eastAsia="Arial" w:hAnsi="Arial"/>
          <w:sz w:val="16"/>
          <w:szCs w:val="16"/>
          <w:color w:val="auto"/>
        </w:rPr>
        <w:t xml:space="preserve"> prepayments and repayments of such Indebtedness, unless (i) as result thereof and giving pro forma effect thereto and to any Indebtedness incurred in connection therewith (as though such Indebtedness had been incurred as of the first day of the most recently completed Measurement Period and remained outstanding), the Borrower Leverage Ratio for the most recently completed Measurement Period would be greater than 5.50:1.00, (ii) as result thereof and giving pro forma effect thereto and to any Indebtedness incurred in connection therewith (as though such Indebtedness had been incurred as of the first day of the most recently completed Measurement Period and remained outstanding), the Borrower Interest Coverage Ratio for the most recently completed Measurement Period would be less than 1.75:1.00 or (iii) an Event of Default has occurred and is continuing or would result from such prepayment or repayment, </w:t>
      </w:r>
      <w:r>
        <w:rPr>
          <w:rFonts w:ascii="Arial" w:cs="Arial" w:eastAsia="Arial" w:hAnsi="Arial"/>
          <w:sz w:val="16"/>
          <w:szCs w:val="16"/>
          <w:b w:val="1"/>
          <w:bCs w:val="1"/>
          <w:u w:val="single" w:color="auto"/>
          <w:color w:val="0000FF"/>
        </w:rPr>
        <w:t>and</w:t>
      </w:r>
      <w:r>
        <w:rPr>
          <w:rFonts w:ascii="Arial" w:cs="Arial" w:eastAsia="Arial" w:hAnsi="Arial"/>
          <w:sz w:val="16"/>
          <w:szCs w:val="16"/>
          <w:color w:val="auto"/>
        </w:rPr>
        <w:t xml:space="preserve"> (e) other prepayments, repayments, redemptions or similar transactions in an amount not to exceed the greater of (i) $</w:t>
      </w:r>
      <w:r>
        <w:rPr>
          <w:rFonts w:ascii="Arial" w:cs="Arial" w:eastAsia="Arial" w:hAnsi="Arial"/>
          <w:sz w:val="16"/>
          <w:szCs w:val="16"/>
          <w:b w:val="1"/>
          <w:bCs w:val="1"/>
          <w:color w:val="FF0000"/>
          <w:strike w:val="1"/>
        </w:rPr>
        <w:t>50,000,000</w:t>
      </w:r>
      <w:r>
        <w:rPr>
          <w:rFonts w:ascii="Arial" w:cs="Arial" w:eastAsia="Arial" w:hAnsi="Arial"/>
          <w:sz w:val="16"/>
          <w:szCs w:val="16"/>
          <w:b w:val="1"/>
          <w:bCs w:val="1"/>
          <w:u w:val="single" w:color="auto"/>
          <w:color w:val="0000FF"/>
        </w:rPr>
        <w:t>60,000,000</w:t>
      </w:r>
      <w:r>
        <w:rPr>
          <w:rFonts w:ascii="Arial" w:cs="Arial" w:eastAsia="Arial" w:hAnsi="Arial"/>
          <w:sz w:val="16"/>
          <w:szCs w:val="16"/>
          <w:color w:val="auto"/>
        </w:rPr>
        <w:t xml:space="preserve"> and (ii) 1.00% of Total Assets (which shall be measured as of the date such transaction is consummated and shall take into account any transaction previously or concurrently consummated pursuant to this clause (e)) </w:t>
      </w:r>
      <w:r>
        <w:rPr>
          <w:rFonts w:ascii="Arial" w:cs="Arial" w:eastAsia="Arial" w:hAnsi="Arial"/>
          <w:sz w:val="16"/>
          <w:szCs w:val="16"/>
          <w:b w:val="1"/>
          <w:bCs w:val="1"/>
          <w:color w:val="FF0000"/>
        </w:rPr>
        <w:t>and (f) prepayments and repayments of the Convertible Senior Notes or the Existing Senior Notes with the proceeds of</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the Bridge Financing or any Permitted Refinancing Indebtedness in respect of the Bridge Financing</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-2514600</wp:posOffset>
            </wp:positionV>
            <wp:extent cx="20110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011045" cy="8890"/>
                    </a:xfrm>
                    <a:prstGeom prst="rect">
                      <a:avLst/>
                    </a:prstGeom>
                    <a:noFill/>
                  </pic:spPr>
                </pic:pic>
              </a:graphicData>
            </a:graphic>
          </wp:anchor>
        </w:drawing>
        <w:drawing>
          <wp:anchor simplePos="0" relativeHeight="251657728" behindDoc="1" locked="0" layoutInCell="0" allowOverlap="1">
            <wp:simplePos x="0" y="0"/>
            <wp:positionH relativeFrom="column">
              <wp:posOffset>1234440</wp:posOffset>
            </wp:positionH>
            <wp:positionV relativeFrom="paragraph">
              <wp:posOffset>-234315</wp:posOffset>
            </wp:positionV>
            <wp:extent cx="58966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96610" cy="8890"/>
                    </a:xfrm>
                    <a:prstGeom prst="rect">
                      <a:avLst/>
                    </a:prstGeom>
                    <a:noFill/>
                  </pic:spPr>
                </pic:pic>
              </a:graphicData>
            </a:graphic>
          </wp:anchor>
        </w:drawing>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6" w:name="page177"/>
    <w:bookmarkEnd w:id="176"/>
    <w:p>
      <w:pPr>
        <w:ind w:left="660"/>
        <w:spacing w:after="0"/>
        <w:tabs>
          <w:tab w:leader="none" w:pos="1220" w:val="left"/>
        </w:tabs>
        <w:rPr>
          <w:sz w:val="20"/>
          <w:szCs w:val="20"/>
          <w:color w:val="auto"/>
        </w:rPr>
      </w:pPr>
      <w:r>
        <w:rPr>
          <w:rFonts w:ascii="Arial" w:cs="Arial" w:eastAsia="Arial" w:hAnsi="Arial"/>
          <w:sz w:val="18"/>
          <w:szCs w:val="18"/>
          <w:b w:val="1"/>
          <w:bCs w:val="1"/>
          <w:u w:val="single" w:color="auto"/>
          <w:color w:val="FF0000"/>
          <w:strike w:val="1"/>
        </w:rPr>
        <w:t>7.16</w:t>
      </w:r>
      <w:r>
        <w:rPr>
          <w:sz w:val="20"/>
          <w:szCs w:val="20"/>
          <w:color w:val="auto"/>
        </w:rPr>
        <w:tab/>
      </w:r>
      <w:r>
        <w:rPr>
          <w:rFonts w:ascii="Arial" w:cs="Arial" w:eastAsia="Arial" w:hAnsi="Arial"/>
          <w:sz w:val="16"/>
          <w:szCs w:val="16"/>
          <w:b w:val="1"/>
          <w:bCs w:val="1"/>
          <w:u w:val="single" w:color="auto"/>
          <w:color w:val="FF0000"/>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-7620</wp:posOffset>
            </wp:positionV>
            <wp:extent cx="1714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u w:val="single" w:color="auto"/>
          <w:color w:val="FF0000"/>
          <w:strike w:val="1"/>
        </w:rPr>
        <w:t>7.17</w:t>
      </w:r>
      <w:r>
        <w:rPr>
          <w:rFonts w:ascii="Arial" w:cs="Arial" w:eastAsia="Arial" w:hAnsi="Arial"/>
          <w:sz w:val="17"/>
          <w:szCs w:val="17"/>
          <w:b w:val="1"/>
          <w:bCs w:val="1"/>
          <w:u w:val="single" w:color="auto"/>
          <w:color w:val="0000FF"/>
        </w:rPr>
        <w:t>7.16</w:t>
      </w:r>
      <w:r>
        <w:rPr>
          <w:rFonts w:ascii="Arial" w:cs="Arial" w:eastAsia="Arial" w:hAnsi="Arial"/>
          <w:sz w:val="17"/>
          <w:szCs w:val="17"/>
          <w:b w:val="1"/>
          <w:bCs w:val="1"/>
          <w:color w:val="FF0000"/>
        </w:rPr>
        <w:t xml:space="preserve"> </w:t>
      </w:r>
      <w:r>
        <w:rPr>
          <w:rFonts w:ascii="Arial" w:cs="Arial" w:eastAsia="Arial" w:hAnsi="Arial"/>
          <w:sz w:val="17"/>
          <w:szCs w:val="17"/>
          <w:color w:val="000000"/>
        </w:rPr>
        <w:t>Holding Company. In the case of Holdings, engage in any business, activity or transaction or own any interest (fee, leasehold or</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otherwise) in any real property, or incur, assume, or suffer to exist any Indebtedness other than (a) the ownership of all outstanding Equity Interests in the Borrower, (b) maintaining its corporate existence, (c) participating in tax, accounting and other administrative activities </w:t>
      </w:r>
      <w:r>
        <w:rPr>
          <w:rFonts w:ascii="Arial" w:cs="Arial" w:eastAsia="Arial" w:hAnsi="Arial"/>
          <w:sz w:val="17"/>
          <w:szCs w:val="17"/>
          <w:b w:val="1"/>
          <w:bCs w:val="1"/>
          <w:color w:val="FF0000"/>
        </w:rPr>
        <w:t>as the parent of a consolidated</w:t>
      </w:r>
      <w:r>
        <w:rPr>
          <w:rFonts w:ascii="Arial" w:cs="Arial" w:eastAsia="Arial" w:hAnsi="Arial"/>
          <w:sz w:val="17"/>
          <w:szCs w:val="17"/>
          <w:color w:val="000000"/>
        </w:rPr>
        <w:t xml:space="preserve"> </w:t>
      </w:r>
      <w:r>
        <w:rPr>
          <w:rFonts w:ascii="Arial" w:cs="Arial" w:eastAsia="Arial" w:hAnsi="Arial"/>
          <w:sz w:val="17"/>
          <w:szCs w:val="17"/>
          <w:b w:val="1"/>
          <w:bCs w:val="1"/>
          <w:color w:val="FF0000"/>
          <w:strike w:val="1"/>
        </w:rPr>
        <w:t>group of companies, including the Borrower</w:t>
      </w:r>
      <w:r>
        <w:rPr>
          <w:rFonts w:ascii="Arial" w:cs="Arial" w:eastAsia="Arial" w:hAnsi="Arial"/>
          <w:sz w:val="17"/>
          <w:szCs w:val="17"/>
          <w:color w:val="000000"/>
        </w:rPr>
        <w:t>, (d) making Restricted Payments of amounts received by it pursuant to</w:t>
      </w:r>
      <w:r>
        <w:rPr>
          <w:rFonts w:ascii="Arial" w:cs="Arial" w:eastAsia="Arial" w:hAnsi="Arial"/>
          <w:sz w:val="17"/>
          <w:szCs w:val="17"/>
          <w:b w:val="1"/>
          <w:bCs w:val="1"/>
          <w:color w:val="FF0000"/>
        </w:rPr>
        <w:t xml:space="preserve"> </w:t>
      </w:r>
      <w:r>
        <w:rPr>
          <w:rFonts w:ascii="Arial" w:cs="Arial" w:eastAsia="Arial" w:hAnsi="Arial"/>
          <w:sz w:val="17"/>
          <w:szCs w:val="17"/>
          <w:u w:val="single" w:color="auto"/>
          <w:color w:val="000000"/>
        </w:rPr>
        <w:t>Section 7.06</w:t>
      </w:r>
      <w:r>
        <w:rPr>
          <w:rFonts w:ascii="Arial" w:cs="Arial" w:eastAsia="Arial" w:hAnsi="Arial"/>
          <w:sz w:val="17"/>
          <w:szCs w:val="17"/>
          <w:color w:val="000000"/>
        </w:rPr>
        <w:t>, and making</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Investments in the Borrower, (e) in respect of the execution and delivery of the Loan Documents to which it is a party and the performance of its obligations thereunder, (f) the execution and delivery of the Exchange Agreement and the performance of its obligations thereunder, (g) </w:t>
      </w:r>
      <w:r>
        <w:rPr>
          <w:rFonts w:ascii="Arial" w:cs="Arial" w:eastAsia="Arial" w:hAnsi="Arial"/>
          <w:sz w:val="17"/>
          <w:szCs w:val="17"/>
          <w:b w:val="1"/>
          <w:bCs w:val="1"/>
          <w:color w:val="FF0000"/>
          <w:strike w:val="1"/>
        </w:rPr>
        <w:t>incurring</w:t>
      </w:r>
      <w:r>
        <w:rPr>
          <w:rFonts w:ascii="Arial" w:cs="Arial" w:eastAsia="Arial" w:hAnsi="Arial"/>
          <w:sz w:val="17"/>
          <w:szCs w:val="17"/>
          <w:color w:val="000000"/>
        </w:rPr>
        <w:t xml:space="preserve"> </w:t>
      </w:r>
      <w:r>
        <w:rPr>
          <w:rFonts w:ascii="Arial" w:cs="Arial" w:eastAsia="Arial" w:hAnsi="Arial"/>
          <w:sz w:val="17"/>
          <w:szCs w:val="17"/>
          <w:b w:val="1"/>
          <w:bCs w:val="1"/>
          <w:color w:val="FF0000"/>
          <w:strike w:val="1"/>
        </w:rPr>
        <w:t>Indebtedness consisting of an unsecured guarantee of the Indebtedness represented by the Convertible Senior Notes, (h)</w:t>
      </w:r>
      <w:r>
        <w:rPr>
          <w:rFonts w:ascii="Arial" w:cs="Arial" w:eastAsia="Arial" w:hAnsi="Arial"/>
          <w:sz w:val="17"/>
          <w:szCs w:val="17"/>
          <w:b w:val="1"/>
          <w:bCs w:val="1"/>
          <w:color w:val="FF0000"/>
        </w:rPr>
        <w:t xml:space="preserve"> </w:t>
      </w:r>
      <w:r>
        <w:rPr>
          <w:rFonts w:ascii="Arial" w:cs="Arial" w:eastAsia="Arial" w:hAnsi="Arial"/>
          <w:sz w:val="17"/>
          <w:szCs w:val="17"/>
          <w:color w:val="000000"/>
        </w:rPr>
        <w:t>providing, and complying</w:t>
      </w:r>
      <w:r>
        <w:rPr>
          <w:rFonts w:ascii="Arial" w:cs="Arial" w:eastAsia="Arial" w:hAnsi="Arial"/>
          <w:sz w:val="17"/>
          <w:szCs w:val="17"/>
          <w:b w:val="1"/>
          <w:bCs w:val="1"/>
          <w:color w:val="FF0000"/>
        </w:rPr>
        <w:t xml:space="preserve"> </w:t>
      </w:r>
      <w:r>
        <w:rPr>
          <w:rFonts w:ascii="Arial" w:cs="Arial" w:eastAsia="Arial" w:hAnsi="Arial"/>
          <w:sz w:val="17"/>
          <w:szCs w:val="17"/>
          <w:color w:val="000000"/>
        </w:rPr>
        <w:t>with its obligations in respect of, Permitted Guarantees, (</w:t>
      </w:r>
      <w:r>
        <w:rPr>
          <w:rFonts w:ascii="Arial" w:cs="Arial" w:eastAsia="Arial" w:hAnsi="Arial"/>
          <w:sz w:val="17"/>
          <w:szCs w:val="17"/>
          <w:b w:val="1"/>
          <w:bCs w:val="1"/>
          <w:color w:val="FF0000"/>
          <w:strike w:val="1"/>
        </w:rPr>
        <w:t>i</w:t>
      </w:r>
      <w:r>
        <w:rPr>
          <w:rFonts w:ascii="Arial" w:cs="Arial" w:eastAsia="Arial" w:hAnsi="Arial"/>
          <w:sz w:val="17"/>
          <w:szCs w:val="17"/>
          <w:b w:val="1"/>
          <w:bCs w:val="1"/>
          <w:u w:val="single" w:color="auto"/>
          <w:color w:val="0000FF"/>
        </w:rPr>
        <w:t>h</w:t>
      </w:r>
      <w:r>
        <w:rPr>
          <w:rFonts w:ascii="Arial" w:cs="Arial" w:eastAsia="Arial" w:hAnsi="Arial"/>
          <w:sz w:val="17"/>
          <w:szCs w:val="17"/>
          <w:color w:val="000000"/>
        </w:rPr>
        <w:t>) (x) entering into Holdings Tax Equity Credit Support and (y) making Holdings Tax Equity Payments in an amount not to exceed, in the aggregate for all such Holdings Tax Equity Payments made by Holdings during the term of this Agreement, 10% of Holdings’ shareholders’ equity as reported in the most recent financial statements filed by Holdings with the SEC on Form 10-Q or Form 10-K, as applicable, (it being understood that Holdings may enter into Holdings Tax Equity Credit Support without regard to such 10% cap, but that actual payments made by Holdings with respect thereto are subject to such 10% cap) and (</w:t>
      </w:r>
      <w:r>
        <w:rPr>
          <w:rFonts w:ascii="Arial" w:cs="Arial" w:eastAsia="Arial" w:hAnsi="Arial"/>
          <w:sz w:val="17"/>
          <w:szCs w:val="17"/>
          <w:b w:val="1"/>
          <w:bCs w:val="1"/>
          <w:color w:val="FF0000"/>
          <w:strike w:val="1"/>
        </w:rPr>
        <w:t>j</w:t>
      </w:r>
      <w:r>
        <w:rPr>
          <w:rFonts w:ascii="Arial" w:cs="Arial" w:eastAsia="Arial" w:hAnsi="Arial"/>
          <w:sz w:val="17"/>
          <w:szCs w:val="17"/>
          <w:b w:val="1"/>
          <w:bCs w:val="1"/>
          <w:u w:val="single" w:color="auto"/>
          <w:color w:val="0000FF"/>
        </w:rPr>
        <w:t>i</w:t>
      </w:r>
      <w:r>
        <w:rPr>
          <w:rFonts w:ascii="Arial" w:cs="Arial" w:eastAsia="Arial" w:hAnsi="Arial"/>
          <w:sz w:val="17"/>
          <w:szCs w:val="17"/>
          <w:color w:val="000000"/>
        </w:rPr>
        <w:t>) activities incidental to the businesses or activities described in clauses (a) through (</w:t>
      </w:r>
      <w:r>
        <w:rPr>
          <w:rFonts w:ascii="Arial" w:cs="Arial" w:eastAsia="Arial" w:hAnsi="Arial"/>
          <w:sz w:val="17"/>
          <w:szCs w:val="17"/>
          <w:b w:val="1"/>
          <w:bCs w:val="1"/>
          <w:color w:val="FF0000"/>
          <w:strike w:val="1"/>
        </w:rPr>
        <w:t>i</w:t>
      </w:r>
      <w:r>
        <w:rPr>
          <w:rFonts w:ascii="Arial" w:cs="Arial" w:eastAsia="Arial" w:hAnsi="Arial"/>
          <w:sz w:val="17"/>
          <w:szCs w:val="17"/>
          <w:b w:val="1"/>
          <w:bCs w:val="1"/>
          <w:u w:val="single" w:color="auto"/>
          <w:color w:val="0000FF"/>
        </w:rPr>
        <w:t>h</w:t>
      </w:r>
      <w:r>
        <w:rPr>
          <w:rFonts w:ascii="Arial" w:cs="Arial" w:eastAsia="Arial" w:hAnsi="Arial"/>
          <w:sz w:val="17"/>
          <w:szCs w:val="17"/>
          <w:color w:val="000000"/>
        </w:rPr>
        <w:t>)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-1684655</wp:posOffset>
            </wp:positionV>
            <wp:extent cx="109601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96010" cy="8890"/>
                    </a:xfrm>
                    <a:prstGeom prst="rect">
                      <a:avLst/>
                    </a:prstGeom>
                    <a:noFill/>
                  </pic:spPr>
                </pic:pic>
              </a:graphicData>
            </a:graphic>
          </wp:anchor>
        </w:drawing>
        <w:drawing>
          <wp:anchor simplePos="0" relativeHeight="251657728" behindDoc="1" locked="0" layoutInCell="0" allowOverlap="1">
            <wp:simplePos x="0" y="0"/>
            <wp:positionH relativeFrom="column">
              <wp:posOffset>5578475</wp:posOffset>
            </wp:positionH>
            <wp:positionV relativeFrom="paragraph">
              <wp:posOffset>-1461770</wp:posOffset>
            </wp:positionV>
            <wp:extent cx="15513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7" w:name="page178"/>
    <w:bookmarkEnd w:id="177"/>
    <w:p>
      <w:pPr>
        <w:ind w:left="660"/>
        <w:spacing w:after="0"/>
        <w:tabs>
          <w:tab w:leader="none" w:pos="1540" w:val="left"/>
        </w:tabs>
        <w:rPr>
          <w:sz w:val="20"/>
          <w:szCs w:val="20"/>
          <w:color w:val="auto"/>
        </w:rPr>
      </w:pPr>
      <w:r>
        <w:rPr>
          <w:rFonts w:ascii="Arial" w:cs="Arial" w:eastAsia="Arial" w:hAnsi="Arial"/>
          <w:sz w:val="18"/>
          <w:szCs w:val="18"/>
          <w:b w:val="1"/>
          <w:bCs w:val="1"/>
          <w:u w:val="single" w:color="auto"/>
          <w:color w:val="FF0000"/>
          <w:strike w:val="1"/>
        </w:rPr>
        <w:t>7.18</w:t>
      </w:r>
      <w:r>
        <w:rPr>
          <w:rFonts w:ascii="Arial" w:cs="Arial" w:eastAsia="Arial" w:hAnsi="Arial"/>
          <w:sz w:val="18"/>
          <w:szCs w:val="18"/>
          <w:b w:val="1"/>
          <w:bCs w:val="1"/>
          <w:u w:val="single" w:color="auto"/>
          <w:color w:val="0000FF"/>
        </w:rPr>
        <w:t>7.17</w:t>
      </w:r>
      <w:r>
        <w:rPr>
          <w:sz w:val="20"/>
          <w:szCs w:val="20"/>
          <w:color w:val="auto"/>
        </w:rPr>
        <w:tab/>
      </w:r>
      <w:r>
        <w:rPr>
          <w:rFonts w:ascii="Arial" w:cs="Arial" w:eastAsia="Arial" w:hAnsi="Arial"/>
          <w:sz w:val="16"/>
          <w:szCs w:val="16"/>
          <w:color w:val="auto"/>
        </w:rPr>
        <w:t xml:space="preserve">Swap Contracts. Enter into any Swap Contract other than as permitted by </w:t>
      </w:r>
      <w:r>
        <w:rPr>
          <w:rFonts w:ascii="Arial" w:cs="Arial" w:eastAsia="Arial" w:hAnsi="Arial"/>
          <w:sz w:val="16"/>
          <w:szCs w:val="16"/>
          <w:u w:val="single" w:color="auto"/>
          <w:color w:val="auto"/>
        </w:rPr>
        <w:t>Section 7.02(a)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-7620</wp:posOffset>
            </wp:positionV>
            <wp:extent cx="8915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FF0000"/>
          <w:strike w:val="1"/>
        </w:rPr>
        <w:t>7.19</w:t>
      </w:r>
      <w:r>
        <w:rPr>
          <w:rFonts w:ascii="Arial" w:cs="Arial" w:eastAsia="Arial" w:hAnsi="Arial"/>
          <w:sz w:val="18"/>
          <w:szCs w:val="18"/>
          <w:b w:val="1"/>
          <w:bCs w:val="1"/>
          <w:u w:val="single" w:color="auto"/>
          <w:color w:val="0000FF"/>
        </w:rPr>
        <w:t>7.18</w:t>
      </w:r>
      <w:r>
        <w:rPr>
          <w:rFonts w:ascii="Arial" w:cs="Arial" w:eastAsia="Arial" w:hAnsi="Arial"/>
          <w:sz w:val="18"/>
          <w:szCs w:val="18"/>
          <w:b w:val="1"/>
          <w:bCs w:val="1"/>
          <w:color w:val="FF0000"/>
        </w:rPr>
        <w:t xml:space="preserve"> </w:t>
      </w:r>
      <w:r>
        <w:rPr>
          <w:rFonts w:ascii="Arial" w:cs="Arial" w:eastAsia="Arial" w:hAnsi="Arial"/>
          <w:sz w:val="18"/>
          <w:szCs w:val="18"/>
          <w:color w:val="000000"/>
        </w:rPr>
        <w:t>Sales and Lease-Backs. Become or remain liable as lessee or as a guarantor or other surety with respect to any lease of any property</w:t>
      </w:r>
      <w:r>
        <w:rPr>
          <w:rFonts w:ascii="Arial" w:cs="Arial" w:eastAsia="Arial" w:hAnsi="Arial"/>
          <w:sz w:val="18"/>
          <w:szCs w:val="18"/>
          <w:b w:val="1"/>
          <w:bCs w:val="1"/>
          <w:color w:val="FF0000"/>
        </w:rPr>
        <w:t xml:space="preserve"> </w:t>
      </w:r>
      <w:r>
        <w:rPr>
          <w:rFonts w:ascii="Arial" w:cs="Arial" w:eastAsia="Arial" w:hAnsi="Arial"/>
          <w:sz w:val="18"/>
          <w:szCs w:val="18"/>
          <w:color w:val="000000"/>
        </w:rPr>
        <w:t>(whether real, personal or mixed), whether now owned or hereafter acquired, which the Borrower or such Company Group Party has sold or transferred or is to sell or to transfer to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-313055</wp:posOffset>
            </wp:positionV>
            <wp:extent cx="124396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43965" cy="8890"/>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u w:val="single" w:color="auto"/>
          <w:color w:val="FF0000"/>
          <w:strike w:val="1"/>
        </w:rPr>
        <w:t>7.20</w:t>
      </w:r>
      <w:r>
        <w:rPr>
          <w:rFonts w:ascii="Arial" w:cs="Arial" w:eastAsia="Arial" w:hAnsi="Arial"/>
          <w:sz w:val="18"/>
          <w:szCs w:val="18"/>
          <w:b w:val="1"/>
          <w:bCs w:val="1"/>
          <w:u w:val="single" w:color="auto"/>
          <w:color w:val="0000FF"/>
        </w:rPr>
        <w:t>7.19</w:t>
      </w:r>
      <w:r>
        <w:rPr>
          <w:rFonts w:ascii="Arial" w:cs="Arial" w:eastAsia="Arial" w:hAnsi="Arial"/>
          <w:sz w:val="18"/>
          <w:szCs w:val="18"/>
          <w:b w:val="1"/>
          <w:bCs w:val="1"/>
          <w:color w:val="FF0000"/>
        </w:rPr>
        <w:t xml:space="preserve"> </w:t>
      </w:r>
      <w:r>
        <w:rPr>
          <w:rFonts w:ascii="Arial" w:cs="Arial" w:eastAsia="Arial" w:hAnsi="Arial"/>
          <w:sz w:val="18"/>
          <w:szCs w:val="18"/>
          <w:color w:val="000000"/>
        </w:rPr>
        <w:t>Permitted Tax Equity Credit Support. Enter into any indemnification, guarantee or other credit support agreement in respect of any tax</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equity financing, or incur any obligations or make any payments thereunder or in connection therewith, other than pursuant to Permitted Guarantees (it being understood that Holdings may enter into Holdings Tax Equity Credit Support and make Holdings Tax Equity Payments pursuant to clause (i) of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FF0000"/>
          <w:strike w:val="1"/>
        </w:rPr>
        <w:t>7.17</w:t>
      </w:r>
      <w:r>
        <w:rPr>
          <w:rFonts w:ascii="Arial" w:cs="Arial" w:eastAsia="Arial" w:hAnsi="Arial"/>
          <w:sz w:val="18"/>
          <w:szCs w:val="18"/>
          <w:b w:val="1"/>
          <w:bCs w:val="1"/>
          <w:u w:val="single" w:color="auto"/>
          <w:color w:val="0000FF"/>
        </w:rPr>
        <w:t>7.16</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-448310</wp:posOffset>
            </wp:positionV>
            <wp:extent cx="18497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 AND REMEDIES</w:t>
      </w:r>
    </w:p>
    <w:p>
      <w:pPr>
        <w:spacing w:after="0" w:line="2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Any of the following shall constitute an Event of Default:</w:t>
      </w:r>
    </w:p>
    <w:p>
      <w:pPr>
        <w:spacing w:after="0" w:line="225" w:lineRule="exact"/>
        <w:rPr>
          <w:sz w:val="20"/>
          <w:szCs w:val="20"/>
          <w:color w:val="auto"/>
        </w:rPr>
      </w:pPr>
    </w:p>
    <w:p>
      <w:pPr>
        <w:jc w:val="both"/>
        <w:ind w:firstLine="1304"/>
        <w:spacing w:after="0" w:line="259" w:lineRule="auto"/>
        <w:tabs>
          <w:tab w:leader="none" w:pos="2022"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(i) pay when and as required to be paid herein, any amount of principal of any Loan or any L/C Obligation consisting of reimbursement of draws under a Letter of Credit, or (ii) pay within five (5) Business Days after the same becomes due any interest on any Loan or on any L/C Obligation or any fee due hereunder, or (iii) pay within five (5) Business Days after the same becomes due, any other amount payable hereunder or under any other Loan Document; or</w:t>
      </w:r>
    </w:p>
    <w:p>
      <w:pPr>
        <w:spacing w:after="0" w:line="186" w:lineRule="exact"/>
        <w:rPr>
          <w:rFonts w:ascii="Arial" w:cs="Arial" w:eastAsia="Arial" w:hAnsi="Arial"/>
          <w:sz w:val="18"/>
          <w:szCs w:val="18"/>
          <w:color w:val="auto"/>
        </w:rPr>
      </w:pPr>
    </w:p>
    <w:p>
      <w:pPr>
        <w:ind w:firstLine="1304"/>
        <w:spacing w:after="0" w:line="277" w:lineRule="auto"/>
        <w:tabs>
          <w:tab w:leader="none" w:pos="1910"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 fails to perform or observe any term, covenant or agreement contained in any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Other Defaults</w:t>
      </w:r>
      <w:r>
        <w:rPr>
          <w:rFonts w:ascii="Arial" w:cs="Arial" w:eastAsia="Arial" w:hAnsi="Arial"/>
          <w:sz w:val="16"/>
          <w:szCs w:val="16"/>
          <w:color w:val="auto"/>
        </w:rPr>
        <w:t xml:space="preserve">. Any Loan Party fails to perform or observe any other covenant or agreement (not specified in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ind w:right="20" w:firstLine="8"/>
        <w:spacing w:after="0" w:line="260" w:lineRule="auto"/>
        <w:tabs>
          <w:tab w:leader="none" w:pos="274" w:val="left"/>
        </w:tabs>
        <w:numPr>
          <w:ilvl w:val="0"/>
          <w:numId w:val="171"/>
        </w:numPr>
        <w:rPr>
          <w:rFonts w:ascii="Arial" w:cs="Arial" w:eastAsia="Arial" w:hAnsi="Arial"/>
          <w:sz w:val="18"/>
          <w:szCs w:val="18"/>
          <w:u w:val="single" w:color="auto"/>
          <w:color w:val="auto"/>
        </w:rPr>
      </w:pPr>
      <w:r>
        <w:rPr>
          <w:rFonts w:ascii="Arial" w:cs="Arial" w:eastAsia="Arial" w:hAnsi="Arial"/>
          <w:sz w:val="18"/>
          <w:szCs w:val="18"/>
          <w:color w:val="auto"/>
        </w:rPr>
        <w:t>above) contained in any Loan Document on its part to be performed or observed and such failure continues for 45 days after written notice by the Administrative Agent or any Lender to the Borrower; or</w:t>
      </w:r>
    </w:p>
    <w:p>
      <w:pPr>
        <w:spacing w:after="0" w:line="185" w:lineRule="exact"/>
        <w:rPr>
          <w:rFonts w:ascii="Arial" w:cs="Arial" w:eastAsia="Arial" w:hAnsi="Arial"/>
          <w:sz w:val="18"/>
          <w:szCs w:val="18"/>
          <w:u w:val="single" w:color="auto"/>
          <w:color w:val="auto"/>
        </w:rPr>
      </w:pPr>
    </w:p>
    <w:p>
      <w:pPr>
        <w:jc w:val="both"/>
        <w:ind w:firstLine="1304"/>
        <w:spacing w:after="0" w:line="263" w:lineRule="auto"/>
        <w:tabs>
          <w:tab w:leader="none" w:pos="2072"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or certification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8" w:name="page179"/>
    <w:bookmarkEnd w:id="178"/>
    <w:p>
      <w:pPr>
        <w:ind w:left="1900" w:hanging="596"/>
        <w:spacing w:after="0"/>
        <w:tabs>
          <w:tab w:leader="none" w:pos="190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27"/>
        <w:spacing w:after="0" w:line="285" w:lineRule="auto"/>
        <w:tabs>
          <w:tab w:leader="none" w:pos="249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Any Loan Party, Company Group Party or Material Project Company (A) fails to make any payment when due (whether by scheduled maturity, required prepayment, acceleration, demand, or otherwise), after giving effect to any grace, waiver and any cure periods, in respect of any Indebtedness or Guarantee (other than Indebtedness hereunder and Indebtedness under Swap Contracts) (x) in the case of any Loan Party or Company Group Party, having an aggregate principal amount then outstanding (excluding, for the avoidance of doubt, any undrawn commitments) of more than the Threshold Amount and (y) in the case of (1) any Project Company that, individually or together with any other Project Company that is in default under any of its Indebtedness or Guarantees or that is then the subject of an event described in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made Restricted Payments, directly or indirectly through Company Group Parties or otherwise, to the Borrower in an amount equal to or greater than 30% of the Distributed Cash during the most recently completed Measurement Period (any such Project Company, a “</w:t>
      </w:r>
      <w:r>
        <w:rPr>
          <w:rFonts w:ascii="Arial" w:cs="Arial" w:eastAsia="Arial" w:hAnsi="Arial"/>
          <w:sz w:val="16"/>
          <w:szCs w:val="16"/>
          <w:u w:val="single" w:color="auto"/>
          <w:color w:val="auto"/>
        </w:rPr>
        <w:t>Material Project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or (2) any Company Group Party that is not a Loan Party, the terms of which Indebtedness or Guarantee prohibit such Person from making Restricted Payments as a result thereof, or (B) fails to observe or perform any other agreement or condition relating to any such Indebtedness or Guarantee or contained in any instrument or agreement evidencing, securing or relating thereto, or any other event occurs, the effect of which event of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spacing w:after="0" w:line="176" w:lineRule="exact"/>
        <w:rPr>
          <w:rFonts w:ascii="Arial" w:cs="Arial" w:eastAsia="Arial" w:hAnsi="Arial"/>
          <w:sz w:val="16"/>
          <w:szCs w:val="16"/>
          <w:color w:val="auto"/>
        </w:rPr>
      </w:pPr>
    </w:p>
    <w:p>
      <w:pPr>
        <w:jc w:val="both"/>
        <w:ind w:left="660" w:firstLine="1227"/>
        <w:spacing w:after="0" w:line="272" w:lineRule="auto"/>
        <w:tabs>
          <w:tab w:leader="none" w:pos="2512"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there occurs under any Swap Contract an Early Termination Date (as defined in such Swap Contract) resulting from (A) any event of default under such Swap Contract as to which a Loan Party, Company Group Party or Material Project Company is the Defaulting Party (as defined in such Swap Contract) or (B) any Termination Event (as so defined) under such Swap Contract as to which a Loan Party, Company Group Party or Material Project Company is an Affected Party (as so defined) and, in either event, (x) in the case of any Loan Party, the Swap Termination Value (after giving effect to any netting arrangements) owed by such Loan Party as a result thereof is greater than the Threshold Amount and (y) in the case of any Company Group Party that is not a Loan Party or Material Project Company, the terms of such Swap Contract prohibit such Person from making Restricted Payments as a result thereof;</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shall result under this clause (e) from an event or circumstance limited to a Material Project Company unless, as result thereof and giving pro forma effect thereto, the Borrower would be in violation of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(such calculation to be done on the basis of the financial information most recently delivered to the Administrative Agent and the Lenders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or</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9" w:name="page180"/>
    <w:bookmarkEnd w:id="179"/>
    <w:p>
      <w:pPr>
        <w:jc w:val="both"/>
        <w:ind w:firstLine="1304"/>
        <w:spacing w:after="0" w:line="253" w:lineRule="auto"/>
        <w:tabs>
          <w:tab w:leader="none" w:pos="2173"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Holdings, the Borrower, any Material Company Group Party, any group of Company Group Parties that, taken together, would constitute a Material Company Group Party, or any Material Project Company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shall result under this clause (f) from an event or circumstance limited to a Material Project Company unless, as result thereof and giving pro forma effect thereto, the Borrower would be in violation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calculation to be done on the basis of the financial information most recently delivered to the Administrative Agent and the Lenders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or</w:t>
      </w:r>
    </w:p>
    <w:p>
      <w:pPr>
        <w:spacing w:after="0" w:line="191" w:lineRule="exact"/>
        <w:rPr>
          <w:rFonts w:ascii="Arial" w:cs="Arial" w:eastAsia="Arial" w:hAnsi="Arial"/>
          <w:sz w:val="18"/>
          <w:szCs w:val="18"/>
          <w:color w:val="auto"/>
        </w:rPr>
      </w:pPr>
    </w:p>
    <w:p>
      <w:pPr>
        <w:jc w:val="both"/>
        <w:ind w:firstLine="1304"/>
        <w:spacing w:after="0" w:line="272" w:lineRule="auto"/>
        <w:tabs>
          <w:tab w:leader="none" w:pos="2077"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xml:space="preserve">. (i) Holdings, the Borrower, any Material Company Group Party, any group of Company Group Parties that, taken together, would constitute a Material Company Group Party, or any Material Project Company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45 days after its issue or levy;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shall result under this clause (g) from an event or circumstance limited to a Material Project Company unless, as result thereof and giving pro forma effect thereto, the Borrower would be in violation of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(such calculation to be done on the basis of the financial information most recently delivered to the Administrative Agent and the Lenders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or</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201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There is entered against any Loan Party or Company Group Party (i) one or more final judgments or orders for the payment of money in an aggregate amount (as to all such judgments and orders) exceeding the Threshold Amount (to the extent not covered by independent third-party insurance, which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2001"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If a Material Adverse Effect would result as a result thereof: (i) an ERISA Event occurs with respect to a Pension Plan or Multiemployer Plan, or (ii) the Borrower or any ERISA Affiliate fails to pay when due, after the expiration of any applicable grace period, any installment payment with respect to its withdrawal liability under Section 4201 of ERISA under a Multiemployer Plan; or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0" w:name="page181"/>
    <w:bookmarkEnd w:id="180"/>
    <w:p>
      <w:pPr>
        <w:jc w:val="both"/>
        <w:ind w:firstLine="1304"/>
        <w:spacing w:after="0" w:line="255" w:lineRule="auto"/>
        <w:tabs>
          <w:tab w:leader="none" w:pos="2014"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xml:space="preserve">. Any material provision of any Loan Document, at any time after its execution and delivery and for any reason other than as expressly permitted hereunder or thereunder, or the satisfaction in full of all the Obligations (other than Contingent Obligations as to which no claim has been made), ceases to be in full force and effect; or any Loan Party or any Affiliate thereof that is the </w:t>
      </w:r>
      <w:r>
        <w:rPr>
          <w:rFonts w:ascii="Arial" w:cs="Arial" w:eastAsia="Arial" w:hAnsi="Arial"/>
          <w:sz w:val="18"/>
          <w:szCs w:val="18"/>
          <w:b w:val="1"/>
          <w:bCs w:val="1"/>
          <w:color w:val="FF0000"/>
          <w:strike w:val="1"/>
        </w:rPr>
        <w:t>Equity Investor</w:t>
      </w:r>
      <w:r>
        <w:rPr>
          <w:rFonts w:ascii="Arial" w:cs="Arial" w:eastAsia="Arial" w:hAnsi="Arial"/>
          <w:sz w:val="18"/>
          <w:szCs w:val="18"/>
          <w:b w:val="1"/>
          <w:bCs w:val="1"/>
          <w:u w:val="single" w:color="auto"/>
          <w:color w:val="0000FF"/>
        </w:rPr>
        <w:t>Sponsor</w:t>
      </w:r>
      <w:r>
        <w:rPr>
          <w:rFonts w:ascii="Arial" w:cs="Arial" w:eastAsia="Arial" w:hAnsi="Arial"/>
          <w:sz w:val="18"/>
          <w:szCs w:val="18"/>
          <w:color w:val="auto"/>
        </w:rPr>
        <w:t xml:space="preserve"> or a Subsidiary of the </w:t>
      </w:r>
      <w:r>
        <w:rPr>
          <w:rFonts w:ascii="Arial" w:cs="Arial" w:eastAsia="Arial" w:hAnsi="Arial"/>
          <w:sz w:val="18"/>
          <w:szCs w:val="18"/>
          <w:b w:val="1"/>
          <w:bCs w:val="1"/>
          <w:color w:val="FF0000"/>
          <w:strike w:val="1"/>
        </w:rPr>
        <w:t>Equity Investor</w:t>
      </w:r>
      <w:r>
        <w:rPr>
          <w:rFonts w:ascii="Arial" w:cs="Arial" w:eastAsia="Arial" w:hAnsi="Arial"/>
          <w:sz w:val="18"/>
          <w:szCs w:val="18"/>
          <w:b w:val="1"/>
          <w:bCs w:val="1"/>
          <w:u w:val="single" w:color="auto"/>
          <w:color w:val="0000FF"/>
        </w:rPr>
        <w:t>Sponsor</w:t>
      </w:r>
      <w:r>
        <w:rPr>
          <w:rFonts w:ascii="Arial" w:cs="Arial" w:eastAsia="Arial" w:hAnsi="Arial"/>
          <w:sz w:val="18"/>
          <w:szCs w:val="18"/>
          <w:color w:val="auto"/>
        </w:rPr>
        <w:t xml:space="preserve"> contests in any manner the validity or enforceability of any material provision of any Loan Document; or any Loan Party denies in writing that it has any or further liability or obligation under any provision of any Loan Document, or purports to revoke, terminate or rescind any provision of any Loan Document; or</w:t>
      </w:r>
    </w:p>
    <w:p>
      <w:pPr>
        <w:spacing w:after="0" w:line="192" w:lineRule="exact"/>
        <w:rPr>
          <w:rFonts w:ascii="Arial" w:cs="Arial" w:eastAsia="Arial" w:hAnsi="Arial"/>
          <w:sz w:val="18"/>
          <w:szCs w:val="18"/>
          <w:color w:val="auto"/>
        </w:rPr>
      </w:pPr>
    </w:p>
    <w:p>
      <w:pPr>
        <w:ind w:left="1960" w:hanging="656"/>
        <w:spacing w:after="0"/>
        <w:tabs>
          <w:tab w:leader="none" w:pos="196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2109"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shall for any reason (other than pursuant to the terms hereof or thereof) cease to create a valid and perfected (subject to Section 4.7(b) of the Security Agreement in the case of IP Rights) first priority Lien (subject to Permitted Prior Liens) on any material portion of the Collateral purported to be covered thereby, in each case for any reason other than the Administrative Agent’s failure to maintain possession of any equity certificates or other instruments delivered to it under the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clause (l), all or any portion of the Pledged Equity shall be deemed to be a material portion of the Collateral.</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in the event that the Borrower fails to comply with the requirements of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until the expiration of the tenth day subsequent to the date the certificate calculating such compliance is required to be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(the period from such failure to comply to such tenth day, the “</w:t>
      </w:r>
      <w:r>
        <w:rPr>
          <w:rFonts w:ascii="Arial" w:cs="Arial" w:eastAsia="Arial" w:hAnsi="Arial"/>
          <w:sz w:val="17"/>
          <w:szCs w:val="17"/>
          <w:u w:val="single" w:color="auto"/>
          <w:color w:val="auto"/>
        </w:rPr>
        <w:t>Cure Period</w:t>
      </w:r>
      <w:r>
        <w:rPr>
          <w:rFonts w:ascii="Arial" w:cs="Arial" w:eastAsia="Arial" w:hAnsi="Arial"/>
          <w:sz w:val="17"/>
          <w:szCs w:val="17"/>
          <w:color w:val="auto"/>
        </w:rPr>
        <w:t>”), the Borrower shall have the right to issue Permitted Cure Securities for cash or otherwise receive cash contributions to the capital of the Borrower (collectively, the “</w:t>
      </w:r>
      <w:r>
        <w:rPr>
          <w:rFonts w:ascii="Arial" w:cs="Arial" w:eastAsia="Arial" w:hAnsi="Arial"/>
          <w:sz w:val="17"/>
          <w:szCs w:val="17"/>
          <w:u w:val="single" w:color="auto"/>
          <w:color w:val="auto"/>
        </w:rPr>
        <w:t>Cure Right</w:t>
      </w:r>
      <w:r>
        <w:rPr>
          <w:rFonts w:ascii="Arial" w:cs="Arial" w:eastAsia="Arial" w:hAnsi="Arial"/>
          <w:sz w:val="17"/>
          <w:szCs w:val="17"/>
          <w:color w:val="auto"/>
        </w:rPr>
        <w:t>”), and upon the receipt by the Borrower of such cash (the “</w:t>
      </w:r>
      <w:r>
        <w:rPr>
          <w:rFonts w:ascii="Arial" w:cs="Arial" w:eastAsia="Arial" w:hAnsi="Arial"/>
          <w:sz w:val="17"/>
          <w:szCs w:val="17"/>
          <w:u w:val="single" w:color="auto"/>
          <w:color w:val="auto"/>
        </w:rPr>
        <w:t>Cure Amount</w:t>
      </w:r>
      <w:r>
        <w:rPr>
          <w:rFonts w:ascii="Arial" w:cs="Arial" w:eastAsia="Arial" w:hAnsi="Arial"/>
          <w:sz w:val="17"/>
          <w:szCs w:val="17"/>
          <w:color w:val="auto"/>
        </w:rPr>
        <w:t xml:space="preserve">”) pursuant to the exercise by the Borrower of such Cure Right compliance with the covenants set forth in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shall be recalculated giving effect to the following pro forma adjustments:</w:t>
      </w:r>
    </w:p>
    <w:p>
      <w:pPr>
        <w:spacing w:after="0" w:line="178" w:lineRule="exact"/>
        <w:rPr>
          <w:sz w:val="20"/>
          <w:szCs w:val="20"/>
          <w:color w:val="auto"/>
        </w:rPr>
      </w:pPr>
    </w:p>
    <w:p>
      <w:pPr>
        <w:ind w:left="660" w:right="20" w:firstLine="644"/>
        <w:spacing w:after="0" w:line="277" w:lineRule="auto"/>
        <w:tabs>
          <w:tab w:leader="none" w:pos="19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Borrower Cash Flow shall be increased, solely for the purpose of measuring compliance with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and not for any other purpose under this Agreement, by an amount equal to the Cure Amount; and</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2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if, after giving effect to the foregoing recalculations, the Borrower shall then be in compliance with the requirements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the Borrower shall be deemed to have satisfied the requirements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relevant date of determination with the same effect as though there had been no failure to comply therewith at such date, and the applicable breach or default of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that had occurred shall be deemed cured for the purposes of this Agreement.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Notwithstanding anything herein to the contrary, (a) in each two-fiscal-quarter period there shall be at least one fiscal quarter in which the Cure Right is not exercised, (b) in each eight-fiscal-quarter period, there shall be a period of at least four consecutive fiscal quarters during which the Cure Right is not exercised, (c) the Cure Amount shall be no greater than the amount required for purposes of complying with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relevant date of determination and (d) no more than five (5) Cure Rights may be exercised in the aggregate.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1" w:name="page182"/>
    <w:bookmarkEnd w:id="181"/>
    <w:p>
      <w:pPr>
        <w:jc w:val="both"/>
        <w:ind w:firstLine="648"/>
        <w:spacing w:after="0" w:line="279" w:lineRule="auto"/>
        <w:rPr>
          <w:sz w:val="20"/>
          <w:szCs w:val="20"/>
          <w:color w:val="auto"/>
        </w:rPr>
      </w:pPr>
      <w:r>
        <w:rPr>
          <w:rFonts w:ascii="Arial" w:cs="Arial" w:eastAsia="Arial" w:hAnsi="Arial"/>
          <w:sz w:val="17"/>
          <w:szCs w:val="17"/>
          <w:color w:val="auto"/>
        </w:rPr>
        <w:t>8.02 Remedies upon Event of Default. If any Event of Default occurs and is continuing, the Administrative Agent shall, at the request of, or may, with the consent of, the Required Lenders (or, in the case of clause 8.02(a) and (c) below, (x) the Required Revolving Credit Lenders with respect to Revolving Credit Commitments and (y) each L/C Issuer, with respect to the obligations of such L/C Issuer to make L/C Credit Extensions and the requirement to Cash Collateralize L/C Obligations in respect of Letters of Credit issued by it), take any or all of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-455930</wp:posOffset>
            </wp:positionV>
            <wp:extent cx="19773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77390" cy="8255"/>
                    </a:xfrm>
                    <a:prstGeom prst="rect">
                      <a:avLst/>
                    </a:prstGeom>
                    <a:noFill/>
                  </pic:spPr>
                </pic:pic>
              </a:graphicData>
            </a:graphic>
          </wp:anchor>
        </w:drawing>
      </w:r>
    </w:p>
    <w:p>
      <w:pPr>
        <w:spacing w:after="0" w:line="151" w:lineRule="exact"/>
        <w:rPr>
          <w:sz w:val="20"/>
          <w:szCs w:val="20"/>
          <w:color w:val="auto"/>
        </w:rPr>
      </w:pPr>
    </w:p>
    <w:p>
      <w:pPr>
        <w:ind w:firstLine="1304"/>
        <w:spacing w:after="0" w:line="277" w:lineRule="auto"/>
        <w:tabs>
          <w:tab w:leader="none" w:pos="1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each L/C Issuer to make L/C Credit Extensions to be terminated, whereupon such commitments and obligation shall be terminated;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5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require that the Borrower Cash Collateralize the L/C Obligations (in an amount equal to 103% of the then Outstanding Amount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 and</w:t>
      </w:r>
    </w:p>
    <w:p>
      <w:pPr>
        <w:spacing w:after="0" w:line="210" w:lineRule="exact"/>
        <w:rPr>
          <w:rFonts w:ascii="Arial" w:cs="Arial" w:eastAsia="Arial" w:hAnsi="Arial"/>
          <w:sz w:val="16"/>
          <w:szCs w:val="16"/>
          <w:color w:val="auto"/>
        </w:rPr>
      </w:pPr>
    </w:p>
    <w:p>
      <w:pPr>
        <w:ind w:firstLine="1304"/>
        <w:spacing w:after="0" w:line="277" w:lineRule="auto"/>
        <w:tabs>
          <w:tab w:leader="none" w:pos="205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Issuers all rights and remedies available to it, the Lenders and the L/C Issuers under the Loan Documents or at law or in equity;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an Event of Default set forth in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with respect to any Loan Party under the Bankruptcy Code,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or L/C Issuer.</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8.03 Application of Funds. After the exercise of remedies provided for in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any other Loan Document (or after the Loans have automatically become 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 8.02</w:t>
      </w:r>
      <w:r>
        <w:rPr>
          <w:rFonts w:ascii="Arial" w:cs="Arial" w:eastAsia="Arial" w:hAnsi="Arial"/>
          <w:sz w:val="16"/>
          <w:szCs w:val="16"/>
          <w:color w:val="auto"/>
        </w:rPr>
        <w:t>), any amounts received on account of the Obligations shall be applied by the Administrative Agent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-332740</wp:posOffset>
            </wp:positionV>
            <wp:extent cx="14274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2" w:name="page183"/>
    <w:bookmarkEnd w:id="182"/>
    <w:p>
      <w:pPr>
        <w:jc w:val="both"/>
        <w:ind w:firstLine="648"/>
        <w:spacing w:after="0" w:line="263"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Issuers,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the Administrative Agent for the account of the L/C Issuers, to Cash Collateralize at 103% of the Outstanding Amount thereof that portion of L/C Obligations comprised of the aggregate undrawn amount of Letters of Credit; and</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 or as otherwise required by Law.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amounts used to Cash Collateralize the aggregate undrawn amount of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and any other Cash Collateral provided in respect of L/C Obligations in accordance with the terms of this Agreement shall be applied to satisfy drawings under such Letters of Credit and other Obligations owing to the applicable L/C Issuer in respect of Letters of Credit issued by it as they occur. If any amount remains on deposit as Cash Collateral after all Letters of Credit have either been fully drawn or expired, such remaining amount shall be applied to the other Obligations, if any, in the order set forth above.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ADMINISTRATIVE AGENT</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9.01 Appointment and Authority. (xix) Each of the Lenders and each L/C Issuer hereby irrevocably appoints JPMorgan to act on its behalf as the Administrative Agent hereunder and under the other Loan Documents and authorizes the Administrative Agent to take such actions on its behalf and to exercise such powers, rights and remedies as are delegated to the Administrative Agent by the terms hereof or thereof, together with such actions, powers, rights and remedies as are reasonably incidental thereto. The provisions of this Article are solely for the benefit of the Administrative Agent, the Lenders and the L/C Issuers, and neither the Borrower nor any other Loan Party shall have rights as a third party beneficiary of any of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-863600</wp:posOffset>
            </wp:positionV>
            <wp:extent cx="17087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08785" cy="8255"/>
                    </a:xfrm>
                    <a:prstGeom prst="rect">
                      <a:avLst/>
                    </a:prstGeom>
                    <a:noFill/>
                  </pic:spPr>
                </pic:pic>
              </a:graphicData>
            </a:graphic>
          </wp:anchor>
        </w:drawing>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3" w:name="page184"/>
    <w:bookmarkEnd w:id="183"/>
    <w:p>
      <w:pPr>
        <w:jc w:val="both"/>
        <w:ind w:firstLine="1304"/>
        <w:spacing w:after="0" w:line="270" w:lineRule="auto"/>
        <w:tabs>
          <w:tab w:leader="none" w:pos="197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The Administrative Agent shall also act as the “collateral agent” under the Loan Documents, and each of the Lenders (including in its capacities as a potential Hedge Bank and a potential Cash Management Bank) and each of the L/C Issuers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11.04(c)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9.02 Rights as a Lender. The Person serving as the Administrative Agent hereunder shall have the same rights and powers in its capacity as a Lender and L/C Issuer, as applicable, as any other Lender or L/C Issuer and may exercise the same as though it were not the Administrative Agent and the term “Lender” or “Lenders” or “L/C Issuer” or “L/C Issuers”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of its Subsidiaries or other Affiliate thereof as if such Person were not the Administrative Agent hereunder and without any duty to account therefor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-852805</wp:posOffset>
            </wp:positionV>
            <wp:extent cx="13074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9.03 Exculpatory Provisions. The Administrative Agent shall not have any duties or obligations except those expressly set forth herein and in the other Loan Documents. In performing its functions and duties hereunder and under the other Loan Documents, the Administrative Agent is acting solely on behalf of the Lenders and the L/C Issuers (except in limited circumstances expressly provided for herein relating to the maintenance of the Register), and its duties are entirely mechanical and administrative in nature. Without limiting the generality of the foregoing,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-464820</wp:posOffset>
            </wp:positionV>
            <wp:extent cx="151511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pacing w:after="0" w:line="137" w:lineRule="exact"/>
        <w:rPr>
          <w:sz w:val="20"/>
          <w:szCs w:val="20"/>
          <w:color w:val="auto"/>
        </w:rPr>
      </w:pPr>
    </w:p>
    <w:p>
      <w:pPr>
        <w:jc w:val="both"/>
        <w:ind w:firstLine="1304"/>
        <w:spacing w:after="0" w:line="273" w:lineRule="auto"/>
        <w:tabs>
          <w:tab w:leader="none" w:pos="197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and L/C Issuer agrees that it will not assert any claim against the Administrative Agent based on an alleged breach of fiduciary duty by the Administrative Agent in connection with this Agreement and the transactions contemplated hereby;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4" w:name="page185"/>
    <w:bookmarkEnd w:id="184"/>
    <w:p>
      <w:pPr>
        <w:jc w:val="both"/>
        <w:ind w:firstLine="1304"/>
        <w:spacing w:after="0" w:line="269" w:lineRule="auto"/>
        <w:tabs>
          <w:tab w:leader="none" w:pos="206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unless the Administrative Agent receives an indemnification satisfactory to it from the Lenders and the L/C Issuers with respect to such action or that is contrary to any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Administrative Agent may seek clarification or direction from the Required Lenders prior to the exercise of any such instructed action and may refrain from acting until such clarification or direction has been provided;</w:t>
      </w:r>
    </w:p>
    <w:p>
      <w:pPr>
        <w:spacing w:after="0" w:line="185" w:lineRule="exact"/>
        <w:rPr>
          <w:rFonts w:ascii="Arial" w:cs="Arial" w:eastAsia="Arial" w:hAnsi="Arial"/>
          <w:sz w:val="17"/>
          <w:szCs w:val="17"/>
          <w:color w:val="auto"/>
        </w:rPr>
      </w:pPr>
    </w:p>
    <w:p>
      <w:pPr>
        <w:jc w:val="both"/>
        <w:ind w:firstLine="1304"/>
        <w:spacing w:after="0" w:line="263" w:lineRule="auto"/>
        <w:tabs>
          <w:tab w:leader="none" w:pos="195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00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11.01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w:t>
      </w:r>
      <w:r>
        <w:rPr>
          <w:rFonts w:ascii="Arial" w:cs="Arial" w:eastAsia="Arial" w:hAnsi="Arial"/>
          <w:sz w:val="17"/>
          <w:szCs w:val="17"/>
          <w:color w:val="auto"/>
        </w:rPr>
        <w:t>) or (ii) in the absence of its own gross negligence or willful misconduct;</w:t>
      </w:r>
    </w:p>
    <w:p>
      <w:pPr>
        <w:spacing w:after="0" w:line="165" w:lineRule="exact"/>
        <w:rPr>
          <w:rFonts w:ascii="Arial" w:cs="Arial" w:eastAsia="Arial" w:hAnsi="Arial"/>
          <w:sz w:val="17"/>
          <w:szCs w:val="17"/>
          <w:color w:val="auto"/>
        </w:rPr>
      </w:pPr>
    </w:p>
    <w:p>
      <w:pPr>
        <w:ind w:firstLine="1304"/>
        <w:spacing w:after="0" w:line="277" w:lineRule="auto"/>
        <w:tabs>
          <w:tab w:leader="none" w:pos="224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shall be deemed not to have knowledge of any Default unless and until notice describing such Default is given to the Administrative Agent by the Borrower, a Lender or an L/C Issuer;</w:t>
      </w:r>
    </w:p>
    <w:p>
      <w:pPr>
        <w:spacing w:after="0" w:line="170" w:lineRule="exact"/>
        <w:rPr>
          <w:rFonts w:ascii="Arial" w:cs="Arial" w:eastAsia="Arial" w:hAnsi="Arial"/>
          <w:sz w:val="18"/>
          <w:szCs w:val="18"/>
          <w:color w:val="auto"/>
        </w:rPr>
      </w:pPr>
    </w:p>
    <w:p>
      <w:pPr>
        <w:jc w:val="both"/>
        <w:ind w:firstLine="1304"/>
        <w:spacing w:after="0" w:line="287" w:lineRule="auto"/>
        <w:tabs>
          <w:tab w:leader="none" w:pos="198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herein, other than to confirm receipt of items expressly required to be delivered to the Administrative Agent or (vi) the creation, perfection or priority of Liens on the Collateral. Notwithstanding anything herein to the contrary, the Administrative Agent shall not be liable for, or be responsible for any loss, cost or expense suffered by the Borrower, any Subsidiary, any Lender or any L/C Issuer as a result of, any determination of the Total Revolving Credit Outstandings, any of the component amounts thereof or any portion thereof attributable to each Lender or L/C Issuer in the absence of its own gross negligence or willful misconduct (such absence to be presumed unless otherwise determined by a court of competent jurisdiction by a final and nonappealable judgment); and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5" w:name="page186"/>
    <w:bookmarkEnd w:id="185"/>
    <w:p>
      <w:pPr>
        <w:ind w:right="20" w:firstLine="1304"/>
        <w:spacing w:after="0" w:line="277" w:lineRule="auto"/>
        <w:tabs>
          <w:tab w:leader="none" w:pos="204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shall not be required by any provision in this Agreement or any Loan Document to account to any Lender for any sum or the profit element of any sum received by the Administrative Agent for its own account.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9.04 Reliance by Administrative Agent; Indemnification, Etc. The Administrative Agent shall not incur any liability (i) for any action taken or omitted to be taken by it in reliance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or (ii) in the absence of its own gross negligence or willful misconduct (such absence to be presumed unless otherwise determined by a court of competent jurisdiction by a final and nonappealable judgment).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-1548130</wp:posOffset>
            </wp:positionV>
            <wp:extent cx="29921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Without limiting the foregoing, the Administrative Agent (i) may treat the payee of any promissory note as its holder until such promissory note has been assigned in accordance with Section 11.06, (ii) may rely on the Register to the extent set forth in Section 11.06(c),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L/C Issuer and shall not be responsible to any Lender or L/C Issuer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L/C Issuer, may presume that such condition is satisfactory to such Lender or L/C Issuer unless the Administrative Agent shall have received notice to the contrary from such Lender or L/C Issuer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6" w:name="page187"/>
    <w:bookmarkEnd w:id="186"/>
    <w:p>
      <w:pPr>
        <w:jc w:val="both"/>
        <w:ind w:firstLine="648"/>
        <w:spacing w:after="0" w:line="272" w:lineRule="auto"/>
        <w:rPr>
          <w:sz w:val="20"/>
          <w:szCs w:val="20"/>
          <w:color w:val="auto"/>
        </w:rPr>
      </w:pPr>
      <w:r>
        <w:rPr>
          <w:rFonts w:ascii="Arial" w:cs="Arial" w:eastAsia="Arial" w:hAnsi="Arial"/>
          <w:sz w:val="17"/>
          <w:szCs w:val="17"/>
          <w:color w:val="auto"/>
        </w:rPr>
        <w:t>9.05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-863600</wp:posOffset>
            </wp:positionV>
            <wp:extent cx="14204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20495" cy="8890"/>
                    </a:xfrm>
                    <a:prstGeom prst="rect">
                      <a:avLst/>
                    </a:prstGeom>
                    <a:noFill/>
                  </pic:spPr>
                </pic:pic>
              </a:graphicData>
            </a:graphic>
          </wp:anchor>
        </w:drawing>
      </w:r>
    </w:p>
    <w:p>
      <w:pPr>
        <w:spacing w:after="0" w:line="15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9.06 Resignation of Administrative Agent.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9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Section 11.04</w:t>
      </w:r>
      <w:r>
        <w:rPr>
          <w:rFonts w:ascii="Arial" w:cs="Arial" w:eastAsia="Arial" w:hAnsi="Arial"/>
          <w:sz w:val="16"/>
          <w:szCs w:val="16"/>
          <w:u w:val="single" w:color="auto"/>
          <w:color w:val="auto"/>
        </w:rPr>
        <w:t>,</w:t>
      </w:r>
      <w:r>
        <w:rPr>
          <w:rFonts w:ascii="Arial" w:cs="Arial" w:eastAsia="Arial" w:hAnsi="Arial"/>
          <w:sz w:val="16"/>
          <w:szCs w:val="16"/>
          <w:color w:val="auto"/>
        </w:rPr>
        <w:t xml:space="preserve"> as well as all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-2643505</wp:posOffset>
            </wp:positionV>
            <wp:extent cx="21596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7" w:name="page188"/>
    <w:bookmarkEnd w:id="187"/>
    <w:p>
      <w:pPr>
        <w:jc w:val="both"/>
        <w:ind w:firstLine="648"/>
        <w:spacing w:after="0" w:line="255" w:lineRule="auto"/>
        <w:rPr>
          <w:sz w:val="20"/>
          <w:szCs w:val="20"/>
          <w:color w:val="auto"/>
        </w:rPr>
      </w:pPr>
      <w:r>
        <w:rPr>
          <w:rFonts w:ascii="Arial" w:cs="Arial" w:eastAsia="Arial" w:hAnsi="Arial"/>
          <w:sz w:val="18"/>
          <w:szCs w:val="18"/>
          <w:color w:val="auto"/>
        </w:rPr>
        <w:t>Any resignation by JPMorgan as Administrative Agent pursuant to this Section shall also constitute its resignation as an L/C Issuer. Upon the acceptance of a successor’s appointment as Administrative Agent hereunder, (i) such successor shall succeed to and become vested with all of the rights, powers, privileges and duties of the retiring L/C Issuer, (ii) the retiring L/C Issuer shall be discharged from all of its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9.07 Non-Reliance on Administrative Agent and Other Lenders.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-734695</wp:posOffset>
            </wp:positionV>
            <wp:extent cx="32092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9.08 No Other Duties, Etc. Anything herein to the contrary notwithstanding, none of the Arrangers listed on the cover page hereof or elsewhere herein shall have any powers, duties or responsibilities under this Agreement or any of the other Loan Documents, except in its capacity, as applicable, as the Administrative Agent, a Lender or an L/C Issuer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-311150</wp:posOffset>
            </wp:positionV>
            <wp:extent cx="15646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64640" cy="8255"/>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9.09 Administrative Agent May File Proofs of Claim.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-446405</wp:posOffset>
            </wp:positionV>
            <wp:extent cx="26892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167" w:lineRule="exact"/>
        <w:rPr>
          <w:sz w:val="20"/>
          <w:szCs w:val="20"/>
          <w:color w:val="auto"/>
        </w:rPr>
      </w:pPr>
    </w:p>
    <w:p>
      <w:pPr>
        <w:jc w:val="both"/>
        <w:ind w:firstLine="1304"/>
        <w:spacing w:after="0" w:line="296" w:lineRule="auto"/>
        <w:tabs>
          <w:tab w:leader="none" w:pos="214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6"/>
          <w:szCs w:val="16"/>
          <w:u w:val="single" w:color="auto"/>
          <w:color w:val="auto"/>
        </w:rPr>
        <w:t>Sections 2.03(i)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2.08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allowed in such judicial proceeding; and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8" w:name="page189"/>
    <w:bookmarkEnd w:id="188"/>
    <w:p>
      <w:pPr>
        <w:ind w:left="1960" w:hanging="656"/>
        <w:spacing w:after="0"/>
        <w:tabs>
          <w:tab w:leader="none" w:pos="19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or in any such proceeding. The Administrative Agent (upon the instruction of the Required Lenders) is authorized to credit bid any Obligation held by any Lender or any L/C Issuer on a pro rata basis in a proceeding under any Debtor Relief Law without the prior consent of such Lender or such L/C Issuer, as applicable.</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9.10 Collateral Matters. Except with respect to the exercise of setoff rights in accordance with Section 11.08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Each of the Lenders (including in its capacities as a potential Cash Management Bank and a potential Hedge Bank) and each of the L/C Issuers irrevocably authorize the Administrative Agent, at its option and in its discretion, to release any Lien on any property granted to or held by the Administrative Agent under any Loan Document (i) upon the Discharge of the Secured Obligations, (ii) that is sold or as part of or in connection with any sale permitted hereunder or under any other Loan Document, or (iii) if approved, authorized or ratified in writing in accordance with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-1000125</wp:posOffset>
            </wp:positionV>
            <wp:extent cx="13138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Upon request by the Administrative Agent at any time, the Required Lenders will confirm in writing the Administrative Agent’s authority to release or subordinate its interest in particular types or items of property as set forth herein or in the Collateral Documents. In each case as specified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Arial" w:cs="Arial" w:eastAsia="Arial" w:hAnsi="Arial"/>
          <w:sz w:val="16"/>
          <w:szCs w:val="16"/>
          <w:u w:val="single" w:color="auto"/>
          <w:color w:val="auto"/>
        </w:rPr>
        <w:t>Section 9.10</w:t>
      </w:r>
      <w:r>
        <w:rPr>
          <w:rFonts w:ascii="Arial" w:cs="Arial" w:eastAsia="Arial" w:hAnsi="Arial"/>
          <w:sz w:val="16"/>
          <w:szCs w:val="16"/>
          <w:color w:val="auto"/>
        </w:rPr>
        <w: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9" w:name="page190"/>
    <w:bookmarkEnd w:id="189"/>
    <w:p>
      <w:pPr>
        <w:jc w:val="both"/>
        <w:ind w:firstLine="648"/>
        <w:spacing w:after="0" w:line="290" w:lineRule="auto"/>
        <w:rPr>
          <w:sz w:val="20"/>
          <w:szCs w:val="20"/>
          <w:color w:val="auto"/>
        </w:rPr>
      </w:pPr>
      <w:r>
        <w:rPr>
          <w:rFonts w:ascii="Arial" w:cs="Arial" w:eastAsia="Arial" w:hAnsi="Arial"/>
          <w:sz w:val="16"/>
          <w:szCs w:val="16"/>
          <w:color w:val="auto"/>
        </w:rPr>
        <w:t xml:space="preserve">9.11 Secured Cash Management Agreements and Secured Hedge Agreements. No Cash Management Bank or Hedge Bank that obtains the benefits of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-1008380</wp:posOffset>
            </wp:positionV>
            <wp:extent cx="38461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46195" cy="8890"/>
                    </a:xfrm>
                    <a:prstGeom prst="rect">
                      <a:avLst/>
                    </a:prstGeom>
                    <a:noFill/>
                  </pic:spPr>
                </pic:pic>
              </a:graphicData>
            </a:graphic>
          </wp:anchor>
        </w:drawing>
      </w:r>
    </w:p>
    <w:p>
      <w:pPr>
        <w:spacing w:after="0" w:line="14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u w:val="single" w:color="auto"/>
          <w:color w:val="auto"/>
        </w:rPr>
        <w:t>9.12</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9" w:lineRule="auto"/>
        <w:tabs>
          <w:tab w:leader="none" w:pos="197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Each Lender and L/C Issuer (x) represents and warrants, as of the date such Person became a Lender or L/C Issuer party hereto, to, and (y) covenants, from the date such Person became a Lender or L/C Issuer party hereto to the date such Person ceases being a Lender or L/C Issuer party hereto, for the benefit of, the Administrative Agent</w:t>
      </w:r>
      <w:r>
        <w:rPr>
          <w:rFonts w:ascii="Arial" w:cs="Arial" w:eastAsia="Arial" w:hAnsi="Arial"/>
          <w:sz w:val="17"/>
          <w:szCs w:val="17"/>
          <w:b w:val="1"/>
          <w:bCs w:val="1"/>
          <w:u w:val="single" w:color="auto"/>
          <w:color w:val="0000FF"/>
        </w:rPr>
        <w:t>, each Arranger</w:t>
      </w:r>
      <w:r>
        <w:rPr>
          <w:rFonts w:ascii="Arial" w:cs="Arial" w:eastAsia="Arial" w:hAnsi="Arial"/>
          <w:sz w:val="17"/>
          <w:szCs w:val="17"/>
          <w:color w:val="auto"/>
        </w:rPr>
        <w:t xml:space="preserve"> and </w:t>
      </w:r>
      <w:r>
        <w:rPr>
          <w:rFonts w:ascii="Arial" w:cs="Arial" w:eastAsia="Arial" w:hAnsi="Arial"/>
          <w:sz w:val="17"/>
          <w:szCs w:val="17"/>
          <w:b w:val="1"/>
          <w:bCs w:val="1"/>
          <w:color w:val="FF0000"/>
          <w:strike w:val="1"/>
        </w:rPr>
        <w:t>its</w:t>
      </w:r>
      <w:r>
        <w:rPr>
          <w:rFonts w:ascii="Arial" w:cs="Arial" w:eastAsia="Arial" w:hAnsi="Arial"/>
          <w:sz w:val="17"/>
          <w:szCs w:val="17"/>
          <w:b w:val="1"/>
          <w:bCs w:val="1"/>
          <w:u w:val="single" w:color="auto"/>
          <w:color w:val="0000FF"/>
        </w:rPr>
        <w:t>their</w:t>
      </w:r>
      <w:r>
        <w:rPr>
          <w:rFonts w:ascii="Arial" w:cs="Arial" w:eastAsia="Arial" w:hAnsi="Arial"/>
          <w:sz w:val="17"/>
          <w:szCs w:val="17"/>
          <w:color w:val="auto"/>
        </w:rPr>
        <w:t xml:space="preserve"> respective Affiliates, and not, for the avoidance of doubt, to or for the benefit of the Borrower or any other Loan Party, that at least one of the following is and will be true:</w:t>
      </w:r>
    </w:p>
    <w:p>
      <w:pPr>
        <w:spacing w:after="0" w:line="171" w:lineRule="exact"/>
        <w:rPr>
          <w:rFonts w:ascii="Arial" w:cs="Arial" w:eastAsia="Arial" w:hAnsi="Arial"/>
          <w:sz w:val="17"/>
          <w:szCs w:val="17"/>
          <w:color w:val="auto"/>
        </w:rPr>
      </w:pPr>
    </w:p>
    <w:p>
      <w:pPr>
        <w:ind w:left="660" w:firstLine="1292"/>
        <w:spacing w:after="0" w:line="277" w:lineRule="auto"/>
        <w:tabs>
          <w:tab w:leader="none" w:pos="260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such Lender or L/C Issuer is not using “plan assets” (within the meaning of the Plan Asset Regulations)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jc w:val="both"/>
        <w:ind w:left="660" w:firstLine="1292"/>
        <w:spacing w:after="0" w:line="272" w:lineRule="auto"/>
        <w:tabs>
          <w:tab w:leader="none" w:pos="2608"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or L/C Issuer’s entrance into, participation in, administration of and performance of the Loans, the Letters of Credit, the Commitments and this Agreement</w:t>
      </w:r>
      <w:r>
        <w:rPr>
          <w:rFonts w:ascii="Arial" w:cs="Arial" w:eastAsia="Arial" w:hAnsi="Arial"/>
          <w:sz w:val="17"/>
          <w:szCs w:val="17"/>
          <w:b w:val="1"/>
          <w:bCs w:val="1"/>
          <w:color w:val="FF0000"/>
          <w:strike w:val="1"/>
        </w:rPr>
        <w:t>, and the conditions for exemptive</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relief thereunder are and will continue to be satisfied in connection therewith</w:t>
      </w:r>
      <w:r>
        <w:rPr>
          <w:rFonts w:ascii="Arial" w:cs="Arial" w:eastAsia="Arial" w:hAnsi="Arial"/>
          <w:sz w:val="17"/>
          <w:szCs w:val="17"/>
          <w:color w:val="000000"/>
        </w:rPr>
        <w:t>;</w:t>
      </w:r>
    </w:p>
    <w:p>
      <w:pPr>
        <w:spacing w:after="0" w:line="177" w:lineRule="exact"/>
        <w:rPr>
          <w:rFonts w:ascii="Arial" w:cs="Arial" w:eastAsia="Arial" w:hAnsi="Arial"/>
          <w:sz w:val="17"/>
          <w:szCs w:val="17"/>
          <w:color w:val="auto"/>
        </w:rPr>
      </w:pPr>
    </w:p>
    <w:p>
      <w:pPr>
        <w:jc w:val="both"/>
        <w:ind w:left="660" w:firstLine="1292"/>
        <w:spacing w:after="0" w:line="271" w:lineRule="auto"/>
        <w:tabs>
          <w:tab w:leader="none" w:pos="2599" w:val="left"/>
        </w:tabs>
        <w:numPr>
          <w:ilvl w:val="1"/>
          <w:numId w:val="183"/>
        </w:numPr>
        <w:rPr>
          <w:rFonts w:ascii="Arial" w:cs="Arial" w:eastAsia="Arial" w:hAnsi="Arial"/>
          <w:sz w:val="17"/>
          <w:szCs w:val="17"/>
          <w:color w:val="auto"/>
        </w:rPr>
      </w:pPr>
      <w:r>
        <w:rPr>
          <w:rFonts w:ascii="Arial" w:cs="Arial" w:eastAsia="Arial" w:hAnsi="Arial"/>
          <w:sz w:val="17"/>
          <w:szCs w:val="17"/>
          <w:color w:val="auto"/>
        </w:rPr>
        <w:t xml:space="preserve">(A) such Lender or L/C Issuer is an investment fund managed by a “Qualified Professional Asset Manager” (within the meaning of Part VI of PTE 84-14), (B) such Qualified Professional Asset Manager made the investment decision on behalf of such Lender or L/C Issuer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or L/C Issuer, the requirements of subsection (a) of Part I of PTE 84-14 are satisfied with respect to such Lender’s or L/C Issuer’s entrance into, participation in, administration of and performance of the Loans, the Letters of Credit, the Commitments and this Agreement, </w:t>
      </w:r>
      <w:r>
        <w:rPr>
          <w:rFonts w:ascii="Arial" w:cs="Arial" w:eastAsia="Arial" w:hAnsi="Arial"/>
          <w:sz w:val="17"/>
          <w:szCs w:val="17"/>
          <w:b w:val="1"/>
          <w:bCs w:val="1"/>
          <w:u w:val="single" w:color="auto"/>
          <w:color w:val="0000FF"/>
        </w:rPr>
        <w:t>and the conditions for exemptive relief thereunder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are and will continue to be satisfied in connection therewith,</w:t>
      </w:r>
      <w:r>
        <w:rPr>
          <w:rFonts w:ascii="Arial" w:cs="Arial" w:eastAsia="Arial" w:hAnsi="Arial"/>
          <w:sz w:val="17"/>
          <w:szCs w:val="17"/>
          <w:b w:val="1"/>
          <w:bCs w:val="1"/>
          <w:color w:val="0000FF"/>
        </w:rPr>
        <w:t xml:space="preserve"> </w:t>
      </w:r>
      <w:r>
        <w:rPr>
          <w:rFonts w:ascii="Arial" w:cs="Arial" w:eastAsia="Arial" w:hAnsi="Arial"/>
          <w:sz w:val="17"/>
          <w:szCs w:val="17"/>
          <w:color w:val="000000"/>
        </w:rPr>
        <w:t>or</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0" w:name="page191"/>
    <w:bookmarkEnd w:id="190"/>
    <w:p>
      <w:pPr>
        <w:ind w:left="660" w:firstLine="1292"/>
        <w:spacing w:after="0" w:line="277" w:lineRule="auto"/>
        <w:tabs>
          <w:tab w:leader="none" w:pos="261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 or L/C Issuer.</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201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In addition, unless sub-clause (i) in the immediately preceding clause (a) is true with respect to a Lender or L/C Issuer or such Lender or L/C Issuer has </w:t>
      </w:r>
      <w:r>
        <w:rPr>
          <w:rFonts w:ascii="Arial" w:cs="Arial" w:eastAsia="Arial" w:hAnsi="Arial"/>
          <w:sz w:val="18"/>
          <w:szCs w:val="18"/>
          <w:b w:val="1"/>
          <w:bCs w:val="1"/>
          <w:color w:val="FF0000"/>
          <w:strike w:val="1"/>
        </w:rPr>
        <w:t>not</w:t>
      </w:r>
      <w:r>
        <w:rPr>
          <w:rFonts w:ascii="Arial" w:cs="Arial" w:eastAsia="Arial" w:hAnsi="Arial"/>
          <w:sz w:val="18"/>
          <w:szCs w:val="18"/>
          <w:color w:val="auto"/>
        </w:rPr>
        <w:t xml:space="preserve"> provided another representation, warranty and covenant as provided in sub-clause (iv) in the immediately preceding clause (a), such Lender or L/C Issuer further (x) represents and warrants, as of the date such Person became a Lender or L/C Issuer party hereto, to, and (y) covenants, from the date such Person became a Lender or L/C Issuer party hereto to the date such Person ceases being a Lender or L/C Issuer party hereto, for the benefit of, the Administrative Agent</w:t>
      </w:r>
      <w:r>
        <w:rPr>
          <w:rFonts w:ascii="Arial" w:cs="Arial" w:eastAsia="Arial" w:hAnsi="Arial"/>
          <w:sz w:val="18"/>
          <w:szCs w:val="18"/>
          <w:b w:val="1"/>
          <w:bCs w:val="1"/>
          <w:u w:val="single" w:color="auto"/>
          <w:color w:val="0000FF"/>
        </w:rPr>
        <w:t>, each Arranger</w:t>
      </w:r>
      <w:r>
        <w:rPr>
          <w:rFonts w:ascii="Arial" w:cs="Arial" w:eastAsia="Arial" w:hAnsi="Arial"/>
          <w:sz w:val="18"/>
          <w:szCs w:val="18"/>
          <w:color w:val="auto"/>
        </w:rPr>
        <w:t xml:space="preserve"> and </w:t>
      </w:r>
      <w:r>
        <w:rPr>
          <w:rFonts w:ascii="Arial" w:cs="Arial" w:eastAsia="Arial" w:hAnsi="Arial"/>
          <w:sz w:val="18"/>
          <w:szCs w:val="18"/>
          <w:b w:val="1"/>
          <w:bCs w:val="1"/>
          <w:color w:val="FF0000"/>
          <w:strike w:val="1"/>
        </w:rPr>
        <w:t>its</w:t>
      </w:r>
      <w:r>
        <w:rPr>
          <w:rFonts w:ascii="Arial" w:cs="Arial" w:eastAsia="Arial" w:hAnsi="Arial"/>
          <w:sz w:val="18"/>
          <w:szCs w:val="18"/>
          <w:b w:val="1"/>
          <w:bCs w:val="1"/>
          <w:u w:val="single" w:color="auto"/>
          <w:color w:val="0000FF"/>
        </w:rPr>
        <w:t>their</w:t>
      </w:r>
      <w:r>
        <w:rPr>
          <w:rFonts w:ascii="Arial" w:cs="Arial" w:eastAsia="Arial" w:hAnsi="Arial"/>
          <w:sz w:val="18"/>
          <w:szCs w:val="18"/>
          <w:color w:val="auto"/>
        </w:rPr>
        <w:t xml:space="preserve"> respective Affiliates, and not, for the avoidance of doubt, to or for the benefit of the Borrower or any other Loan Party, that</w:t>
      </w:r>
      <w:r>
        <w:rPr>
          <w:rFonts w:ascii="Arial" w:cs="Arial" w:eastAsia="Arial" w:hAnsi="Arial"/>
          <w:sz w:val="18"/>
          <w:szCs w:val="18"/>
          <w:b w:val="1"/>
          <w:bCs w:val="1"/>
          <w:color w:val="FF0000"/>
          <w:strike w:val="1"/>
        </w:rPr>
        <w:t>:</w:t>
      </w:r>
    </w:p>
    <w:p>
      <w:pPr>
        <w:spacing w:after="0" w:line="188" w:lineRule="exact"/>
        <w:rPr>
          <w:sz w:val="20"/>
          <w:szCs w:val="20"/>
          <w:color w:val="auto"/>
        </w:rPr>
      </w:pPr>
    </w:p>
    <w:p>
      <w:pPr>
        <w:jc w:val="both"/>
        <w:ind w:firstLine="1305"/>
        <w:spacing w:after="0" w:line="266" w:lineRule="auto"/>
        <w:tabs>
          <w:tab w:leader="none" w:pos="2164" w:val="left"/>
        </w:tabs>
        <w:numPr>
          <w:ilvl w:val="0"/>
          <w:numId w:val="186"/>
        </w:numPr>
        <w:rPr>
          <w:rFonts w:ascii="Arial" w:cs="Arial" w:eastAsia="Arial" w:hAnsi="Arial"/>
          <w:sz w:val="18"/>
          <w:szCs w:val="18"/>
          <w:b w:val="1"/>
          <w:bCs w:val="1"/>
          <w:color w:val="FF0000"/>
          <w:strike w:val="1"/>
        </w:rPr>
      </w:pPr>
      <w:r>
        <w:rPr>
          <w:rFonts w:ascii="Arial" w:cs="Arial" w:eastAsia="Arial" w:hAnsi="Arial"/>
          <w:sz w:val="18"/>
          <w:szCs w:val="18"/>
          <w:color w:val="auto"/>
        </w:rPr>
        <w:t>none of the Administrative Agent</w:t>
      </w:r>
      <w:r>
        <w:rPr>
          <w:rFonts w:ascii="Arial" w:cs="Arial" w:eastAsia="Arial" w:hAnsi="Arial"/>
          <w:sz w:val="18"/>
          <w:szCs w:val="18"/>
          <w:b w:val="1"/>
          <w:bCs w:val="1"/>
          <w:u w:val="single" w:color="auto"/>
          <w:color w:val="0000FF"/>
        </w:rPr>
        <w:t>, any Arranger</w:t>
      </w:r>
      <w:r>
        <w:rPr>
          <w:rFonts w:ascii="Arial" w:cs="Arial" w:eastAsia="Arial" w:hAnsi="Arial"/>
          <w:sz w:val="18"/>
          <w:szCs w:val="18"/>
          <w:color w:val="auto"/>
        </w:rPr>
        <w:t xml:space="preserve"> or any of </w:t>
      </w:r>
      <w:r>
        <w:rPr>
          <w:rFonts w:ascii="Arial" w:cs="Arial" w:eastAsia="Arial" w:hAnsi="Arial"/>
          <w:sz w:val="18"/>
          <w:szCs w:val="18"/>
          <w:b w:val="1"/>
          <w:bCs w:val="1"/>
          <w:color w:val="FF0000"/>
          <w:strike w:val="1"/>
        </w:rPr>
        <w:t>its</w:t>
      </w:r>
      <w:r>
        <w:rPr>
          <w:rFonts w:ascii="Arial" w:cs="Arial" w:eastAsia="Arial" w:hAnsi="Arial"/>
          <w:sz w:val="18"/>
          <w:szCs w:val="18"/>
          <w:b w:val="1"/>
          <w:bCs w:val="1"/>
          <w:u w:val="single" w:color="auto"/>
          <w:color w:val="0000FF"/>
        </w:rPr>
        <w:t>their</w:t>
      </w:r>
      <w:r>
        <w:rPr>
          <w:rFonts w:ascii="Arial" w:cs="Arial" w:eastAsia="Arial" w:hAnsi="Arial"/>
          <w:sz w:val="18"/>
          <w:szCs w:val="18"/>
          <w:color w:val="auto"/>
        </w:rPr>
        <w:t xml:space="preserve"> respective Affiliates is a fiduciary with respect to the </w:t>
      </w:r>
      <w:r>
        <w:rPr>
          <w:rFonts w:ascii="Arial" w:cs="Arial" w:eastAsia="Arial" w:hAnsi="Arial"/>
          <w:sz w:val="18"/>
          <w:szCs w:val="18"/>
          <w:b w:val="1"/>
          <w:bCs w:val="1"/>
          <w:u w:val="single" w:color="auto"/>
          <w:color w:val="0000FF"/>
        </w:rPr>
        <w:t>Collateral or the</w:t>
      </w:r>
      <w:r>
        <w:rPr>
          <w:rFonts w:ascii="Arial" w:cs="Arial" w:eastAsia="Arial" w:hAnsi="Arial"/>
          <w:sz w:val="18"/>
          <w:szCs w:val="18"/>
          <w:b w:val="1"/>
          <w:bCs w:val="1"/>
          <w:color w:val="0000FF"/>
        </w:rPr>
        <w:t xml:space="preserve"> </w:t>
      </w:r>
      <w:r>
        <w:rPr>
          <w:rFonts w:ascii="Arial" w:cs="Arial" w:eastAsia="Arial" w:hAnsi="Arial"/>
          <w:sz w:val="18"/>
          <w:szCs w:val="18"/>
          <w:color w:val="000000"/>
        </w:rPr>
        <w:t>assets of such Lender or L/C Issuer (including in connection with the reservation or exercise of any rights by the Administrative Agent</w:t>
      </w:r>
      <w:r>
        <w:rPr>
          <w:rFonts w:ascii="Arial" w:cs="Arial" w:eastAsia="Arial" w:hAnsi="Arial"/>
          <w:sz w:val="18"/>
          <w:szCs w:val="18"/>
          <w:b w:val="1"/>
          <w:bCs w:val="1"/>
          <w:color w:val="0000FF"/>
        </w:rPr>
        <w:t xml:space="preserve"> </w:t>
      </w:r>
      <w:r>
        <w:rPr>
          <w:rFonts w:ascii="Arial" w:cs="Arial" w:eastAsia="Arial" w:hAnsi="Arial"/>
          <w:sz w:val="18"/>
          <w:szCs w:val="18"/>
          <w:color w:val="000000"/>
        </w:rPr>
        <w:t>under this Agreement, any Loan Document or any documents related to hereto or thereto)</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w:t>
      </w:r>
    </w:p>
    <w:p>
      <w:pPr>
        <w:spacing w:after="0" w:line="175" w:lineRule="exact"/>
        <w:rPr>
          <w:rFonts w:ascii="Arial" w:cs="Arial" w:eastAsia="Arial" w:hAnsi="Arial"/>
          <w:sz w:val="18"/>
          <w:szCs w:val="18"/>
          <w:b w:val="1"/>
          <w:bCs w:val="1"/>
          <w:color w:val="FF0000"/>
          <w:strike w:val="1"/>
        </w:rPr>
      </w:pPr>
    </w:p>
    <w:p>
      <w:pPr>
        <w:jc w:val="both"/>
        <w:ind w:left="660" w:firstLine="1292"/>
        <w:spacing w:after="0" w:line="258" w:lineRule="auto"/>
        <w:tabs>
          <w:tab w:leader="none" w:pos="2603" w:val="left"/>
        </w:tabs>
        <w:numPr>
          <w:ilvl w:val="1"/>
          <w:numId w:val="186"/>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the Person making the investment decision on behalf of such Lender or L/C Issuer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83" w:lineRule="exact"/>
        <w:rPr>
          <w:rFonts w:ascii="Arial" w:cs="Arial" w:eastAsia="Arial" w:hAnsi="Arial"/>
          <w:sz w:val="18"/>
          <w:szCs w:val="18"/>
          <w:b w:val="1"/>
          <w:bCs w:val="1"/>
          <w:color w:val="FF0000"/>
          <w:strike w:val="1"/>
        </w:rPr>
      </w:pPr>
    </w:p>
    <w:p>
      <w:pPr>
        <w:jc w:val="both"/>
        <w:ind w:left="660" w:firstLine="1292"/>
        <w:spacing w:after="0" w:line="261" w:lineRule="auto"/>
        <w:tabs>
          <w:tab w:leader="none" w:pos="2595" w:val="left"/>
        </w:tabs>
        <w:numPr>
          <w:ilvl w:val="1"/>
          <w:numId w:val="186"/>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the Person making the investment decision on behalf of such Lender or L/C Issuer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79" w:lineRule="exact"/>
        <w:rPr>
          <w:rFonts w:ascii="Arial" w:cs="Arial" w:eastAsia="Arial" w:hAnsi="Arial"/>
          <w:sz w:val="18"/>
          <w:szCs w:val="18"/>
          <w:b w:val="1"/>
          <w:bCs w:val="1"/>
          <w:color w:val="FF0000"/>
          <w:strike w:val="1"/>
        </w:rPr>
      </w:pPr>
    </w:p>
    <w:p>
      <w:pPr>
        <w:jc w:val="both"/>
        <w:ind w:left="660" w:firstLine="1292"/>
        <w:spacing w:after="0" w:line="281" w:lineRule="auto"/>
        <w:tabs>
          <w:tab w:leader="none" w:pos="2630" w:val="left"/>
        </w:tabs>
        <w:numPr>
          <w:ilvl w:val="1"/>
          <w:numId w:val="186"/>
        </w:numPr>
        <w:rPr>
          <w:rFonts w:ascii="Arial" w:cs="Arial" w:eastAsia="Arial" w:hAnsi="Arial"/>
          <w:sz w:val="17"/>
          <w:szCs w:val="17"/>
          <w:b w:val="1"/>
          <w:bCs w:val="1"/>
          <w:color w:val="FF0000"/>
          <w:strike w:val="1"/>
        </w:rPr>
      </w:pPr>
      <w:r>
        <w:rPr>
          <w:rFonts w:ascii="Arial" w:cs="Arial" w:eastAsia="Arial" w:hAnsi="Arial"/>
          <w:sz w:val="17"/>
          <w:szCs w:val="17"/>
          <w:b w:val="1"/>
          <w:bCs w:val="1"/>
          <w:color w:val="FF0000"/>
          <w:strike w:val="1"/>
        </w:rPr>
        <w:t>the Person making the investment decision on behalf of such Lender or L/C Issuer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1" w:name="page192"/>
    <w:bookmarkEnd w:id="191"/>
    <w:p>
      <w:pPr>
        <w:jc w:val="both"/>
        <w:ind w:left="660" w:right="20" w:firstLine="1292"/>
        <w:spacing w:after="0" w:line="347" w:lineRule="auto"/>
        <w:tabs>
          <w:tab w:leader="none" w:pos="2570" w:val="left"/>
        </w:tabs>
        <w:numPr>
          <w:ilvl w:val="1"/>
          <w:numId w:val="187"/>
        </w:numPr>
        <w:rPr>
          <w:rFonts w:ascii="Arial" w:cs="Arial" w:eastAsia="Arial" w:hAnsi="Arial"/>
          <w:sz w:val="16"/>
          <w:szCs w:val="16"/>
          <w:b w:val="1"/>
          <w:bCs w:val="1"/>
          <w:color w:val="FF0000"/>
          <w:strike w:val="1"/>
        </w:rPr>
      </w:pPr>
      <w:r>
        <w:rPr>
          <w:rFonts w:ascii="Arial" w:cs="Arial" w:eastAsia="Arial" w:hAnsi="Arial"/>
          <w:sz w:val="16"/>
          <w:szCs w:val="16"/>
          <w:b w:val="1"/>
          <w:bCs w:val="1"/>
          <w:color w:val="FF0000"/>
          <w:strike w:val="1"/>
        </w:rPr>
        <w:t>no fee or other compensation is being paid directly to the Administrative Agent or any its respective Affiliates for investment advice (as opposed to other services) in connection with the Loans, the Letters of Credit, the Commitments or this Agreement.</w:t>
      </w:r>
    </w:p>
    <w:p>
      <w:pPr>
        <w:spacing w:after="0" w:line="115" w:lineRule="exact"/>
        <w:rPr>
          <w:rFonts w:ascii="Arial" w:cs="Arial" w:eastAsia="Arial" w:hAnsi="Arial"/>
          <w:sz w:val="16"/>
          <w:szCs w:val="16"/>
          <w:b w:val="1"/>
          <w:bCs w:val="1"/>
          <w:color w:val="FF0000"/>
          <w:strike w:val="1"/>
        </w:rPr>
      </w:pPr>
    </w:p>
    <w:p>
      <w:pPr>
        <w:jc w:val="both"/>
        <w:ind w:firstLine="1305"/>
        <w:spacing w:after="0" w:line="270" w:lineRule="auto"/>
        <w:tabs>
          <w:tab w:leader="none" w:pos="218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The Administrative Agent </w:t>
      </w:r>
      <w:r>
        <w:rPr>
          <w:rFonts w:ascii="Arial" w:cs="Arial" w:eastAsia="Arial" w:hAnsi="Arial"/>
          <w:sz w:val="17"/>
          <w:szCs w:val="17"/>
          <w:b w:val="1"/>
          <w:bCs w:val="1"/>
          <w:u w:val="single" w:color="auto"/>
          <w:color w:val="0000FF"/>
        </w:rPr>
        <w:t>and each Arranger</w:t>
      </w:r>
      <w:r>
        <w:rPr>
          <w:rFonts w:ascii="Arial" w:cs="Arial" w:eastAsia="Arial" w:hAnsi="Arial"/>
          <w:sz w:val="17"/>
          <w:szCs w:val="17"/>
          <w:color w:val="auto"/>
        </w:rPr>
        <w:t xml:space="preserve"> hereby informs each Lender and L/C Issuer that each such Person is not undertaking to provide </w:t>
      </w:r>
      <w:r>
        <w:rPr>
          <w:rFonts w:ascii="Arial" w:cs="Arial" w:eastAsia="Arial" w:hAnsi="Arial"/>
          <w:sz w:val="17"/>
          <w:szCs w:val="17"/>
          <w:b w:val="1"/>
          <w:bCs w:val="1"/>
          <w:color w:val="FF0000"/>
          <w:strike w:val="1"/>
        </w:rPr>
        <w:t>impartial</w:t>
      </w:r>
      <w:r>
        <w:rPr>
          <w:rFonts w:ascii="Arial" w:cs="Arial" w:eastAsia="Arial" w:hAnsi="Arial"/>
          <w:sz w:val="17"/>
          <w:szCs w:val="17"/>
          <w:color w:val="auto"/>
        </w:rPr>
        <w:t xml:space="preserve"> investment advice</w:t>
      </w:r>
      <w:r>
        <w:rPr>
          <w:rFonts w:ascii="Arial" w:cs="Arial" w:eastAsia="Arial" w:hAnsi="Arial"/>
          <w:sz w:val="17"/>
          <w:szCs w:val="17"/>
          <w:b w:val="1"/>
          <w:bCs w:val="1"/>
          <w:color w:val="FF0000"/>
          <w:strike w:val="1"/>
        </w:rPr>
        <w:t>,</w:t>
      </w:r>
      <w:r>
        <w:rPr>
          <w:rFonts w:ascii="Arial" w:cs="Arial" w:eastAsia="Arial" w:hAnsi="Arial"/>
          <w:sz w:val="17"/>
          <w:szCs w:val="17"/>
          <w:color w:val="auto"/>
        </w:rPr>
        <w:t xml:space="preserv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w:t>
      </w:r>
      <w:r>
        <w:rPr>
          <w:rFonts w:ascii="Arial" w:cs="Arial" w:eastAsia="Arial" w:hAnsi="Arial"/>
          <w:sz w:val="17"/>
          <w:szCs w:val="17"/>
          <w:b w:val="1"/>
          <w:bCs w:val="1"/>
          <w:color w:val="FF0000"/>
          <w:strike w:val="1"/>
        </w:rPr>
        <w:t>and</w:t>
      </w:r>
      <w:r>
        <w:rPr>
          <w:rFonts w:ascii="Arial" w:cs="Arial" w:eastAsia="Arial" w:hAnsi="Arial"/>
          <w:sz w:val="17"/>
          <w:szCs w:val="17"/>
          <w:b w:val="1"/>
          <w:bCs w:val="1"/>
          <w:u w:val="single" w:color="auto"/>
          <w:color w:val="0000FF"/>
        </w:rPr>
        <w:t>,</w:t>
      </w:r>
      <w:r>
        <w:rPr>
          <w:rFonts w:ascii="Arial" w:cs="Arial" w:eastAsia="Arial" w:hAnsi="Arial"/>
          <w:sz w:val="17"/>
          <w:szCs w:val="17"/>
          <w:color w:val="auto"/>
        </w:rPr>
        <w:t xml:space="preserve"> this Agreement </w:t>
      </w:r>
      <w:r>
        <w:rPr>
          <w:rFonts w:ascii="Arial" w:cs="Arial" w:eastAsia="Arial" w:hAnsi="Arial"/>
          <w:sz w:val="17"/>
          <w:szCs w:val="17"/>
          <w:b w:val="1"/>
          <w:bCs w:val="1"/>
          <w:u w:val="single" w:color="auto"/>
          <w:color w:val="0000FF"/>
        </w:rPr>
        <w:t>and any other Loan Documents</w:t>
      </w:r>
      <w:r>
        <w:rPr>
          <w:rFonts w:ascii="Arial" w:cs="Arial" w:eastAsia="Arial" w:hAnsi="Arial"/>
          <w:sz w:val="17"/>
          <w:szCs w:val="17"/>
          <w:color w:val="auto"/>
        </w:rPr>
        <w:t>, (ii) may recognize a gain if it extended the Loans, the Letters of Credit or the Commitments for an amount less than the amount being paid for an interest in the Loans, the Letters of Credit or the Commitments by such Lender or L/C Issuer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Acknowledgments of Lenders and L/C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25736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73655" cy="8890"/>
                    </a:xfrm>
                    <a:prstGeom prst="rect">
                      <a:avLst/>
                    </a:prstGeom>
                    <a:noFill/>
                  </pic:spPr>
                </pic:pic>
              </a:graphicData>
            </a:graphic>
          </wp:anchor>
        </w:drawing>
      </w:r>
    </w:p>
    <w:p>
      <w:pPr>
        <w:spacing w:after="0" w:line="205" w:lineRule="exact"/>
        <w:rPr>
          <w:sz w:val="20"/>
          <w:szCs w:val="20"/>
          <w:color w:val="auto"/>
        </w:rPr>
      </w:pPr>
    </w:p>
    <w:p>
      <w:pPr>
        <w:jc w:val="both"/>
        <w:ind w:firstLine="656"/>
        <w:spacing w:after="0" w:line="287" w:lineRule="auto"/>
        <w:tabs>
          <w:tab w:leader="none" w:pos="132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Lender and L/C Issuer hereby agrees that (i) if the Administrative Agent notifies such Lender or L/C Issuer that the Administrative Agent has determined in its sole discretion that any funds received by such Lender or L/C Issuer from the Administrative Agent or any of its Affiliates (whether as a payment, prepayment or repayment of principal, interest, fees or otherwise; individually and collectively, a “</w:t>
      </w:r>
      <w:r>
        <w:rPr>
          <w:rFonts w:ascii="Arial" w:cs="Arial" w:eastAsia="Arial" w:hAnsi="Arial"/>
          <w:sz w:val="16"/>
          <w:szCs w:val="16"/>
          <w:u w:val="single" w:color="auto"/>
          <w:color w:val="auto"/>
        </w:rPr>
        <w:t>Payment</w:t>
      </w:r>
      <w:r>
        <w:rPr>
          <w:rFonts w:ascii="Arial" w:cs="Arial" w:eastAsia="Arial" w:hAnsi="Arial"/>
          <w:sz w:val="16"/>
          <w:szCs w:val="16"/>
          <w:color w:val="auto"/>
        </w:rPr>
        <w:t>”) were erroneously transmitted to such Lender or L/C Issuer (whether or not known to such Lender or L/C Issuer), and demands the return of such Payment (or a portion thereof),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Federal Funds Rate and a rate determined by the Administrative Agent in accordance with banking industry rules on interbank compensation from time to time in effect, and (ii) to the extent permitted by applicable law, such Lender or L/C Issuer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L/C Issuer under this 9.13(a) shall be conclusive, absent manifest error.</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2" w:name="page193"/>
    <w:bookmarkEnd w:id="192"/>
    <w:p>
      <w:pPr>
        <w:jc w:val="both"/>
        <w:ind w:firstLine="656"/>
        <w:spacing w:after="0" w:line="288" w:lineRule="auto"/>
        <w:tabs>
          <w:tab w:leader="none" w:pos="136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Each Lender and L/C Issuer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w:t>
      </w:r>
      <w:r>
        <w:rPr>
          <w:rFonts w:ascii="Arial" w:cs="Arial" w:eastAsia="Arial" w:hAnsi="Arial"/>
          <w:sz w:val="16"/>
          <w:szCs w:val="16"/>
          <w:u w:val="single" w:color="auto"/>
          <w:color w:val="auto"/>
        </w:rPr>
        <w:t>Payment Notice</w:t>
      </w:r>
      <w:r>
        <w:rPr>
          <w:rFonts w:ascii="Arial" w:cs="Arial" w:eastAsia="Arial" w:hAnsi="Arial"/>
          <w:sz w:val="16"/>
          <w:szCs w:val="16"/>
          <w:color w:val="auto"/>
        </w:rPr>
        <w:t>”) or (ii) that was not preceded or accompanied by a Payment Notice, it shall be on notice, in each such case, that an error has been made with respect to such Payment. Each Lender and L/C Issuer agrees that, in each such case, or if it otherwise becomes aware a Payment (or portion thereof) may have been sent in error, such Lender or L/C Issuer shall promptly notify the Administrative Agent of such occurrence and, upon demand from the Administrative Agent, such Lender or L/C Issuer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L/C Issuer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168" w:lineRule="exact"/>
        <w:rPr>
          <w:rFonts w:ascii="Arial" w:cs="Arial" w:eastAsia="Arial" w:hAnsi="Arial"/>
          <w:sz w:val="16"/>
          <w:szCs w:val="16"/>
          <w:color w:val="auto"/>
        </w:rPr>
      </w:pPr>
    </w:p>
    <w:p>
      <w:pPr>
        <w:jc w:val="both"/>
        <w:ind w:firstLine="656"/>
        <w:spacing w:after="0" w:line="255" w:lineRule="auto"/>
        <w:tabs>
          <w:tab w:leader="none" w:pos="137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Borrower and each other Loan Party hereby agrees that (i) in the event an erroneous Payment (or portion thereof) is not recovered from any Lender or L/C Issuer that has received such Payment (or portion thereof) for any reason, the Administrative Agent shall be subrogated to all the rights of such Lender or L/C Issuer with respect to such amount and (ii)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Payment.</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34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party’s obligations under this Section‎ 9.13 shall survive the resignation or replacement of the Administrative Agent or any transfer of rights or obligations by, or the replacement of, a Lender or L/C Issuer, the termination of the Commitments or the repayment, satisfaction or discharge of all Obligations under any Loan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CONTINUING GUARANTY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10.01 Guarantee of Secured Obligations. Each of the Guarantors hereby, jointly and severally, absolutely, unconditionally and irrevocably, guarantees, as primary obligor and not merely as surety, to the Administrative Agent, for the benefit of the Secured Parties and their respective successors, indorsees, transferees and assigns, the prompt and complete payment and performance by each other Guarantor and the Borrower when due (whether at the stated maturity, by acceleration or otherwise) of the Secured Obligations. Each Guarantor shall be liable under its guarantee set forth in this </w:t>
      </w:r>
      <w:r>
        <w:rPr>
          <w:rFonts w:ascii="Arial" w:cs="Arial" w:eastAsia="Arial" w:hAnsi="Arial"/>
          <w:sz w:val="16"/>
          <w:szCs w:val="16"/>
          <w:u w:val="single" w:color="auto"/>
          <w:color w:val="auto"/>
        </w:rPr>
        <w:t>Section 10.01</w:t>
      </w:r>
      <w:r>
        <w:rPr>
          <w:rFonts w:ascii="Arial" w:cs="Arial" w:eastAsia="Arial" w:hAnsi="Arial"/>
          <w:sz w:val="16"/>
          <w:szCs w:val="16"/>
          <w:color w:val="auto"/>
        </w:rPr>
        <w:t>, without any limitation as to amount, for all present and future Secured Obligations, including specifically all future increases in the outstanding amount of the Loans or other Secured Obligations and other future increases in the Secured Obligations, whether or not any such increase is committed, contemplated or provided for by the Loan Documents, the Secured Cash Management Agreements or the Secured Hedge Agreements on the Closing Date. Without limiting the generality of the foregoing, each Guarantor’s liability shall extend to all Secured Obligations (including, without limitation, interest, fees, costs and expenses) that would be owed by any other obligor on the Secured Obligations but for the fact that they are unenforceable or not allowable due to the existence of a proceeding under any Debtor Relief Law involving such other obligor because it is the intention of the Guarantors and the Secured Parties that the Secured Obligations which are guaranteed by the Guarantors pursuant hereto should be determined without regard to any rule of law or order which may relieve the Borrower or any Guarantor of any portion of such Secured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-1555115</wp:posOffset>
            </wp:positionV>
            <wp:extent cx="20624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062480" cy="8890"/>
                    </a:xfrm>
                    <a:prstGeom prst="rect">
                      <a:avLst/>
                    </a:prstGeom>
                    <a:noFill/>
                  </pic:spPr>
                </pic:pic>
              </a:graphicData>
            </a:graphic>
          </wp:anchor>
        </w:drawing>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3" w:name="page194"/>
    <w:bookmarkEnd w:id="193"/>
    <w:p>
      <w:pPr>
        <w:ind w:left="660"/>
        <w:spacing w:after="0"/>
        <w:tabs>
          <w:tab w:leader="none" w:pos="1320" w:val="left"/>
        </w:tabs>
        <w:rPr>
          <w:sz w:val="20"/>
          <w:szCs w:val="20"/>
          <w:color w:val="auto"/>
        </w:rPr>
      </w:pPr>
      <w:r>
        <w:rPr>
          <w:rFonts w:ascii="Arial" w:cs="Arial" w:eastAsia="Arial" w:hAnsi="Arial"/>
          <w:sz w:val="18"/>
          <w:szCs w:val="18"/>
          <w:u w:val="single" w:color="auto"/>
          <w:color w:val="auto"/>
        </w:rPr>
        <w:t>10.02</w:t>
      </w:r>
      <w:r>
        <w:rPr>
          <w:sz w:val="20"/>
          <w:szCs w:val="20"/>
          <w:color w:val="auto"/>
        </w:rPr>
        <w:tab/>
      </w:r>
      <w:r>
        <w:rPr>
          <w:rFonts w:ascii="Arial" w:cs="Arial" w:eastAsia="Arial" w:hAnsi="Arial"/>
          <w:sz w:val="16"/>
          <w:szCs w:val="16"/>
          <w:u w:val="single" w:color="auto"/>
          <w:color w:val="auto"/>
        </w:rPr>
        <w:t>Limitation on Obligations Guaranteed</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9" w:lineRule="auto"/>
        <w:tabs>
          <w:tab w:leader="none" w:pos="20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hereof, the right of recovery against each Guarantor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not exceed $1.00 less than the lowest amount which would render such Guarantor’s obligations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void or voidable under applicable law, including, without limitation, the Uniform Fraudulent Conveyance Act, Uniform Fraudulent Transfer Act or any similar foreign, federal or state law to the extent applicable to the guaranty set forth herein and the obligations of each Guarantor hereunder. To effectuate the foregoing, the Administrative Agent and the Guarantors hereby irrevocably agree that the Secured Obligations of each Guarantor in respect of the guarantee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at any time shall be limited to the maximum amount as will result in the Secured Obligations of such Guarantor with respect thereto hereof not constituting a fraudulent transfer or conveyance after giving full effect to the liability under such guarantee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its related contribution rights but before taking into account any liabilities under any other guarantee by such Guarantor. For purposes of the foregoing, all guarantees of such Guarantor other than the guarantee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will be deemed to be enforceable and payable after the guaranty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To the fullest extent permitted by applicable law, this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shall be for the benefit solely of creditors and representatives of creditors of each Guarantor and not for the benefit of such Guarantor or the holders of any Equity Interest in such Guarantor.</w:t>
      </w:r>
    </w:p>
    <w:p>
      <w:pPr>
        <w:spacing w:after="0" w:line="181" w:lineRule="exact"/>
        <w:rPr>
          <w:rFonts w:ascii="Arial" w:cs="Arial" w:eastAsia="Arial" w:hAnsi="Arial"/>
          <w:sz w:val="17"/>
          <w:szCs w:val="17"/>
          <w:color w:val="auto"/>
        </w:rPr>
      </w:pPr>
    </w:p>
    <w:p>
      <w:pPr>
        <w:jc w:val="both"/>
        <w:ind w:firstLine="1305"/>
        <w:spacing w:after="0" w:line="263" w:lineRule="auto"/>
        <w:tabs>
          <w:tab w:leader="none" w:pos="202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Each Guarantor agrees that Secured Obligations may at any time and from time to time be incurred or permitted in an amount exceeding the maximum liability of such Guarantor under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without impairing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affecting the rights and remedies of any Secured Party hereunder.</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u w:val="single" w:color="auto"/>
          <w:color w:val="auto"/>
        </w:rPr>
        <w:t>10.03</w:t>
      </w:r>
      <w:r>
        <w:rPr>
          <w:sz w:val="20"/>
          <w:szCs w:val="20"/>
          <w:color w:val="auto"/>
        </w:rPr>
        <w:tab/>
      </w:r>
      <w:r>
        <w:rPr>
          <w:rFonts w:ascii="Arial" w:cs="Arial" w:eastAsia="Arial" w:hAnsi="Arial"/>
          <w:sz w:val="16"/>
          <w:szCs w:val="16"/>
          <w:u w:val="single" w:color="auto"/>
          <w:color w:val="auto"/>
        </w:rPr>
        <w:t>Nature of Guarantee; Continuing Guarantee; Waivers of Defenses Etc.</w:t>
      </w:r>
    </w:p>
    <w:p>
      <w:pPr>
        <w:spacing w:after="0" w:line="225" w:lineRule="exact"/>
        <w:rPr>
          <w:sz w:val="20"/>
          <w:szCs w:val="20"/>
          <w:color w:val="auto"/>
        </w:rPr>
      </w:pPr>
    </w:p>
    <w:p>
      <w:pPr>
        <w:jc w:val="both"/>
        <w:ind w:firstLine="1305"/>
        <w:spacing w:after="0" w:line="255" w:lineRule="auto"/>
        <w:tabs>
          <w:tab w:leader="none" w:pos="218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Each Guarantor understands and agrees that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construed as a continuing guarantee of payment and performance and not merely of collectability. Each Guarantor waives diligence, presentment, protest, marshaling, demand for payment, notice of dishonor, notice of default and notice of nonpayment to or upon the Borrower or any of the other Guarantors with respect to the Secured Obligations. Without limiting the generality of the foregoing, this Guaranty and the obligations of each Guarantor hereunder shall be valid and enforceable and shall not be subject to any reduction, limitation, impairment, set-off, defense, counterclaim, discharge or termination for any reason (other than a Discharge of the Secured Obligations).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4" w:name="page195"/>
    <w:bookmarkEnd w:id="194"/>
    <w:p>
      <w:pPr>
        <w:jc w:val="both"/>
        <w:ind w:firstLine="1305"/>
        <w:spacing w:after="0" w:line="269" w:lineRule="auto"/>
        <w:tabs>
          <w:tab w:leader="none" w:pos="198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Each Guarantor agrees that the Secured Obligations of each Guarantor hereunder are independent of the Secured Obligations of each other Guarantor and of any other guarantee of the Secured Obligations and when making any demand hereunder or otherwise pursuing its rights and remedies hereunder against any Guarantor, any Secured Party may, but shall be under no obligation to, make a similar demand on or otherwise pursue such rights and remedies as it may have against the Borrower, any other Guarantor or any other Person or against any collateral security or other guarantee for the Secured Obligations or any right of offset with respect thereto, and any failure by any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185" w:lineRule="exact"/>
        <w:rPr>
          <w:rFonts w:ascii="Arial" w:cs="Arial" w:eastAsia="Arial" w:hAnsi="Arial"/>
          <w:sz w:val="17"/>
          <w:szCs w:val="17"/>
          <w:color w:val="auto"/>
        </w:rPr>
      </w:pPr>
    </w:p>
    <w:p>
      <w:pPr>
        <w:jc w:val="both"/>
        <w:ind w:firstLine="1305"/>
        <w:spacing w:after="0" w:line="257" w:lineRule="auto"/>
        <w:tabs>
          <w:tab w:leader="none" w:pos="20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payment made by the Borrower, any of the Guarantors, any other guarantor or any other Person or received or collected by any Secured Party from the Borrower, any of the Guarantors, any other guarantor or any other Person by virtue of any action or proceeding or any set-off or appropriation or application at any time or from time to time in reduction of or in payment of the Secured Obligations shall be deemed to modify, reduce, release or otherwise affect the liability of any Guarantor hereunder which shall, notwithstanding any such payment, remain liable for the Secured Obligations until the Discharge of the Secured Obligations.</w:t>
      </w:r>
    </w:p>
    <w:p>
      <w:pPr>
        <w:spacing w:after="0" w:line="187" w:lineRule="exact"/>
        <w:rPr>
          <w:rFonts w:ascii="Arial" w:cs="Arial" w:eastAsia="Arial" w:hAnsi="Arial"/>
          <w:sz w:val="18"/>
          <w:szCs w:val="18"/>
          <w:color w:val="auto"/>
        </w:rPr>
      </w:pPr>
    </w:p>
    <w:p>
      <w:pPr>
        <w:jc w:val="both"/>
        <w:ind w:firstLine="1305"/>
        <w:spacing w:after="0" w:line="259" w:lineRule="auto"/>
        <w:tabs>
          <w:tab w:leader="none" w:pos="198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each Guarantor agrees that its obligations under and in respect of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any security interest securing the Secured Obligations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86" w:lineRule="exact"/>
        <w:rPr>
          <w:rFonts w:ascii="Arial" w:cs="Arial" w:eastAsia="Arial" w:hAnsi="Arial"/>
          <w:sz w:val="18"/>
          <w:szCs w:val="18"/>
          <w:color w:val="auto"/>
        </w:rPr>
      </w:pPr>
    </w:p>
    <w:p>
      <w:pPr>
        <w:jc w:val="both"/>
        <w:ind w:left="660" w:firstLine="1292"/>
        <w:spacing w:after="0" w:line="263" w:lineRule="auto"/>
        <w:tabs>
          <w:tab w:leader="none" w:pos="273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validity or enforceability of this Agreement or any other Loan Document or any Secured Hedge Agreement or Secured Cash Management Agreement, any of the Secured Obligations or any guarantee or right of offset with respect thereto at any time or from time to time held by any Secured Party;</w:t>
      </w:r>
    </w:p>
    <w:p>
      <w:pPr>
        <w:spacing w:after="0" w:line="183" w:lineRule="exact"/>
        <w:rPr>
          <w:rFonts w:ascii="Arial" w:cs="Arial" w:eastAsia="Arial" w:hAnsi="Arial"/>
          <w:sz w:val="18"/>
          <w:szCs w:val="18"/>
          <w:color w:val="auto"/>
        </w:rPr>
      </w:pPr>
    </w:p>
    <w:p>
      <w:pPr>
        <w:jc w:val="both"/>
        <w:ind w:left="660" w:firstLine="1292"/>
        <w:spacing w:after="0" w:line="263" w:lineRule="auto"/>
        <w:tabs>
          <w:tab w:leader="none" w:pos="259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Secured Obligations, or any amendment, supplement, modification or waiver of, or any consent to departure from, the Loan Documents or any Secured Hedge Agreement or Secured Cash Management Agreement;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5" w:name="page196"/>
    <w:bookmarkEnd w:id="195"/>
    <w:p>
      <w:pPr>
        <w:jc w:val="both"/>
        <w:ind w:left="660" w:firstLine="1292"/>
        <w:spacing w:after="0" w:line="257" w:lineRule="auto"/>
        <w:tabs>
          <w:tab w:leader="none" w:pos="26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Secured Hedge Agreement or any Secured Cash Management Agreement, at law, in equity or otherwise) with respect to the Secured Obligations or any agreement relating thereto, or with respect to any other guaranty of or security for the payment of the Secured Obligations;</w:t>
      </w:r>
    </w:p>
    <w:p>
      <w:pPr>
        <w:spacing w:after="0" w:line="187" w:lineRule="exact"/>
        <w:rPr>
          <w:rFonts w:ascii="Arial" w:cs="Arial" w:eastAsia="Arial" w:hAnsi="Arial"/>
          <w:sz w:val="18"/>
          <w:szCs w:val="18"/>
          <w:color w:val="auto"/>
        </w:rPr>
      </w:pPr>
    </w:p>
    <w:p>
      <w:pPr>
        <w:ind w:left="660" w:right="20" w:firstLine="1292"/>
        <w:spacing w:after="0" w:line="277" w:lineRule="auto"/>
        <w:tabs>
          <w:tab w:leader="none" w:pos="264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change, reorganization or termination of the corporate structure or existence of the Borrower or any Guarantor or any of their Subsidiaries and any corresponding restructuring of the Secured Obligations;</w:t>
      </w:r>
    </w:p>
    <w:p>
      <w:pPr>
        <w:spacing w:after="0" w:line="170" w:lineRule="exact"/>
        <w:rPr>
          <w:rFonts w:ascii="Arial" w:cs="Arial" w:eastAsia="Arial" w:hAnsi="Arial"/>
          <w:sz w:val="18"/>
          <w:szCs w:val="18"/>
          <w:color w:val="auto"/>
        </w:rPr>
      </w:pPr>
    </w:p>
    <w:p>
      <w:pPr>
        <w:ind w:left="660" w:firstLine="1292"/>
        <w:spacing w:after="0" w:line="342" w:lineRule="auto"/>
        <w:tabs>
          <w:tab w:leader="none" w:pos="262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any settlement, compromise, release, or discharge of, or acceptance or refusal of any offer of payment or performance with respect to, or any substitution for, the Secured Obligations, or any subordination of the Secured Obligations to any other obligations;</w:t>
      </w:r>
    </w:p>
    <w:p>
      <w:pPr>
        <w:spacing w:after="0" w:line="123" w:lineRule="exact"/>
        <w:rPr>
          <w:rFonts w:ascii="Arial" w:cs="Arial" w:eastAsia="Arial" w:hAnsi="Arial"/>
          <w:sz w:val="16"/>
          <w:szCs w:val="16"/>
          <w:color w:val="auto"/>
        </w:rPr>
      </w:pPr>
    </w:p>
    <w:p>
      <w:pPr>
        <w:ind w:left="660" w:firstLine="1292"/>
        <w:spacing w:after="0" w:line="308" w:lineRule="auto"/>
        <w:tabs>
          <w:tab w:leader="none" w:pos="264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validity, perfection, non-perfection or lapse in perfection, priority or avoidance of any security interest or lien, the release of any or all collateral securing, or purporting to secure, the Secured Obligations or any other impairment of such collateral;</w:t>
      </w:r>
    </w:p>
    <w:p>
      <w:pPr>
        <w:spacing w:after="0" w:line="146" w:lineRule="exact"/>
        <w:rPr>
          <w:rFonts w:ascii="Arial" w:cs="Arial" w:eastAsia="Arial" w:hAnsi="Arial"/>
          <w:sz w:val="17"/>
          <w:szCs w:val="17"/>
          <w:color w:val="auto"/>
        </w:rPr>
      </w:pPr>
    </w:p>
    <w:p>
      <w:pPr>
        <w:jc w:val="both"/>
        <w:ind w:left="660" w:firstLine="1292"/>
        <w:spacing w:after="0" w:line="254" w:lineRule="auto"/>
        <w:tabs>
          <w:tab w:leader="none" w:pos="266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and</w:t>
      </w:r>
    </w:p>
    <w:p>
      <w:pPr>
        <w:spacing w:after="0" w:line="194" w:lineRule="exact"/>
        <w:rPr>
          <w:rFonts w:ascii="Arial" w:cs="Arial" w:eastAsia="Arial" w:hAnsi="Arial"/>
          <w:sz w:val="18"/>
          <w:szCs w:val="18"/>
          <w:color w:val="auto"/>
        </w:rPr>
      </w:pPr>
    </w:p>
    <w:p>
      <w:pPr>
        <w:jc w:val="both"/>
        <w:ind w:left="660" w:firstLine="1292"/>
        <w:spacing w:after="0" w:line="279" w:lineRule="auto"/>
        <w:tabs>
          <w:tab w:leader="none" w:pos="2612"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any other circumstance whatsoever which may or might in any manner or to any extent vary the risk of any Guarantor as an obligor in respect of the Secured Obligations or which constitutes, or might be construed to constitute, an equitable or legal discharge of the Borrower or any Guarantor for the Secured Obligations, or of such Guarantor under the guarantee contained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of any security interest granted by any Guarantor, whether in a proceeding under any Debtor Relief Law or in any other instance.</w:t>
      </w:r>
    </w:p>
    <w:p>
      <w:pPr>
        <w:spacing w:after="0" w:line="171" w:lineRule="exact"/>
        <w:rPr>
          <w:rFonts w:ascii="Arial" w:cs="Arial" w:eastAsia="Arial" w:hAnsi="Arial"/>
          <w:sz w:val="17"/>
          <w:szCs w:val="17"/>
          <w:color w:val="auto"/>
        </w:rPr>
      </w:pPr>
    </w:p>
    <w:p>
      <w:pPr>
        <w:jc w:val="both"/>
        <w:ind w:firstLine="1305"/>
        <w:spacing w:after="0" w:line="279" w:lineRule="auto"/>
        <w:tabs>
          <w:tab w:leader="none" w:pos="197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In addition each Guarantor further waives any and all other defenses, set-offs or counterclaims (other than a defense of payment or performance in full hereunder) which may at any time be available to or be asserted by it, the Borrower, or any other Guarantor or Person against any Secured Party, including, without limitation, failure of consideration, breach of warranty, statute of frauds, statute of limitations, accord and satisfaction and usury, other than payment in full in cash of all Secured Obligations and a termination of all Commitments.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6" w:name="page197"/>
    <w:bookmarkEnd w:id="196"/>
    <w:p>
      <w:pPr>
        <w:ind w:left="660"/>
        <w:spacing w:after="0"/>
        <w:tabs>
          <w:tab w:leader="none" w:pos="1320" w:val="left"/>
        </w:tabs>
        <w:rPr>
          <w:sz w:val="20"/>
          <w:szCs w:val="20"/>
          <w:color w:val="auto"/>
        </w:rPr>
      </w:pPr>
      <w:r>
        <w:rPr>
          <w:rFonts w:ascii="Arial" w:cs="Arial" w:eastAsia="Arial" w:hAnsi="Arial"/>
          <w:sz w:val="18"/>
          <w:szCs w:val="18"/>
          <w:u w:val="single" w:color="auto"/>
          <w:color w:val="auto"/>
        </w:rPr>
        <w:t>10.04</w:t>
      </w:r>
      <w:r>
        <w:rPr>
          <w:sz w:val="20"/>
          <w:szCs w:val="20"/>
          <w:color w:val="auto"/>
        </w:rPr>
        <w:tab/>
      </w:r>
      <w:r>
        <w:rPr>
          <w:rFonts w:ascii="Arial" w:cs="Arial" w:eastAsia="Arial" w:hAnsi="Arial"/>
          <w:sz w:val="16"/>
          <w:szCs w:val="16"/>
          <w:u w:val="single" w:color="auto"/>
          <w:color w:val="auto"/>
        </w:rPr>
        <w:t>Rights of Reimbursement, Contribution and Subrogation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case any payment is made on account of the Secured Obligations by any Guarantor or is received or collected on account of the Secured Obligations from any Guarantor or its property:</w:t>
      </w:r>
    </w:p>
    <w:p>
      <w:pPr>
        <w:spacing w:after="0" w:line="170" w:lineRule="exact"/>
        <w:rPr>
          <w:sz w:val="20"/>
          <w:szCs w:val="20"/>
          <w:color w:val="auto"/>
        </w:rPr>
      </w:pPr>
    </w:p>
    <w:p>
      <w:pPr>
        <w:jc w:val="both"/>
        <w:ind w:firstLine="1305"/>
        <w:spacing w:after="0" w:line="289" w:lineRule="auto"/>
        <w:tabs>
          <w:tab w:leader="none" w:pos="202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If such payment is made by a Guarantor or the Borrower or from its property in respect of the Secured Obligations of another Guarantor, such Guarantor shall be entitled, subject to and upon (but not before) the Discharge of the Secured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 For purposes of the foregoing, all guarantees of such Guarantor other than the guarantee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 will be deemed to be enforceable and payable after the guaranty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w:t>
      </w:r>
    </w:p>
    <w:p>
      <w:pPr>
        <w:spacing w:after="0" w:line="166" w:lineRule="exact"/>
        <w:rPr>
          <w:rFonts w:ascii="Arial" w:cs="Arial" w:eastAsia="Arial" w:hAnsi="Arial"/>
          <w:sz w:val="16"/>
          <w:szCs w:val="16"/>
          <w:color w:val="auto"/>
        </w:rPr>
      </w:pPr>
    </w:p>
    <w:p>
      <w:pPr>
        <w:jc w:val="both"/>
        <w:ind w:firstLine="1305"/>
        <w:spacing w:after="0" w:line="270" w:lineRule="auto"/>
        <w:tabs>
          <w:tab w:leader="none" w:pos="214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right of subrogation of any Guarantor or the Borrower shall be enforceable solely after the Discharge of the Secured Obligations and solely against the Guarantors or the Borrower, and not against the Secured Parties, and neither the Administrative Agent nor any other Secured Party shall have any duty whatsoever to warrant, ensure or protect any such right of subrogation or to obtain, perfect, maintain, hold, enforce or retain any collateral securing or purporting to secure any of the Secured Obligations for any purpose related to any such right of subrogation. If subrogation is demanded by any Guarantor, then, after the Discharge of the Secured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any other obligation whatsoever, whatever security interest the Administrative Agent then may hold in whatever collateral securing or purporting to secure any of the Secured Obligations that may then exist that was not previously released or disposed of or acquired by the Administrative Agent.</w:t>
      </w:r>
    </w:p>
    <w:p>
      <w:pPr>
        <w:spacing w:after="0" w:line="180" w:lineRule="exact"/>
        <w:rPr>
          <w:rFonts w:ascii="Arial" w:cs="Arial" w:eastAsia="Arial" w:hAnsi="Arial"/>
          <w:sz w:val="17"/>
          <w:szCs w:val="17"/>
          <w:color w:val="auto"/>
        </w:rPr>
      </w:pPr>
    </w:p>
    <w:p>
      <w:pPr>
        <w:jc w:val="both"/>
        <w:ind w:firstLine="1305"/>
        <w:spacing w:after="0" w:line="269" w:lineRule="auto"/>
        <w:tabs>
          <w:tab w:leader="none" w:pos="227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All rights and claims arising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or based upon or relating to any other right of reimbursement, indemnification, contribution or subrogation that may at any time arise or exist in favor of any Guarantor or the Borrower as to any payment on account of either (x) the Secured Obligations or (y) any other obligation that is secured by any collateral that also secures or purports to secure any of the Secured Obligations, in each case made by it or received or collected from its property, shall be fully subordinated to the Secured Obligations in all respects prior to the Discharge of the Secured Obligations. Until the Discharge of the Secured Obligations, no Guarantor may demand or receive any collateral security, payment or distribution whatsoever (whether in cash, property or securities or otherwise) on account of any such right or claim. If any such payment or distribution is made or becomes available to any Guarantor in any bankruptcy case, receivership, or insolvency or liquidation proceeding, such payment or distribution shall be delivered by the person making such payment or distribution directly to the Administrative Agent, for application to the payment of the Secured Obligations. If any such payment or distribution is received by any Guarantor, it shall be held by such Guarantor in trust, as trustee of an express trust for the benefit of the Secured Parties, and shall forthwith be transferred and delivered by such Guarantor to the Administrative Agent, in the exact form received and, if necessary, duly endorsed.</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7" w:name="page198"/>
    <w:bookmarkEnd w:id="197"/>
    <w:p>
      <w:pPr>
        <w:jc w:val="both"/>
        <w:ind w:firstLine="1305"/>
        <w:spacing w:after="0" w:line="293" w:lineRule="auto"/>
        <w:tabs>
          <w:tab w:leader="none" w:pos="198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obligations of the Guarantors under this Agreement and the other Loan Documents, including their liability for the Secured Obligations and the enforceability of the security interests granted thereby, are not contingent upon the validity, legality, enforceability, collectability or sufficiency of any right of reimbursement, contribution or subrogation arising under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or otherwise. The invalidity, insufficiency, unenforceability or uncollectability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10.05 Payments. Each Guarantor hereby guarantees that payments hereunder will be paid to the Administrative Agent without set-off or counterclaim in Dollars in immediately available funds at the Administrative Agent’s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-182245</wp:posOffset>
            </wp:positionV>
            <wp:extent cx="96710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spacing w:after="0" w:line="1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10.06 Subordination of Other Obligations</w:t>
      </w:r>
      <w:r>
        <w:rPr>
          <w:rFonts w:ascii="Arial" w:cs="Arial" w:eastAsia="Arial" w:hAnsi="Arial"/>
          <w:sz w:val="18"/>
          <w:szCs w:val="18"/>
          <w:color w:val="auto"/>
        </w:rPr>
        <w:t>. Any Indebtedness of the Borrower or any Guarantor now or hereafter held by any other Guarantor (the “</w:t>
      </w:r>
      <w:r>
        <w:rPr>
          <w:rFonts w:ascii="Arial" w:cs="Arial" w:eastAsia="Arial" w:hAnsi="Arial"/>
          <w:sz w:val="18"/>
          <w:szCs w:val="18"/>
          <w:u w:val="single" w:color="auto"/>
          <w:color w:val="auto"/>
        </w:rPr>
        <w:t>Obligee Guarantor</w:t>
      </w:r>
      <w:r>
        <w:rPr>
          <w:rFonts w:ascii="Arial" w:cs="Arial" w:eastAsia="Arial" w:hAnsi="Arial"/>
          <w:sz w:val="18"/>
          <w:szCs w:val="18"/>
          <w:color w:val="auto"/>
        </w:rPr>
        <w:t>”), whether as original creditor, assignee, or by way of subrogation, restitution or otherwise, is hereby subordinated in right of payment to the Secured Obligations, and any such Indebtedness collected or received by the Obligee Guarantor after an Event of Default has occurred and is continuing shall be held in trust for the Administrative Agent on behalf of the Secured Parties and shall forthwith be paid over to the Administrative Agent for the benefit of the Secured Parties to be credited and applied against the Secured Obligations but without affecting, impairing or limiting in any manner the liability of the Obligee Guarantor under any other provision hereof.</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10.07 Financial Condition of Borrower and Guarantors</w:t>
      </w:r>
      <w:r>
        <w:rPr>
          <w:rFonts w:ascii="Arial" w:cs="Arial" w:eastAsia="Arial" w:hAnsi="Arial"/>
          <w:sz w:val="17"/>
          <w:szCs w:val="17"/>
          <w:color w:val="auto"/>
        </w:rPr>
        <w:t>. Any Credit Extension may be made to the Borrower or continued from time to time, and any Secured Hedge Agreements and Secured Cash Management Agreements may be entered into from time to time, in each case, without notice to or authorization from any Guarantor regardless of the financial or other condition of Borrower or any Guarantor at the time of any such grant or continuation or at the time such Secured Hedge Agreement or Secured Cash Management Agreement is entered into, as the case may be. No Secured Party shall have any obligation to disclose or discuss with any Guarantor its assessment, or any Guarantor’s assessment, of the financial condition of the Borrower or any other Guarantor. Each Guarantor has adequate means to obtain information from the Borrower and each Guarantor on a continuing basis concerning the financial condition of the Borrower and each other Guarantor and its ability to perform its obligations under the Loan Documents, Secured Cash Management Agreements and Secured Hedge Agreements, and each Guarantor assumes responsibility for being and keeping informed of the financial condition of Borrower and each other Guarantor and of all circumstances bearing upon the risk of nonpayment of the Secured Obligations. Each Guarantor hereby waives and relinquishes any duty on the part of any Secured Party to disclose any matter, fact or thing relating to the business, operations or conditions of the Borrower or any other Guarantor now known or hereafter known by any Secured Party.</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8" w:name="page199"/>
    <w:bookmarkEnd w:id="198"/>
    <w:p>
      <w:pPr>
        <w:jc w:val="both"/>
        <w:ind w:firstLine="648"/>
        <w:spacing w:after="0" w:line="293" w:lineRule="auto"/>
        <w:rPr>
          <w:sz w:val="20"/>
          <w:szCs w:val="20"/>
          <w:color w:val="auto"/>
        </w:rPr>
      </w:pPr>
      <w:r>
        <w:rPr>
          <w:rFonts w:ascii="Arial" w:cs="Arial" w:eastAsia="Arial" w:hAnsi="Arial"/>
          <w:sz w:val="16"/>
          <w:szCs w:val="16"/>
          <w:u w:val="single" w:color="auto"/>
          <w:color w:val="auto"/>
        </w:rPr>
        <w:t>10.08 Bankruptcy, Etc.</w:t>
      </w:r>
      <w:r>
        <w:rPr>
          <w:rFonts w:ascii="Arial" w:cs="Arial" w:eastAsia="Arial" w:hAnsi="Arial"/>
          <w:sz w:val="16"/>
          <w:szCs w:val="16"/>
          <w:color w:val="auto"/>
        </w:rPr>
        <w:t xml:space="preserve"> The obligations of the Guarantors hereunder shall not be reduced, limited, impaired, discharged, deferred, suspended or terminated by any case or proceeding under any Debtor Relief Law, voluntary or involuntary, involving the Borrower or any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Secured Obligations accruing or arising after the date on which such case or proceeding is commenced.</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10.09 Duration of Guaranty</w:t>
      </w:r>
      <w:r>
        <w:rPr>
          <w:rFonts w:ascii="Arial" w:cs="Arial" w:eastAsia="Arial" w:hAnsi="Arial"/>
          <w:sz w:val="18"/>
          <w:szCs w:val="18"/>
          <w:color w:val="auto"/>
        </w:rPr>
        <w:t xml:space="preserve">. The guarantee contained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remain in full force and effect until the Discharge of the Secured Obligations.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10.10 Reinstatement</w:t>
      </w:r>
      <w:r>
        <w:rPr>
          <w:rFonts w:ascii="Arial" w:cs="Arial" w:eastAsia="Arial" w:hAnsi="Arial"/>
          <w:sz w:val="17"/>
          <w:szCs w:val="17"/>
          <w:color w:val="auto"/>
        </w:rPr>
        <w:t>. If at any time payment of any of the Secured Obligations or any portion thereof is rescinded, disgorged or must otherwise be restored or returned by any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or if any Secured Party repays, restores, or returns, in whole or in part, any payment or property previously paid or transferred to the Secured Party in full or partial satisfaction of any Secured Obligation, because the payment or transfer or the incurrence of the obligation is so satisfied, or is declared to be void, voidable, or otherwise recoverable under any state or federal law (collectively a “</w:t>
      </w:r>
      <w:r>
        <w:rPr>
          <w:rFonts w:ascii="Arial" w:cs="Arial" w:eastAsia="Arial" w:hAnsi="Arial"/>
          <w:sz w:val="17"/>
          <w:szCs w:val="17"/>
          <w:u w:val="single" w:color="auto"/>
          <w:color w:val="auto"/>
        </w:rPr>
        <w:t>Voidable Transfer</w:t>
      </w:r>
      <w:r>
        <w:rPr>
          <w:rFonts w:ascii="Arial" w:cs="Arial" w:eastAsia="Arial" w:hAnsi="Arial"/>
          <w:sz w:val="17"/>
          <w:szCs w:val="17"/>
          <w:color w:val="auto"/>
        </w:rPr>
        <w:t>”), or because such Secured Party elects to do so on the reasonable advice of its counsel in connection with an assertion that the payment, transfer or incurrence is a Voidable Transfer, then, as to any such Voidable Transfer and as to all reasonable costs, expenses and attorney’s fees of the Secured Party related thereto, the liability of each Guarantor hereunder will automatically and immediately be revived, reinstated, and restored and will exist as though the Voidable Transfer had never been made.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u w:val="single" w:color="auto"/>
          <w:color w:val="auto"/>
        </w:rPr>
        <w:t>10.11 Keepwell</w:t>
      </w:r>
      <w:r>
        <w:rPr>
          <w:rFonts w:ascii="Arial" w:cs="Arial" w:eastAsia="Arial" w:hAnsi="Arial"/>
          <w:sz w:val="17"/>
          <w:szCs w:val="17"/>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Qualified ECP Guarantor shall only be liable under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or otherwise under this Guaranty, as it relates to such Loan Party, voidable under applicable law relating to fraudulent conveyance or fraudulent transfer, and not for any greater amount). The obligations of each Qualified ECP Guarantor under this Section shall remain in full force and effect until a Discharge of the Secured Obligations. Each Qualified ECP Guarantor intends that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shall be deemed to constitute, a “keepwell, support, or other agreement” for the benefit of each other Loan Party for all purposes of Section 1a(18)(A)(v)(II) of the Commodity Exchange Act.</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u w:val="single" w:color="auto"/>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u w:val="single" w:color="auto"/>
          <w:color w:val="auto"/>
        </w:rPr>
        <w:t>11.01 Amendments, Etc.</w:t>
      </w:r>
      <w:r>
        <w:rPr>
          <w:rFonts w:ascii="Arial" w:cs="Arial" w:eastAsia="Arial" w:hAnsi="Arial"/>
          <w:sz w:val="17"/>
          <w:szCs w:val="17"/>
          <w:color w:val="auto"/>
        </w:rPr>
        <w:t xml:space="preserve"> No amendment or waiver of any provision of this Agreement or any other Loan Document (other than the Fee Letter), and no consent to any departure by any Loan Party therefrom, shall be effective unless in writing signed by the Required Lenders and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waiver or consent shall:</w:t>
      </w:r>
    </w:p>
    <w:p>
      <w:pPr>
        <w:spacing w:after="0" w:line="171" w:lineRule="exact"/>
        <w:rPr>
          <w:sz w:val="20"/>
          <w:szCs w:val="20"/>
          <w:color w:val="auto"/>
        </w:rPr>
      </w:pPr>
    </w:p>
    <w:p>
      <w:pPr>
        <w:ind w:firstLine="1305"/>
        <w:spacing w:after="0" w:line="277" w:lineRule="auto"/>
        <w:tabs>
          <w:tab w:leader="none" w:pos="208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solely in the case of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without the written consent of each Lender party hereto at the time of such Credit Extension;</w:t>
      </w:r>
    </w:p>
    <w:p>
      <w:pPr>
        <w:spacing w:after="0" w:line="170" w:lineRule="exact"/>
        <w:rPr>
          <w:rFonts w:ascii="Arial" w:cs="Arial" w:eastAsia="Arial" w:hAnsi="Arial"/>
          <w:sz w:val="18"/>
          <w:szCs w:val="18"/>
          <w:color w:val="auto"/>
        </w:rPr>
      </w:pPr>
    </w:p>
    <w:p>
      <w:pPr>
        <w:ind w:firstLine="1305"/>
        <w:spacing w:after="0" w:line="277" w:lineRule="auto"/>
        <w:tabs>
          <w:tab w:leader="none" w:pos="201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right="20" w:firstLine="1305"/>
        <w:spacing w:after="0" w:line="277" w:lineRule="auto"/>
        <w:tabs>
          <w:tab w:leader="none" w:pos="197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extend the stated expiration date of any Letter of Credit beyond the Letter of Credit Expiration Date without the written consent of each Lender that would be directly affected thereby and the L/C Issuer of such Letter of Credit;</w:t>
      </w:r>
    </w:p>
    <w:p>
      <w:pPr>
        <w:spacing w:after="0" w:line="170" w:lineRule="exact"/>
        <w:rPr>
          <w:rFonts w:ascii="Arial" w:cs="Arial" w:eastAsia="Arial" w:hAnsi="Arial"/>
          <w:sz w:val="18"/>
          <w:szCs w:val="18"/>
          <w:color w:val="auto"/>
        </w:rPr>
      </w:pPr>
    </w:p>
    <w:p>
      <w:pPr>
        <w:jc w:val="both"/>
        <w:ind w:firstLine="1305"/>
        <w:spacing w:after="0" w:line="263" w:lineRule="auto"/>
        <w:tabs>
          <w:tab w:leader="none" w:pos="197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or payments of increased costs or indemnities) of principal, interest, fees or other amounts due to the Lenders (or any of them) hereunder or under such other Loan Document without the written consent of each Lender directly entitled to such payment;</w:t>
      </w:r>
    </w:p>
    <w:p>
      <w:pPr>
        <w:spacing w:after="0" w:line="183" w:lineRule="exact"/>
        <w:rPr>
          <w:rFonts w:ascii="Arial" w:cs="Arial" w:eastAsia="Arial" w:hAnsi="Arial"/>
          <w:sz w:val="18"/>
          <w:szCs w:val="18"/>
          <w:color w:val="auto"/>
        </w:rPr>
      </w:pPr>
    </w:p>
    <w:p>
      <w:pPr>
        <w:jc w:val="both"/>
        <w:ind w:firstLine="1305"/>
        <w:spacing w:after="0" w:line="301" w:lineRule="auto"/>
        <w:tabs>
          <w:tab w:leader="none" w:pos="201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clause (iii) of the second proviso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without the written consent of each Lender directly entitled to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the definition of “Default Rate” or to waive any obligation of the Borrower to pay interest or Letter of Credit Fees, or any other Obligations, at the Default Rate;</w:t>
      </w:r>
    </w:p>
    <w:p>
      <w:pPr>
        <w:spacing w:after="0" w:line="157" w:lineRule="exact"/>
        <w:rPr>
          <w:rFonts w:ascii="Arial" w:cs="Arial" w:eastAsia="Arial" w:hAnsi="Arial"/>
          <w:sz w:val="16"/>
          <w:szCs w:val="16"/>
          <w:color w:val="auto"/>
        </w:rPr>
      </w:pPr>
    </w:p>
    <w:p>
      <w:pPr>
        <w:jc w:val="both"/>
        <w:ind w:firstLine="1305"/>
        <w:spacing w:after="0" w:line="296" w:lineRule="auto"/>
        <w:tabs>
          <w:tab w:leader="none" w:pos="214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change (i)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pro rata sharing of payments required thereby without the written consent of each Lender, (ii)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 a manner that would alter the pro rata sharing of payments required thereby without the written consent of each Revolving Credit Lender directly adversely affected thereby or (iii)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in a manner that would alter the pro rata sharing of payments required thereby without the written consent of (x) if such Facility is an Incremental Facility comprised of Incremental Term Loan Commitments, the Required Incremental Term Loan Lenders of such Series and (y) if such Facility is the Revolving Credit Facility, the Required Revolving Credit Lenders;</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0" w:name="page201"/>
    <w:bookmarkEnd w:id="200"/>
    <w:p>
      <w:pPr>
        <w:jc w:val="both"/>
        <w:ind w:firstLine="1305"/>
        <w:spacing w:after="0" w:line="271" w:lineRule="auto"/>
        <w:tabs>
          <w:tab w:leader="none" w:pos="201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(i) change any provision of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or the last sentence of </w:t>
      </w:r>
      <w:r>
        <w:rPr>
          <w:rFonts w:ascii="Arial" w:cs="Arial" w:eastAsia="Arial" w:hAnsi="Arial"/>
          <w:sz w:val="17"/>
          <w:szCs w:val="17"/>
          <w:u w:val="single" w:color="auto"/>
          <w:color w:val="auto"/>
        </w:rPr>
        <w:t>Section 9.09</w:t>
      </w:r>
      <w:r>
        <w:rPr>
          <w:rFonts w:ascii="Arial" w:cs="Arial" w:eastAsia="Arial" w:hAnsi="Arial"/>
          <w:sz w:val="17"/>
          <w:szCs w:val="17"/>
          <w:color w:val="auto"/>
        </w:rPr>
        <w:t xml:space="preserve"> or clause (x) of the first sentence of </w:t>
      </w:r>
      <w:r>
        <w:rPr>
          <w:rFonts w:ascii="Arial" w:cs="Arial" w:eastAsia="Arial" w:hAnsi="Arial"/>
          <w:sz w:val="17"/>
          <w:szCs w:val="17"/>
          <w:u w:val="single" w:color="auto"/>
          <w:color w:val="auto"/>
        </w:rPr>
        <w:t>Section 11.06(a)</w:t>
      </w:r>
      <w:r>
        <w:rPr>
          <w:rFonts w:ascii="Arial" w:cs="Arial" w:eastAsia="Arial" w:hAnsi="Arial"/>
          <w:sz w:val="17"/>
          <w:szCs w:val="17"/>
          <w:color w:val="auto"/>
        </w:rPr>
        <w:t xml:space="preserve"> without the written consent of each Lender, (ii) change the definition of “Required Revolving Credit Lenders” or any other provision hereof specifying the number or percentage of Revolving Credit Lenders required to amend, waive or otherwise modify any rights hereunder or make any determination or grant any consent hereunder, without the written consent of each Revolving Credit Lender or (iii) change the definition of “Required Incremental Term Loan Lenders” or any other provision hereof specifying the number or percentage of Incremental Term Loan Lenders required to amend, waive or otherwise modify any rights hereunder or make any determination or grant any consent hereunder, without the written consent of each Incremental Term Loan Lender;</w:t>
      </w:r>
    </w:p>
    <w:p>
      <w:pPr>
        <w:spacing w:after="0" w:line="178" w:lineRule="exact"/>
        <w:rPr>
          <w:rFonts w:ascii="Arial" w:cs="Arial" w:eastAsia="Arial" w:hAnsi="Arial"/>
          <w:sz w:val="17"/>
          <w:szCs w:val="17"/>
          <w:color w:val="auto"/>
        </w:rPr>
      </w:pPr>
    </w:p>
    <w:p>
      <w:pPr>
        <w:jc w:val="both"/>
        <w:ind w:firstLine="1305"/>
        <w:spacing w:after="0" w:line="272" w:lineRule="auto"/>
        <w:tabs>
          <w:tab w:leader="none" w:pos="1997"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0000FF"/>
        </w:rPr>
        <w:t>(i)</w:t>
      </w:r>
      <w:r>
        <w:rPr>
          <w:rFonts w:ascii="Arial" w:cs="Arial" w:eastAsia="Arial" w:hAnsi="Arial"/>
          <w:sz w:val="17"/>
          <w:szCs w:val="17"/>
          <w:color w:val="0000FF"/>
        </w:rPr>
        <w:t xml:space="preserve"> </w:t>
      </w:r>
      <w:r>
        <w:rPr>
          <w:rFonts w:ascii="Arial" w:cs="Arial" w:eastAsia="Arial" w:hAnsi="Arial"/>
          <w:sz w:val="17"/>
          <w:szCs w:val="17"/>
          <w:color w:val="000000"/>
        </w:rPr>
        <w:t>release all or substantially all of the Collateral in any transaction or series of related transactions without the written consent</w:t>
      </w:r>
      <w:r>
        <w:rPr>
          <w:rFonts w:ascii="Arial" w:cs="Arial" w:eastAsia="Arial" w:hAnsi="Arial"/>
          <w:sz w:val="17"/>
          <w:szCs w:val="17"/>
          <w:color w:val="0000FF"/>
        </w:rPr>
        <w:t xml:space="preserve"> </w:t>
      </w:r>
      <w:r>
        <w:rPr>
          <w:rFonts w:ascii="Arial" w:cs="Arial" w:eastAsia="Arial" w:hAnsi="Arial"/>
          <w:sz w:val="17"/>
          <w:szCs w:val="17"/>
          <w:color w:val="000000"/>
        </w:rPr>
        <w:t>of each Lender</w:t>
      </w:r>
      <w:r>
        <w:rPr>
          <w:rFonts w:ascii="Arial" w:cs="Arial" w:eastAsia="Arial" w:hAnsi="Arial"/>
          <w:sz w:val="17"/>
          <w:szCs w:val="17"/>
          <w:color w:val="FF0000"/>
          <w:strike w:val="1"/>
        </w:rPr>
        <w:t>; or</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or (ii) subordinate the Obligations (or any portion thereof) to any other Indebtedness or subordinate the Liens on the Collateral (or any</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potion thereof) securing the Obligations to Liens securing any other Indebtedness for borrowed money or Indebtedness evidenced by bonds, debentures, notes, loan agreements or other similar instruments, without the written consent of each Lender (it being understood, for the avoidance of doubt, that the foregoing shall not prohibit Liens described in the definition of Permitted Prior Liens (as in effect on the A&amp;R Credit Agreement Eighth Amendment Effective Date, or as such definition may be amended thereafter with respect to any such Indebtedness with the written consent of each Lender) from being prior to the Liens on the portions of the Collateral referred to in such definition); or</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release all or substantially all of the value of the Guaranty without the written consent of each Lender;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no amendment (including any amendment of this clause of </w:t>
      </w:r>
      <w:r>
        <w:rPr>
          <w:rFonts w:ascii="Arial" w:cs="Arial" w:eastAsia="Arial" w:hAnsi="Arial"/>
          <w:sz w:val="16"/>
          <w:szCs w:val="16"/>
          <w:u w:val="single" w:color="auto"/>
          <w:color w:val="auto"/>
        </w:rPr>
        <w:t>Section 11.01</w:t>
      </w:r>
      <w:r>
        <w:rPr>
          <w:rFonts w:ascii="Arial" w:cs="Arial" w:eastAsia="Arial" w:hAnsi="Arial"/>
          <w:sz w:val="16"/>
          <w:szCs w:val="16"/>
          <w:color w:val="auto"/>
        </w:rPr>
        <w: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Administrative Agent in addition to the Lenders required above, affect the rights or duties of the Administrative Agent under this Agreement or any other Loan Document; and (iii) the Fee Letter and the Engagement Letter may be amended, or rights or privileges thereunder waived, in a writing executed only by the parties thereto. Notwithstanding anything to the contrary herein, no Defaulting Lender shall have any right to approve or disapprove any amendment, waiver or consent hereunder (and each such Defaulting Lender shall be deemed to have approved or disapproved of any such amendment, waiver or consent hereunder in the same proportion as the non-Defaulting Lenders), except that (a) the Commitment of such Lender may not be increased or extended without the consent of such Lender, (b) no amendment, waiver or consent hereunder shall reduce the principal of, or the rate of interest specified herein on, any Loan or L/C Borrowing payable hereunder or under any other Loan Document without the written consent of such Lender directly entitled to such amount and (c) no amendment, waiver or consent hereunder shall postpone any date fixed by this Agreement or any other Loan Document for any payment (excluding mandatory prepayments or payments of increased costs or indemnities) of principal or interest due to the Lenders (or any of them) hereunder or under such other Loan Document without the written consent of such Lender directly entitled to such payment.</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1" w:name="page202"/>
    <w:bookmarkEnd w:id="201"/>
    <w:p>
      <w:pPr>
        <w:jc w:val="both"/>
        <w:ind w:firstLine="648"/>
        <w:spacing w:after="0" w:line="254" w:lineRule="auto"/>
        <w:rPr>
          <w:sz w:val="20"/>
          <w:szCs w:val="20"/>
          <w:color w:val="auto"/>
        </w:rPr>
      </w:pPr>
      <w:r>
        <w:rPr>
          <w:rFonts w:ascii="Arial" w:cs="Arial" w:eastAsia="Arial" w:hAnsi="Arial"/>
          <w:sz w:val="18"/>
          <w:szCs w:val="18"/>
          <w:color w:val="auto"/>
        </w:rPr>
        <w:t xml:space="preserve">If any Lender does not consent to a proposed amendment, waiver, consent or release with respect to any Loan Document that requires the consent of each Lender or each directly and adversely affected Lender, or of each Lender directly entitled to a payment amount, or each affected Lender, and that has been approved by the Required Lenders, or any Lender rejects an Extension Offer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Non-Extending Lender</w:t>
      </w:r>
      <w:r>
        <w:rPr>
          <w:rFonts w:ascii="Arial" w:cs="Arial" w:eastAsia="Arial" w:hAnsi="Arial"/>
          <w:sz w:val="18"/>
          <w:szCs w:val="18"/>
          <w:color w:val="auto"/>
        </w:rPr>
        <w:t xml:space="preserve">”), the Borrower may replace such non-consenting Lender or Non-Extending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non-consenting Lender such amendment, waiver, consent or release can be effected as a result of the assignment contemplated by such Section (together with all other such assignments required by the Borrower to be made pursuant to this paragraph) and in the case of any Non-Extending Lender, the replacement lender shall accept the Extension Offer.</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anything to the contrary in this Agreement or any other Loan Document (including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(x) the consent of the Required Lenders shall not be required to make any changes necessary to be made in connection with any increase in the Commitments hereunder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any Extension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(y)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3.03</w:t>
      </w:r>
      <w:r>
        <w:rPr>
          <w:rFonts w:ascii="Arial" w:cs="Arial" w:eastAsia="Arial" w:hAnsi="Arial"/>
          <w:sz w:val="18"/>
          <w:szCs w:val="18"/>
          <w:b w:val="1"/>
          <w:bCs w:val="1"/>
          <w:u w:val="single" w:color="auto"/>
          <w:color w:val="0000FF"/>
        </w:rPr>
        <w:t>2.18</w:t>
      </w:r>
      <w:r>
        <w:rPr>
          <w:rFonts w:ascii="Arial" w:cs="Arial" w:eastAsia="Arial" w:hAnsi="Arial"/>
          <w:sz w:val="18"/>
          <w:szCs w:val="18"/>
          <w:color w:val="auto"/>
        </w:rPr>
        <w:t xml:space="preserve">, only the consent of the Administrative Agent and the Borrower shall be required to amend this Agreement to reflect an alternate rate of interest as to which the Required Lenders shall not have objected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3.03</w:t>
      </w:r>
      <w:r>
        <w:rPr>
          <w:rFonts w:ascii="Arial" w:cs="Arial" w:eastAsia="Arial" w:hAnsi="Arial"/>
          <w:sz w:val="18"/>
          <w:szCs w:val="18"/>
          <w:b w:val="1"/>
          <w:bCs w:val="1"/>
          <w:u w:val="single" w:color="auto"/>
          <w:color w:val="0000FF"/>
        </w:rPr>
        <w:t>2.18</w:t>
      </w:r>
      <w:r>
        <w:rPr>
          <w:rFonts w:ascii="Arial" w:cs="Arial" w:eastAsia="Arial" w:hAnsi="Arial"/>
          <w:sz w:val="18"/>
          <w:szCs w:val="18"/>
          <w:color w:val="auto"/>
        </w:rPr>
        <w:t>.</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u w:val="single" w:color="auto"/>
          <w:color w:val="auto"/>
        </w:rPr>
        <w:t>11.02</w:t>
      </w:r>
      <w:r>
        <w:rPr>
          <w:sz w:val="20"/>
          <w:szCs w:val="20"/>
          <w:color w:val="auto"/>
        </w:rPr>
        <w:tab/>
      </w:r>
      <w:r>
        <w:rPr>
          <w:rFonts w:ascii="Arial" w:cs="Arial" w:eastAsia="Arial" w:hAnsi="Arial"/>
          <w:sz w:val="16"/>
          <w:szCs w:val="16"/>
          <w:u w:val="single" w:color="auto"/>
          <w:color w:val="auto"/>
        </w:rPr>
        <w:t>Notices; Effectiveness; Electronic Communications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9" w:lineRule="auto"/>
        <w:tabs>
          <w:tab w:leader="none" w:pos="2027"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660" w:firstLine="1292"/>
        <w:spacing w:after="0" w:line="277" w:lineRule="auto"/>
        <w:tabs>
          <w:tab w:leader="none" w:pos="271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if to the Loan Parties, the Administrative Agent or any L/C Issuer,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2860" w:hanging="908"/>
        <w:spacing w:after="0"/>
        <w:tabs>
          <w:tab w:leader="none" w:pos="286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if to any Lender, to the address, telecopier number, electronic mail address or telephone number specified in its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Administrative Questionnaire.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2" w:name="page203"/>
    <w:bookmarkEnd w:id="202"/>
    <w:p>
      <w:pPr>
        <w:jc w:val="both"/>
        <w:ind w:firstLine="1305"/>
        <w:spacing w:after="0" w:line="293" w:lineRule="auto"/>
        <w:tabs>
          <w:tab w:leader="none" w:pos="1997"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any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such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4" w:lineRule="exact"/>
        <w:rPr>
          <w:sz w:val="20"/>
          <w:szCs w:val="20"/>
          <w:color w:val="auto"/>
        </w:rPr>
      </w:pPr>
    </w:p>
    <w:p>
      <w:pPr>
        <w:jc w:val="both"/>
        <w:ind w:firstLine="1305"/>
        <w:spacing w:after="0" w:line="269" w:lineRule="auto"/>
        <w:tabs>
          <w:tab w:leader="none" w:pos="2027"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Loan Party,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Agent Party have any liability to any Loan Party, any Lender, any L/C Issuer or any other Person for indirect, special, incidental, consequential or punitive damages (as opposed to direct or actual damages).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3" w:name="page204"/>
    <w:bookmarkEnd w:id="203"/>
    <w:p>
      <w:pPr>
        <w:jc w:val="both"/>
        <w:ind w:firstLine="1305"/>
        <w:spacing w:after="0" w:line="269" w:lineRule="auto"/>
        <w:tabs>
          <w:tab w:leader="none" w:pos="2145"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Loan Parties, the Administrative Agent and each L/C Issuer may change its address, telecopier or telephone number for notices and other communications hereunder by notice to the other parties hereto. Each Lender may change its address, telecopier or telephone number for notices and other communications hereunder by notice to the Borrower, the Administrative Agent and each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1" w:lineRule="exact"/>
        <w:rPr>
          <w:rFonts w:ascii="Arial" w:cs="Arial" w:eastAsia="Arial" w:hAnsi="Arial"/>
          <w:sz w:val="17"/>
          <w:szCs w:val="17"/>
          <w:color w:val="auto"/>
        </w:rPr>
      </w:pPr>
    </w:p>
    <w:p>
      <w:pPr>
        <w:jc w:val="both"/>
        <w:ind w:firstLine="1305"/>
        <w:spacing w:after="0" w:line="291" w:lineRule="auto"/>
        <w:tabs>
          <w:tab w:leader="none" w:pos="1946"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L/C Issuers and Lenders</w:t>
      </w:r>
      <w:r>
        <w:rPr>
          <w:rFonts w:ascii="Arial" w:cs="Arial" w:eastAsia="Arial" w:hAnsi="Arial"/>
          <w:sz w:val="16"/>
          <w:szCs w:val="16"/>
          <w:color w:val="auto"/>
        </w:rPr>
        <w:t>. The Administrative Agent, the L/C Issuers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u w:val="single" w:color="auto"/>
          <w:color w:val="auto"/>
        </w:rPr>
        <w:t>11.03 No Waiver; Cumulative Remedies; Enforcement</w:t>
      </w:r>
      <w:r>
        <w:rPr>
          <w:rFonts w:ascii="Arial" w:cs="Arial" w:eastAsia="Arial" w:hAnsi="Arial"/>
          <w:sz w:val="17"/>
          <w:szCs w:val="17"/>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or in equity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an L/C Issuer) hereunder and under the other Loan Documents, (c) any Lender from exercising setoff rights in accordance with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clauses (b), (c) and (d) of the preceding proviso and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4" w:name="page205"/>
    <w:bookmarkEnd w:id="204"/>
    <w:p>
      <w:pPr>
        <w:ind w:left="660"/>
        <w:spacing w:after="0"/>
        <w:tabs>
          <w:tab w:leader="none" w:pos="1300" w:val="left"/>
        </w:tabs>
        <w:rPr>
          <w:sz w:val="20"/>
          <w:szCs w:val="20"/>
          <w:color w:val="auto"/>
        </w:rPr>
      </w:pPr>
      <w:r>
        <w:rPr>
          <w:rFonts w:ascii="Arial" w:cs="Arial" w:eastAsia="Arial" w:hAnsi="Arial"/>
          <w:sz w:val="18"/>
          <w:szCs w:val="18"/>
          <w:u w:val="single" w:color="auto"/>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21" w:lineRule="exact"/>
        <w:rPr>
          <w:sz w:val="20"/>
          <w:szCs w:val="20"/>
          <w:color w:val="auto"/>
        </w:rPr>
      </w:pPr>
    </w:p>
    <w:p>
      <w:pPr>
        <w:jc w:val="both"/>
        <w:ind w:firstLine="1305"/>
        <w:spacing w:after="0" w:line="268" w:lineRule="auto"/>
        <w:tabs>
          <w:tab w:leader="none" w:pos="2189"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xml:space="preserve">. The Borrower shall pay (i) all reasonable </w:t>
      </w:r>
      <w:r>
        <w:rPr>
          <w:rFonts w:ascii="Arial" w:cs="Arial" w:eastAsia="Arial" w:hAnsi="Arial"/>
          <w:sz w:val="17"/>
          <w:szCs w:val="17"/>
          <w:b w:val="1"/>
          <w:bCs w:val="1"/>
          <w:u w:val="single" w:color="auto"/>
          <w:color w:val="0000FF"/>
        </w:rPr>
        <w:t>and documented</w:t>
      </w:r>
      <w:r>
        <w:rPr>
          <w:rFonts w:ascii="Arial" w:cs="Arial" w:eastAsia="Arial" w:hAnsi="Arial"/>
          <w:sz w:val="17"/>
          <w:szCs w:val="17"/>
          <w:color w:val="auto"/>
        </w:rPr>
        <w:t xml:space="preserve"> out-of-pocket expenses incurred by the Arrangers, the Administrative Agent and their respective Affiliates (including the reasonable and documented or invoiced fees and expenses of one counsel per relevant jurisdiction for the Arrangers and the Administrative Agent and one local counsel per relevant jurisdiction (which may include a single counsel acting in multiple jurisdictions) and one special counsel, including special regulatory counsel, per relevant jurisdiction), in connection with the Transactions and the contemplated use of proceeds thereof and the preparation, negotiation, execution, delivery and administration of this Agreement and the other Loan Documents and any amendments, modifications or waivers of the provisions hereof or thereof (whether or not the Transactions or the other transactions contemplated hereby or thereby shall be consummated) and any ancillary documents in connection therewith, (ii) all reasonable </w:t>
      </w:r>
      <w:r>
        <w:rPr>
          <w:rFonts w:ascii="Arial" w:cs="Arial" w:eastAsia="Arial" w:hAnsi="Arial"/>
          <w:sz w:val="17"/>
          <w:szCs w:val="17"/>
          <w:b w:val="1"/>
          <w:bCs w:val="1"/>
          <w:u w:val="single" w:color="auto"/>
          <w:color w:val="0000FF"/>
        </w:rPr>
        <w:t>and documented</w:t>
      </w:r>
      <w:r>
        <w:rPr>
          <w:rFonts w:ascii="Arial" w:cs="Arial" w:eastAsia="Arial" w:hAnsi="Arial"/>
          <w:sz w:val="17"/>
          <w:szCs w:val="17"/>
          <w:color w:val="auto"/>
        </w:rPr>
        <w:t xml:space="preserve"> out-of-pocket expenses incurred by any L/C Issuer in connection with the issuance, amendment or extension of any Letter of Credit or any demand for payment thereunder and (iii) all out-of-pocket expenses incurred by the Administrative Agent, any Lender or any L/C Issuer (including the </w:t>
      </w:r>
      <w:r>
        <w:rPr>
          <w:rFonts w:ascii="Arial" w:cs="Arial" w:eastAsia="Arial" w:hAnsi="Arial"/>
          <w:sz w:val="17"/>
          <w:szCs w:val="17"/>
          <w:b w:val="1"/>
          <w:bCs w:val="1"/>
          <w:u w:val="single" w:color="auto"/>
          <w:color w:val="0000FF"/>
        </w:rPr>
        <w:t>invoiced</w:t>
      </w:r>
      <w:r>
        <w:rPr>
          <w:rFonts w:ascii="Arial" w:cs="Arial" w:eastAsia="Arial" w:hAnsi="Arial"/>
          <w:sz w:val="17"/>
          <w:szCs w:val="17"/>
          <w:color w:val="auto"/>
        </w:rPr>
        <w:t xml:space="preserve"> fees and expenses of any counsel for the Administrative Agent, any Lender or any L/C Issuer), in connection with the enforcement or protection of its rights (A) in connection with this Agreement and the other Loan Documents and the Transactions, including its rights under this Section and (B) in connection with Loans made or Letters of Credit issued hereunder, including all such out-of-pocket expenses incurred during any workout, restructuring or negotiations in respect of such Loans or Letters of Credit. The Borrower acknowledges that the Administrative Agent or the Arrangers may receive a benefit, including without limitation, a discount, credit or other accommodation, from counsel based on the fees such counsel may receive on account of their relationship with the Administrative Agent or the Arrangers.</w:t>
      </w:r>
    </w:p>
    <w:p>
      <w:pPr>
        <w:spacing w:after="0" w:line="185" w:lineRule="exact"/>
        <w:rPr>
          <w:rFonts w:ascii="Arial" w:cs="Arial" w:eastAsia="Arial" w:hAnsi="Arial"/>
          <w:sz w:val="17"/>
          <w:szCs w:val="17"/>
          <w:color w:val="auto"/>
        </w:rPr>
      </w:pPr>
    </w:p>
    <w:p>
      <w:pPr>
        <w:jc w:val="both"/>
        <w:ind w:firstLine="1305"/>
        <w:spacing w:after="0" w:line="284" w:lineRule="auto"/>
        <w:tabs>
          <w:tab w:leader="none" w:pos="2051"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Arrangers, the Administrative Agent (and any sub-agent thereof), each Lender and each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joint or several, (including the </w:t>
      </w:r>
      <w:r>
        <w:rPr>
          <w:rFonts w:ascii="Arial" w:cs="Arial" w:eastAsia="Arial" w:hAnsi="Arial"/>
          <w:sz w:val="16"/>
          <w:szCs w:val="16"/>
          <w:b w:val="1"/>
          <w:bCs w:val="1"/>
          <w:u w:val="single" w:color="auto"/>
          <w:color w:val="0000FF"/>
        </w:rPr>
        <w:t>reasonable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and documented</w:t>
      </w:r>
      <w:r>
        <w:rPr>
          <w:rFonts w:ascii="Arial" w:cs="Arial" w:eastAsia="Arial" w:hAnsi="Arial"/>
          <w:sz w:val="16"/>
          <w:szCs w:val="16"/>
          <w:b w:val="1"/>
          <w:bCs w:val="1"/>
          <w:color w:val="0000FF"/>
        </w:rPr>
        <w:t xml:space="preserve"> </w:t>
      </w:r>
      <w:r>
        <w:rPr>
          <w:rFonts w:ascii="Arial" w:cs="Arial" w:eastAsia="Arial" w:hAnsi="Arial"/>
          <w:sz w:val="16"/>
          <w:szCs w:val="16"/>
          <w:color w:val="000000"/>
        </w:rPr>
        <w:t>fees and expenses of one counsel and local and special counsel for the Indemnitees (except to the extent that an Indemnitee shall have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been advised by counsel that there are actual conflicting interests or there exists the reasonable likelihood of a conflicting interest between such Indemnitee and another Indemnitee)) (in each case, other than with respect to those losses, claims, damages, liabilities and related expenses set forth in </w:t>
      </w:r>
      <w:r>
        <w:rPr>
          <w:rFonts w:ascii="Arial" w:cs="Arial" w:eastAsia="Arial" w:hAnsi="Arial"/>
          <w:sz w:val="16"/>
          <w:szCs w:val="16"/>
          <w:u w:val="single" w:color="auto"/>
          <w:color w:val="000000"/>
        </w:rPr>
        <w:t>Sections 3.02</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FF0000"/>
          <w:strike w:val="1"/>
        </w:rPr>
        <w:t>3.04</w:t>
      </w:r>
      <w:r>
        <w:rPr>
          <w:rFonts w:ascii="Arial" w:cs="Arial" w:eastAsia="Arial" w:hAnsi="Arial"/>
          <w:sz w:val="16"/>
          <w:szCs w:val="16"/>
          <w:b w:val="1"/>
          <w:bCs w:val="1"/>
          <w:u w:val="single" w:color="auto"/>
          <w:color w:val="0000FF"/>
        </w:rPr>
        <w:t>3.03</w:t>
      </w:r>
      <w:r>
        <w:rPr>
          <w:rFonts w:ascii="Arial" w:cs="Arial" w:eastAsia="Arial" w:hAnsi="Arial"/>
          <w:sz w:val="16"/>
          <w:szCs w:val="16"/>
          <w:color w:val="000000"/>
        </w:rPr>
        <w:t>, and</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FF0000"/>
          <w:strike w:val="1"/>
        </w:rPr>
        <w:t>3.05</w:t>
      </w:r>
      <w:r>
        <w:rPr>
          <w:rFonts w:ascii="Arial" w:cs="Arial" w:eastAsia="Arial" w:hAnsi="Arial"/>
          <w:sz w:val="16"/>
          <w:szCs w:val="16"/>
          <w:b w:val="1"/>
          <w:bCs w:val="1"/>
          <w:u w:val="single" w:color="auto"/>
          <w:color w:val="0000FF"/>
        </w:rPr>
        <w:t>3.04</w:t>
      </w:r>
      <w:r>
        <w:rPr>
          <w:rFonts w:ascii="Arial" w:cs="Arial" w:eastAsia="Arial" w:hAnsi="Arial"/>
          <w:sz w:val="16"/>
          <w:szCs w:val="16"/>
          <w:color w:val="000000"/>
        </w:rPr>
        <w:t>, which shall be governed by the relevant terms and conditions set forth therein) incurred by any Indemnitee or asserted against any</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and the consummation of the Transactions and the other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defense or proceeding relating to any of the foregoing, whether based on contract, tort or any other theory, whether brought by a third party or by the Borrower or any other Loan Party or any Affiliate thereof or any of the Borrower’s or such Loan Party’s or such Affiliate’s directors, shareholders or creditors, and regardless of whether any Indemnitee is a party thereto;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indemnity shall not, as to any Indemnitee, be available to the extent that such losses, claims, damages, liabilities or related expenses, (w) are determined by a court of competent jurisdiction by final and nonappealable judgment to have resulted from the gross negligence or willful misconduct of such Indemnitee </w:t>
      </w:r>
      <w:r>
        <w:rPr>
          <w:rFonts w:ascii="Arial" w:cs="Arial" w:eastAsia="Arial" w:hAnsi="Arial"/>
          <w:sz w:val="16"/>
          <w:szCs w:val="16"/>
          <w:b w:val="1"/>
          <w:bCs w:val="1"/>
          <w:color w:val="0000FF"/>
        </w:rPr>
        <w:t>or any of its controlled Affiliates or controlling persons</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or their respective directors, officers or employees</w:t>
      </w:r>
      <w:r>
        <w:rPr>
          <w:rFonts w:ascii="Arial" w:cs="Arial" w:eastAsia="Arial" w:hAnsi="Arial"/>
          <w:sz w:val="16"/>
          <w:szCs w:val="16"/>
          <w:color w:val="000000"/>
        </w:rPr>
        <w:t>, (x) result from a claim brought by one Indemnitee against another Indemnitee (other than claims</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against any Agent or Arranger in its capacity as such) and not arising out of or involving any act or omission of any Loan Party or any of their subsidiaries or Affiliates or (y) result from a claim brought by the Borrower or any other Loan Party against such Indemnitee for material breach of </w:t>
      </w:r>
      <w:r>
        <w:rPr>
          <w:rFonts w:ascii="Arial" w:cs="Arial" w:eastAsia="Arial" w:hAnsi="Arial"/>
          <w:sz w:val="16"/>
          <w:szCs w:val="16"/>
          <w:b w:val="1"/>
          <w:bCs w:val="1"/>
          <w:color w:val="FF0000"/>
          <w:strike w:val="1"/>
        </w:rPr>
        <w:t>such</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Indemnitee’s</w:t>
      </w:r>
      <w:r>
        <w:rPr>
          <w:rFonts w:ascii="Arial" w:cs="Arial" w:eastAsia="Arial" w:hAnsi="Arial"/>
          <w:sz w:val="16"/>
          <w:szCs w:val="16"/>
          <w:b w:val="1"/>
          <w:bCs w:val="1"/>
          <w:u w:val="single" w:color="auto"/>
          <w:color w:val="0000FF"/>
        </w:rPr>
        <w:t>the</w:t>
      </w:r>
      <w:r>
        <w:rPr>
          <w:rFonts w:ascii="Arial" w:cs="Arial" w:eastAsia="Arial" w:hAnsi="Arial"/>
          <w:sz w:val="16"/>
          <w:szCs w:val="16"/>
          <w:b w:val="1"/>
          <w:bCs w:val="1"/>
          <w:color w:val="FF0000"/>
        </w:rPr>
        <w:t xml:space="preserve"> </w:t>
      </w:r>
      <w:r>
        <w:rPr>
          <w:rFonts w:ascii="Arial" w:cs="Arial" w:eastAsia="Arial" w:hAnsi="Arial"/>
          <w:sz w:val="16"/>
          <w:szCs w:val="16"/>
          <w:color w:val="000000"/>
        </w:rPr>
        <w:t>obligations</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of such Indemnitee or any of its controlled Affiliates or controlling persons or their respective directors, officers or</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employees</w:t>
      </w:r>
      <w:r>
        <w:rPr>
          <w:rFonts w:ascii="Arial" w:cs="Arial" w:eastAsia="Arial" w:hAnsi="Arial"/>
          <w:sz w:val="16"/>
          <w:szCs w:val="16"/>
          <w:b w:val="1"/>
          <w:bCs w:val="1"/>
          <w:color w:val="0000FF"/>
        </w:rPr>
        <w:t xml:space="preserve"> </w:t>
      </w:r>
      <w:r>
        <w:rPr>
          <w:rFonts w:ascii="Arial" w:cs="Arial" w:eastAsia="Arial" w:hAnsi="Arial"/>
          <w:sz w:val="16"/>
          <w:szCs w:val="16"/>
          <w:color w:val="000000"/>
        </w:rPr>
        <w:t>hereunder or under any other Loan Document, if the Borrower or such Loan Party has obtained a final and nonappealable judgment in its favor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on such claim as determined by a court of competent jurisdiction. This </w:t>
      </w:r>
      <w:r>
        <w:rPr>
          <w:rFonts w:ascii="Arial" w:cs="Arial" w:eastAsia="Arial" w:hAnsi="Arial"/>
          <w:sz w:val="16"/>
          <w:szCs w:val="16"/>
          <w:u w:val="single" w:color="auto"/>
          <w:color w:val="000000"/>
        </w:rPr>
        <w:t>Section 11.04(b)</w:t>
      </w:r>
      <w:r>
        <w:rPr>
          <w:rFonts w:ascii="Arial" w:cs="Arial" w:eastAsia="Arial" w:hAnsi="Arial"/>
          <w:sz w:val="16"/>
          <w:szCs w:val="16"/>
          <w:color w:val="000000"/>
        </w:rPr>
        <w:t xml:space="preserve"> shall not apply with respect to Taxes other than any Taxes that represent losses, claims, damages, etc. arising from any non-Tax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-850265</wp:posOffset>
            </wp:positionV>
            <wp:extent cx="27432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-867410</wp:posOffset>
            </wp:positionV>
            <wp:extent cx="27457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745740" cy="8890"/>
                    </a:xfrm>
                    <a:prstGeom prst="rect">
                      <a:avLst/>
                    </a:prstGeom>
                    <a:noFill/>
                  </pic:spPr>
                </pic:pic>
              </a:graphicData>
            </a:graphic>
          </wp:anchor>
        </w:drawing>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5" w:name="page206"/>
    <w:bookmarkEnd w:id="205"/>
    <w:p>
      <w:pPr>
        <w:jc w:val="both"/>
        <w:ind w:firstLine="1305"/>
        <w:spacing w:after="0" w:line="268" w:lineRule="auto"/>
        <w:tabs>
          <w:tab w:leader="none" w:pos="1987"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subsection (a) or (b) of this Section to be paid by it to the Administrative Agent (or any sub-agent thereof) or any Related Party of any of the foregoing, each Lender severally agrees to pay to the Administrative Agent (or any such sub-agent) or such Related Party, as the case may be, such Lender’s Applicable Percentage (determined as in accordance with clause (c) of the definition thereof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To the extent that the Borrower for any reason fails to indefeasibly pay any amount required under subsection (a) or (b) of this Section to be paid by it to any L/C Issuer or any Related Party of any of the foregoing, each Revolving Credit Lender severally agrees to pay to such L/C Issuer or such Related Party, as the case may be, such Revolving Credit Lender’s Applicable Percentage (determined as in accordance with clause (a) of the definition thereof of the time that the applicable unreimbursed expense or indemnity payment is sought) of such unpaid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any L/C Issuer in its capacity as such, or against any Related Party of any of the foregoing acting for any L/C Issuer in connection with such capacity. The obligations of the Lenders under this subsection (c) are subject to the provisions of </w:t>
      </w:r>
      <w:r>
        <w:rPr>
          <w:rFonts w:ascii="Arial" w:cs="Arial" w:eastAsia="Arial" w:hAnsi="Arial"/>
          <w:sz w:val="17"/>
          <w:szCs w:val="17"/>
          <w:u w:val="single" w:color="auto"/>
          <w:color w:val="auto"/>
        </w:rPr>
        <w:t>Section 2.11(d)</w:t>
      </w:r>
      <w:r>
        <w:rPr>
          <w:rFonts w:ascii="Arial" w:cs="Arial" w:eastAsia="Arial" w:hAnsi="Arial"/>
          <w:sz w:val="17"/>
          <w:szCs w:val="17"/>
          <w:color w:val="auto"/>
        </w:rPr>
        <w: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6" w:name="page207"/>
    <w:bookmarkEnd w:id="206"/>
    <w:p>
      <w:pPr>
        <w:jc w:val="both"/>
        <w:ind w:firstLine="1305"/>
        <w:spacing w:after="0" w:line="288" w:lineRule="auto"/>
        <w:tabs>
          <w:tab w:leader="none" w:pos="1956"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w:t>
      </w:r>
      <w:r>
        <w:rPr>
          <w:rFonts w:ascii="Arial" w:cs="Arial" w:eastAsia="Arial" w:hAnsi="Arial"/>
          <w:sz w:val="16"/>
          <w:szCs w:val="16"/>
          <w:b w:val="1"/>
          <w:bCs w:val="1"/>
          <w:color w:val="FF0000"/>
          <w:strike w:val="1"/>
        </w:rPr>
        <w:t>Loan</w:t>
      </w:r>
      <w:r>
        <w:rPr>
          <w:rFonts w:ascii="Arial" w:cs="Arial" w:eastAsia="Arial" w:hAnsi="Arial"/>
          <w:sz w:val="16"/>
          <w:szCs w:val="16"/>
          <w:b w:val="1"/>
          <w:bCs w:val="1"/>
          <w:u w:val="single" w:color="auto"/>
          <w:color w:val="0000FF"/>
        </w:rPr>
        <w:t>party to this Agreement nor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any Secured</w:t>
      </w:r>
      <w:r>
        <w:rPr>
          <w:rFonts w:ascii="Arial" w:cs="Arial" w:eastAsia="Arial" w:hAnsi="Arial"/>
          <w:sz w:val="16"/>
          <w:szCs w:val="16"/>
          <w:b w:val="1"/>
          <w:bCs w:val="1"/>
          <w:color w:val="0000FF"/>
        </w:rPr>
        <w:t xml:space="preserve"> </w:t>
      </w:r>
      <w:r>
        <w:rPr>
          <w:rFonts w:ascii="Arial" w:cs="Arial" w:eastAsia="Arial" w:hAnsi="Arial"/>
          <w:sz w:val="16"/>
          <w:szCs w:val="16"/>
          <w:color w:val="000000"/>
        </w:rPr>
        <w:t>Party shall assert, and each</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Loan Party</w:t>
      </w:r>
      <w:r>
        <w:rPr>
          <w:rFonts w:ascii="Arial" w:cs="Arial" w:eastAsia="Arial" w:hAnsi="Arial"/>
          <w:sz w:val="16"/>
          <w:szCs w:val="16"/>
          <w:b w:val="1"/>
          <w:bCs w:val="1"/>
          <w:color w:val="0000FF"/>
        </w:rPr>
        <w:t xml:space="preserve"> </w:t>
      </w:r>
      <w:r>
        <w:rPr>
          <w:rFonts w:ascii="Arial" w:cs="Arial" w:eastAsia="Arial" w:hAnsi="Arial"/>
          <w:sz w:val="16"/>
          <w:szCs w:val="16"/>
          <w:color w:val="000000"/>
        </w:rPr>
        <w:t>hereby waives, any claim against any</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Indemnitee,</w:t>
      </w:r>
      <w:r>
        <w:rPr>
          <w:rFonts w:ascii="Arial" w:cs="Arial" w:eastAsia="Arial" w:hAnsi="Arial"/>
          <w:sz w:val="16"/>
          <w:szCs w:val="16"/>
          <w:b w:val="1"/>
          <w:bCs w:val="1"/>
          <w:u w:val="single" w:color="auto"/>
          <w:color w:val="0000FF"/>
        </w:rPr>
        <w:t>other party hereto, any Loan Party and/or any</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Related Party thereof</w:t>
      </w:r>
      <w:r>
        <w:rPr>
          <w:rFonts w:ascii="Arial" w:cs="Arial" w:eastAsia="Arial" w:hAnsi="Arial"/>
          <w:sz w:val="16"/>
          <w:szCs w:val="16"/>
          <w:b w:val="1"/>
          <w:bCs w:val="1"/>
          <w:color w:val="0000FF"/>
        </w:rPr>
        <w:t xml:space="preserve"> </w:t>
      </w:r>
      <w:r>
        <w:rPr>
          <w:rFonts w:ascii="Arial" w:cs="Arial" w:eastAsia="Arial" w:hAnsi="Arial"/>
          <w:sz w:val="16"/>
          <w:szCs w:val="16"/>
          <w:color w:val="000000"/>
        </w:rPr>
        <w:t>on any theory of liability, for special, indirect, consequential or punitive damages (as opposed to direct or actual damages) arising</w:t>
      </w:r>
      <w:r>
        <w:rPr>
          <w:rFonts w:ascii="Arial" w:cs="Arial" w:eastAsia="Arial" w:hAnsi="Arial"/>
          <w:sz w:val="16"/>
          <w:szCs w:val="16"/>
          <w:b w:val="1"/>
          <w:bCs w:val="1"/>
          <w:color w:val="0000FF"/>
        </w:rPr>
        <w:t xml:space="preserve"> </w:t>
      </w:r>
      <w:r>
        <w:rPr>
          <w:rFonts w:ascii="Arial" w:cs="Arial" w:eastAsia="Arial" w:hAnsi="Arial"/>
          <w:sz w:val="16"/>
          <w:szCs w:val="16"/>
          <w:color w:val="000000"/>
        </w:rPr>
        <w:t>out of, in connection with, or as a result of, this Agreement, any other Loan Document or any agreement or instrument contemplated hereby, the Transactions or the other transactions contemplated hereby or thereby, any Loan or Letter of Credit or the use of the proceeds thereof</w:t>
      </w:r>
      <w:r>
        <w:rPr>
          <w:rFonts w:ascii="Arial" w:cs="Arial" w:eastAsia="Arial" w:hAnsi="Arial"/>
          <w:sz w:val="16"/>
          <w:szCs w:val="16"/>
          <w:b w:val="1"/>
          <w:bCs w:val="1"/>
          <w:u w:val="single" w:color="auto"/>
          <w:color w:val="0000FF"/>
        </w:rPr>
        <w:t>, except, in the case</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of any claim asserted against any Indemnitee by a third party, to the extent such damages would otherwise be subject to indemnification pursuant to, and in accordance with, the terms of Section 11.04(b)</w:t>
      </w:r>
      <w:r>
        <w:rPr>
          <w:rFonts w:ascii="Arial" w:cs="Arial" w:eastAsia="Arial" w:hAnsi="Arial"/>
          <w:sz w:val="16"/>
          <w:szCs w:val="16"/>
          <w:color w:val="000000"/>
        </w:rPr>
        <w:t>. No Indemnitee shall be liable for any damages (whether direct or indirect, in contract or tort or</w:t>
      </w:r>
      <w:r>
        <w:rPr>
          <w:rFonts w:ascii="Arial" w:cs="Arial" w:eastAsia="Arial" w:hAnsi="Arial"/>
          <w:sz w:val="16"/>
          <w:szCs w:val="16"/>
          <w:b w:val="1"/>
          <w:bCs w:val="1"/>
          <w:color w:val="0000FF"/>
        </w:rPr>
        <w:t xml:space="preserve"> </w:t>
      </w:r>
      <w:r>
        <w:rPr>
          <w:rFonts w:ascii="Arial" w:cs="Arial" w:eastAsia="Arial" w:hAnsi="Arial"/>
          <w:sz w:val="16"/>
          <w:szCs w:val="16"/>
          <w:color w:val="000000"/>
        </w:rPr>
        <w:t>otherwise)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7" w:lineRule="exact"/>
        <w:rPr>
          <w:rFonts w:ascii="Arial" w:cs="Arial" w:eastAsia="Arial" w:hAnsi="Arial"/>
          <w:sz w:val="16"/>
          <w:szCs w:val="16"/>
          <w:color w:val="auto"/>
        </w:rPr>
      </w:pPr>
    </w:p>
    <w:p>
      <w:pPr>
        <w:ind w:left="1960" w:hanging="655"/>
        <w:spacing w:after="0"/>
        <w:tabs>
          <w:tab w:leader="none" w:pos="196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 therefor.</w:t>
      </w:r>
    </w:p>
    <w:p>
      <w:pPr>
        <w:spacing w:after="0" w:line="236" w:lineRule="exact"/>
        <w:rPr>
          <w:rFonts w:ascii="Arial" w:cs="Arial" w:eastAsia="Arial" w:hAnsi="Arial"/>
          <w:sz w:val="17"/>
          <w:szCs w:val="17"/>
          <w:color w:val="auto"/>
        </w:rPr>
      </w:pPr>
    </w:p>
    <w:p>
      <w:pPr>
        <w:ind w:firstLine="1305"/>
        <w:spacing w:after="0" w:line="308" w:lineRule="auto"/>
        <w:tabs>
          <w:tab w:leader="none" w:pos="2147"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agreements in this Section shall survive the resignation of the Administrative Agent and any L/C Issuer, the replacement of any Lender, the termination of the Aggregate Commitments and the repayment, satisfaction or discharge of all the other Obligations.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11.05 Payments Set Aside</w:t>
      </w:r>
      <w:r>
        <w:rPr>
          <w:rFonts w:ascii="Arial" w:cs="Arial" w:eastAsia="Arial" w:hAnsi="Arial"/>
          <w:sz w:val="17"/>
          <w:szCs w:val="17"/>
          <w:color w:val="auto"/>
        </w:rPr>
        <w:t>.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7" w:name="page208"/>
    <w:bookmarkEnd w:id="207"/>
    <w:p>
      <w:pPr>
        <w:ind w:left="660"/>
        <w:spacing w:after="0"/>
        <w:tabs>
          <w:tab w:leader="none" w:pos="1300" w:val="left"/>
        </w:tabs>
        <w:rPr>
          <w:sz w:val="20"/>
          <w:szCs w:val="20"/>
          <w:color w:val="auto"/>
        </w:rPr>
      </w:pPr>
      <w:r>
        <w:rPr>
          <w:rFonts w:ascii="Arial" w:cs="Arial" w:eastAsia="Arial" w:hAnsi="Arial"/>
          <w:sz w:val="18"/>
          <w:szCs w:val="18"/>
          <w:u w:val="single" w:color="auto"/>
          <w:color w:val="auto"/>
        </w:rPr>
        <w:t>11.06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3" w:lineRule="auto"/>
        <w:tabs>
          <w:tab w:leader="none" w:pos="1946"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(x) neither the Borrower nor any other Loan Party may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(ii) by way of participation in accordance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or (iii) by way of pledge or assignment of a security interest subject to the restrictions of </w:t>
      </w:r>
      <w:r>
        <w:rPr>
          <w:rFonts w:ascii="Arial" w:cs="Arial" w:eastAsia="Arial" w:hAnsi="Arial"/>
          <w:sz w:val="18"/>
          <w:szCs w:val="18"/>
          <w:u w:val="single" w:color="auto"/>
          <w:color w:val="auto"/>
        </w:rPr>
        <w:t>Section 11.06(f)</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Indemnitees and the Related Parties of each of the Administrative Agent, the L/C Issuers and the Lenders) any legal or equitable right, remedy or claim under or by reason of this Agreement.</w:t>
      </w:r>
    </w:p>
    <w:p>
      <w:pPr>
        <w:spacing w:after="0" w:line="194" w:lineRule="exact"/>
        <w:rPr>
          <w:rFonts w:ascii="Arial" w:cs="Arial" w:eastAsia="Arial" w:hAnsi="Arial"/>
          <w:sz w:val="18"/>
          <w:szCs w:val="18"/>
          <w:color w:val="auto"/>
        </w:rPr>
      </w:pPr>
    </w:p>
    <w:p>
      <w:pPr>
        <w:jc w:val="both"/>
        <w:ind w:firstLine="1305"/>
        <w:spacing w:after="0" w:line="286" w:lineRule="auto"/>
        <w:tabs>
          <w:tab w:leader="none" w:pos="2186"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Assignments by Lenders</w:t>
      </w:r>
      <w:r>
        <w:rPr>
          <w:rFonts w:ascii="Arial" w:cs="Arial" w:eastAsia="Arial" w:hAnsi="Arial"/>
          <w:sz w:val="17"/>
          <w:szCs w:val="17"/>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participations in L/C Obligations) at the time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assignment shall be subject to the following conditions:</w:t>
      </w:r>
    </w:p>
    <w:p>
      <w:pPr>
        <w:spacing w:after="0" w:line="165" w:lineRule="exact"/>
        <w:rPr>
          <w:rFonts w:ascii="Arial" w:cs="Arial" w:eastAsia="Arial" w:hAnsi="Arial"/>
          <w:sz w:val="17"/>
          <w:szCs w:val="17"/>
          <w:color w:val="auto"/>
        </w:rPr>
      </w:pPr>
    </w:p>
    <w:p>
      <w:pPr>
        <w:ind w:left="2580" w:hanging="628"/>
        <w:spacing w:after="0"/>
        <w:tabs>
          <w:tab w:leader="none" w:pos="2580"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1300"/>
        <w:spacing w:after="0" w:line="263" w:lineRule="auto"/>
        <w:tabs>
          <w:tab w:leader="none" w:pos="3363" w:val="left"/>
        </w:tabs>
        <w:numPr>
          <w:ilvl w:val="2"/>
          <w:numId w:val="207"/>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3" w:lineRule="exact"/>
        <w:rPr>
          <w:rFonts w:ascii="Arial" w:cs="Arial" w:eastAsia="Arial" w:hAnsi="Arial"/>
          <w:sz w:val="18"/>
          <w:szCs w:val="18"/>
          <w:color w:val="auto"/>
        </w:rPr>
      </w:pPr>
    </w:p>
    <w:p>
      <w:pPr>
        <w:jc w:val="both"/>
        <w:ind w:left="1300" w:firstLine="1300"/>
        <w:spacing w:after="0" w:line="288" w:lineRule="auto"/>
        <w:tabs>
          <w:tab w:leader="none" w:pos="3411" w:val="left"/>
        </w:tabs>
        <w:numPr>
          <w:ilvl w:val="2"/>
          <w:numId w:val="207"/>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any Commitment (which for this purpose includes Loans outstanding thereunder) or, if such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any Incremental Term Loans,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8" w:name="page209"/>
    <w:bookmarkEnd w:id="208"/>
    <w:p>
      <w:pPr>
        <w:ind w:left="4" w:firstLine="1292"/>
        <w:spacing w:after="0" w:line="277" w:lineRule="auto"/>
        <w:tabs>
          <w:tab w:leader="none" w:pos="2100"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and Commitments assigned;</w:t>
      </w:r>
    </w:p>
    <w:p>
      <w:pPr>
        <w:spacing w:after="0" w:line="170" w:lineRule="exact"/>
        <w:rPr>
          <w:rFonts w:ascii="Arial" w:cs="Arial" w:eastAsia="Arial" w:hAnsi="Arial"/>
          <w:sz w:val="18"/>
          <w:szCs w:val="18"/>
          <w:color w:val="auto"/>
        </w:rPr>
      </w:pPr>
    </w:p>
    <w:p>
      <w:pPr>
        <w:ind w:left="1984" w:hanging="688"/>
        <w:spacing w:after="0"/>
        <w:tabs>
          <w:tab w:leader="none" w:pos="1984"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subsection (b)(i)</w:t>
      </w:r>
    </w:p>
    <w:p>
      <w:pPr>
        <w:spacing w:after="0" w:line="46" w:lineRule="exact"/>
        <w:rPr>
          <w:rFonts w:ascii="Arial" w:cs="Arial" w:eastAsia="Arial" w:hAnsi="Arial"/>
          <w:sz w:val="16"/>
          <w:szCs w:val="16"/>
          <w:color w:val="auto"/>
        </w:rPr>
      </w:pPr>
    </w:p>
    <w:p>
      <w:pPr>
        <w:ind w:left="284" w:hanging="284"/>
        <w:spacing w:after="0"/>
        <w:tabs>
          <w:tab w:leader="none" w:pos="28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of this Section and, in addition:</w:t>
      </w:r>
    </w:p>
    <w:p>
      <w:pPr>
        <w:spacing w:after="0" w:line="210" w:lineRule="exact"/>
        <w:rPr>
          <w:rFonts w:ascii="Arial" w:cs="Arial" w:eastAsia="Arial" w:hAnsi="Arial"/>
          <w:sz w:val="18"/>
          <w:szCs w:val="18"/>
          <w:color w:val="auto"/>
        </w:rPr>
      </w:pPr>
    </w:p>
    <w:p>
      <w:pPr>
        <w:jc w:val="both"/>
        <w:ind w:left="644" w:firstLine="1300"/>
        <w:spacing w:after="0" w:line="301" w:lineRule="auto"/>
        <w:tabs>
          <w:tab w:leader="none" w:pos="2801" w:val="left"/>
        </w:tabs>
        <w:numPr>
          <w:ilvl w:val="2"/>
          <w:numId w:val="209"/>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57" w:lineRule="exact"/>
        <w:rPr>
          <w:rFonts w:ascii="Arial" w:cs="Arial" w:eastAsia="Arial" w:hAnsi="Arial"/>
          <w:sz w:val="16"/>
          <w:szCs w:val="16"/>
          <w:color w:val="auto"/>
        </w:rPr>
      </w:pPr>
    </w:p>
    <w:p>
      <w:pPr>
        <w:jc w:val="both"/>
        <w:ind w:left="644" w:firstLine="1300"/>
        <w:spacing w:after="0" w:line="275" w:lineRule="auto"/>
        <w:tabs>
          <w:tab w:leader="none" w:pos="2742" w:val="left"/>
        </w:tabs>
        <w:numPr>
          <w:ilvl w:val="2"/>
          <w:numId w:val="209"/>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in respect of (1) any Revolving Credit Commitment or Revolving Credit Loan or rights or obligations associated therewith if such assignment is to a Person that is not a Revolving Credit Lender, an Affiliate of such Revolving Credit Lender or an Approved Fund with respect to such Revolving Credit Lender or (2) any Incremental Term Loan Commitment or Incremental Term Loan to a Person that is not a Lender, an Affiliate of a Lender or an Approved Fund; and</w:t>
      </w:r>
    </w:p>
    <w:p>
      <w:pPr>
        <w:spacing w:after="0" w:line="176" w:lineRule="exact"/>
        <w:rPr>
          <w:rFonts w:ascii="Arial" w:cs="Arial" w:eastAsia="Arial" w:hAnsi="Arial"/>
          <w:sz w:val="17"/>
          <w:szCs w:val="17"/>
          <w:color w:val="auto"/>
        </w:rPr>
      </w:pPr>
    </w:p>
    <w:p>
      <w:pPr>
        <w:ind w:left="644" w:firstLine="1300"/>
        <w:spacing w:after="0" w:line="277" w:lineRule="auto"/>
        <w:tabs>
          <w:tab w:leader="none" w:pos="2755"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consent of each L/C Issuer (such consent not to be unreasonably withheld or delayed) shall be required for any assignment in respect of any Revolving Credit Facility.</w:t>
      </w:r>
    </w:p>
    <w:p>
      <w:pPr>
        <w:spacing w:after="0" w:line="170" w:lineRule="exact"/>
        <w:rPr>
          <w:rFonts w:ascii="Arial" w:cs="Arial" w:eastAsia="Arial" w:hAnsi="Arial"/>
          <w:sz w:val="18"/>
          <w:szCs w:val="18"/>
          <w:color w:val="auto"/>
        </w:rPr>
      </w:pPr>
    </w:p>
    <w:p>
      <w:pPr>
        <w:jc w:val="both"/>
        <w:ind w:left="4" w:firstLine="1292"/>
        <w:spacing w:after="0" w:line="259" w:lineRule="auto"/>
        <w:tabs>
          <w:tab w:leader="none" w:pos="1974"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7" w:lineRule="exact"/>
        <w:rPr>
          <w:sz w:val="20"/>
          <w:szCs w:val="20"/>
          <w:color w:val="auto"/>
        </w:rPr>
      </w:pPr>
    </w:p>
    <w:p>
      <w:pPr>
        <w:ind w:left="4804"/>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209" w:name="page210"/>
    <w:bookmarkEnd w:id="209"/>
    <w:p>
      <w:pPr>
        <w:jc w:val="both"/>
        <w:ind w:left="660" w:firstLine="1292"/>
        <w:spacing w:after="0" w:line="263" w:lineRule="auto"/>
        <w:tabs>
          <w:tab w:leader="none" w:pos="273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any Loan Party or any Loan Party’s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183" w:lineRule="exact"/>
        <w:rPr>
          <w:rFonts w:ascii="Arial" w:cs="Arial" w:eastAsia="Arial" w:hAnsi="Arial"/>
          <w:sz w:val="18"/>
          <w:szCs w:val="18"/>
          <w:color w:val="auto"/>
        </w:rPr>
      </w:pPr>
    </w:p>
    <w:p>
      <w:pPr>
        <w:jc w:val="both"/>
        <w:ind w:left="660" w:firstLine="1292"/>
        <w:spacing w:after="0" w:line="287" w:lineRule="auto"/>
        <w:tabs>
          <w:tab w:leader="none" w:pos="2684"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3.03,</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b w:val="1"/>
          <w:bCs w:val="1"/>
          <w:color w:val="FF0000"/>
          <w:strike w:val="1"/>
        </w:rPr>
        <w:t>, 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Section 11.06(d)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-449580</wp:posOffset>
            </wp:positionV>
            <wp:extent cx="2368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36855" cy="8255"/>
                    </a:xfrm>
                    <a:prstGeom prst="rect">
                      <a:avLst/>
                    </a:prstGeom>
                    <a:noFill/>
                  </pic:spPr>
                </pic:pic>
              </a:graphicData>
            </a:graphic>
          </wp:anchor>
        </w:drawing>
      </w:r>
    </w:p>
    <w:p>
      <w:pPr>
        <w:spacing w:after="0" w:line="157" w:lineRule="exact"/>
        <w:rPr>
          <w:sz w:val="20"/>
          <w:szCs w:val="20"/>
          <w:color w:val="auto"/>
        </w:rPr>
      </w:pPr>
    </w:p>
    <w:p>
      <w:pPr>
        <w:jc w:val="both"/>
        <w:ind w:firstLine="1305"/>
        <w:spacing w:after="0" w:line="254" w:lineRule="auto"/>
        <w:tabs>
          <w:tab w:leader="none" w:pos="1946"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Administrative Agent, acting solely for this purpose as </w:t>
      </w:r>
      <w:r>
        <w:rPr>
          <w:rFonts w:ascii="Arial" w:cs="Arial" w:eastAsia="Arial" w:hAnsi="Arial"/>
          <w:sz w:val="18"/>
          <w:szCs w:val="18"/>
          <w:b w:val="1"/>
          <w:bCs w:val="1"/>
          <w:color w:val="FF0000"/>
          <w:strike w:val="1"/>
        </w:rPr>
        <w:t>an</w:t>
      </w:r>
      <w:r>
        <w:rPr>
          <w:rFonts w:ascii="Arial" w:cs="Arial" w:eastAsia="Arial" w:hAnsi="Arial"/>
          <w:sz w:val="18"/>
          <w:szCs w:val="18"/>
          <w:b w:val="1"/>
          <w:bCs w:val="1"/>
          <w:u w:val="single" w:color="auto"/>
          <w:color w:val="0000FF"/>
        </w:rPr>
        <w:t>a non-fiduciary</w:t>
      </w:r>
      <w:r>
        <w:rPr>
          <w:rFonts w:ascii="Arial" w:cs="Arial" w:eastAsia="Arial" w:hAnsi="Arial"/>
          <w:sz w:val="18"/>
          <w:szCs w:val="18"/>
          <w:color w:val="auto"/>
        </w:rPr>
        <w:t xml:space="preserve"> agent of the Borrower, shall maintain at the Administrative Agent’s Office a copy of each Assignment and Assumption, each Incremental Amendment, each Extension Amendment and each Refinancing Amendment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0" w:name="page211"/>
    <w:bookmarkEnd w:id="210"/>
    <w:p>
      <w:pPr>
        <w:jc w:val="both"/>
        <w:ind w:firstLine="1305"/>
        <w:spacing w:after="0" w:line="267" w:lineRule="auto"/>
        <w:tabs>
          <w:tab w:leader="none" w:pos="2037"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Loan Party, the Administrative Agent or any L/C Issuer, sell participations to any Person (other than a natural person or a Loan Party or any Loan Party’s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the Lenders and the L/C Issuers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Section,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3.04</w:t>
      </w:r>
      <w:r>
        <w:rPr>
          <w:rFonts w:ascii="Arial" w:cs="Arial" w:eastAsia="Arial" w:hAnsi="Arial"/>
          <w:sz w:val="17"/>
          <w:szCs w:val="17"/>
          <w:b w:val="1"/>
          <w:bCs w:val="1"/>
          <w:u w:val="single" w:color="auto"/>
          <w:color w:val="0000FF"/>
        </w:rPr>
        <w:t>3.03</w:t>
      </w:r>
      <w:r>
        <w:rPr>
          <w:rFonts w:ascii="Arial" w:cs="Arial" w:eastAsia="Arial" w:hAnsi="Arial"/>
          <w:sz w:val="17"/>
          <w:szCs w:val="17"/>
          <w:color w:val="auto"/>
        </w:rPr>
        <w:t xml:space="preserve">, and </w:t>
      </w:r>
      <w:r>
        <w:rPr>
          <w:rFonts w:ascii="Arial" w:cs="Arial" w:eastAsia="Arial" w:hAnsi="Arial"/>
          <w:sz w:val="17"/>
          <w:szCs w:val="17"/>
          <w:b w:val="1"/>
          <w:bCs w:val="1"/>
          <w:color w:val="FF0000"/>
          <w:strike w:val="1"/>
        </w:rPr>
        <w:t>3.05</w:t>
      </w:r>
      <w:r>
        <w:rPr>
          <w:rFonts w:ascii="Arial" w:cs="Arial" w:eastAsia="Arial" w:hAnsi="Arial"/>
          <w:sz w:val="17"/>
          <w:szCs w:val="17"/>
          <w:b w:val="1"/>
          <w:bCs w:val="1"/>
          <w:u w:val="single" w:color="auto"/>
          <w:color w:val="0000FF"/>
        </w:rPr>
        <w:t>3.04</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as if it were a Lender </w:t>
      </w:r>
      <w:r>
        <w:rPr>
          <w:rFonts w:ascii="Arial" w:cs="Arial" w:eastAsia="Arial" w:hAnsi="Arial"/>
          <w:sz w:val="17"/>
          <w:szCs w:val="17"/>
          <w:b w:val="1"/>
          <w:bCs w:val="1"/>
          <w:color w:val="0000FF"/>
        </w:rPr>
        <w:t>(it being understood that the documentation required under Section 3.01(e) shall be delivered to the Participating Lender)</w:t>
      </w:r>
      <w:r>
        <w:rPr>
          <w:rFonts w:ascii="Arial" w:cs="Arial" w:eastAsia="Arial" w:hAnsi="Arial"/>
          <w:sz w:val="17"/>
          <w:szCs w:val="17"/>
          <w:color w:val="auto"/>
        </w:rPr>
        <w:t xml:space="preserve">. To the extent permitted by law, each Participant also shall be entitled to the benefits of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-1529715</wp:posOffset>
            </wp:positionV>
            <wp:extent cx="61036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03620" cy="825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-1546860</wp:posOffset>
            </wp:positionV>
            <wp:extent cx="6106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1" w:name="page212"/>
    <w:bookmarkEnd w:id="211"/>
    <w:p>
      <w:pPr>
        <w:jc w:val="both"/>
        <w:ind w:firstLine="1305"/>
        <w:spacing w:after="0" w:line="301" w:lineRule="auto"/>
        <w:tabs>
          <w:tab w:leader="none" w:pos="206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Limitations upon Participant Rights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FF0000"/>
          <w:strike w:val="1"/>
        </w:rPr>
        <w:t>3.04</w:t>
      </w:r>
      <w:r>
        <w:rPr>
          <w:rFonts w:ascii="Arial" w:cs="Arial" w:eastAsia="Arial" w:hAnsi="Arial"/>
          <w:sz w:val="16"/>
          <w:szCs w:val="16"/>
          <w:b w:val="1"/>
          <w:bCs w:val="1"/>
          <w:u w:val="single" w:color="auto"/>
          <w:color w:val="0000FF"/>
        </w:rPr>
        <w:t>3.03</w:t>
      </w:r>
      <w:r>
        <w:rPr>
          <w:rFonts w:ascii="Arial" w:cs="Arial" w:eastAsia="Arial" w:hAnsi="Arial"/>
          <w:sz w:val="16"/>
          <w:szCs w:val="16"/>
          <w:b w:val="1"/>
          <w:bCs w:val="1"/>
          <w:color w:val="FF0000"/>
        </w:rPr>
        <w:t xml:space="preserve"> </w:t>
      </w:r>
      <w:r>
        <w:rPr>
          <w:rFonts w:ascii="Arial" w:cs="Arial" w:eastAsia="Arial" w:hAnsi="Arial"/>
          <w:sz w:val="16"/>
          <w:szCs w:val="16"/>
          <w:color w:val="000000"/>
        </w:rPr>
        <w:t>than the applicable Lender would have been entitled to receive with respect to the participation sold to such Participant. A Participant that would</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be a Foreign Lender if it were a Lender shall not be entitled to the benefits of </w:t>
      </w:r>
      <w:r>
        <w:rPr>
          <w:rFonts w:ascii="Arial" w:cs="Arial" w:eastAsia="Arial" w:hAnsi="Arial"/>
          <w:sz w:val="16"/>
          <w:szCs w:val="16"/>
          <w:u w:val="single" w:color="auto"/>
          <w:color w:val="000000"/>
        </w:rPr>
        <w:t>Section 3.01</w:t>
      </w:r>
      <w:r>
        <w:rPr>
          <w:rFonts w:ascii="Arial" w:cs="Arial" w:eastAsia="Arial" w:hAnsi="Arial"/>
          <w:sz w:val="16"/>
          <w:szCs w:val="16"/>
          <w:color w:val="000000"/>
        </w:rPr>
        <w:t xml:space="preserve"> unless the Borrower is notified of the participation sold to such Participant and such Participant agrees, for the benefit of the Borrower, to comply with </w:t>
      </w:r>
      <w:r>
        <w:rPr>
          <w:rFonts w:ascii="Arial" w:cs="Arial" w:eastAsia="Arial" w:hAnsi="Arial"/>
          <w:sz w:val="16"/>
          <w:szCs w:val="16"/>
          <w:b w:val="1"/>
          <w:bCs w:val="1"/>
          <w:u w:val="single" w:color="auto"/>
          <w:color w:val="FF0000"/>
          <w:strike w:val="1"/>
        </w:rPr>
        <w:t>Section</w:t>
      </w:r>
      <w:r>
        <w:rPr>
          <w:rFonts w:ascii="Arial" w:cs="Arial" w:eastAsia="Arial" w:hAnsi="Arial"/>
          <w:sz w:val="16"/>
          <w:szCs w:val="16"/>
          <w:b w:val="1"/>
          <w:bCs w:val="1"/>
          <w:u w:val="single" w:color="auto"/>
          <w:color w:val="0000FF"/>
        </w:rPr>
        <w:t>Sections</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3.01(e)</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and (f)</w:t>
      </w:r>
      <w:r>
        <w:rPr>
          <w:rFonts w:ascii="Arial" w:cs="Arial" w:eastAsia="Arial" w:hAnsi="Arial"/>
          <w:sz w:val="16"/>
          <w:szCs w:val="16"/>
          <w:color w:val="000000"/>
        </w:rPr>
        <w:t xml:space="preserve"> as though it were a Lender.</w:t>
      </w:r>
    </w:p>
    <w:p>
      <w:pPr>
        <w:spacing w:after="0" w:line="157" w:lineRule="exact"/>
        <w:rPr>
          <w:rFonts w:ascii="Arial" w:cs="Arial" w:eastAsia="Arial" w:hAnsi="Arial"/>
          <w:sz w:val="16"/>
          <w:szCs w:val="16"/>
          <w:color w:val="auto"/>
        </w:rPr>
      </w:pPr>
    </w:p>
    <w:p>
      <w:pPr>
        <w:jc w:val="both"/>
        <w:ind w:firstLine="1305"/>
        <w:spacing w:after="0" w:line="259" w:lineRule="auto"/>
        <w:tabs>
          <w:tab w:leader="none" w:pos="2079"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jc w:val="both"/>
        <w:ind w:firstLine="1305"/>
        <w:spacing w:after="0" w:line="269" w:lineRule="auto"/>
        <w:tabs>
          <w:tab w:leader="none" w:pos="2132"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Resignation as L/C Issuer after Assignment</w:t>
      </w:r>
      <w:r>
        <w:rPr>
          <w:rFonts w:ascii="Arial" w:cs="Arial" w:eastAsia="Arial" w:hAnsi="Arial"/>
          <w:sz w:val="17"/>
          <w:szCs w:val="17"/>
          <w:color w:val="auto"/>
        </w:rPr>
        <w:t xml:space="preserve">. Notwithstanding anything to the contrary contained herein, if at any time any person acting as an L/C Issuer assigns all of its Revolving Credit Commitment and Revolving Credit Loans pursuant to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such person may, upon 30 days’ notice to the Borrower and the Lenders, resign as an L/C Issuer. In the event of any such resignation as an L/C Issuer, the Borrower shall be entitled to appoint from among the Lenders a successor L/C Issuer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failure by the Borrower to appoint any such successor shall affect the resignation of such resigning person as an L/C Issuer. If such person resigns as an L/C Issuer, it shall retain all the rights, powers, privileges and duties of an L/C Issuer hereunder with respect to all Letters of Credit issued by it hereunder and all L/C Obligations with respect thereto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such resigning person to effectively assume the obligations of such resigning person with respect to such Letters of Credit.</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u w:val="single" w:color="auto"/>
          <w:color w:val="auto"/>
        </w:rPr>
        <w:t>11.07 Treatment of Certain Information; Confidentiality</w:t>
      </w:r>
      <w:r>
        <w:rPr>
          <w:rFonts w:ascii="Arial" w:cs="Arial" w:eastAsia="Arial" w:hAnsi="Arial"/>
          <w:sz w:val="16"/>
          <w:szCs w:val="16"/>
          <w:color w:val="auto"/>
        </w:rPr>
        <w:t xml:space="preserve">. Each of the Administrative Agent, the Lenders and the L/C Issuers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(ii) any actual or prospective counterparty (or its advisors) to any swap or derivative transaction relating to the Loan Parties and their respective obligations, (g) with the consent of the Borrower, (h) to market data collectors, similar services providers to the lending industry, and service providers to the Administrative Agent and the Lenders in connection with the administration and management of this Agreement and the other Loan Documents or (i) to the extent such Information (i) becomes publicly available other than as a result of a breach of this Section or (ii) becomes available to the Administrative Agent, any Lender, any L/C Issuer or any of their respective Affiliates on a nonconfidential basis from a source other than the Borrower.</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2" w:name="page213"/>
    <w:bookmarkEnd w:id="212"/>
    <w:p>
      <w:pPr>
        <w:jc w:val="both"/>
        <w:ind w:firstLine="648"/>
        <w:spacing w:after="0" w:line="254"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any Loan Party or any Subsidiary thereof relating to any Loan Party or any Subsidiary thereof or their respective businesses, other than any such information that is available to the Administrative Agent, any Lender or any L/C Issuer on a nonconfidential basis prior to disclosure by any Loan Party or any Subsidiary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 Loan Party or any such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Administrative Agent, the Lenders and the L/C Issuers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11.08 Right of Setoff.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or such Loan Party may be contingent or unmatured or are owed to a branch or office of such Lender or such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-1415415</wp:posOffset>
            </wp:positionV>
            <wp:extent cx="1153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3" w:name="page214"/>
    <w:bookmarkEnd w:id="213"/>
    <w:p>
      <w:pPr>
        <w:jc w:val="both"/>
        <w:ind w:firstLine="648"/>
        <w:spacing w:after="0" w:line="291" w:lineRule="auto"/>
        <w:rPr>
          <w:sz w:val="20"/>
          <w:szCs w:val="20"/>
          <w:color w:val="auto"/>
        </w:rPr>
      </w:pPr>
      <w:r>
        <w:rPr>
          <w:rFonts w:ascii="Arial" w:cs="Arial" w:eastAsia="Arial" w:hAnsi="Arial"/>
          <w:sz w:val="16"/>
          <w:szCs w:val="16"/>
          <w:color w:val="auto"/>
        </w:rPr>
        <w:t>11.09 Interest Rate Limitation.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-870585</wp:posOffset>
            </wp:positionV>
            <wp:extent cx="1584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11.10 Counterparts; Integration; Effectiveness.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an original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-863600</wp:posOffset>
            </wp:positionV>
            <wp:extent cx="231775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317750" cy="8890"/>
                    </a:xfrm>
                    <a:prstGeom prst="rect">
                      <a:avLst/>
                    </a:prstGeom>
                    <a:noFill/>
                  </pic:spPr>
                </pic:pic>
              </a:graphicData>
            </a:graphic>
          </wp:anchor>
        </w:drawing>
      </w:r>
    </w:p>
    <w:p>
      <w:pPr>
        <w:spacing w:after="0" w:line="1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u w:val="single" w:color="auto"/>
          <w:color w:val="auto"/>
        </w:rPr>
        <w:t>11.11 Survival of Representations and Warranties</w:t>
      </w:r>
      <w:r>
        <w:rPr>
          <w:rFonts w:ascii="Arial" w:cs="Arial" w:eastAsia="Arial" w:hAnsi="Arial"/>
          <w:sz w:val="17"/>
          <w:szCs w:val="17"/>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11.12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-582295</wp:posOffset>
            </wp:positionV>
            <wp:extent cx="10445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44575" cy="889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4" w:name="page215"/>
    <w:bookmarkEnd w:id="214"/>
    <w:p>
      <w:pPr>
        <w:jc w:val="both"/>
        <w:ind w:firstLine="648"/>
        <w:spacing w:after="0" w:line="255" w:lineRule="auto"/>
        <w:rPr>
          <w:sz w:val="20"/>
          <w:szCs w:val="20"/>
          <w:color w:val="auto"/>
        </w:rPr>
      </w:pPr>
      <w:r>
        <w:rPr>
          <w:rFonts w:ascii="Arial" w:cs="Arial" w:eastAsia="Arial" w:hAnsi="Arial"/>
          <w:sz w:val="18"/>
          <w:szCs w:val="18"/>
          <w:color w:val="auto"/>
        </w:rPr>
        <w:t xml:space="preserve">11.13 Replacement of Lenders. If any Lender requests compensation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FF0000"/>
        </w:rPr>
        <w:t>3.04</w:t>
      </w:r>
      <w:r>
        <w:rPr>
          <w:rFonts w:ascii="Arial" w:cs="Arial" w:eastAsia="Arial" w:hAnsi="Arial"/>
          <w:sz w:val="18"/>
          <w:szCs w:val="18"/>
          <w:b w:val="1"/>
          <w:bCs w:val="1"/>
          <w:u w:val="single" w:color="auto"/>
          <w:color w:val="0000FF"/>
        </w:rPr>
        <w:t>3.03</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is a Defaulting Lender or a Non-Extending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-854075</wp:posOffset>
            </wp:positionV>
            <wp:extent cx="16776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677670" cy="889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-854075</wp:posOffset>
            </wp:positionV>
            <wp:extent cx="2457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5745" cy="889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-905510</wp:posOffset>
            </wp:positionV>
            <wp:extent cx="24574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173" w:lineRule="exact"/>
        <w:rPr>
          <w:sz w:val="20"/>
          <w:szCs w:val="20"/>
          <w:color w:val="auto"/>
        </w:rPr>
      </w:pPr>
    </w:p>
    <w:p>
      <w:pPr>
        <w:ind w:left="1960" w:hanging="656"/>
        <w:spacing w:after="0"/>
        <w:tabs>
          <w:tab w:leader="none" w:pos="19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15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such assigning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FF0000"/>
        </w:rPr>
        <w:t>3.05</w:t>
      </w:r>
      <w:r>
        <w:rPr>
          <w:rFonts w:ascii="Arial" w:cs="Arial" w:eastAsia="Arial" w:hAnsi="Arial"/>
          <w:sz w:val="18"/>
          <w:szCs w:val="18"/>
          <w:b w:val="1"/>
          <w:bCs w:val="1"/>
          <w:u w:val="single" w:color="auto"/>
          <w:color w:val="0000FF"/>
        </w:rPr>
        <w:t>3.04</w:t>
      </w:r>
      <w:r>
        <w:rPr>
          <w:rFonts w:ascii="Arial" w:cs="Arial" w:eastAsia="Arial" w:hAnsi="Arial"/>
          <w:sz w:val="18"/>
          <w:szCs w:val="18"/>
          <w:color w:val="auto"/>
        </w:rPr>
        <w:t>) from the assignee (to the extent of such outstanding principal and accrued interest and fees) or the Borrower (in the case of all other amounts);</w:t>
      </w:r>
    </w:p>
    <w:p>
      <w:pPr>
        <w:spacing w:after="0" w:line="182" w:lineRule="exact"/>
        <w:rPr>
          <w:rFonts w:ascii="Arial" w:cs="Arial" w:eastAsia="Arial" w:hAnsi="Arial"/>
          <w:sz w:val="18"/>
          <w:szCs w:val="18"/>
          <w:color w:val="auto"/>
        </w:rPr>
      </w:pPr>
    </w:p>
    <w:p>
      <w:pPr>
        <w:ind w:right="20" w:firstLine="1304"/>
        <w:spacing w:after="0" w:line="282" w:lineRule="auto"/>
        <w:tabs>
          <w:tab w:leader="none" w:pos="199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FF0000"/>
        </w:rPr>
        <w:t>3.04</w:t>
      </w:r>
      <w:r>
        <w:rPr>
          <w:rFonts w:ascii="Arial" w:cs="Arial" w:eastAsia="Arial" w:hAnsi="Arial"/>
          <w:sz w:val="18"/>
          <w:szCs w:val="18"/>
          <w:b w:val="1"/>
          <w:bCs w:val="1"/>
          <w:u w:val="single" w:color="auto"/>
          <w:color w:val="0000FF"/>
        </w:rPr>
        <w:t>3.03</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 and</w:t>
      </w:r>
    </w:p>
    <w:p>
      <w:pPr>
        <w:spacing w:after="0" w:line="165" w:lineRule="exact"/>
        <w:rPr>
          <w:rFonts w:ascii="Arial" w:cs="Arial" w:eastAsia="Arial" w:hAnsi="Arial"/>
          <w:sz w:val="18"/>
          <w:szCs w:val="18"/>
          <w:color w:val="auto"/>
        </w:rPr>
      </w:pPr>
    </w:p>
    <w:p>
      <w:pPr>
        <w:ind w:left="1960" w:hanging="656"/>
        <w:spacing w:after="0"/>
        <w:tabs>
          <w:tab w:leader="none" w:pos="19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-833120</wp:posOffset>
            </wp:positionV>
            <wp:extent cx="2286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1052195</wp:posOffset>
            </wp:positionH>
            <wp:positionV relativeFrom="paragraph">
              <wp:posOffset>-884555</wp:posOffset>
            </wp:positionV>
            <wp:extent cx="2286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-421640</wp:posOffset>
            </wp:positionV>
            <wp:extent cx="2286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-473075</wp:posOffset>
            </wp:positionV>
            <wp:extent cx="2286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exercises its option hereunder to cause an assignment by such Lender, such Lender shall, promptly after receipt of written notice of such election, execute and deliver all documentation necessary to effectuate such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In the event that a Lender does not comply with the requirements of the immediately preceding sentence within one Business Day after receipt of such notice, such Lender shall be deemed to have executed and delivered such documentation as may be required to give effect to an assignment in accordance with </w:t>
      </w:r>
      <w:r>
        <w:rPr>
          <w:rFonts w:ascii="Arial" w:cs="Arial" w:eastAsia="Arial" w:hAnsi="Arial"/>
          <w:sz w:val="16"/>
          <w:szCs w:val="16"/>
          <w:u w:val="single" w:color="auto"/>
          <w:color w:val="auto"/>
        </w:rPr>
        <w:t>Section 11.06</w:t>
      </w:r>
      <w:r>
        <w:rPr>
          <w:rFonts w:ascii="Arial" w:cs="Arial" w:eastAsia="Arial" w:hAnsi="Arial"/>
          <w:sz w:val="16"/>
          <w:szCs w:val="16"/>
          <w:color w:val="auto"/>
        </w:rPr>
        <w:t>.</w:t>
      </w:r>
    </w:p>
    <w:p>
      <w:pPr>
        <w:spacing w:after="0" w:line="16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u w:val="single" w:color="auto"/>
          <w:color w:val="auto"/>
        </w:rPr>
        <w:t>11.14</w:t>
      </w:r>
      <w:r>
        <w:rPr>
          <w:sz w:val="20"/>
          <w:szCs w:val="20"/>
          <w:color w:val="auto"/>
        </w:rPr>
        <w:tab/>
      </w:r>
      <w:r>
        <w:rPr>
          <w:rFonts w:ascii="Arial" w:cs="Arial" w:eastAsia="Arial" w:hAnsi="Arial"/>
          <w:sz w:val="16"/>
          <w:szCs w:val="16"/>
          <w:u w:val="single" w:color="auto"/>
          <w:color w:val="auto"/>
        </w:rPr>
        <w:t>Governing Law; Jurisdiction; Etc.</w:t>
      </w:r>
    </w:p>
    <w:p>
      <w:pPr>
        <w:spacing w:after="0" w:line="225" w:lineRule="exact"/>
        <w:rPr>
          <w:sz w:val="20"/>
          <w:szCs w:val="20"/>
          <w:color w:val="auto"/>
        </w:rPr>
      </w:pPr>
    </w:p>
    <w:p>
      <w:pPr>
        <w:ind w:firstLine="1305"/>
        <w:spacing w:after="0" w:line="277" w:lineRule="auto"/>
        <w:tabs>
          <w:tab w:leader="none" w:pos="2054"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SHALL BE GOVERNED BY, AND CONSTRUED IN ACCORDANCE WITH, THE LAW OF THE STATE OF NEW YORK.</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5" w:name="page216"/>
    <w:bookmarkEnd w:id="215"/>
    <w:p>
      <w:pPr>
        <w:jc w:val="both"/>
        <w:ind w:firstLine="1304"/>
        <w:spacing w:after="0" w:line="252" w:lineRule="auto"/>
        <w:tabs>
          <w:tab w:leader="none" w:pos="2117"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EACH PARTY HERETO IRREVOCABLY AND UNCONDITIONALLY SUBMITS, FOR ITSELF AND ITS PROPERTY, TO THE EXCLUSIVE JURISDICTION OF THE COURTS OF THE STATE OF NEW YORK SITTING IN NEW YORK COUNTY AND OF THE UNITED STATES DISTRICT COURT OF THE SOUTHERN DISTRICT OF NEW YORK </w:t>
      </w:r>
      <w:r>
        <w:rPr>
          <w:rFonts w:ascii="Arial" w:cs="Arial" w:eastAsia="Arial" w:hAnsi="Arial"/>
          <w:sz w:val="18"/>
          <w:szCs w:val="18"/>
          <w:b w:val="1"/>
          <w:bCs w:val="1"/>
          <w:u w:val="single" w:color="auto"/>
          <w:color w:val="0000FF"/>
        </w:rPr>
        <w:t>SITTING IN NEW YORK</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COUNTY</w:t>
      </w:r>
      <w:r>
        <w:rPr>
          <w:rFonts w:ascii="Arial" w:cs="Arial" w:eastAsia="Arial" w:hAnsi="Arial"/>
          <w:sz w:val="18"/>
          <w:szCs w:val="18"/>
          <w:color w:val="000000"/>
        </w:rPr>
        <w:t>, AND ANY APPELLATE COURT FROM ANY THEREOF, IN ANY ACTION OR PROCEEDING ARISING OUT OF OR RELATING TO</w:t>
      </w:r>
      <w:r>
        <w:rPr>
          <w:rFonts w:ascii="Arial" w:cs="Arial" w:eastAsia="Arial" w:hAnsi="Arial"/>
          <w:sz w:val="18"/>
          <w:szCs w:val="18"/>
          <w:b w:val="1"/>
          <w:bCs w:val="1"/>
          <w:color w:val="0000FF"/>
        </w:rPr>
        <w:t xml:space="preserve"> </w:t>
      </w:r>
      <w:r>
        <w:rPr>
          <w:rFonts w:ascii="Arial" w:cs="Arial" w:eastAsia="Arial" w:hAnsi="Arial"/>
          <w:sz w:val="18"/>
          <w:szCs w:val="18"/>
          <w:color w:val="000000"/>
        </w:rPr>
        <w:t>THIS AGREEMENT OR ANY OTHER LOAN DOCUMENT OR THE TRANSACTIONS CONTEMPLATED HEREBY OR THEREBY,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PROVIDED THAT IF NONE OF SUCH COURTS CAN AND WILL EXERCISE JURISDICTION, THEN SUCH EXCLUSIVITY SHALL NOT APPLY; PROVIDED, FURTHER, THAT SUIT FOR THE RECOGNITION OR ENFORCEMENT OF ANY JUDGMENT OBTAINED IN ANY SUCH NEW YORK STATE OR FEDERAL COURT MAY BE BROUGHT IN ANY COURT OF COMPETENT JURISDICTION.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ANY OTHER LOAN PARTY OR ITS PROPERTIES IN THE COURTS OF ANY JURISDICTION.</w:t>
      </w:r>
    </w:p>
    <w:p>
      <w:pPr>
        <w:spacing w:after="0" w:line="193" w:lineRule="exact"/>
        <w:rPr>
          <w:rFonts w:ascii="Arial" w:cs="Arial" w:eastAsia="Arial" w:hAnsi="Arial"/>
          <w:sz w:val="18"/>
          <w:szCs w:val="18"/>
          <w:color w:val="auto"/>
        </w:rPr>
      </w:pPr>
    </w:p>
    <w:p>
      <w:pPr>
        <w:jc w:val="both"/>
        <w:ind w:firstLine="1304"/>
        <w:spacing w:after="0" w:line="255" w:lineRule="auto"/>
        <w:tabs>
          <w:tab w:leader="none" w:pos="231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EACH PARTY HERETO IRREVOCABLY AND UNCONDITIONALLY WAIVES, TO THE FULLEST EXTENT PERMITTED BY APPLICABLE LAW, ANY OBJECTION THAT IT MAY NOW OR HEREAFTER HAVE TO THE LAYING OF VENUE OF ANY SUIT, ACTION OR PROCEEDING ARISING OUT OF OR RELATING TO THIS AGREEMENT OR ANY OTHER LOAN DOCUMENT OR THE TRANSACTIONS IN ANY COURT REFERRED TO IN </w:t>
      </w:r>
      <w:r>
        <w:rPr>
          <w:rFonts w:ascii="Arial" w:cs="Arial" w:eastAsia="Arial" w:hAnsi="Arial"/>
          <w:sz w:val="18"/>
          <w:szCs w:val="18"/>
          <w:u w:val="single" w:color="auto"/>
          <w:color w:val="auto"/>
        </w:rPr>
        <w:t>SECTION 11.14(B)</w:t>
      </w:r>
      <w:r>
        <w:rPr>
          <w:rFonts w:ascii="Arial" w:cs="Arial" w:eastAsia="Arial" w:hAnsi="Arial"/>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213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u w:val="single" w:color="auto"/>
          <w:color w:val="auto"/>
        </w:rPr>
        <w:t>11.15 Waiver of Jury Trial</w:t>
      </w:r>
      <w:r>
        <w:rPr>
          <w:rFonts w:ascii="Arial" w:cs="Arial" w:eastAsia="Arial" w:hAnsi="Arial"/>
          <w:sz w:val="18"/>
          <w:szCs w:val="18"/>
          <w:color w:val="auto"/>
        </w:rPr>
        <w:t>. EACH PARTY HERETO HEREBY IRREVOCABLY WAIVES, TO THE FULLEST EXTENT PERMITTED BY APPLICABLE LAW, ANY RIGHT IT MAY HAVE TO A TRIAL BY JURY IN ANY ACTION, CLAIM, COUNTERCLAIM OR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6" w:name="page217"/>
    <w:bookmarkEnd w:id="216"/>
    <w:p>
      <w:pPr>
        <w:jc w:val="both"/>
        <w:ind w:firstLine="648"/>
        <w:spacing w:after="0" w:line="284" w:lineRule="auto"/>
        <w:rPr>
          <w:sz w:val="20"/>
          <w:szCs w:val="20"/>
          <w:color w:val="auto"/>
        </w:rPr>
      </w:pPr>
      <w:r>
        <w:rPr>
          <w:rFonts w:ascii="Arial" w:cs="Arial" w:eastAsia="Arial" w:hAnsi="Arial"/>
          <w:sz w:val="16"/>
          <w:szCs w:val="16"/>
          <w:color w:val="auto"/>
        </w:rPr>
        <w:t>11.16 No Advisory or Fiduciary Responsibility. 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that do not directly or indirectly give rise to, nor does any Loan Party rely on, any fiduciary duty on the party of any of the Administrative Agent, the Arrangers or the Lenders, (B) each of the Loan Parties has consulted its own legal, accounting, regulatory and tax advisors to the extent it has deemed appropriate, and none of the Administrative Agent, the Arrangers or the Lenders is advising the Loan Parties as to any legal, tax, investment, accounting or regulatory matters in any jurisdiction and (C) each of the Loan Parties is capable of evaluating and understanding, and understands and accepts, the terms, risks and conditions of the Transactions and the other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the Lenders has any obligation to the Loan Parties or any of their respective Affiliates with respect to the Transactions or the other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Loan Parties and their respective Affiliates, and neither the Administrative Agent, the Arrangers nor the Lenders nor their respective Affiliates has any obligation to disclose any of such interests and transactions to, or furnish confidential information obtained by them from other companies to, the Loan Parties or any of their respective Affiliates. To the fullest extent permitted by law, each of the Loan Parties hereby waives and releases any claims that it may have against the Administrative Agent, the Arrangers or the Lenders with respect to any breach or alleged breach of agency or fiduciary duty in connection with any aspect of any transaction contemplated hereby, and agrees that none of the Administrative Agent, the Arrangers or the Lenders shall have any liability (whether direct or indirect) to the Loan Parties in respect of such a fiduciary duty claim or to any Person asserting a fiduciary duty claim on behalf of or in right of the Loan Parties, including the stockholders, employees or creditors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-2781935</wp:posOffset>
            </wp:positionV>
            <wp:extent cx="255651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56510" cy="8890"/>
                    </a:xfrm>
                    <a:prstGeom prst="rect">
                      <a:avLst/>
                    </a:prstGeom>
                    <a:noFill/>
                  </pic:spPr>
                </pic:pic>
              </a:graphicData>
            </a:graphic>
          </wp:anchor>
        </w:drawing>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7" w:name="page218"/>
    <w:bookmarkEnd w:id="217"/>
    <w:p>
      <w:pPr>
        <w:jc w:val="both"/>
        <w:ind w:firstLine="648"/>
        <w:spacing w:after="0" w:line="255" w:lineRule="auto"/>
        <w:rPr>
          <w:sz w:val="20"/>
          <w:szCs w:val="20"/>
          <w:color w:val="auto"/>
        </w:rPr>
      </w:pPr>
      <w:r>
        <w:rPr>
          <w:rFonts w:ascii="Arial" w:cs="Arial" w:eastAsia="Arial" w:hAnsi="Arial"/>
          <w:sz w:val="18"/>
          <w:szCs w:val="18"/>
          <w:color w:val="auto"/>
        </w:rPr>
        <w:t>11.17 Electronic Execution of Assignments and Certain Other Documents.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-716915</wp:posOffset>
            </wp:positionV>
            <wp:extent cx="364680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646805" cy="8890"/>
                    </a:xfrm>
                    <a:prstGeom prst="rect">
                      <a:avLst/>
                    </a:prstGeom>
                    <a:noFill/>
                  </pic:spPr>
                </pic:pic>
              </a:graphicData>
            </a:graphic>
          </wp:anchor>
        </w:drawing>
      </w:r>
    </w:p>
    <w:p>
      <w:pPr>
        <w:spacing w:after="0" w:line="17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11.18 USA PATRIOT Act. Each Lender that is subject to the Act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6"/>
          <w:szCs w:val="16"/>
          <w:u w:val="single" w:color="auto"/>
          <w:color w:val="auto"/>
        </w:rPr>
        <w:t>Act</w:t>
      </w:r>
      <w:r>
        <w:rPr>
          <w:rFonts w:ascii="Arial" w:cs="Arial" w:eastAsia="Arial" w:hAnsi="Arial"/>
          <w:sz w:val="16"/>
          <w:szCs w:val="16"/>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 This notice is given in accordance with the requirements of the Act and is effective for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-870585</wp:posOffset>
            </wp:positionV>
            <wp:extent cx="14141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11.19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-311150</wp:posOffset>
            </wp:positionV>
            <wp:extent cx="16002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600200" cy="8255"/>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11.20 Amended and Restated Credit Agreement</w:t>
      </w:r>
      <w:r>
        <w:rPr>
          <w:rFonts w:ascii="Arial" w:cs="Arial" w:eastAsia="Arial" w:hAnsi="Arial"/>
          <w:sz w:val="17"/>
          <w:szCs w:val="17"/>
          <w:color w:val="auto"/>
        </w:rPr>
        <w:t xml:space="preserve">. It is the intention of each of the parties hereto that the Existing Credit Agreement be amended and restated in its entirety on the </w:t>
      </w:r>
      <w:r>
        <w:rPr>
          <w:rFonts w:ascii="Arial" w:cs="Arial" w:eastAsia="Arial" w:hAnsi="Arial"/>
          <w:sz w:val="17"/>
          <w:szCs w:val="17"/>
          <w:b w:val="1"/>
          <w:bCs w:val="1"/>
          <w:color w:val="FF0000"/>
          <w:strike w:val="1"/>
        </w:rPr>
        <w:t>Closing</w:t>
      </w:r>
      <w:r>
        <w:rPr>
          <w:rFonts w:ascii="Arial" w:cs="Arial" w:eastAsia="Arial" w:hAnsi="Arial"/>
          <w:sz w:val="17"/>
          <w:szCs w:val="17"/>
          <w:b w:val="1"/>
          <w:bCs w:val="1"/>
          <w:u w:val="single" w:color="auto"/>
          <w:color w:val="0000FF"/>
        </w:rPr>
        <w:t>A&amp;R Credit Agreement Eighth Amendment Effective</w:t>
      </w:r>
      <w:r>
        <w:rPr>
          <w:rFonts w:ascii="Arial" w:cs="Arial" w:eastAsia="Arial" w:hAnsi="Arial"/>
          <w:sz w:val="17"/>
          <w:szCs w:val="17"/>
          <w:color w:val="auto"/>
        </w:rPr>
        <w:t xml:space="preserve"> Date and shall be deemed replaced and superseded in all respects by this Agreement, except to evidence (i) the incurrence by the Borrower of the “Obligations” under and as defined in Existing Credit Agreement (whether or not such “Obligations” are contingent as of the </w:t>
      </w:r>
      <w:r>
        <w:rPr>
          <w:rFonts w:ascii="Arial" w:cs="Arial" w:eastAsia="Arial" w:hAnsi="Arial"/>
          <w:sz w:val="17"/>
          <w:szCs w:val="17"/>
          <w:b w:val="1"/>
          <w:bCs w:val="1"/>
          <w:color w:val="FF0000"/>
          <w:strike w:val="1"/>
        </w:rPr>
        <w:t>Closing</w:t>
      </w:r>
      <w:r>
        <w:rPr>
          <w:rFonts w:ascii="Arial" w:cs="Arial" w:eastAsia="Arial" w:hAnsi="Arial"/>
          <w:sz w:val="17"/>
          <w:szCs w:val="17"/>
          <w:b w:val="1"/>
          <w:bCs w:val="1"/>
          <w:u w:val="single" w:color="auto"/>
          <w:color w:val="0000FF"/>
        </w:rPr>
        <w:t>A&amp;R Credit Agreement Eighth Amendment Effective</w:t>
      </w:r>
      <w:r>
        <w:rPr>
          <w:rFonts w:ascii="Arial" w:cs="Arial" w:eastAsia="Arial" w:hAnsi="Arial"/>
          <w:sz w:val="17"/>
          <w:szCs w:val="17"/>
          <w:color w:val="auto"/>
        </w:rPr>
        <w:t xml:space="preserve"> Date) and (ii) the representations and warranties made by the Borrower and the other Loan Parties prior to the </w:t>
      </w:r>
      <w:r>
        <w:rPr>
          <w:rFonts w:ascii="Arial" w:cs="Arial" w:eastAsia="Arial" w:hAnsi="Arial"/>
          <w:sz w:val="17"/>
          <w:szCs w:val="17"/>
          <w:b w:val="1"/>
          <w:bCs w:val="1"/>
          <w:color w:val="FF0000"/>
          <w:strike w:val="1"/>
        </w:rPr>
        <w:t>Closing</w:t>
      </w:r>
      <w:r>
        <w:rPr>
          <w:rFonts w:ascii="Arial" w:cs="Arial" w:eastAsia="Arial" w:hAnsi="Arial"/>
          <w:sz w:val="17"/>
          <w:szCs w:val="17"/>
          <w:b w:val="1"/>
          <w:bCs w:val="1"/>
          <w:u w:val="single" w:color="auto"/>
          <w:color w:val="0000FF"/>
        </w:rPr>
        <w:t>A&amp;R Credit Agreement Eighth Amendment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Effective</w:t>
      </w:r>
      <w:r>
        <w:rPr>
          <w:rFonts w:ascii="Arial" w:cs="Arial" w:eastAsia="Arial" w:hAnsi="Arial"/>
          <w:sz w:val="17"/>
          <w:szCs w:val="17"/>
          <w:b w:val="1"/>
          <w:bCs w:val="1"/>
          <w:color w:val="0000FF"/>
        </w:rPr>
        <w:t xml:space="preserve"> </w:t>
      </w:r>
      <w:r>
        <w:rPr>
          <w:rFonts w:ascii="Arial" w:cs="Arial" w:eastAsia="Arial" w:hAnsi="Arial"/>
          <w:sz w:val="17"/>
          <w:szCs w:val="17"/>
          <w:color w:val="000000"/>
        </w:rPr>
        <w:t>Date (which representations and warranties made prior to the</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Closing</w:t>
      </w:r>
      <w:r>
        <w:rPr>
          <w:rFonts w:ascii="Arial" w:cs="Arial" w:eastAsia="Arial" w:hAnsi="Arial"/>
          <w:sz w:val="17"/>
          <w:szCs w:val="17"/>
          <w:b w:val="1"/>
          <w:bCs w:val="1"/>
          <w:u w:val="single" w:color="auto"/>
          <w:color w:val="0000FF"/>
        </w:rPr>
        <w:t>A&amp;R Credit Agreement Eighth Amendment Effective</w:t>
      </w:r>
      <w:r>
        <w:rPr>
          <w:rFonts w:ascii="Arial" w:cs="Arial" w:eastAsia="Arial" w:hAnsi="Arial"/>
          <w:sz w:val="17"/>
          <w:szCs w:val="17"/>
          <w:b w:val="1"/>
          <w:bCs w:val="1"/>
          <w:color w:val="0000FF"/>
        </w:rPr>
        <w:t xml:space="preserve"> </w:t>
      </w:r>
      <w:r>
        <w:rPr>
          <w:rFonts w:ascii="Arial" w:cs="Arial" w:eastAsia="Arial" w:hAnsi="Arial"/>
          <w:sz w:val="17"/>
          <w:szCs w:val="17"/>
          <w:color w:val="000000"/>
        </w:rPr>
        <w:t>Date shall not be</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superseded or rendered ineffective by this Agreement as they pertain to the period prior to the </w:t>
      </w:r>
      <w:r>
        <w:rPr>
          <w:rFonts w:ascii="Arial" w:cs="Arial" w:eastAsia="Arial" w:hAnsi="Arial"/>
          <w:sz w:val="17"/>
          <w:szCs w:val="17"/>
          <w:b w:val="1"/>
          <w:bCs w:val="1"/>
          <w:color w:val="FF0000"/>
          <w:strike w:val="1"/>
        </w:rPr>
        <w:t>Closing</w:t>
      </w:r>
      <w:r>
        <w:rPr>
          <w:rFonts w:ascii="Arial" w:cs="Arial" w:eastAsia="Arial" w:hAnsi="Arial"/>
          <w:sz w:val="17"/>
          <w:szCs w:val="17"/>
          <w:b w:val="1"/>
          <w:bCs w:val="1"/>
          <w:u w:val="single" w:color="auto"/>
          <w:color w:val="0000FF"/>
        </w:rPr>
        <w:t>A&amp;R Credit Agreement Eighth Amendment</w:t>
      </w:r>
      <w:r>
        <w:rPr>
          <w:rFonts w:ascii="Arial" w:cs="Arial" w:eastAsia="Arial" w:hAnsi="Arial"/>
          <w:sz w:val="17"/>
          <w:szCs w:val="17"/>
          <w:color w:val="000000"/>
        </w:rPr>
        <w:t xml:space="preserve"> </w:t>
      </w:r>
      <w:r>
        <w:rPr>
          <w:rFonts w:ascii="Arial" w:cs="Arial" w:eastAsia="Arial" w:hAnsi="Arial"/>
          <w:sz w:val="17"/>
          <w:szCs w:val="17"/>
          <w:b w:val="1"/>
          <w:bCs w:val="1"/>
          <w:u w:val="single" w:color="auto"/>
          <w:color w:val="0000FF"/>
        </w:rPr>
        <w:t>Effective</w:t>
      </w:r>
      <w:r>
        <w:rPr>
          <w:rFonts w:ascii="Arial" w:cs="Arial" w:eastAsia="Arial" w:hAnsi="Arial"/>
          <w:sz w:val="17"/>
          <w:szCs w:val="17"/>
          <w:b w:val="1"/>
          <w:bCs w:val="1"/>
          <w:color w:val="0000FF"/>
        </w:rPr>
        <w:t xml:space="preserve"> </w:t>
      </w:r>
      <w:r>
        <w:rPr>
          <w:rFonts w:ascii="Arial" w:cs="Arial" w:eastAsia="Arial" w:hAnsi="Arial"/>
          <w:sz w:val="17"/>
          <w:szCs w:val="17"/>
          <w:color w:val="000000"/>
        </w:rPr>
        <w:t>Date). This Agreement does not constitute a novation or termination of the obligations and liabilities existing under the Existing Credit</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Agreement (or serve to terminate </w:t>
      </w:r>
      <w:r>
        <w:rPr>
          <w:rFonts w:ascii="Arial" w:cs="Arial" w:eastAsia="Arial" w:hAnsi="Arial"/>
          <w:sz w:val="17"/>
          <w:szCs w:val="17"/>
          <w:u w:val="single" w:color="auto"/>
          <w:color w:val="000000"/>
        </w:rPr>
        <w:t>Section 11.04</w:t>
      </w:r>
      <w:r>
        <w:rPr>
          <w:rFonts w:ascii="Arial" w:cs="Arial" w:eastAsia="Arial" w:hAnsi="Arial"/>
          <w:sz w:val="17"/>
          <w:szCs w:val="17"/>
          <w:color w:val="000000"/>
        </w:rPr>
        <w:t xml:space="preserve"> of the Existing Credit Agreement or any of the Borrower’s obligations thereunder with respect to the Revolving Credit Lenders (as defined therein)), and all outstanding “Obligations” under and as defined in the Existing Credit Agreement shall constitute Obligations hereunder. This Agreement constitutes an amendment of the Existing Credit Agreement made under and in accordance with the terms of Section 11.01 of the Existing Credit Agreement. In addition, unless specifically amended in connection herewith, each of the Loan Documents shall continue in full force and effect.</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8" w:name="page219"/>
    <w:bookmarkEnd w:id="218"/>
    <w:p>
      <w:pPr>
        <w:jc w:val="both"/>
        <w:ind w:firstLine="648"/>
        <w:spacing w:after="0" w:line="288" w:lineRule="auto"/>
        <w:rPr>
          <w:sz w:val="20"/>
          <w:szCs w:val="20"/>
          <w:color w:val="auto"/>
        </w:rPr>
      </w:pPr>
      <w:r>
        <w:rPr>
          <w:rFonts w:ascii="Arial" w:cs="Arial" w:eastAsia="Arial" w:hAnsi="Arial"/>
          <w:sz w:val="16"/>
          <w:szCs w:val="16"/>
          <w:color w:val="auto"/>
        </w:rPr>
        <w:t>Each Loan Party and each of the Revolving Credit Lenders (as defined in the Existing Credit Agreement) under the Existing Credit Agreement hereby acknowledges that it has reviewed the terms and provisions of the Existing Credit Agreement, the Existing Security Agreement, this Agreement, the Security Agreement and the other Collateral Documents and consents to the amendment and restatement of the Existing Credit Agreement, the Existing Security Agreement and the other Collateral Documents effected pursuant to this Agreement, the Security Agreement and the other Collateral Documents. Each Loan Party hereby confirms that each Loan Document to which it is a party or otherwise bound and all Collateral encumbered thereby will continue to guarantee or secure, as the case may be, to the fullest extent possible in accordance with the Loan Documents the payment and performance of all Obligations under each of the Loan Documents to which is a party. Each of the Revolving Credit Lenders (as defined in the Existing Credit Agreement) under the Existing Credit Agreement hereby expressly authorizes and directs the Administrative Agent to execute such documents or instruments as may be required or contemplated by the Existing Credit Agreement, this Agreement, the Existing Security Agreement, the Security Agreement and the other Collateral Documents, in each case, as contemplated by and in accordance with the provisions of this Agreement and the Collateral Documents.</w:t>
      </w:r>
    </w:p>
    <w:p>
      <w:pPr>
        <w:spacing w:after="0" w:line="1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On and after the </w:t>
      </w:r>
      <w:r>
        <w:rPr>
          <w:rFonts w:ascii="Arial" w:cs="Arial" w:eastAsia="Arial" w:hAnsi="Arial"/>
          <w:sz w:val="18"/>
          <w:szCs w:val="18"/>
          <w:b w:val="1"/>
          <w:bCs w:val="1"/>
          <w:color w:val="FF0000"/>
          <w:strike w:val="1"/>
        </w:rPr>
        <w:t>Closing</w:t>
      </w:r>
      <w:r>
        <w:rPr>
          <w:rFonts w:ascii="Arial" w:cs="Arial" w:eastAsia="Arial" w:hAnsi="Arial"/>
          <w:sz w:val="18"/>
          <w:szCs w:val="18"/>
          <w:b w:val="1"/>
          <w:bCs w:val="1"/>
          <w:u w:val="single" w:color="auto"/>
          <w:color w:val="0000FF"/>
        </w:rPr>
        <w:t>A&amp;R Credit Agreement Eighth Amendment Effective</w:t>
      </w:r>
      <w:r>
        <w:rPr>
          <w:rFonts w:ascii="Arial" w:cs="Arial" w:eastAsia="Arial" w:hAnsi="Arial"/>
          <w:sz w:val="18"/>
          <w:szCs w:val="18"/>
          <w:color w:val="auto"/>
        </w:rPr>
        <w:t xml:space="preserve"> Date, (i) all references to the “Credit Agreement” in the Loan Documents shall be deemed to refer to this Agreement, (ii) all references to any section (or subsection) of the Credit Agreement in any Loan Document shall be amended to become,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references to the corresponding provisions of this Agreement and (iii) except as the context otherwise provides, on or after the </w:t>
      </w:r>
      <w:r>
        <w:rPr>
          <w:rFonts w:ascii="Arial" w:cs="Arial" w:eastAsia="Arial" w:hAnsi="Arial"/>
          <w:sz w:val="18"/>
          <w:szCs w:val="18"/>
          <w:b w:val="1"/>
          <w:bCs w:val="1"/>
          <w:color w:val="FF0000"/>
          <w:strike w:val="1"/>
        </w:rPr>
        <w:t>Closing</w:t>
      </w:r>
      <w:r>
        <w:rPr>
          <w:rFonts w:ascii="Arial" w:cs="Arial" w:eastAsia="Arial" w:hAnsi="Arial"/>
          <w:sz w:val="18"/>
          <w:szCs w:val="18"/>
          <w:b w:val="1"/>
          <w:bCs w:val="1"/>
          <w:u w:val="single" w:color="auto"/>
          <w:color w:val="0000FF"/>
        </w:rPr>
        <w:t>A&amp;R Credit Agreement Eighth Amendment Effective</w:t>
      </w:r>
      <w:r>
        <w:rPr>
          <w:rFonts w:ascii="Arial" w:cs="Arial" w:eastAsia="Arial" w:hAnsi="Arial"/>
          <w:sz w:val="18"/>
          <w:szCs w:val="18"/>
          <w:color w:val="auto"/>
        </w:rPr>
        <w:t xml:space="preserve"> Date, all references to this Agreement herein (including for purposes of indemnification and reimbursement of fees) shall be to this Agreement.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11.21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-455930</wp:posOffset>
            </wp:positionV>
            <wp:extent cx="408813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088130" cy="8890"/>
                    </a:xfrm>
                    <a:prstGeom prst="rect">
                      <a:avLst/>
                    </a:prstGeom>
                    <a:noFill/>
                  </pic:spPr>
                </pic:pic>
              </a:graphicData>
            </a:graphic>
          </wp:anchor>
        </w:drawing>
      </w:r>
    </w:p>
    <w:p>
      <w:pPr>
        <w:spacing w:after="0" w:line="151" w:lineRule="exact"/>
        <w:rPr>
          <w:sz w:val="20"/>
          <w:szCs w:val="20"/>
          <w:color w:val="auto"/>
        </w:rPr>
      </w:pPr>
    </w:p>
    <w:p>
      <w:pPr>
        <w:ind w:right="20" w:firstLine="1304"/>
        <w:spacing w:after="0" w:line="277" w:lineRule="auto"/>
        <w:tabs>
          <w:tab w:leader="none" w:pos="195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 applicable: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9" w:name="page220"/>
    <w:bookmarkEnd w:id="219"/>
    <w:p>
      <w:pPr>
        <w:ind w:left="1960" w:hanging="656"/>
        <w:spacing w:after="0"/>
        <w:tabs>
          <w:tab w:leader="none" w:pos="1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1292"/>
        <w:spacing w:after="0" w:line="259" w:lineRule="auto"/>
        <w:tabs>
          <w:tab w:leader="none" w:pos="277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660" w:right="20" w:firstLine="1292"/>
        <w:spacing w:after="0" w:line="277" w:lineRule="auto"/>
        <w:tabs>
          <w:tab w:leader="none" w:pos="262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11.22 Acknowledgement Regarding Any Supported QFCs. To the extent that the Loan Documents provide support, through a guarantee or otherwise, for a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-852805</wp:posOffset>
            </wp:positionV>
            <wp:extent cx="296164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961640" cy="8890"/>
                    </a:xfrm>
                    <a:prstGeom prst="rect">
                      <a:avLst/>
                    </a:prstGeom>
                    <a:noFill/>
                  </pic:spPr>
                </pic:pic>
              </a:graphicData>
            </a:graphic>
          </wp:anchor>
        </w:drawing>
      </w:r>
    </w:p>
    <w:p>
      <w:pPr>
        <w:spacing w:after="0" w:line="175" w:lineRule="exact"/>
        <w:rPr>
          <w:sz w:val="20"/>
          <w:szCs w:val="20"/>
          <w:color w:val="auto"/>
        </w:rPr>
      </w:pPr>
    </w:p>
    <w:p>
      <w:pPr>
        <w:jc w:val="both"/>
        <w:ind w:firstLine="1304"/>
        <w:spacing w:after="0" w:line="287" w:lineRule="auto"/>
        <w:tabs>
          <w:tab w:leader="none" w:pos="195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0" w:name="page221"/>
    <w:bookmarkEnd w:id="220"/>
    <w:p>
      <w:pPr>
        <w:ind w:left="840" w:hanging="656"/>
        <w:spacing w:after="0"/>
        <w:tabs>
          <w:tab w:leader="none" w:pos="8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11.22</w:t>
      </w:r>
      <w:r>
        <w:rPr>
          <w:rFonts w:ascii="Arial" w:cs="Arial" w:eastAsia="Arial" w:hAnsi="Arial"/>
          <w:sz w:val="18"/>
          <w:szCs w:val="18"/>
          <w:color w:val="auto"/>
        </w:rPr>
        <w:t>, the following terms have the following meanings:</w:t>
      </w:r>
    </w:p>
    <w:p>
      <w:pPr>
        <w:spacing w:after="0" w:line="225" w:lineRule="exact"/>
        <w:rPr>
          <w:rFonts w:ascii="Arial" w:cs="Arial" w:eastAsia="Arial" w:hAnsi="Arial"/>
          <w:sz w:val="18"/>
          <w:szCs w:val="18"/>
          <w:color w:val="auto"/>
        </w:rPr>
      </w:pPr>
    </w:p>
    <w:p>
      <w:pPr>
        <w:ind w:left="84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rFonts w:ascii="Arial" w:cs="Arial" w:eastAsia="Arial" w:hAnsi="Arial"/>
          <w:sz w:val="18"/>
          <w:szCs w:val="18"/>
          <w:color w:val="auto"/>
        </w:rPr>
      </w:pPr>
    </w:p>
    <w:p>
      <w:pPr>
        <w:ind w:left="1400" w:hanging="568"/>
        <w:spacing w:after="0"/>
        <w:tabs>
          <w:tab w:leader="none" w:pos="14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420" w:hanging="588"/>
        <w:spacing w:after="0"/>
        <w:tabs>
          <w:tab w:leader="none" w:pos="14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420" w:hanging="588"/>
        <w:spacing w:after="0"/>
        <w:tabs>
          <w:tab w:leader="none" w:pos="14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170"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20"/>
      </w:cols>
      <w:pgMar w:left="144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1)"/>
      <w:numFmt w:val="lowerRoman"/>
      <w:start w:val="4"/>
    </w:lvl>
  </w:abstractNum>
  <w:abstractNum w:abstractNumId="2">
    <w:nsid w:val="415E286C"/>
    <w:multiLevelType w:val="hybridMultilevel"/>
    <w:lvl w:ilvl="0">
      <w:lvlJc w:val="left"/>
      <w:lvlText w:val="(%1)"/>
      <w:numFmt w:val="lowerLetter"/>
      <w:start w:val="4"/>
    </w:lvl>
  </w:abstractNum>
  <w:abstractNum w:abstractNumId="3">
    <w:nsid w:val="7C58FD05"/>
    <w:multiLevelType w:val="hybridMultilevel"/>
    <w:lvl w:ilvl="0">
      <w:lvlJc w:val="left"/>
      <w:lvlText w:val="%1"/>
      <w:numFmt w:val="decimal"/>
      <w:start w:val="104"/>
    </w:lvl>
    <w:lvl w:ilvl="1">
      <w:lvlJc w:val="left"/>
      <w:lvlText w:val="*"/>
      <w:numFmt w:val="bullet"/>
      <w:start w:val="1"/>
    </w:lvl>
  </w:abstractNum>
  <w:abstractNum w:abstractNumId="4">
    <w:nsid w:val="23D86AAC"/>
    <w:multiLevelType w:val="hybridMultilevel"/>
    <w:lvl w:ilvl="0">
      <w:lvlJc w:val="left"/>
      <w:lvlText w:val="%1."/>
      <w:numFmt w:val="upperLetter"/>
      <w:start w:val="1"/>
    </w:lvl>
  </w:abstractNum>
  <w:abstractNum w:abstractNumId="5">
    <w:nsid w:val="45E6D486"/>
    <w:multiLevelType w:val="hybridMultilevel"/>
    <w:lvl w:ilvl="0">
      <w:lvlJc w:val="left"/>
      <w:lvlText w:val="%1."/>
      <w:numFmt w:val="upperLetter"/>
      <w:start w:val="1"/>
    </w:lvl>
    <w:lvl w:ilvl="1">
      <w:lvlJc w:val="left"/>
      <w:lvlText w:val="%2."/>
      <w:numFmt w:val="lowerRoman"/>
      <w:start w:val="1"/>
    </w:lvl>
  </w:abstractNum>
  <w:abstractNum w:abstractNumId="6">
    <w:nsid w:val="5C10FE21"/>
    <w:multiLevelType w:val="hybridMultilevel"/>
    <w:lvl w:ilvl="0">
      <w:lvlJc w:val="left"/>
      <w:lvlText w:val="%1"/>
      <w:numFmt w:val="upperLetter"/>
      <w:start w:val="1"/>
    </w:lvl>
    <w:lvl w:ilvl="1">
      <w:lvlJc w:val="left"/>
      <w:lvlText w:val="%2."/>
      <w:numFmt w:val="lowerRoman"/>
      <w:start w:val="4"/>
    </w:lvl>
  </w:abstractNum>
  <w:abstractNum w:abstractNumId="7">
    <w:nsid w:val="E7FFA2B"/>
    <w:multiLevelType w:val="hybridMultilevel"/>
    <w:lvl w:ilvl="0">
      <w:lvlJc w:val="left"/>
      <w:lvlText w:val="%1."/>
      <w:numFmt w:val="upperLetter"/>
      <w:start w:val="2"/>
    </w:lvl>
    <w:lvl w:ilvl="1">
      <w:lvlJc w:val="left"/>
      <w:lvlText w:val="%2"/>
      <w:numFmt w:val="lowerRoman"/>
      <w:start w:val="1"/>
    </w:lvl>
  </w:abstractNum>
  <w:abstractNum w:abstractNumId="8">
    <w:nsid w:val="3C5991AA"/>
    <w:multiLevelType w:val="hybridMultilevel"/>
    <w:lvl w:ilvl="0">
      <w:lvlJc w:val="left"/>
      <w:lvlText w:val="%1."/>
      <w:numFmt w:val="upperLetter"/>
      <w:start w:val="4"/>
    </w:lvl>
  </w:abstractNum>
  <w:abstractNum w:abstractNumId="9">
    <w:nsid w:val="4BD8591A"/>
    <w:multiLevelType w:val="hybridMultilevel"/>
    <w:lvl w:ilvl="0">
      <w:lvlJc w:val="left"/>
      <w:lvlText w:val="%1."/>
      <w:numFmt w:val="upperLetter"/>
      <w:start w:val="1"/>
    </w:lvl>
  </w:abstractNum>
  <w:abstractNum w:abstractNumId="10">
    <w:nsid w:val="78DF6A55"/>
    <w:multiLevelType w:val="hybridMultilevel"/>
    <w:lvl w:ilvl="0">
      <w:lvlJc w:val="left"/>
      <w:lvlText w:val="%1."/>
      <w:numFmt w:val="upperLetter"/>
      <w:start w:val="4"/>
    </w:lvl>
  </w:abstractNum>
  <w:abstractNum w:abstractNumId="11">
    <w:nsid w:val="39B7AAA2"/>
    <w:multiLevelType w:val="hybridMultilevel"/>
    <w:lvl w:ilvl="0">
      <w:lvlJc w:val="left"/>
      <w:lvlText w:val="%1."/>
      <w:numFmt w:val="upperLetter"/>
      <w:start w:val="1"/>
    </w:lvl>
  </w:abstractNum>
  <w:abstractNum w:abstractNumId="12">
    <w:nsid w:val="2B0D8DBE"/>
    <w:multiLevelType w:val="hybridMultilevel"/>
    <w:lvl w:ilvl="0">
      <w:lvlJc w:val="left"/>
      <w:lvlText w:val="%1."/>
      <w:numFmt w:val="upperLetter"/>
      <w:start w:val="4"/>
    </w:lvl>
  </w:abstractNum>
  <w:abstractNum w:abstractNumId="13">
    <w:nsid w:val="6C80EC70"/>
    <w:multiLevelType w:val="hybridMultilevel"/>
    <w:lvl w:ilvl="0">
      <w:lvlJc w:val="left"/>
      <w:lvlText w:val="%1."/>
      <w:numFmt w:val="upperLetter"/>
      <w:start w:val="1"/>
    </w:lvl>
  </w:abstractNum>
  <w:abstractNum w:abstractNumId="14">
    <w:nsid w:val="379E21B5"/>
    <w:multiLevelType w:val="hybridMultilevel"/>
    <w:lvl w:ilvl="0">
      <w:lvlJc w:val="left"/>
      <w:lvlText w:val="%1."/>
      <w:numFmt w:val="upperLetter"/>
      <w:start w:val="1"/>
    </w:lvl>
  </w:abstractNum>
  <w:abstractNum w:abstractNumId="15">
    <w:nsid w:val="69E373"/>
    <w:multiLevelType w:val="hybridMultilevel"/>
    <w:lvl w:ilvl="0">
      <w:lvlJc w:val="left"/>
      <w:lvlText w:val="(%1)"/>
      <w:numFmt w:val="lowerRoman"/>
      <w:start w:val="1"/>
    </w:lvl>
  </w:abstractNum>
  <w:abstractNum w:abstractNumId="16">
    <w:nsid w:val="2C27173B"/>
    <w:multiLevelType w:val="hybridMultilevel"/>
    <w:lvl w:ilvl="0">
      <w:lvlJc w:val="left"/>
      <w:lvlText w:val="%1"/>
      <w:numFmt w:val="lowerLetter"/>
      <w:start w:val="1"/>
    </w:lvl>
    <w:lvl w:ilvl="1">
      <w:lvlJc w:val="left"/>
      <w:lvlText w:val="%2."/>
      <w:numFmt w:val="upperLetter"/>
      <w:start w:val="2"/>
    </w:lvl>
  </w:abstractNum>
  <w:abstractNum w:abstractNumId="17">
    <w:nsid w:val="4C9B0904"/>
    <w:multiLevelType w:val="hybridMultilevel"/>
    <w:lvl w:ilvl="0">
      <w:lvlJc w:val="left"/>
      <w:lvlText w:val="(%1)"/>
      <w:numFmt w:val="lowerLetter"/>
      <w:start w:val="4"/>
    </w:lvl>
    <w:lvl w:ilvl="1">
      <w:lvlJc w:val="left"/>
      <w:lvlText w:val="%2."/>
      <w:numFmt w:val="upperLetter"/>
      <w:start w:val="6"/>
    </w:lvl>
  </w:abstractNum>
  <w:abstractNum w:abstractNumId="18">
    <w:nsid w:val="6AA7B75C"/>
    <w:multiLevelType w:val="hybridMultilevel"/>
    <w:lvl w:ilvl="0">
      <w:lvlJc w:val="left"/>
      <w:lvlText w:val="A"/>
      <w:numFmt w:val="bullet"/>
      <w:start w:val="1"/>
    </w:lvl>
  </w:abstractNum>
  <w:abstractNum w:abstractNumId="19">
    <w:nsid w:val="1DF029D3"/>
    <w:multiLevelType w:val="hybridMultilevel"/>
    <w:lvl w:ilvl="0">
      <w:lvlJc w:val="left"/>
      <w:lvlText w:val="(%1)"/>
      <w:numFmt w:val="lowerRoman"/>
      <w:start w:val="1"/>
    </w:lvl>
  </w:abstractNum>
  <w:abstractNum w:abstractNumId="20">
    <w:nsid w:val="5675FF36"/>
    <w:multiLevelType w:val="hybridMultilevel"/>
    <w:lvl w:ilvl="0">
      <w:lvlJc w:val="left"/>
      <w:lvlText w:val="(%1)"/>
      <w:numFmt w:val="lowerLetter"/>
      <w:start w:val="1"/>
    </w:lvl>
  </w:abstractNum>
  <w:abstractNum w:abstractNumId="21">
    <w:nsid w:val="3DD15094"/>
    <w:multiLevelType w:val="hybridMultilevel"/>
    <w:lvl w:ilvl="0">
      <w:lvlJc w:val="left"/>
      <w:lvlText w:val="(%1)"/>
      <w:numFmt w:val="lowerLetter"/>
      <w:start w:val="2"/>
    </w:lvl>
  </w:abstractNum>
  <w:abstractNum w:abstractNumId="22">
    <w:nsid w:val="3DB012B3"/>
    <w:multiLevelType w:val="hybridMultilevel"/>
    <w:lvl w:ilvl="0">
      <w:lvlJc w:val="left"/>
      <w:lvlText w:val="(%1)"/>
      <w:numFmt w:val="decimal"/>
      <w:start w:val="1"/>
    </w:lvl>
  </w:abstractNum>
  <w:abstractNum w:abstractNumId="23">
    <w:nsid w:val="2708C9AF"/>
    <w:multiLevelType w:val="hybridMultilevel"/>
    <w:lvl w:ilvl="0">
      <w:lvlJc w:val="left"/>
      <w:lvlText w:val="(%1)"/>
      <w:numFmt w:val="decimal"/>
      <w:start w:val="1"/>
    </w:lvl>
  </w:abstractNum>
  <w:abstractNum w:abstractNumId="24">
    <w:nsid w:val="5B25ACE2"/>
    <w:multiLevelType w:val="hybridMultilevel"/>
    <w:lvl w:ilvl="0">
      <w:lvlJc w:val="left"/>
      <w:lvlText w:val="(%1)"/>
      <w:numFmt w:val="lowerRoman"/>
      <w:start w:val="3"/>
    </w:lvl>
  </w:abstractNum>
  <w:abstractNum w:abstractNumId="25">
    <w:nsid w:val="175DFCF0"/>
    <w:multiLevelType w:val="hybridMultilevel"/>
    <w:lvl w:ilvl="0">
      <w:lvlJc w:val="left"/>
      <w:lvlText w:val="(%1)"/>
      <w:numFmt w:val="lowerLetter"/>
      <w:start w:val="2"/>
    </w:lvl>
  </w:abstractNum>
  <w:abstractNum w:abstractNumId="26">
    <w:nsid w:val="4F97E3E4"/>
    <w:multiLevelType w:val="hybridMultilevel"/>
    <w:lvl w:ilvl="0">
      <w:lvlJc w:val="left"/>
      <w:lvlText w:val="(%1)"/>
      <w:numFmt w:val="lowerLetter"/>
      <w:start w:val="1"/>
    </w:lvl>
  </w:abstractNum>
  <w:abstractNum w:abstractNumId="27">
    <w:nsid w:val="53B0A9E"/>
    <w:multiLevelType w:val="hybridMultilevel"/>
    <w:lvl w:ilvl="0">
      <w:lvlJc w:val="left"/>
      <w:lvlText w:val="(%1)"/>
      <w:numFmt w:val="lowerLetter"/>
      <w:start w:val="4"/>
    </w:lvl>
  </w:abstractNum>
  <w:abstractNum w:abstractNumId="28">
    <w:nsid w:val="34FD6B4F"/>
    <w:multiLevelType w:val="hybridMultilevel"/>
    <w:lvl w:ilvl="0">
      <w:lvlJc w:val="left"/>
      <w:lvlText w:val="(%1)"/>
      <w:numFmt w:val="lowerLetter"/>
      <w:start w:val="1"/>
    </w:lvl>
  </w:abstractNum>
  <w:abstractNum w:abstractNumId="29">
    <w:nsid w:val="5915FF32"/>
    <w:multiLevelType w:val="hybridMultilevel"/>
    <w:lvl w:ilvl="0">
      <w:lvlJc w:val="left"/>
      <w:lvlText w:val="(%1)"/>
      <w:numFmt w:val="lowerRoman"/>
      <w:start w:val="6"/>
    </w:lvl>
  </w:abstractNum>
  <w:abstractNum w:abstractNumId="30">
    <w:nsid w:val="56438D15"/>
    <w:multiLevelType w:val="hybridMultilevel"/>
    <w:lvl w:ilvl="0">
      <w:lvlJc w:val="left"/>
      <w:lvlText w:val="(%1)"/>
      <w:numFmt w:val="lowerLetter"/>
      <w:start w:val="1"/>
    </w:lvl>
  </w:abstractNum>
  <w:abstractNum w:abstractNumId="31">
    <w:nsid w:val="519E3149"/>
    <w:multiLevelType w:val="hybridMultilevel"/>
    <w:lvl w:ilvl="0">
      <w:lvlJc w:val="left"/>
      <w:lvlText w:val="(%1)"/>
      <w:numFmt w:val="lowerLetter"/>
      <w:start w:val="1"/>
    </w:lvl>
  </w:abstractNum>
  <w:abstractNum w:abstractNumId="32">
    <w:nsid w:val="2C6E4AFD"/>
    <w:multiLevelType w:val="hybridMultilevel"/>
    <w:lvl w:ilvl="0">
      <w:lvlJc w:val="left"/>
      <w:lvlText w:val="(%1)"/>
      <w:numFmt w:val="lowerLetter"/>
      <w:start w:val="6"/>
    </w:lvl>
  </w:abstractNum>
  <w:abstractNum w:abstractNumId="33">
    <w:nsid w:val="17A1B582"/>
    <w:multiLevelType w:val="hybridMultilevel"/>
    <w:lvl w:ilvl="0">
      <w:lvlJc w:val="left"/>
      <w:lvlText w:val="(%1)"/>
      <w:numFmt w:val="lowerLetter"/>
      <w:start w:val="1"/>
    </w:lvl>
  </w:abstractNum>
  <w:abstractNum w:abstractNumId="34">
    <w:nsid w:val="4DF72E4E"/>
    <w:multiLevelType w:val="hybridMultilevel"/>
    <w:lvl w:ilvl="0">
      <w:lvlJc w:val="left"/>
      <w:lvlText w:val="(%1)"/>
      <w:numFmt w:val="lowerRoman"/>
      <w:start w:val="1"/>
    </w:lvl>
  </w:abstractNum>
  <w:abstractNum w:abstractNumId="35">
    <w:nsid w:val="5046B5A9"/>
    <w:multiLevelType w:val="hybridMultilevel"/>
    <w:lvl w:ilvl="0">
      <w:lvlJc w:val="left"/>
      <w:lvlText w:val="(%1)"/>
      <w:numFmt w:val="lowerRoman"/>
      <w:start w:val="3"/>
    </w:lvl>
  </w:abstractNum>
  <w:abstractNum w:abstractNumId="36">
    <w:nsid w:val="5D888A08"/>
    <w:multiLevelType w:val="hybridMultilevel"/>
    <w:lvl w:ilvl="0">
      <w:lvlJc w:val="left"/>
      <w:lvlText w:val="(%1)"/>
      <w:numFmt w:val="lowerLetter"/>
      <w:start w:val="6"/>
    </w:lvl>
  </w:abstractNum>
  <w:abstractNum w:abstractNumId="37">
    <w:nsid w:val="2A082C70"/>
    <w:multiLevelType w:val="hybridMultilevel"/>
    <w:lvl w:ilvl="0">
      <w:lvlJc w:val="left"/>
      <w:lvlText w:val="(%1)"/>
      <w:numFmt w:val="lowerRoman"/>
      <w:start w:val="1"/>
    </w:lvl>
  </w:abstractNum>
  <w:abstractNum w:abstractNumId="38">
    <w:nsid w:val="5EC6AFD4"/>
    <w:multiLevelType w:val="hybridMultilevel"/>
    <w:lvl w:ilvl="0">
      <w:lvlJc w:val="left"/>
      <w:lvlText w:val="(%1)"/>
      <w:numFmt w:val="lowerRoman"/>
      <w:start w:val="2"/>
    </w:lvl>
  </w:abstractNum>
  <w:abstractNum w:abstractNumId="39">
    <w:nsid w:val="19E21BB2"/>
    <w:multiLevelType w:val="hybridMultilevel"/>
    <w:lvl w:ilvl="0">
      <w:lvlJc w:val="left"/>
      <w:lvlText w:val="(%1)"/>
      <w:numFmt w:val="lowerRoman"/>
      <w:start w:val="2"/>
    </w:lvl>
  </w:abstractNum>
  <w:abstractNum w:abstractNumId="40">
    <w:nsid w:val="75E0858A"/>
    <w:multiLevelType w:val="hybridMultilevel"/>
    <w:lvl w:ilvl="0">
      <w:lvlJc w:val="left"/>
      <w:lvlText w:val="(%1)"/>
      <w:numFmt w:val="lowerLetter"/>
      <w:start w:val="1"/>
    </w:lvl>
  </w:abstractNum>
  <w:abstractNum w:abstractNumId="41">
    <w:nsid w:val="57A61A29"/>
    <w:multiLevelType w:val="hybridMultilevel"/>
    <w:lvl w:ilvl="0">
      <w:lvlJc w:val="left"/>
      <w:lvlText w:val="(%1)"/>
      <w:numFmt w:val="lowerLetter"/>
      <w:start w:val="1"/>
    </w:lvl>
  </w:abstractNum>
  <w:abstractNum w:abstractNumId="42">
    <w:nsid w:val="5399C654"/>
    <w:multiLevelType w:val="hybridMultilevel"/>
    <w:lvl w:ilvl="0">
      <w:lvlJc w:val="left"/>
      <w:lvlText w:val="(%1)"/>
      <w:numFmt w:val="lowerLetter"/>
      <w:start w:val="3"/>
    </w:lvl>
  </w:abstractNum>
  <w:abstractNum w:abstractNumId="43">
    <w:nsid w:val="20EE1348"/>
    <w:multiLevelType w:val="hybridMultilevel"/>
    <w:lvl w:ilvl="0">
      <w:lvlJc w:val="left"/>
      <w:lvlText w:val="(%1)"/>
      <w:numFmt w:val="lowerLetter"/>
      <w:start w:val="4"/>
    </w:lvl>
  </w:abstractNum>
  <w:abstractNum w:abstractNumId="44">
    <w:nsid w:val="4427069A"/>
    <w:multiLevelType w:val="hybridMultilevel"/>
    <w:lvl w:ilvl="0">
      <w:lvlJc w:val="left"/>
      <w:lvlText w:val="(%1)"/>
      <w:numFmt w:val="lowerLetter"/>
      <w:start w:val="2"/>
    </w:lvl>
  </w:abstractNum>
  <w:abstractNum w:abstractNumId="45">
    <w:nsid w:val="B37E80A"/>
    <w:multiLevelType w:val="hybridMultilevel"/>
    <w:lvl w:ilvl="0">
      <w:lvlJc w:val="left"/>
      <w:lvlText w:val="(%1)"/>
      <w:numFmt w:val="lowerLetter"/>
      <w:start w:val="1"/>
    </w:lvl>
  </w:abstractNum>
  <w:abstractNum w:abstractNumId="46">
    <w:nsid w:val="2157F6BC"/>
    <w:multiLevelType w:val="hybridMultilevel"/>
    <w:lvl w:ilvl="0">
      <w:lvlJc w:val="left"/>
      <w:lvlText w:val="(%1)"/>
      <w:numFmt w:val="lowerLetter"/>
      <w:start w:val="2"/>
    </w:lvl>
  </w:abstractNum>
  <w:abstractNum w:abstractNumId="47">
    <w:nsid w:val="704E1DD5"/>
    <w:multiLevelType w:val="hybridMultilevel"/>
    <w:lvl w:ilvl="0">
      <w:lvlJc w:val="left"/>
      <w:lvlText w:val="(%1)"/>
      <w:numFmt w:val="lowerLetter"/>
      <w:start w:val="1"/>
    </w:lvl>
  </w:abstractNum>
  <w:abstractNum w:abstractNumId="48">
    <w:nsid w:val="57D2F10E"/>
    <w:multiLevelType w:val="hybridMultilevel"/>
    <w:lvl w:ilvl="0">
      <w:lvlJc w:val="left"/>
      <w:lvlText w:val="(%1)"/>
      <w:numFmt w:val="lowerLetter"/>
      <w:start w:val="2"/>
    </w:lvl>
  </w:abstractNum>
  <w:abstractNum w:abstractNumId="49">
    <w:nsid w:val="BFFAE18"/>
    <w:multiLevelType w:val="hybridMultilevel"/>
    <w:lvl w:ilvl="0">
      <w:lvlJc w:val="left"/>
      <w:lvlText w:val="(%1)"/>
      <w:numFmt w:val="lowerLetter"/>
      <w:start w:val="5"/>
    </w:lvl>
  </w:abstractNum>
  <w:abstractNum w:abstractNumId="50">
    <w:nsid w:val="E3E47A8"/>
    <w:multiLevelType w:val="hybridMultilevel"/>
    <w:lvl w:ilvl="0">
      <w:lvlJc w:val="left"/>
      <w:lvlText w:val="(%1)"/>
      <w:numFmt w:val="lowerRoman"/>
      <w:start w:val="2"/>
    </w:lvl>
    <w:lvl w:ilvl="1">
      <w:lvlJc w:val="left"/>
      <w:lvlText w:val="(%2)"/>
      <w:numFmt w:val="upperLetter"/>
      <w:start w:val="1"/>
    </w:lvl>
  </w:abstractNum>
  <w:abstractNum w:abstractNumId="51">
    <w:nsid w:val="2E48F044"/>
    <w:multiLevelType w:val="hybridMultilevel"/>
    <w:lvl w:ilvl="0">
      <w:lvlJc w:val="left"/>
      <w:lvlText w:val="%1"/>
      <w:numFmt w:val="lowerRoman"/>
      <w:start w:val="1"/>
    </w:lvl>
    <w:lvl w:ilvl="1">
      <w:lvlJc w:val="left"/>
      <w:lvlText w:val="(%2)"/>
      <w:numFmt w:val="upperLetter"/>
      <w:start w:val="2"/>
    </w:lvl>
  </w:abstractNum>
  <w:abstractNum w:abstractNumId="52">
    <w:nsid w:val="49D0FEAC"/>
    <w:multiLevelType w:val="hybridMultilevel"/>
    <w:lvl w:ilvl="0">
      <w:lvlJc w:val="left"/>
      <w:lvlText w:val="(%1)"/>
      <w:numFmt w:val="lowerRoman"/>
      <w:start w:val="3"/>
    </w:lvl>
    <w:lvl w:ilvl="1">
      <w:lvlJc w:val="left"/>
      <w:lvlText w:val="(%2)"/>
      <w:numFmt w:val="upperLetter"/>
      <w:start w:val="1"/>
    </w:lvl>
  </w:abstractNum>
  <w:abstractNum w:abstractNumId="53">
    <w:nsid w:val="4BEE5A5B"/>
    <w:multiLevelType w:val="hybridMultilevel"/>
    <w:lvl w:ilvl="0">
      <w:lvlJc w:val="left"/>
      <w:lvlText w:val="(%1)"/>
      <w:numFmt w:val="lowerLetter"/>
      <w:start w:val="2"/>
    </w:lvl>
    <w:lvl w:ilvl="1">
      <w:lvlJc w:val="left"/>
      <w:lvlText w:val="(%2)"/>
      <w:numFmt w:val="lowerLetter"/>
      <w:start w:val="35"/>
    </w:lvl>
  </w:abstractNum>
  <w:abstractNum w:abstractNumId="54">
    <w:nsid w:val="5551B9F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55">
    <w:nsid w:val="24F6AB8E"/>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56">
    <w:nsid w:val="634C574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7">
    <w:nsid w:val="24E99DD7"/>
    <w:multiLevelType w:val="hybridMultilevel"/>
    <w:lvl w:ilvl="0">
      <w:lvlJc w:val="left"/>
      <w:lvlText w:val="(%1)"/>
      <w:numFmt w:val="lowerRoman"/>
      <w:start w:val="2"/>
    </w:lvl>
  </w:abstractNum>
  <w:abstractNum w:abstractNumId="58">
    <w:nsid w:val="2A31B62D"/>
    <w:multiLevelType w:val="hybridMultilevel"/>
    <w:lvl w:ilvl="0">
      <w:lvlJc w:val="left"/>
      <w:lvlText w:val="%1"/>
      <w:numFmt w:val="lowerLetter"/>
      <w:start w:val="1"/>
    </w:lvl>
    <w:lvl w:ilvl="1">
      <w:lvlJc w:val="left"/>
      <w:lvlText w:val="(%2)"/>
      <w:numFmt w:val="lowerRoman"/>
      <w:start w:val="5"/>
    </w:lvl>
  </w:abstractNum>
  <w:abstractNum w:abstractNumId="59">
    <w:nsid w:val="1849C29B"/>
    <w:multiLevelType w:val="hybridMultilevel"/>
    <w:lvl w:ilvl="0">
      <w:lvlJc w:val="left"/>
      <w:lvlText w:val="(%1)"/>
      <w:numFmt w:val="lowerLetter"/>
      <w:start w:val="4"/>
    </w:lvl>
    <w:lvl w:ilvl="1">
      <w:lvlJc w:val="left"/>
      <w:lvlText w:val="%2"/>
      <w:numFmt w:val="lowerRoman"/>
      <w:start w:val="1"/>
    </w:lvl>
  </w:abstractNum>
  <w:abstractNum w:abstractNumId="60">
    <w:nsid w:val="7DFF9D09"/>
    <w:multiLevelType w:val="hybridMultilevel"/>
    <w:lvl w:ilvl="0">
      <w:lvlJc w:val="left"/>
      <w:lvlText w:val="%1"/>
      <w:numFmt w:val="lowerLetter"/>
      <w:start w:val="1"/>
    </w:lvl>
    <w:lvl w:ilvl="1">
      <w:lvlJc w:val="left"/>
      <w:lvlText w:val="(%2)"/>
      <w:numFmt w:val="lowerLetter"/>
      <w:start w:val="35"/>
    </w:lvl>
  </w:abstractNum>
  <w:abstractNum w:abstractNumId="61">
    <w:nsid w:val="754342"/>
    <w:multiLevelType w:val="hybridMultilevel"/>
    <w:lvl w:ilvl="0">
      <w:lvlJc w:val="left"/>
      <w:lvlText w:val="(%1)"/>
      <w:numFmt w:val="lowerLetter"/>
      <w:start w:val="5"/>
    </w:lvl>
    <w:lvl w:ilvl="1">
      <w:lvlJc w:val="left"/>
      <w:lvlText w:val="(%2)"/>
      <w:numFmt w:val="lowerLetter"/>
      <w:start w:val="9"/>
    </w:lvl>
  </w:abstractNum>
  <w:abstractNum w:abstractNumId="62">
    <w:nsid w:val="69E7F3E5"/>
    <w:multiLevelType w:val="hybridMultilevel"/>
    <w:lvl w:ilvl="0">
      <w:lvlJc w:val="left"/>
      <w:lvlText w:val="(%1)"/>
      <w:numFmt w:val="lowerRoman"/>
      <w:start w:val="2"/>
    </w:lvl>
  </w:abstractNum>
  <w:abstractNum w:abstractNumId="63">
    <w:nsid w:val="2A6DE806"/>
    <w:multiLevelType w:val="hybridMultilevel"/>
    <w:lvl w:ilvl="0">
      <w:lvlJc w:val="left"/>
      <w:lvlText w:val="(%1)"/>
      <w:numFmt w:val="lowerRoman"/>
      <w:start w:val="5"/>
    </w:lvl>
  </w:abstractNum>
  <w:abstractNum w:abstractNumId="64">
    <w:nsid w:val="1816F8C4"/>
    <w:multiLevelType w:val="hybridMultilevel"/>
    <w:lvl w:ilvl="0">
      <w:lvlJc w:val="left"/>
      <w:lvlText w:val="(%1)"/>
      <w:numFmt w:val="lowerLetter"/>
      <w:start w:val="6"/>
    </w:lvl>
  </w:abstractNum>
  <w:abstractNum w:abstractNumId="65">
    <w:nsid w:val="37DF2233"/>
    <w:multiLevelType w:val="hybridMultilevel"/>
    <w:lvl w:ilvl="0">
      <w:lvlJc w:val="left"/>
      <w:lvlText w:val="(%1)"/>
      <w:numFmt w:val="lowerLetter"/>
      <w:start w:val="7"/>
    </w:lvl>
    <w:lvl w:ilvl="1">
      <w:lvlJc w:val="left"/>
      <w:lvlText w:val="(%2)"/>
      <w:numFmt w:val="lowerRoman"/>
      <w:start w:val="1"/>
    </w:lvl>
  </w:abstractNum>
  <w:abstractNum w:abstractNumId="66">
    <w:nsid w:val="7AB49DAF"/>
    <w:multiLevelType w:val="hybridMultilevel"/>
    <w:lvl w:ilvl="0">
      <w:lvlJc w:val="left"/>
      <w:lvlText w:val="%1"/>
      <w:numFmt w:val="lowerLetter"/>
      <w:start w:val="1"/>
    </w:lvl>
    <w:lvl w:ilvl="1">
      <w:lvlJc w:val="left"/>
      <w:lvlText w:val="(%2)"/>
      <w:numFmt w:val="lowerRoman"/>
      <w:start w:val="3"/>
    </w:lvl>
  </w:abstractNum>
  <w:abstractNum w:abstractNumId="67">
    <w:nsid w:val="759F82CD"/>
    <w:multiLevelType w:val="hybridMultilevel"/>
    <w:lvl w:ilvl="0">
      <w:lvlJc w:val="left"/>
      <w:lvlText w:val="(%1)"/>
      <w:numFmt w:val="lowerLetter"/>
      <w:start w:val="8"/>
    </w:lvl>
    <w:lvl w:ilvl="1">
      <w:lvlJc w:val="left"/>
      <w:lvlText w:val="%2"/>
      <w:numFmt w:val="lowerRoman"/>
      <w:start w:val="1"/>
    </w:lvl>
  </w:abstractNum>
  <w:abstractNum w:abstractNumId="68">
    <w:nsid w:val="61E74EA3"/>
    <w:multiLevelType w:val="hybridMultilevel"/>
    <w:lvl w:ilvl="0">
      <w:lvlJc w:val="left"/>
      <w:lvlText w:val="(%1)"/>
      <w:numFmt w:val="lowerLetter"/>
      <w:start w:val="10"/>
    </w:lvl>
  </w:abstractNum>
  <w:abstractNum w:abstractNumId="69">
    <w:nsid w:val="597B4D84"/>
    <w:multiLevelType w:val="hybridMultilevel"/>
    <w:lvl w:ilvl="0">
      <w:lvlJc w:val="left"/>
      <w:lvlText w:val="(%1)"/>
      <w:numFmt w:val="lowerLetter"/>
      <w:start w:val="13"/>
    </w:lvl>
    <w:lvl w:ilvl="1">
      <w:lvlJc w:val="left"/>
      <w:lvlText w:val="(%2)"/>
      <w:numFmt w:val="lowerRoman"/>
      <w:start w:val="1"/>
    </w:lvl>
  </w:abstractNum>
  <w:abstractNum w:abstractNumId="70">
    <w:nsid w:val="F819E7F"/>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71">
    <w:nsid w:val="57C7D42D"/>
    <w:multiLevelType w:val="hybridMultilevel"/>
    <w:lvl w:ilvl="0">
      <w:lvlJc w:val="left"/>
      <w:lvlText w:val="(%1)"/>
      <w:numFmt w:val="lowerRoman"/>
      <w:start w:val="3"/>
    </w:lvl>
  </w:abstractNum>
  <w:abstractNum w:abstractNumId="72">
    <w:nsid w:val="312167AD"/>
    <w:multiLevelType w:val="hybridMultilevel"/>
    <w:lvl w:ilvl="0">
      <w:lvlJc w:val="left"/>
      <w:lvlText w:val="(%1)"/>
      <w:numFmt w:val="lowerLetter"/>
      <w:start w:val="2"/>
    </w:lvl>
    <w:lvl w:ilvl="1">
      <w:lvlJc w:val="left"/>
      <w:lvlText w:val="(%2)"/>
      <w:numFmt w:val="lowerLetter"/>
      <w:start w:val="35"/>
    </w:lvl>
  </w:abstractNum>
  <w:abstractNum w:abstractNumId="73">
    <w:nsid w:val="631B64D4"/>
    <w:multiLevelType w:val="hybridMultilevel"/>
    <w:lvl w:ilvl="0">
      <w:lvlJc w:val="left"/>
      <w:lvlText w:val="(%1)"/>
      <w:numFmt w:val="lowerLetter"/>
      <w:start w:val="1"/>
    </w:lvl>
  </w:abstractNum>
  <w:abstractNum w:abstractNumId="74">
    <w:nsid w:val="78B5E776"/>
    <w:multiLevelType w:val="hybridMultilevel"/>
    <w:lvl w:ilvl="0">
      <w:lvlJc w:val="left"/>
      <w:lvlText w:val="(%1)"/>
      <w:numFmt w:val="lowerLetter"/>
      <w:start w:val="2"/>
    </w:lvl>
    <w:lvl w:ilvl="1">
      <w:lvlJc w:val="left"/>
      <w:lvlText w:val="(%2)"/>
      <w:numFmt w:val="lowerLetter"/>
      <w:start w:val="35"/>
    </w:lvl>
  </w:abstractNum>
  <w:abstractNum w:abstractNumId="75">
    <w:nsid w:val="75486E47"/>
    <w:multiLevelType w:val="hybridMultilevel"/>
    <w:lvl w:ilvl="0">
      <w:lvlJc w:val="left"/>
      <w:lvlText w:val="(%1)"/>
      <w:numFmt w:val="lowerLetter"/>
      <w:start w:val="4"/>
    </w:lvl>
  </w:abstractNum>
  <w:abstractNum w:abstractNumId="76">
    <w:nsid w:val="6E534CDE"/>
    <w:multiLevelType w:val="hybridMultilevel"/>
    <w:lvl w:ilvl="0">
      <w:lvlJc w:val="left"/>
      <w:lvlText w:val="(%1)"/>
      <w:numFmt w:val="lowerLetter"/>
      <w:start w:val="1"/>
    </w:lvl>
  </w:abstractNum>
  <w:abstractNum w:abstractNumId="77">
    <w:nsid w:val="1A0DDE32"/>
    <w:multiLevelType w:val="hybridMultilevel"/>
    <w:lvl w:ilvl="0">
      <w:lvlJc w:val="left"/>
      <w:lvlText w:val="(%1)"/>
      <w:numFmt w:val="lowerLetter"/>
      <w:start w:val="2"/>
    </w:lvl>
  </w:abstractNum>
  <w:abstractNum w:abstractNumId="78">
    <w:nsid w:val="65968C1C"/>
    <w:multiLevelType w:val="hybridMultilevel"/>
    <w:lvl w:ilvl="0">
      <w:lvlJc w:val="left"/>
      <w:lvlText w:val="(%1)"/>
      <w:numFmt w:val="lowerLetter"/>
      <w:start w:val="2"/>
    </w:lvl>
    <w:lvl w:ilvl="1">
      <w:lvlJc w:val="left"/>
      <w:lvlText w:val="(%2)"/>
      <w:numFmt w:val="lowerLetter"/>
      <w:start w:val="35"/>
    </w:lvl>
  </w:abstractNum>
  <w:abstractNum w:abstractNumId="79">
    <w:nsid w:val="46263DEC"/>
    <w:multiLevelType w:val="hybridMultilevel"/>
    <w:lvl w:ilvl="0">
      <w:lvlJc w:val="left"/>
      <w:lvlText w:val="(%1)"/>
      <w:numFmt w:val="lowerLetter"/>
      <w:start w:val="3"/>
    </w:lvl>
  </w:abstractNum>
  <w:abstractNum w:abstractNumId="80">
    <w:nsid w:val="260D8C4A"/>
    <w:multiLevelType w:val="hybridMultilevel"/>
    <w:lvl w:ilvl="0">
      <w:lvlJc w:val="left"/>
      <w:lvlText w:val="(%1)"/>
      <w:numFmt w:val="lowerRoman"/>
      <w:start w:val="1"/>
    </w:lvl>
  </w:abstractNum>
  <w:abstractNum w:abstractNumId="81">
    <w:nsid w:val="73D4D3C4"/>
    <w:multiLevelType w:val="hybridMultilevel"/>
    <w:lvl w:ilvl="0">
      <w:lvlJc w:val="left"/>
      <w:lvlText w:val="(%1)"/>
      <w:numFmt w:val="lowerLetter"/>
      <w:start w:val="1"/>
    </w:lvl>
  </w:abstractNum>
  <w:abstractNum w:abstractNumId="82">
    <w:nsid w:val="746F2E30"/>
    <w:multiLevelType w:val="hybridMultilevel"/>
    <w:lvl w:ilvl="0">
      <w:lvlJc w:val="left"/>
      <w:lvlText w:val="(%1)"/>
      <w:numFmt w:val="lowerLetter"/>
      <w:start w:val="2"/>
    </w:lvl>
  </w:abstractNum>
  <w:abstractNum w:abstractNumId="83">
    <w:nsid w:val="6FDE8AF6"/>
    <w:multiLevelType w:val="hybridMultilevel"/>
    <w:lvl w:ilvl="0">
      <w:lvlJc w:val="left"/>
      <w:lvlText w:val="%1"/>
      <w:numFmt w:val="upperLetter"/>
      <w:start w:val="1"/>
    </w:lvl>
    <w:lvl w:ilvl="1">
      <w:lvlJc w:val="left"/>
      <w:lvlText w:val="(%2)"/>
      <w:numFmt w:val="lowerLetter"/>
      <w:start w:val="5"/>
    </w:lvl>
  </w:abstractNum>
  <w:abstractNum w:abstractNumId="84">
    <w:nsid w:val="3FC32E20"/>
    <w:multiLevelType w:val="hybridMultilevel"/>
    <w:lvl w:ilvl="0">
      <w:lvlJc w:val="left"/>
      <w:lvlText w:val="(%1)"/>
      <w:numFmt w:val="upperLetter"/>
      <w:start w:val="1"/>
    </w:lvl>
    <w:lvl w:ilvl="1">
      <w:lvlJc w:val="left"/>
      <w:lvlText w:val="%2"/>
      <w:numFmt w:val="lowerLetter"/>
      <w:start w:val="1"/>
    </w:lvl>
  </w:abstractNum>
  <w:abstractNum w:abstractNumId="85">
    <w:nsid w:val="49C0E823"/>
    <w:multiLevelType w:val="hybridMultilevel"/>
    <w:lvl w:ilvl="0">
      <w:lvlJc w:val="left"/>
      <w:lvlText w:val="(%1)"/>
      <w:numFmt w:val="lowerLetter"/>
      <w:start w:val="8"/>
    </w:lvl>
  </w:abstractNum>
  <w:abstractNum w:abstractNumId="86">
    <w:nsid w:val="14D53685"/>
    <w:multiLevelType w:val="hybridMultilevel"/>
    <w:lvl w:ilvl="0">
      <w:lvlJc w:val="left"/>
      <w:lvlText w:val="(%1)"/>
      <w:numFmt w:val="lowerLetter"/>
      <w:start w:val="10"/>
    </w:lvl>
  </w:abstractNum>
  <w:abstractNum w:abstractNumId="87">
    <w:nsid w:val="230F856C"/>
    <w:multiLevelType w:val="hybridMultilevel"/>
    <w:lvl w:ilvl="0">
      <w:lvlJc w:val="left"/>
      <w:lvlText w:val="(%1)"/>
      <w:numFmt w:val="lowerLetter"/>
      <w:start w:val="1"/>
    </w:lvl>
    <w:lvl w:ilvl="1">
      <w:lvlJc w:val="left"/>
      <w:lvlText w:val="(%2)"/>
      <w:numFmt w:val="lowerRoman"/>
      <w:start w:val="1"/>
    </w:lvl>
  </w:abstractNum>
  <w:abstractNum w:abstractNumId="88">
    <w:nsid w:val="6EAA85FB"/>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89">
    <w:nsid w:val="3F06ECB2"/>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90">
    <w:nsid w:val="3B594807"/>
    <w:multiLevelType w:val="hybridMultilevel"/>
    <w:lvl w:ilvl="0">
      <w:lvlJc w:val="left"/>
      <w:lvlText w:val="(%1)"/>
      <w:numFmt w:val="lowerLetter"/>
      <w:start w:val="2"/>
    </w:lvl>
  </w:abstractNum>
  <w:abstractNum w:abstractNumId="91">
    <w:nsid w:val="6CAA2304"/>
    <w:multiLevelType w:val="hybridMultilevel"/>
    <w:lvl w:ilvl="0">
      <w:lvlJc w:val="left"/>
      <w:lvlText w:val="(%1)"/>
      <w:numFmt w:val="lowerLetter"/>
      <w:start w:val="1"/>
    </w:lvl>
  </w:abstractNum>
  <w:abstractNum w:abstractNumId="92">
    <w:nsid w:val="3F7C2FF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93">
    <w:nsid w:val="25413BEC"/>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9"/>
    </w:lvl>
  </w:abstractNum>
  <w:abstractNum w:abstractNumId="94">
    <w:nsid w:val="17180B0B"/>
    <w:multiLevelType w:val="hybridMultilevel"/>
    <w:lvl w:ilvl="0">
      <w:lvlJc w:val="left"/>
      <w:lvlText w:val="(%1)"/>
      <w:numFmt w:val="lowerRoman"/>
      <w:start w:val="2"/>
    </w:lvl>
  </w:abstractNum>
  <w:abstractNum w:abstractNumId="95">
    <w:nsid w:val="579328B9"/>
    <w:multiLevelType w:val="hybridMultilevel"/>
    <w:lvl w:ilvl="0">
      <w:lvlJc w:val="left"/>
      <w:lvlText w:val="%1"/>
      <w:numFmt w:val="lowerLetter"/>
      <w:start w:val="1"/>
    </w:lvl>
    <w:lvl w:ilvl="1">
      <w:lvlJc w:val="left"/>
      <w:lvlText w:val="(%2)"/>
      <w:numFmt w:val="lowerLetter"/>
      <w:start w:val="4"/>
    </w:lvl>
  </w:abstractNum>
  <w:abstractNum w:abstractNumId="96">
    <w:nsid w:val="5D205E20"/>
    <w:multiLevelType w:val="hybridMultilevel"/>
    <w:lvl w:ilvl="0">
      <w:lvlJc w:val="left"/>
      <w:lvlText w:val="(%1)"/>
      <w:numFmt w:val="lowerLetter"/>
      <w:start w:val="35"/>
    </w:lvl>
    <w:lvl w:ilvl="1">
      <w:lvlJc w:val="left"/>
      <w:lvlText w:val="(%2)"/>
      <w:numFmt w:val="lowerLetter"/>
      <w:start w:val="6"/>
    </w:lvl>
  </w:abstractNum>
  <w:abstractNum w:abstractNumId="97">
    <w:nsid w:val="11CCA8BA"/>
    <w:multiLevelType w:val="hybridMultilevel"/>
    <w:lvl w:ilvl="0">
      <w:lvlJc w:val="left"/>
      <w:lvlText w:val="(%1)"/>
      <w:numFmt w:val="lowerLetter"/>
      <w:start w:val="1"/>
    </w:lvl>
    <w:lvl w:ilvl="1">
      <w:lvlJc w:val="left"/>
      <w:lvlText w:val="(%2)"/>
      <w:numFmt w:val="lowerRoman"/>
      <w:start w:val="1"/>
    </w:lvl>
  </w:abstractNum>
  <w:abstractNum w:abstractNumId="98">
    <w:nsid w:val="4D32AB86"/>
    <w:multiLevelType w:val="hybridMultilevel"/>
    <w:lvl w:ilvl="0">
      <w:lvlJc w:val="left"/>
      <w:lvlText w:val="%1"/>
      <w:numFmt w:val="lowerLetter"/>
      <w:start w:val="1"/>
    </w:lvl>
    <w:lvl w:ilvl="1">
      <w:lvlJc w:val="left"/>
      <w:lvlText w:val="(%2)"/>
      <w:numFmt w:val="lowerRoman"/>
      <w:start w:val="4"/>
    </w:lvl>
  </w:abstractNum>
  <w:abstractNum w:abstractNumId="99">
    <w:nsid w:val="3F07ACC3"/>
    <w:multiLevelType w:val="hybridMultilevel"/>
    <w:lvl w:ilvl="0">
      <w:lvlJc w:val="left"/>
      <w:lvlText w:val="(%1)"/>
      <w:numFmt w:val="lowerLetter"/>
      <w:start w:val="2"/>
    </w:lvl>
    <w:lvl w:ilvl="1">
      <w:lvlJc w:val="left"/>
      <w:lvlText w:val="%2"/>
      <w:numFmt w:val="lowerRoman"/>
      <w:start w:val="1"/>
    </w:lvl>
  </w:abstractNum>
  <w:abstractNum w:abstractNumId="100">
    <w:nsid w:val="6B47F63E"/>
    <w:multiLevelType w:val="hybridMultilevel"/>
    <w:lvl w:ilvl="0">
      <w:lvlJc w:val="left"/>
      <w:lvlText w:val="(%1)"/>
      <w:numFmt w:val="lowerLetter"/>
      <w:start w:val="3"/>
    </w:lvl>
  </w:abstractNum>
  <w:abstractNum w:abstractNumId="101">
    <w:nsid w:val="5CB44A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2">
    <w:nsid w:val="16CF80F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03">
    <w:nsid w:val="1C695DEC"/>
    <w:multiLevelType w:val="hybridMultilevel"/>
    <w:lvl w:ilvl="0">
      <w:lvlJc w:val="left"/>
      <w:lvlText w:val="(%1)"/>
      <w:numFmt w:val="lowerLetter"/>
      <w:start w:val="2"/>
    </w:lvl>
  </w:abstractNum>
  <w:abstractNum w:abstractNumId="104">
    <w:nsid w:val="3FCFAED9"/>
    <w:multiLevelType w:val="hybridMultilevel"/>
    <w:lvl w:ilvl="0">
      <w:lvlJc w:val="left"/>
      <w:lvlText w:val="(%1)"/>
      <w:numFmt w:val="lowerLetter"/>
      <w:start w:val="3"/>
    </w:lvl>
  </w:abstractNum>
  <w:abstractNum w:abstractNumId="105">
    <w:nsid w:val="F856867"/>
    <w:multiLevelType w:val="hybridMultilevel"/>
    <w:lvl w:ilvl="0">
      <w:lvlJc w:val="left"/>
      <w:lvlText w:val="(%1)"/>
      <w:numFmt w:val="lowerRoman"/>
      <w:start w:val="2"/>
    </w:lvl>
  </w:abstractNum>
  <w:abstractNum w:abstractNumId="106">
    <w:nsid w:val="11B1CC33"/>
    <w:multiLevelType w:val="hybridMultilevel"/>
    <w:lvl w:ilvl="0">
      <w:lvlJc w:val="left"/>
      <w:lvlText w:val="(%1)"/>
      <w:numFmt w:val="lowerLetter"/>
      <w:start w:val="2"/>
    </w:lvl>
    <w:lvl w:ilvl="1">
      <w:lvlJc w:val="left"/>
      <w:lvlText w:val="(%2)"/>
      <w:numFmt w:val="lowerLetter"/>
      <w:start w:val="35"/>
    </w:lvl>
  </w:abstractNum>
  <w:abstractNum w:abstractNumId="107">
    <w:nsid w:val="2E22FBB7"/>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1"/>
    </w:lvl>
  </w:abstractNum>
  <w:abstractNum w:abstractNumId="108">
    <w:nsid w:val="29934699"/>
    <w:multiLevelType w:val="hybridMultilevel"/>
    <w:lvl w:ilvl="0">
      <w:lvlJc w:val="left"/>
      <w:lvlText w:val="(%1)"/>
      <w:numFmt w:val="upperLetter"/>
      <w:start w:val="2"/>
    </w:lvl>
    <w:lvl w:ilvl="1">
      <w:lvlJc w:val="left"/>
      <w:lvlText w:val="(%2)"/>
      <w:numFmt w:val="upperLetter"/>
      <w:start w:val="9"/>
    </w:lvl>
  </w:abstractNum>
  <w:abstractNum w:abstractNumId="109">
    <w:nsid w:val="77485850"/>
    <w:multiLevelType w:val="hybridMultilevel"/>
    <w:lvl w:ilvl="0">
      <w:lvlJc w:val="left"/>
      <w:lvlText w:val="(%1)"/>
      <w:numFmt w:val="upperLetter"/>
      <w:start w:val="35"/>
    </w:lvl>
  </w:abstractNum>
  <w:abstractNum w:abstractNumId="110">
    <w:nsid w:val="744939A3"/>
    <w:multiLevelType w:val="hybridMultilevel"/>
    <w:lvl w:ilvl="0">
      <w:lvlJc w:val="left"/>
      <w:lvlText w:val="(%1)"/>
      <w:numFmt w:val="upperLetter"/>
      <w:start w:val="61"/>
    </w:lvl>
  </w:abstractNum>
  <w:abstractNum w:abstractNumId="111">
    <w:nsid w:val="4FA0D2E3"/>
    <w:multiLevelType w:val="hybridMultilevel"/>
    <w:lvl w:ilvl="0">
      <w:lvlJc w:val="left"/>
      <w:lvlText w:val="(%1)"/>
      <w:numFmt w:val="upperLetter"/>
      <w:start w:val="22"/>
    </w:lvl>
  </w:abstractNum>
  <w:abstractNum w:abstractNumId="112">
    <w:nsid w:val="6B1D2C14"/>
    <w:multiLevelType w:val="hybridMultilevel"/>
    <w:lvl w:ilvl="0">
      <w:lvlJc w:val="left"/>
      <w:lvlText w:val="%1"/>
      <w:numFmt w:val="lowerLetter"/>
      <w:start w:val="1"/>
    </w:lvl>
    <w:lvl w:ilvl="1">
      <w:lvlJc w:val="left"/>
      <w:lvlText w:val="(%2)"/>
      <w:numFmt w:val="lowerRoman"/>
      <w:start w:val="3"/>
    </w:lvl>
  </w:abstractNum>
  <w:abstractNum w:abstractNumId="113">
    <w:nsid w:val="68B867D3"/>
    <w:multiLevelType w:val="hybridMultilevel"/>
    <w:lvl w:ilvl="0">
      <w:lvlJc w:val="left"/>
      <w:lvlText w:val="(%1)"/>
      <w:numFmt w:val="lowerLetter"/>
      <w:start w:val="6"/>
    </w:lvl>
    <w:lvl w:ilvl="1">
      <w:lvlJc w:val="left"/>
      <w:lvlText w:val="%2"/>
      <w:numFmt w:val="lowerRoman"/>
      <w:start w:val="1"/>
    </w:lvl>
  </w:abstractNum>
  <w:abstractNum w:abstractNumId="114">
    <w:nsid w:val="3F7F5DD9"/>
    <w:multiLevelType w:val="hybridMultilevel"/>
    <w:lvl w:ilvl="0">
      <w:lvlJc w:val="left"/>
      <w:lvlText w:val="(%1)"/>
      <w:numFmt w:val="lowerLetter"/>
      <w:start w:val="7"/>
    </w:lvl>
  </w:abstractNum>
  <w:abstractNum w:abstractNumId="115">
    <w:nsid w:val="2AE05A34"/>
    <w:multiLevelType w:val="hybridMultilevel"/>
    <w:lvl w:ilvl="0">
      <w:lvlJc w:val="left"/>
      <w:lvlText w:val="(%1)"/>
      <w:numFmt w:val="lowerLetter"/>
      <w:start w:val="25"/>
    </w:lvl>
  </w:abstractNum>
  <w:abstractNum w:abstractNumId="116">
    <w:nsid w:val="32794FF7"/>
    <w:multiLevelType w:val="hybridMultilevel"/>
    <w:lvl w:ilvl="0">
      <w:lvlJc w:val="left"/>
      <w:lvlText w:val="%1"/>
      <w:numFmt w:val="lowerLetter"/>
      <w:start w:val="1"/>
    </w:lvl>
    <w:lvl w:ilvl="1">
      <w:lvlJc w:val="left"/>
      <w:lvlText w:val="(%2)"/>
      <w:numFmt w:val="lowerRoman"/>
      <w:start w:val="1"/>
    </w:lvl>
  </w:abstractNum>
  <w:abstractNum w:abstractNumId="117">
    <w:nsid w:val="5454945E"/>
    <w:multiLevelType w:val="hybridMultilevel"/>
    <w:lvl w:ilvl="0">
      <w:lvlJc w:val="left"/>
      <w:lvlText w:val="(%1)"/>
      <w:numFmt w:val="lowerLetter"/>
      <w:start w:val="3"/>
    </w:lvl>
    <w:lvl w:ilvl="1">
      <w:lvlJc w:val="left"/>
      <w:lvlText w:val="(%2)"/>
      <w:numFmt w:val="lowerRoman"/>
      <w:start w:val="3"/>
    </w:lvl>
  </w:abstractNum>
  <w:abstractNum w:abstractNumId="118">
    <w:nsid w:val="4DEFDFA0"/>
    <w:multiLevelType w:val="hybridMultilevel"/>
    <w:lvl w:ilvl="0">
      <w:lvlJc w:val="left"/>
      <w:lvlText w:val="(%1)"/>
      <w:numFmt w:val="lowerLetter"/>
      <w:start w:val="2"/>
    </w:lvl>
  </w:abstractNum>
  <w:abstractNum w:abstractNumId="119">
    <w:nsid w:val="2123D5F2"/>
    <w:multiLevelType w:val="hybridMultilevel"/>
    <w:lvl w:ilvl="0">
      <w:lvlJc w:val="left"/>
      <w:lvlText w:val="(%1)"/>
      <w:numFmt w:val="lowerLetter"/>
      <w:start w:val="3"/>
    </w:lvl>
  </w:abstractNum>
  <w:abstractNum w:abstractNumId="120">
    <w:nsid w:val="135B8110"/>
    <w:multiLevelType w:val="hybridMultilevel"/>
    <w:lvl w:ilvl="0">
      <w:lvlJc w:val="left"/>
      <w:lvlText w:val="(%1)"/>
      <w:numFmt w:val="lowerLetter"/>
      <w:start w:val="1"/>
    </w:lvl>
  </w:abstractNum>
  <w:abstractNum w:abstractNumId="121">
    <w:nsid w:val="94927A8"/>
    <w:multiLevelType w:val="hybridMultilevel"/>
    <w:lvl w:ilvl="0">
      <w:lvlJc w:val="left"/>
      <w:lvlText w:val="(%1)"/>
      <w:numFmt w:val="lowerLetter"/>
      <w:start w:val="2"/>
    </w:lvl>
  </w:abstractNum>
  <w:abstractNum w:abstractNumId="122">
    <w:nsid w:val="DCDF8F6"/>
    <w:multiLevelType w:val="hybridMultilevel"/>
    <w:lvl w:ilvl="0">
      <w:lvlJc w:val="left"/>
      <w:lvlText w:val="(%1)"/>
      <w:numFmt w:val="lowerLetter"/>
      <w:start w:val="2"/>
    </w:lvl>
  </w:abstractNum>
  <w:abstractNum w:abstractNumId="123">
    <w:nsid w:val="52D7B1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4">
    <w:nsid w:val="2E8A63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25">
    <w:nsid w:val="24E6040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6">
    <w:nsid w:val="2A6AD9B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7">
    <w:nsid w:val="BAAC1B4"/>
    <w:multiLevelType w:val="hybridMultilevel"/>
    <w:lvl w:ilvl="0">
      <w:lvlJc w:val="left"/>
      <w:lvlText w:val="(%1)"/>
      <w:numFmt w:val="lowerLetter"/>
      <w:start w:val="3"/>
    </w:lvl>
  </w:abstractNum>
  <w:abstractNum w:abstractNumId="128">
    <w:nsid w:val="36B2ACBC"/>
    <w:multiLevelType w:val="hybridMultilevel"/>
    <w:lvl w:ilvl="0">
      <w:lvlJc w:val="left"/>
      <w:lvlText w:val="(%1)"/>
      <w:numFmt w:val="lowerLetter"/>
      <w:start w:val="1"/>
    </w:lvl>
  </w:abstractNum>
  <w:abstractNum w:abstractNumId="129">
    <w:nsid w:val="779D8544"/>
    <w:multiLevelType w:val="hybridMultilevel"/>
    <w:lvl w:ilvl="0">
      <w:lvlJc w:val="left"/>
      <w:lvlText w:val="(%1)"/>
      <w:numFmt w:val="lowerLetter"/>
      <w:start w:val="2"/>
    </w:lvl>
  </w:abstractNum>
  <w:abstractNum w:abstractNumId="130">
    <w:nsid w:val="4AB26E78"/>
    <w:multiLevelType w:val="hybridMultilevel"/>
    <w:lvl w:ilvl="0">
      <w:lvlJc w:val="left"/>
      <w:lvlText w:val="(%1)"/>
      <w:numFmt w:val="lowerLetter"/>
      <w:start w:val="2"/>
    </w:lvl>
  </w:abstractNum>
  <w:abstractNum w:abstractNumId="131">
    <w:nsid w:val="21FAA2FA"/>
    <w:multiLevelType w:val="hybridMultilevel"/>
    <w:lvl w:ilvl="0">
      <w:lvlJc w:val="left"/>
      <w:lvlText w:val="(%1)"/>
      <w:numFmt w:val="lowerLetter"/>
      <w:start w:val="3"/>
    </w:lvl>
  </w:abstractNum>
  <w:abstractNum w:abstractNumId="132">
    <w:nsid w:val="5451CF49"/>
    <w:multiLevelType w:val="hybridMultilevel"/>
    <w:lvl w:ilvl="0">
      <w:lvlJc w:val="left"/>
      <w:lvlText w:val="(%1)"/>
      <w:numFmt w:val="lowerLetter"/>
      <w:start w:val="1"/>
    </w:lvl>
  </w:abstractNum>
  <w:abstractNum w:abstractNumId="133">
    <w:nsid w:val="6181EF69"/>
    <w:multiLevelType w:val="hybridMultilevel"/>
    <w:lvl w:ilvl="0">
      <w:lvlJc w:val="left"/>
      <w:lvlText w:val="(%1)"/>
      <w:numFmt w:val="lowerLetter"/>
      <w:start w:val="3"/>
    </w:lvl>
  </w:abstractNum>
  <w:abstractNum w:abstractNumId="134">
    <w:nsid w:val="3E6400E6"/>
    <w:multiLevelType w:val="hybridMultilevel"/>
    <w:lvl w:ilvl="0">
      <w:lvlJc w:val="left"/>
      <w:lvlText w:val="(%1)"/>
      <w:numFmt w:val="lowerLetter"/>
      <w:start w:val="2"/>
    </w:lvl>
  </w:abstractNum>
  <w:abstractNum w:abstractNumId="135">
    <w:nsid w:val="14217E23"/>
    <w:multiLevelType w:val="hybridMultilevel"/>
    <w:lvl w:ilvl="0">
      <w:lvlJc w:val="left"/>
      <w:lvlText w:val="(%1)"/>
      <w:numFmt w:val="lowerLetter"/>
      <w:start w:val="2"/>
    </w:lvl>
  </w:abstractNum>
  <w:abstractNum w:abstractNumId="136">
    <w:nsid w:val="710757D0"/>
    <w:multiLevelType w:val="hybridMultilevel"/>
    <w:lvl w:ilvl="0">
      <w:lvlJc w:val="left"/>
      <w:lvlText w:val="(%1)"/>
      <w:numFmt w:val="lowerLetter"/>
      <w:start w:val="1"/>
    </w:lvl>
  </w:abstractNum>
  <w:abstractNum w:abstractNumId="137">
    <w:nsid w:val="5015CD1A"/>
    <w:multiLevelType w:val="hybridMultilevel"/>
    <w:lvl w:ilvl="0">
      <w:lvlJc w:val="left"/>
      <w:lvlText w:val="(%1)"/>
      <w:numFmt w:val="lowerLetter"/>
      <w:start w:val="3"/>
    </w:lvl>
  </w:abstractNum>
  <w:abstractNum w:abstractNumId="138">
    <w:nsid w:val="424479DA"/>
    <w:multiLevelType w:val="hybridMultilevel"/>
    <w:lvl w:ilvl="0">
      <w:lvlJc w:val="left"/>
      <w:lvlText w:val="(%1)"/>
      <w:numFmt w:val="lowerLetter"/>
      <w:start w:val="1"/>
    </w:lvl>
  </w:abstractNum>
  <w:abstractNum w:abstractNumId="139">
    <w:nsid w:val="1A9A9E69"/>
    <w:multiLevelType w:val="hybridMultilevel"/>
    <w:lvl w:ilvl="0">
      <w:lvlJc w:val="left"/>
      <w:lvlText w:val="(%1)"/>
      <w:numFmt w:val="lowerLetter"/>
      <w:start w:val="3"/>
    </w:lvl>
  </w:abstractNum>
  <w:abstractNum w:abstractNumId="140">
    <w:nsid w:val="475E256A"/>
    <w:multiLevelType w:val="hybridMultilevel"/>
    <w:lvl w:ilvl="0">
      <w:lvlJc w:val="left"/>
      <w:lvlText w:val="(%1)"/>
      <w:numFmt w:val="lowerLetter"/>
      <w:start w:val="1"/>
    </w:lvl>
  </w:abstractNum>
  <w:abstractNum w:abstractNumId="141">
    <w:nsid w:val="368DB37E"/>
    <w:multiLevelType w:val="hybridMultilevel"/>
    <w:lvl w:ilvl="0">
      <w:lvlJc w:val="left"/>
      <w:lvlText w:val="(%1)"/>
      <w:numFmt w:val="lowerLetter"/>
      <w:start w:val="6"/>
    </w:lvl>
  </w:abstractNum>
  <w:abstractNum w:abstractNumId="142">
    <w:nsid w:val="6A3B714C"/>
    <w:multiLevelType w:val="hybridMultilevel"/>
    <w:lvl w:ilvl="0">
      <w:lvlJc w:val="left"/>
      <w:lvlText w:val="(%1)"/>
      <w:numFmt w:val="lowerLetter"/>
      <w:start w:val="1"/>
    </w:lvl>
  </w:abstractNum>
  <w:abstractNum w:abstractNumId="143">
    <w:nsid w:val="327B517E"/>
    <w:multiLevelType w:val="hybridMultilevel"/>
    <w:lvl w:ilvl="0">
      <w:lvlJc w:val="left"/>
      <w:lvlText w:val="(%1)"/>
      <w:numFmt w:val="lowerRoman"/>
      <w:start w:val="1"/>
    </w:lvl>
  </w:abstractNum>
  <w:abstractNum w:abstractNumId="144">
    <w:nsid w:val="1F461B51"/>
    <w:multiLevelType w:val="hybridMultilevel"/>
    <w:lvl w:ilvl="0">
      <w:lvlJc w:val="left"/>
      <w:lvlText w:val="%1"/>
      <w:numFmt w:val="lowerLetter"/>
      <w:start w:val="1"/>
    </w:lvl>
    <w:lvl w:ilvl="1">
      <w:lvlJc w:val="left"/>
      <w:lvlText w:val="(%2)"/>
      <w:numFmt w:val="lowerLetter"/>
      <w:start w:val="61"/>
    </w:lvl>
  </w:abstractNum>
  <w:abstractNum w:abstractNumId="145">
    <w:nsid w:val="29BACF25"/>
    <w:multiLevelType w:val="hybridMultilevel"/>
    <w:lvl w:ilvl="0">
      <w:lvlJc w:val="left"/>
      <w:lvlText w:val="(%1)"/>
      <w:numFmt w:val="lowerLetter"/>
      <w:start w:val="2"/>
    </w:lvl>
    <w:lvl w:ilvl="1">
      <w:lvlJc w:val="left"/>
      <w:lvlText w:val="(%2)"/>
      <w:numFmt w:val="lowerLetter"/>
      <w:start w:val="9"/>
    </w:lvl>
  </w:abstractNum>
  <w:abstractNum w:abstractNumId="146">
    <w:nsid w:val="5D5BABB3"/>
    <w:multiLevelType w:val="hybridMultilevel"/>
    <w:lvl w:ilvl="0">
      <w:lvlJc w:val="left"/>
      <w:lvlText w:val="(%1)"/>
      <w:numFmt w:val="lowerRoman"/>
      <w:start w:val="2"/>
    </w:lvl>
  </w:abstractNum>
  <w:abstractNum w:abstractNumId="147">
    <w:nsid w:val="51BF6B48"/>
    <w:multiLevelType w:val="hybridMultilevel"/>
    <w:lvl w:ilvl="0">
      <w:lvlJc w:val="left"/>
      <w:lvlText w:val="(%1)"/>
      <w:numFmt w:val="lowerLetter"/>
      <w:start w:val="3"/>
    </w:lvl>
  </w:abstractNum>
  <w:abstractNum w:abstractNumId="148">
    <w:nsid w:val="7E0F6384"/>
    <w:multiLevelType w:val="hybridMultilevel"/>
    <w:lvl w:ilvl="0">
      <w:lvlJc w:val="left"/>
      <w:lvlText w:val="(%1)"/>
      <w:numFmt w:val="lowerLetter"/>
      <w:start w:val="2"/>
    </w:lvl>
  </w:abstractNum>
  <w:abstractNum w:abstractNumId="149">
    <w:nsid w:val="2B4B8B53"/>
    <w:multiLevelType w:val="hybridMultilevel"/>
    <w:lvl w:ilvl="0">
      <w:lvlJc w:val="left"/>
      <w:lvlText w:val="(%1)"/>
      <w:numFmt w:val="lowerLetter"/>
      <w:start w:val="1"/>
    </w:lvl>
  </w:abstractNum>
  <w:abstractNum w:abstractNumId="150">
    <w:nsid w:val="72E3413A"/>
    <w:multiLevelType w:val="hybridMultilevel"/>
    <w:lvl w:ilvl="0">
      <w:lvlJc w:val="left"/>
      <w:lvlText w:val="(%1)"/>
      <w:numFmt w:val="lowerLetter"/>
      <w:start w:val="7"/>
    </w:lvl>
  </w:abstractNum>
  <w:abstractNum w:abstractNumId="151">
    <w:nsid w:val="116AE494"/>
    <w:multiLevelType w:val="hybridMultilevel"/>
    <w:lvl w:ilvl="0">
      <w:lvlJc w:val="left"/>
      <w:lvlText w:val="(%1)"/>
      <w:numFmt w:val="lowerLetter"/>
      <w:start w:val="15"/>
    </w:lvl>
  </w:abstractNum>
  <w:abstractNum w:abstractNumId="152">
    <w:nsid w:val="3494B2FB"/>
    <w:multiLevelType w:val="hybridMultilevel"/>
    <w:lvl w:ilvl="0">
      <w:lvlJc w:val="left"/>
      <w:lvlText w:val="(%1)"/>
      <w:numFmt w:val="lowerLetter"/>
      <w:start w:val="1"/>
    </w:lvl>
  </w:abstractNum>
  <w:abstractNum w:abstractNumId="153">
    <w:nsid w:val="B13A31"/>
    <w:multiLevelType w:val="hybridMultilevel"/>
    <w:lvl w:ilvl="0">
      <w:lvlJc w:val="left"/>
      <w:lvlText w:val="%1"/>
      <w:numFmt w:val="lowerLetter"/>
      <w:start w:val="1"/>
    </w:lvl>
    <w:lvl w:ilvl="1">
      <w:lvlJc w:val="left"/>
      <w:lvlText w:val="(%2)"/>
      <w:numFmt w:val="lowerLetter"/>
      <w:start w:val="6"/>
    </w:lvl>
  </w:abstractNum>
  <w:abstractNum w:abstractNumId="154">
    <w:nsid w:val="64429599"/>
    <w:multiLevelType w:val="hybridMultilevel"/>
    <w:lvl w:ilvl="0">
      <w:lvlJc w:val="left"/>
      <w:lvlText w:val="(%1)"/>
      <w:numFmt w:val="lowerLetter"/>
      <w:start w:val="25"/>
    </w:lvl>
    <w:lvl w:ilvl="1">
      <w:lvlJc w:val="left"/>
      <w:lvlText w:val="%2"/>
      <w:numFmt w:val="lowerLetter"/>
      <w:start w:val="1"/>
    </w:lvl>
  </w:abstractNum>
  <w:abstractNum w:abstractNumId="155">
    <w:nsid w:val="631F1690"/>
    <w:multiLevelType w:val="hybridMultilevel"/>
    <w:lvl w:ilvl="0">
      <w:lvlJc w:val="left"/>
      <w:lvlText w:val="(%1)"/>
      <w:numFmt w:val="lowerLetter"/>
      <w:start w:val="12"/>
    </w:lvl>
  </w:abstractNum>
  <w:abstractNum w:abstractNumId="156">
    <w:nsid w:val="25973E32"/>
    <w:multiLevelType w:val="hybridMultilevel"/>
    <w:lvl w:ilvl="0">
      <w:lvlJc w:val="left"/>
      <w:lvlText w:val="(%1)"/>
      <w:numFmt w:val="lowerLetter"/>
      <w:start w:val="15"/>
    </w:lvl>
  </w:abstractNum>
  <w:abstractNum w:abstractNumId="157">
    <w:nsid w:val="EAD6F57"/>
    <w:multiLevelType w:val="hybridMultilevel"/>
    <w:lvl w:ilvl="0">
      <w:lvlJc w:val="left"/>
      <w:lvlText w:val="(%1)"/>
      <w:numFmt w:val="lowerLetter"/>
      <w:start w:val="1"/>
    </w:lvl>
    <w:lvl w:ilvl="1">
      <w:lvlJc w:val="left"/>
      <w:lvlText w:val="(%2)"/>
      <w:numFmt w:val="lowerRoman"/>
      <w:start w:val="2"/>
    </w:lvl>
  </w:abstractNum>
  <w:abstractNum w:abstractNumId="158">
    <w:nsid w:val="6EC9D844"/>
    <w:multiLevelType w:val="hybridMultilevel"/>
    <w:lvl w:ilvl="0">
      <w:lvlJc w:val="left"/>
      <w:lvlText w:val="(%1)"/>
      <w:numFmt w:val="lowerLetter"/>
      <w:start w:val="4"/>
    </w:lvl>
    <w:lvl w:ilvl="1">
      <w:lvlJc w:val="left"/>
      <w:lvlText w:val="(%2)"/>
      <w:numFmt w:val="lowerLetter"/>
      <w:start w:val="23"/>
    </w:lvl>
  </w:abstractNum>
  <w:abstractNum w:abstractNumId="159">
    <w:nsid w:val="5C49EAEE"/>
    <w:multiLevelType w:val="hybridMultilevel"/>
    <w:lvl w:ilvl="0">
      <w:lvlJc w:val="left"/>
      <w:lvlText w:val="%1"/>
      <w:numFmt w:val="lowerLetter"/>
      <w:start w:val="1"/>
    </w:lvl>
    <w:lvl w:ilvl="1">
      <w:lvlJc w:val="left"/>
      <w:lvlText w:val="(%2)"/>
      <w:numFmt w:val="lowerLetter"/>
      <w:start w:val="26"/>
    </w:lvl>
  </w:abstractNum>
  <w:abstractNum w:abstractNumId="160">
    <w:nsid w:val="64AF49B"/>
    <w:multiLevelType w:val="hybridMultilevel"/>
    <w:lvl w:ilvl="0">
      <w:lvlJc w:val="left"/>
      <w:lvlText w:val="(%1)"/>
      <w:numFmt w:val="lowerLetter"/>
      <w:start w:val="8"/>
    </w:lvl>
    <w:lvl w:ilvl="1">
      <w:lvlJc w:val="left"/>
      <w:lvlText w:val="(%2)"/>
      <w:numFmt w:val="lowerLetter"/>
      <w:start w:val="24"/>
    </w:lvl>
  </w:abstractNum>
  <w:abstractNum w:abstractNumId="161">
    <w:nsid w:val="397C46BC"/>
    <w:multiLevelType w:val="hybridMultilevel"/>
    <w:lvl w:ilvl="0">
      <w:lvlJc w:val="left"/>
      <w:lvlText w:val="(%1)"/>
      <w:numFmt w:val="lowerLetter"/>
      <w:start w:val="1"/>
    </w:lvl>
  </w:abstractNum>
  <w:abstractNum w:abstractNumId="162">
    <w:nsid w:val="7E448DE9"/>
    <w:multiLevelType w:val="hybridMultilevel"/>
    <w:lvl w:ilvl="0">
      <w:lvlJc w:val="left"/>
      <w:lvlText w:val="(%1)"/>
      <w:numFmt w:val="lowerLetter"/>
      <w:start w:val="1"/>
    </w:lvl>
  </w:abstractNum>
  <w:abstractNum w:abstractNumId="163">
    <w:nsid w:val="5A9CC3E5"/>
    <w:multiLevelType w:val="hybridMultilevel"/>
    <w:lvl w:ilvl="0">
      <w:lvlJc w:val="left"/>
      <w:lvlText w:val="(%1)"/>
      <w:numFmt w:val="lowerLetter"/>
      <w:start w:val="6"/>
    </w:lvl>
  </w:abstractNum>
  <w:abstractNum w:abstractNumId="164">
    <w:nsid w:val="1AFE3625"/>
    <w:multiLevelType w:val="hybridMultilevel"/>
    <w:lvl w:ilvl="0">
      <w:lvlJc w:val="left"/>
      <w:lvlText w:val="(%1)"/>
      <w:numFmt w:val="lowerLetter"/>
      <w:start w:val="1"/>
    </w:lvl>
  </w:abstractNum>
  <w:abstractNum w:abstractNumId="165">
    <w:nsid w:val="3CA88ECF"/>
    <w:multiLevelType w:val="hybridMultilevel"/>
    <w:lvl w:ilvl="0">
      <w:lvlJc w:val="left"/>
      <w:lvlText w:val="(%1)"/>
      <w:numFmt w:val="lowerLetter"/>
      <w:start w:val="5"/>
    </w:lvl>
  </w:abstractNum>
  <w:abstractNum w:abstractNumId="166">
    <w:nsid w:val="6EBE4208"/>
    <w:multiLevelType w:val="hybridMultilevel"/>
    <w:lvl w:ilvl="0">
      <w:lvlJc w:val="left"/>
      <w:lvlText w:val="(%1)"/>
      <w:numFmt w:val="lowerLetter"/>
      <w:start w:val="1"/>
    </w:lvl>
  </w:abstractNum>
  <w:abstractNum w:abstractNumId="167">
    <w:nsid w:val="C058DF5"/>
    <w:multiLevelType w:val="hybridMultilevel"/>
    <w:lvl w:ilvl="0">
      <w:lvlJc w:val="left"/>
      <w:lvlText w:val="(%1)"/>
      <w:numFmt w:val="lowerLetter"/>
      <w:start w:val="8"/>
    </w:lvl>
  </w:abstractNum>
  <w:abstractNum w:abstractNumId="168">
    <w:nsid w:val="CBE5BE9"/>
    <w:multiLevelType w:val="hybridMultilevel"/>
    <w:lvl w:ilvl="0">
      <w:lvlJc w:val="left"/>
      <w:lvlText w:val="(%1)"/>
      <w:numFmt w:val="lowerLetter"/>
      <w:start w:val="1"/>
    </w:lvl>
  </w:abstractNum>
  <w:abstractNum w:abstractNumId="169">
    <w:nsid w:val="3102BBE2"/>
    <w:multiLevelType w:val="hybridMultilevel"/>
    <w:lvl w:ilvl="0">
      <w:lvlJc w:val="left"/>
      <w:lvlText w:val="%1"/>
      <w:numFmt w:val="lowerLetter"/>
      <w:start w:val="1"/>
    </w:lvl>
    <w:lvl w:ilvl="1">
      <w:lvlJc w:val="left"/>
      <w:lvlText w:val="(%2)"/>
      <w:numFmt w:val="lowerLetter"/>
      <w:start w:val="1"/>
    </w:lvl>
  </w:abstractNum>
  <w:abstractNum w:abstractNumId="170">
    <w:nsid w:val="26A02C5E"/>
    <w:multiLevelType w:val="hybridMultilevel"/>
    <w:lvl w:ilvl="0">
      <w:lvlJc w:val="left"/>
      <w:lvlText w:val="(%1)"/>
      <w:numFmt w:val="lowerLetter"/>
      <w:start w:val="2"/>
    </w:lvl>
    <w:lvl w:ilvl="1">
      <w:lvlJc w:val="left"/>
      <w:lvlText w:val="(%2)"/>
      <w:numFmt w:val="lowerLetter"/>
      <w:start w:val="4"/>
    </w:lvl>
  </w:abstractNum>
  <w:abstractNum w:abstractNumId="171">
    <w:nsid w:val="541C8153"/>
    <w:multiLevelType w:val="hybridMultilevel"/>
    <w:lvl w:ilvl="0">
      <w:lvlJc w:val="left"/>
      <w:lvlText w:val="(%1)"/>
      <w:numFmt w:val="lowerLetter"/>
      <w:start w:val="5"/>
    </w:lvl>
    <w:lvl w:ilvl="1">
      <w:lvlJc w:val="left"/>
      <w:lvlText w:val="(%2)"/>
      <w:numFmt w:val="lowerRoman"/>
      <w:start w:val="1"/>
    </w:lvl>
  </w:abstractNum>
  <w:abstractNum w:abstractNumId="172">
    <w:nsid w:val="67906F60"/>
    <w:multiLevelType w:val="hybridMultilevel"/>
    <w:lvl w:ilvl="0">
      <w:lvlJc w:val="left"/>
      <w:lvlText w:val="(%1)"/>
      <w:numFmt w:val="lowerLetter"/>
      <w:start w:val="6"/>
    </w:lvl>
  </w:abstractNum>
  <w:abstractNum w:abstractNumId="173">
    <w:nsid w:val="10DB9DAA"/>
    <w:multiLevelType w:val="hybridMultilevel"/>
    <w:lvl w:ilvl="0">
      <w:lvlJc w:val="left"/>
      <w:lvlText w:val="(%1)"/>
      <w:numFmt w:val="lowerLetter"/>
      <w:start w:val="10"/>
    </w:lvl>
  </w:abstractNum>
  <w:abstractNum w:abstractNumId="174">
    <w:nsid w:val="697D2D2"/>
    <w:multiLevelType w:val="hybridMultilevel"/>
    <w:lvl w:ilvl="0">
      <w:lvlJc w:val="left"/>
      <w:lvlText w:val="(%1)"/>
      <w:numFmt w:val="lowerLetter"/>
      <w:start w:val="1"/>
    </w:lvl>
  </w:abstractNum>
  <w:abstractNum w:abstractNumId="175">
    <w:nsid w:val="6D68AB2"/>
    <w:multiLevelType w:val="hybridMultilevel"/>
    <w:lvl w:ilvl="0">
      <w:lvlJc w:val="left"/>
      <w:lvlText w:val="(%1)"/>
      <w:numFmt w:val="lowerLetter"/>
      <w:start w:val="1"/>
    </w:lvl>
  </w:abstractNum>
  <w:abstractNum w:abstractNumId="176">
    <w:nsid w:val="3A966CD0"/>
    <w:multiLevelType w:val="hybridMultilevel"/>
    <w:lvl w:ilvl="0">
      <w:lvlJc w:val="left"/>
      <w:lvlText w:val="(%1)"/>
      <w:numFmt w:val="lowerLetter"/>
      <w:start w:val="2"/>
    </w:lvl>
  </w:abstractNum>
  <w:abstractNum w:abstractNumId="177">
    <w:nsid w:val="63F37E85"/>
    <w:multiLevelType w:val="hybridMultilevel"/>
    <w:lvl w:ilvl="0">
      <w:lvlJc w:val="left"/>
      <w:lvlText w:val="(%1)"/>
      <w:numFmt w:val="lowerLetter"/>
      <w:start w:val="1"/>
    </w:lvl>
  </w:abstractNum>
  <w:abstractNum w:abstractNumId="178">
    <w:nsid w:val="5895F5FA"/>
    <w:multiLevelType w:val="hybridMultilevel"/>
    <w:lvl w:ilvl="0">
      <w:lvlJc w:val="left"/>
      <w:lvlText w:val="(%1)"/>
      <w:numFmt w:val="lowerLetter"/>
      <w:start w:val="2"/>
    </w:lvl>
  </w:abstractNum>
  <w:abstractNum w:abstractNumId="179">
    <w:nsid w:val="38A5D054"/>
    <w:multiLevelType w:val="hybridMultilevel"/>
    <w:lvl w:ilvl="0">
      <w:lvlJc w:val="left"/>
      <w:lvlText w:val="(%1)"/>
      <w:numFmt w:val="lowerLetter"/>
      <w:start w:val="7"/>
    </w:lvl>
  </w:abstractNum>
  <w:abstractNum w:abstractNumId="180">
    <w:nsid w:val="F3F09D8"/>
    <w:multiLevelType w:val="hybridMultilevel"/>
    <w:lvl w:ilvl="0">
      <w:lvlJc w:val="left"/>
      <w:lvlText w:val="(%1)"/>
      <w:numFmt w:val="lowerLetter"/>
      <w:start w:val="1"/>
    </w:lvl>
  </w:abstractNum>
  <w:abstractNum w:abstractNumId="181">
    <w:nsid w:val="4B793735"/>
    <w:multiLevelType w:val="hybridMultilevel"/>
    <w:lvl w:ilvl="0">
      <w:lvlJc w:val="left"/>
      <w:lvlText w:val="(%1)"/>
      <w:numFmt w:val="lowerLetter"/>
      <w:start w:val="2"/>
    </w:lvl>
  </w:abstractNum>
  <w:abstractNum w:abstractNumId="182">
    <w:nsid w:val="4A10B4E8"/>
    <w:multiLevelType w:val="hybridMultilevel"/>
    <w:lvl w:ilvl="0">
      <w:lvlJc w:val="left"/>
      <w:lvlText w:val="(%1)"/>
      <w:numFmt w:val="lowerLetter"/>
      <w:start w:val="1"/>
    </w:lvl>
    <w:lvl w:ilvl="1">
      <w:lvlJc w:val="left"/>
      <w:lvlText w:val="(%2)"/>
      <w:numFmt w:val="lowerRoman"/>
      <w:start w:val="1"/>
    </w:lvl>
  </w:abstractNum>
  <w:abstractNum w:abstractNumId="183">
    <w:nsid w:val="43D3BCD4"/>
    <w:multiLevelType w:val="hybridMultilevel"/>
    <w:lvl w:ilvl="0">
      <w:lvlJc w:val="left"/>
      <w:lvlText w:val="%1"/>
      <w:numFmt w:val="lowerLetter"/>
      <w:start w:val="1"/>
    </w:lvl>
    <w:lvl w:ilvl="1">
      <w:lvlJc w:val="left"/>
      <w:lvlText w:val="(%2)"/>
      <w:numFmt w:val="lowerRoman"/>
      <w:start w:val="4"/>
    </w:lvl>
  </w:abstractNum>
  <w:abstractNum w:abstractNumId="184">
    <w:nsid w:val="4C2A7166"/>
    <w:multiLevelType w:val="hybridMultilevel"/>
    <w:lvl w:ilvl="0">
      <w:lvlJc w:val="left"/>
      <w:lvlText w:val="(%1)"/>
      <w:numFmt w:val="lowerLetter"/>
      <w:start w:val="2"/>
    </w:lvl>
    <w:lvl w:ilvl="1">
      <w:lvlJc w:val="left"/>
      <w:lvlText w:val="%2"/>
      <w:numFmt w:val="lowerRoman"/>
      <w:start w:val="1"/>
    </w:lvl>
  </w:abstractNum>
  <w:abstractNum w:abstractNumId="185">
    <w:nsid w:val="2E534A82"/>
    <w:multiLevelType w:val="hybridMultilevel"/>
    <w:lvl w:ilvl="0">
      <w:lvlJc w:val="left"/>
      <w:lvlText w:val="(%1)"/>
      <w:numFmt w:val="lowerRoman"/>
      <w:start w:val="1"/>
    </w:lvl>
    <w:lvl w:ilvl="1">
      <w:lvlJc w:val="left"/>
      <w:lvlText w:val="(%2)"/>
      <w:numFmt w:val="lowerRoman"/>
      <w:start w:val="2"/>
    </w:lvl>
  </w:abstractNum>
  <w:abstractNum w:abstractNumId="186">
    <w:nsid w:val="26F2D364"/>
    <w:multiLevelType w:val="hybridMultilevel"/>
    <w:lvl w:ilvl="0">
      <w:lvlJc w:val="left"/>
      <w:lvlText w:val="%1"/>
      <w:numFmt w:val="lowerLetter"/>
      <w:start w:val="1"/>
    </w:lvl>
    <w:lvl w:ilvl="1">
      <w:lvlJc w:val="left"/>
      <w:lvlText w:val="(%2)"/>
      <w:numFmt w:val="lowerLetter"/>
      <w:start w:val="22"/>
    </w:lvl>
  </w:abstractNum>
  <w:abstractNum w:abstractNumId="187">
    <w:nsid w:val="71C1AF98"/>
    <w:multiLevelType w:val="hybridMultilevel"/>
    <w:lvl w:ilvl="0">
      <w:lvlJc w:val="left"/>
      <w:lvlText w:val="(%1)"/>
      <w:numFmt w:val="lowerLetter"/>
      <w:start w:val="3"/>
    </w:lvl>
    <w:lvl w:ilvl="1">
      <w:lvlJc w:val="left"/>
      <w:lvlText w:val="%2"/>
      <w:numFmt w:val="lowerLetter"/>
      <w:start w:val="1"/>
    </w:lvl>
  </w:abstractNum>
  <w:abstractNum w:abstractNumId="188">
    <w:nsid w:val="3D00B9D9"/>
    <w:multiLevelType w:val="hybridMultilevel"/>
    <w:lvl w:ilvl="0">
      <w:lvlJc w:val="left"/>
      <w:lvlText w:val="(%1)"/>
      <w:numFmt w:val="lowerLetter"/>
      <w:start w:val="1"/>
    </w:lvl>
  </w:abstractNum>
  <w:abstractNum w:abstractNumId="189">
    <w:nsid w:val="15BCABA8"/>
    <w:multiLevelType w:val="hybridMultilevel"/>
    <w:lvl w:ilvl="0">
      <w:lvlJc w:val="left"/>
      <w:lvlText w:val="(%1)"/>
      <w:numFmt w:val="lowerLetter"/>
      <w:start w:val="2"/>
    </w:lvl>
  </w:abstractNum>
  <w:abstractNum w:abstractNumId="190">
    <w:nsid w:val="4E0B9A87"/>
    <w:multiLevelType w:val="hybridMultilevel"/>
    <w:lvl w:ilvl="0">
      <w:lvlJc w:val="left"/>
      <w:lvlText w:val="(%1)"/>
      <w:numFmt w:val="lowerLetter"/>
      <w:start w:val="1"/>
    </w:lvl>
  </w:abstractNum>
  <w:abstractNum w:abstractNumId="191">
    <w:nsid w:val="434BAE75"/>
    <w:multiLevelType w:val="hybridMultilevel"/>
    <w:lvl w:ilvl="0">
      <w:lvlJc w:val="left"/>
      <w:lvlText w:val="(%1)"/>
      <w:numFmt w:val="lowerLetter"/>
      <w:start w:val="3"/>
    </w:lvl>
  </w:abstractNum>
  <w:abstractNum w:abstractNumId="192">
    <w:nsid w:val="4F38F265"/>
    <w:multiLevelType w:val="hybridMultilevel"/>
    <w:lvl w:ilvl="0">
      <w:lvlJc w:val="left"/>
      <w:lvlText w:val="(%1)"/>
      <w:numFmt w:val="lowerLetter"/>
      <w:start w:val="4"/>
    </w:lvl>
    <w:lvl w:ilvl="1">
      <w:lvlJc w:val="left"/>
      <w:lvlText w:val="(%2)"/>
      <w:numFmt w:val="lowerRoman"/>
      <w:start w:val="1"/>
    </w:lvl>
  </w:abstractNum>
  <w:abstractNum w:abstractNumId="193">
    <w:nsid w:val="4C502870"/>
    <w:multiLevelType w:val="hybridMultilevel"/>
    <w:lvl w:ilvl="0">
      <w:lvlJc w:val="left"/>
      <w:lvlText w:val="%1"/>
      <w:numFmt w:val="lowerLetter"/>
      <w:start w:val="1"/>
    </w:lvl>
    <w:lvl w:ilvl="1">
      <w:lvlJc w:val="left"/>
      <w:lvlText w:val="(%2)"/>
      <w:numFmt w:val="lowerRoman"/>
      <w:start w:val="3"/>
    </w:lvl>
  </w:abstractNum>
  <w:abstractNum w:abstractNumId="194">
    <w:nsid w:val="1DE8725A"/>
    <w:multiLevelType w:val="hybridMultilevel"/>
    <w:lvl w:ilvl="0">
      <w:lvlJc w:val="left"/>
      <w:lvlText w:val="(%1)"/>
      <w:numFmt w:val="lowerLetter"/>
      <w:start w:val="7"/>
    </w:lvl>
    <w:lvl w:ilvl="1">
      <w:lvlJc w:val="left"/>
      <w:lvlText w:val="%2"/>
      <w:numFmt w:val="lowerRoman"/>
      <w:start w:val="1"/>
    </w:lvl>
  </w:abstractNum>
  <w:abstractNum w:abstractNumId="195">
    <w:nsid w:val="6A37288A"/>
    <w:multiLevelType w:val="hybridMultilevel"/>
    <w:lvl w:ilvl="0">
      <w:lvlJc w:val="left"/>
      <w:lvlText w:val="(%1)"/>
      <w:numFmt w:val="lowerLetter"/>
      <w:start w:val="1"/>
    </w:lvl>
  </w:abstractNum>
  <w:abstractNum w:abstractNumId="196">
    <w:nsid w:val="8F8B73F"/>
    <w:multiLevelType w:val="hybridMultilevel"/>
    <w:lvl w:ilvl="0">
      <w:lvlJc w:val="left"/>
      <w:lvlText w:val="(%1)"/>
      <w:numFmt w:val="lowerLetter"/>
      <w:start w:val="4"/>
    </w:lvl>
  </w:abstractNum>
  <w:abstractNum w:abstractNumId="197">
    <w:nsid w:val="CA6B462"/>
    <w:multiLevelType w:val="hybridMultilevel"/>
    <w:lvl w:ilvl="0">
      <w:lvlJc w:val="left"/>
      <w:lvlText w:val="(%1)"/>
      <w:numFmt w:val="lowerLetter"/>
      <w:start w:val="1"/>
    </w:lvl>
  </w:abstractNum>
  <w:abstractNum w:abstractNumId="198">
    <w:nsid w:val="763CB680"/>
    <w:multiLevelType w:val="hybridMultilevel"/>
    <w:lvl w:ilvl="0">
      <w:lvlJc w:val="left"/>
      <w:lvlText w:val="(%1)"/>
      <w:numFmt w:val="lowerLetter"/>
      <w:start w:val="7"/>
    </w:lvl>
  </w:abstractNum>
  <w:abstractNum w:abstractNumId="199">
    <w:nsid w:val="15B71329"/>
    <w:multiLevelType w:val="hybridMultilevel"/>
    <w:lvl w:ilvl="0">
      <w:lvlJc w:val="left"/>
      <w:lvlText w:val="(%1)"/>
      <w:numFmt w:val="lowerLetter"/>
      <w:start w:val="1"/>
    </w:lvl>
    <w:lvl w:ilvl="1">
      <w:lvlJc w:val="left"/>
      <w:lvlText w:val="(%2)"/>
      <w:numFmt w:val="lowerRoman"/>
      <w:start w:val="1"/>
    </w:lvl>
  </w:abstractNum>
  <w:abstractNum w:abstractNumId="200">
    <w:nsid w:val="3DA97044"/>
    <w:multiLevelType w:val="hybridMultilevel"/>
    <w:lvl w:ilvl="0">
      <w:lvlJc w:val="left"/>
      <w:lvlText w:val="(%1)"/>
      <w:numFmt w:val="lowerLetter"/>
      <w:start w:val="2"/>
    </w:lvl>
  </w:abstractNum>
  <w:abstractNum w:abstractNumId="201">
    <w:nsid w:val="1CDCE2DE"/>
    <w:multiLevelType w:val="hybridMultilevel"/>
    <w:lvl w:ilvl="0">
      <w:lvlJc w:val="left"/>
      <w:lvlText w:val="(%1)"/>
      <w:numFmt w:val="lowerLetter"/>
      <w:start w:val="3"/>
    </w:lvl>
  </w:abstractNum>
  <w:abstractNum w:abstractNumId="202">
    <w:nsid w:val="69D3947C"/>
    <w:multiLevelType w:val="hybridMultilevel"/>
    <w:lvl w:ilvl="0">
      <w:lvlJc w:val="left"/>
      <w:lvlText w:val="(%1)"/>
      <w:numFmt w:val="lowerLetter"/>
      <w:start w:val="4"/>
    </w:lvl>
  </w:abstractNum>
  <w:abstractNum w:abstractNumId="203">
    <w:nsid w:val="2539DFA5"/>
    <w:multiLevelType w:val="hybridMultilevel"/>
    <w:lvl w:ilvl="0">
      <w:lvlJc w:val="left"/>
      <w:lvlText w:val="(%1)"/>
      <w:numFmt w:val="lowerLetter"/>
      <w:start w:val="1"/>
    </w:lvl>
  </w:abstractNum>
  <w:abstractNum w:abstractNumId="204">
    <w:nsid w:val="2DB88089"/>
    <w:multiLevelType w:val="hybridMultilevel"/>
    <w:lvl w:ilvl="0">
      <w:lvlJc w:val="left"/>
      <w:lvlText w:val="(%1)"/>
      <w:numFmt w:val="lowerLetter"/>
      <w:start w:val="3"/>
    </w:lvl>
  </w:abstractNum>
  <w:abstractNum w:abstractNumId="205">
    <w:nsid w:val="706B674E"/>
    <w:multiLevelType w:val="hybridMultilevel"/>
    <w:lvl w:ilvl="0">
      <w:lvlJc w:val="left"/>
      <w:lvlText w:val="(%1)"/>
      <w:numFmt w:val="lowerLetter"/>
      <w:start w:val="4"/>
    </w:lvl>
  </w:abstractNum>
  <w:abstractNum w:abstractNumId="206">
    <w:nsid w:val="2C106A5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7">
    <w:nsid w:val="684EED59"/>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08">
    <w:nsid w:val="545EE5D3"/>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209">
    <w:nsid w:val="4A66051"/>
    <w:multiLevelType w:val="hybridMultilevel"/>
    <w:lvl w:ilvl="0">
      <w:lvlJc w:val="left"/>
      <w:lvlText w:val="(%1)"/>
      <w:numFmt w:val="lowerRoman"/>
      <w:start w:val="5"/>
    </w:lvl>
  </w:abstractNum>
  <w:abstractNum w:abstractNumId="210">
    <w:nsid w:val="20F4BDAD"/>
    <w:multiLevelType w:val="hybridMultilevel"/>
    <w:lvl w:ilvl="0">
      <w:lvlJc w:val="left"/>
      <w:lvlText w:val="(%1)"/>
      <w:numFmt w:val="lowerLetter"/>
      <w:start w:val="3"/>
    </w:lvl>
  </w:abstractNum>
  <w:abstractNum w:abstractNumId="211">
    <w:nsid w:val="639DEFAC"/>
    <w:multiLevelType w:val="hybridMultilevel"/>
    <w:lvl w:ilvl="0">
      <w:lvlJc w:val="left"/>
      <w:lvlText w:val="(%1)"/>
      <w:numFmt w:val="lowerLetter"/>
      <w:start w:val="4"/>
    </w:lvl>
  </w:abstractNum>
  <w:abstractNum w:abstractNumId="212">
    <w:nsid w:val="501F9786"/>
    <w:multiLevelType w:val="hybridMultilevel"/>
    <w:lvl w:ilvl="0">
      <w:lvlJc w:val="left"/>
      <w:lvlText w:val="(%1)"/>
      <w:numFmt w:val="lowerLetter"/>
      <w:start w:val="5"/>
    </w:lvl>
  </w:abstractNum>
  <w:abstractNum w:abstractNumId="213">
    <w:nsid w:val="6B057295"/>
    <w:multiLevelType w:val="hybridMultilevel"/>
    <w:lvl w:ilvl="0">
      <w:lvlJc w:val="left"/>
      <w:lvlText w:val="(%1)"/>
      <w:numFmt w:val="lowerLetter"/>
      <w:start w:val="1"/>
    </w:lvl>
  </w:abstractNum>
  <w:abstractNum w:abstractNumId="214">
    <w:nsid w:val="2771AC80"/>
    <w:multiLevelType w:val="hybridMultilevel"/>
    <w:lvl w:ilvl="0">
      <w:lvlJc w:val="left"/>
      <w:lvlText w:val="(%1)"/>
      <w:numFmt w:val="lowerLetter"/>
      <w:start w:val="1"/>
    </w:lvl>
  </w:abstractNum>
  <w:abstractNum w:abstractNumId="215">
    <w:nsid w:val="1C4A08EC"/>
    <w:multiLevelType w:val="hybridMultilevel"/>
    <w:lvl w:ilvl="0">
      <w:lvlJc w:val="left"/>
      <w:lvlText w:val="(%1)"/>
      <w:numFmt w:val="lowerLetter"/>
      <w:start w:val="2"/>
    </w:lvl>
  </w:abstractNum>
  <w:abstractNum w:abstractNumId="216">
    <w:nsid w:val="1958BD17"/>
    <w:multiLevelType w:val="hybridMultilevel"/>
    <w:lvl w:ilvl="0">
      <w:lvlJc w:val="left"/>
      <w:lvlText w:val="(%1)"/>
      <w:numFmt w:val="lowerLetter"/>
      <w:start w:val="1"/>
    </w:lvl>
  </w:abstractNum>
  <w:abstractNum w:abstractNumId="217">
    <w:nsid w:val="4E647FE4"/>
    <w:multiLevelType w:val="hybridMultilevel"/>
    <w:lvl w:ilvl="0">
      <w:lvlJc w:val="left"/>
      <w:lvlText w:val="(%1)"/>
      <w:numFmt w:val="lowerLetter"/>
      <w:start w:val="2"/>
    </w:lvl>
    <w:lvl w:ilvl="1">
      <w:lvlJc w:val="left"/>
      <w:lvlText w:val="(%2)"/>
      <w:numFmt w:val="lowerRoman"/>
      <w:start w:val="1"/>
    </w:lvl>
  </w:abstractNum>
  <w:abstractNum w:abstractNumId="218">
    <w:nsid w:val="E0BB885"/>
    <w:multiLevelType w:val="hybridMultilevel"/>
    <w:lvl w:ilvl="0">
      <w:lvlJc w:val="left"/>
      <w:lvlText w:val="(%1)"/>
      <w:numFmt w:val="lowerLetter"/>
      <w:start w:val="1"/>
    </w:lvl>
  </w:abstractNum>
  <w:abstractNum w:abstractNumId="219">
    <w:nsid w:val="565976F1"/>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2023-03-20T15:46:16Z</dcterms:created>
  <dcterms:modified xsi:type="dcterms:W3CDTF">2023-03-20T15:46:16Z</dcterms:modified>
</cp:coreProperties>
</file>