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3,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54"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9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3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None</w:t>
            </w:r>
          </w:p>
        </w:tc>
        <w:tc>
          <w:tcPr>
            <w:tcW w:w="34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None</w:t>
            </w:r>
          </w:p>
        </w:tc>
        <w:tc>
          <w:tcPr>
            <w:tcW w:w="39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24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left="1360" w:hanging="1295"/>
        <w:spacing w:after="0" w:line="286" w:lineRule="auto"/>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3, 2022, Sarah Rubenstein was appointed as the principal financial officer for Clearway Energy LLC (the “Company”).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Rubenstein currently serves as the Senior Vice President and Chief Accounting Officer for the Company and as the Company’s principal accounting officer.</w:t>
      </w:r>
    </w:p>
    <w:p>
      <w:pPr>
        <w:spacing w:after="0" w:line="21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Ms. Rubenstein has served as Vice President, Accounting and Controller for the Company since November 2, 2020, and was promoted to Senior Vice President and Chief Accounting Officer in January 2022. Ms. Rubenstein previously served as Assistant Controller of the Company since August 2018, where she was responsible for managing corporate accounting and financial reporting activities. From 2012 to August 2018, Ms. Rubenstein served as Director of Accounting Research and Financial Reporting at NRG Energy, Inc. In prior roles, Ms. Rubenstein served as Director of Finance at EPV Solar, Inc. and Senior Director of Financial Reporting at Warner Music Group. Ms. Rubenstein began her career as an auditor with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2022-08-09T17:34:18Z</dcterms:created>
  <dcterms:modified xsi:type="dcterms:W3CDTF">2022-08-09T17:34:18Z</dcterms:modified>
</cp:coreProperties>
</file>