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20, 2019</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Clearway Energy,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727" w:right="239" w:bottom="1440" w:gutter="0" w:footer="0" w:header="0"/>
        </w:sectPr>
      </w:pPr>
    </w:p>
    <w:p>
      <w:pPr>
        <w:spacing w:after="0" w:line="20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001-36002</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46-1777204</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727" w:right="2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420"/>
          </w:cols>
          <w:pgMar w:left="240" w:top="727" w:right="239" w:bottom="1440" w:gutter="0" w:footer="0" w:header="0"/>
          <w:type w:val="continuous"/>
        </w:sectPr>
      </w:pPr>
    </w:p>
    <w:p>
      <w:pPr>
        <w:spacing w:after="0" w:line="207"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right="3040" w:firstLine="8"/>
        <w:spacing w:after="0" w:line="498" w:lineRule="auto"/>
        <w:tabs>
          <w:tab w:leader="none" w:pos="3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8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32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40" w:type="dxa"/>
            <w:vAlign w:val="bottom"/>
          </w:tcPr>
          <w:p>
            <w:pPr>
              <w:jc w:val="center"/>
              <w:ind w:right="130"/>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$0.01</w:t>
            </w:r>
          </w:p>
        </w:tc>
        <w:tc>
          <w:tcPr>
            <w:tcW w:w="2860" w:type="dxa"/>
            <w:vAlign w:val="bottom"/>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rPr>
              <w:t>CWEN.A</w:t>
            </w:r>
          </w:p>
        </w:tc>
        <w:tc>
          <w:tcPr>
            <w:tcW w:w="4320" w:type="dxa"/>
            <w:vAlign w:val="bottom"/>
          </w:tcPr>
          <w:p>
            <w:pPr>
              <w:jc w:val="center"/>
              <w:ind w:left="250"/>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42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Class C Common Stock, par value $0.01</w:t>
            </w:r>
          </w:p>
        </w:tc>
        <w:tc>
          <w:tcPr>
            <w:tcW w:w="28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8"/>
              </w:rPr>
              <w:t>CWEN</w:t>
            </w:r>
          </w:p>
        </w:tc>
        <w:tc>
          <w:tcPr>
            <w:tcW w:w="43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7780"/>
        <w:spacing w:after="0" w:line="207" w:lineRule="exact"/>
        <w:tabs>
          <w:tab w:leader="none" w:pos="99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27"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Fifth Amendment to Clearway Energy LLC and Clearway Energy Operating LLC Revolving Credit Facility</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December 20, 2019, each of Clearway Energy Operating LLC (“Clearway Operating LLC”), as borrower, and Clearway Energy LLC (“Clearway LLC”), as guarantor, entered into the Fifth Amendment to Amended and Restated Credit Agreement (the “Fifth Amendment”), with certain subsidiaries of Clearway Operating LLC party thereto, as guarantors, JPMorgan Chase Bank, N.A., as administrative agent (the “Administrative Agent”), and the lenders party thereto, which amended that certain Amended and Restated Credit Agreement, dated as of April 25, 2014 (as amended, the “Existing Credit Agreement”), among Clearway Operating LLC, Clearway LLC, certain subsidiaries of Clearway Operating LLC party thereto, the lenders party thereto and the Administrative Agent, providing for revolving commitments in an aggregate principal amount of $495 million. Each of Clearway Operating LLC and Clearway LLC is a subsidiary of Clearway Energy, Inc.</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Fifth Amendment amends the Existing Credit Agreement to provide for an increase of 0.50x to the Borrower Leverage Ratio for the last two fiscal quarters of 2020 and to implement certain other technical modifications.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Fifth Amendment does not purport to be complete and is qualified in its entirety by reference to the full text of the Fifth Amendment, a copy of which is filed as Exhibit 10.1 to this Current Report on Form 8-K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disclosures under Item 1.01 of this Current Report on Form 8-K relating to the Fifth Amendment are also responsive to Item 2.03 of this report and are incorporated by reference into this Item 2.03.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560" w:type="dxa"/>
            <w:vAlign w:val="bottom"/>
          </w:tcPr>
          <w:p>
            <w:pPr>
              <w:spacing w:after="0"/>
              <w:rPr>
                <w:sz w:val="20"/>
                <w:szCs w:val="20"/>
                <w:color w:val="auto"/>
              </w:rPr>
            </w:pPr>
          </w:p>
        </w:tc>
        <w:tc>
          <w:tcPr>
            <w:tcW w:w="9480" w:type="dxa"/>
            <w:vAlign w:val="bottom"/>
            <w:gridSpan w:val="2"/>
          </w:tcPr>
          <w:p>
            <w:pPr>
              <w:ind w:left="4060"/>
              <w:spacing w:after="0"/>
              <w:rPr>
                <w:sz w:val="20"/>
                <w:szCs w:val="20"/>
                <w:color w:val="auto"/>
              </w:rPr>
            </w:pPr>
            <w:r>
              <w:rPr>
                <w:rFonts w:ascii="Times New Roman" w:cs="Times New Roman" w:eastAsia="Times New Roman" w:hAnsi="Times New Roman"/>
                <w:sz w:val="18"/>
                <w:szCs w:val="18"/>
                <w:b w:val="1"/>
                <w:bCs w:val="1"/>
                <w:color w:val="auto"/>
              </w:rPr>
              <w:t>Document</w:t>
            </w:r>
          </w:p>
        </w:tc>
      </w:tr>
      <w:tr>
        <w:trPr>
          <w:trHeight w:val="169"/>
        </w:trPr>
        <w:tc>
          <w:tcPr>
            <w:tcW w:w="2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right"/>
              <w:spacing w:after="0" w:line="170" w:lineRule="exact"/>
              <w:rPr>
                <w:rFonts w:ascii="Times New Roman" w:cs="Times New Roman" w:eastAsia="Times New Roman" w:hAnsi="Times New Roman"/>
                <w:sz w:val="18"/>
                <w:szCs w:val="18"/>
                <w:color w:val="0000EE"/>
                <w:w w:val="95"/>
              </w:rPr>
            </w:pPr>
            <w:hyperlink w:anchor="page4">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4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40" w:type="dxa"/>
            <w:vAlign w:val="bottom"/>
            <w:tcBorders>
              <w:top w:val="single" w:sz="8" w:color="auto"/>
            </w:tcBorders>
            <w:gridSpan w:val="3"/>
          </w:tcPr>
          <w:p>
            <w:pPr>
              <w:spacing w:after="0" w:line="170"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Fifth Amendment to Amended and Restated Credit Agreement, dated as of December 20, 2019, by and among Clearway Energy Operating</w:t>
              </w:r>
            </w:hyperlink>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LLC, Clearway Energy LLC, the guarantors party thereto, JPMorgan Chase Bank, N.A., as administrative agent, and the lenders party</w:t>
              </w:r>
            </w:hyperlink>
          </w:p>
        </w:tc>
      </w:tr>
      <w:tr>
        <w:trPr>
          <w:trHeight w:val="196"/>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thereto.</w:t>
              </w:r>
            </w:hyperlink>
          </w:p>
        </w:tc>
        <w:tc>
          <w:tcPr>
            <w:tcW w:w="9480" w:type="dxa"/>
            <w:vAlign w:val="bottom"/>
            <w:gridSpan w:val="2"/>
          </w:tcPr>
          <w:p>
            <w:pPr>
              <w:spacing w:after="0"/>
              <w:rPr>
                <w:sz w:val="17"/>
                <w:szCs w:val="17"/>
                <w:color w:val="auto"/>
              </w:rPr>
            </w:pPr>
          </w:p>
        </w:tc>
      </w:tr>
    </w:tbl>
    <w:p>
      <w:pPr>
        <w:spacing w:after="0" w:line="225" w:lineRule="exact"/>
        <w:rPr>
          <w:sz w:val="20"/>
          <w:szCs w:val="20"/>
          <w:color w:val="auto"/>
        </w:rPr>
      </w:pPr>
    </w:p>
    <w:p>
      <w:pPr>
        <w:ind w:left="5660" w:right="4260" w:hanging="5213"/>
        <w:spacing w:after="0" w:line="783" w:lineRule="auto"/>
        <w:tabs>
          <w:tab w:leader="none" w:pos="137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9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3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(Registrant)</w:t>
      </w:r>
    </w:p>
    <w:p>
      <w:pPr>
        <w:spacing w:after="0" w:line="205" w:lineRule="exact"/>
        <w:rPr>
          <w:sz w:val="20"/>
          <w:szCs w:val="20"/>
          <w:color w:val="auto"/>
        </w:rPr>
      </w:pPr>
    </w:p>
    <w:p>
      <w:pPr>
        <w:ind w:left="58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Kevin P. Malcarney</w:t>
      </w:r>
    </w:p>
    <w:p>
      <w:pPr>
        <w:spacing w:after="0" w:line="2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23, 2019</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FIFTH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AMENDED AND RESTATED CREDIT AGREEMENT</w:t>
      </w:r>
    </w:p>
    <w:p>
      <w:pPr>
        <w:spacing w:after="0" w:line="20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FIFTH AMENDMENT TO AMENDED AND RESTATED CREDIT AGREEMENT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dated as of December 20, 2019 and is entered into by and among CLEARWAY ENERGY OPERATING LLC (formerly known as NRG Yield Operating LLC), a Delaware limited liability company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CLEARWAY ENERGY LLC (formerly known as NRG Yield LLC), a Delaware limited liability company (“</w:t>
      </w:r>
      <w:r>
        <w:rPr>
          <w:rFonts w:ascii="Times New Roman" w:cs="Times New Roman" w:eastAsia="Times New Roman" w:hAnsi="Times New Roman"/>
          <w:sz w:val="18"/>
          <w:szCs w:val="18"/>
          <w:b w:val="1"/>
          <w:bCs w:val="1"/>
          <w:color w:val="auto"/>
        </w:rPr>
        <w:t>Holdings</w:t>
      </w:r>
      <w:r>
        <w:rPr>
          <w:rFonts w:ascii="Times New Roman" w:cs="Times New Roman" w:eastAsia="Times New Roman" w:hAnsi="Times New Roman"/>
          <w:sz w:val="18"/>
          <w:szCs w:val="18"/>
          <w:color w:val="auto"/>
        </w:rPr>
        <w:t>”), each other Guarantor party hereto, JPMORGAN CHASE BANK, N.A. (“</w:t>
      </w:r>
      <w:r>
        <w:rPr>
          <w:rFonts w:ascii="Times New Roman" w:cs="Times New Roman" w:eastAsia="Times New Roman" w:hAnsi="Times New Roman"/>
          <w:sz w:val="18"/>
          <w:szCs w:val="18"/>
          <w:b w:val="1"/>
          <w:bCs w:val="1"/>
          <w:color w:val="auto"/>
        </w:rPr>
        <w:t>JPM</w:t>
      </w:r>
      <w:r>
        <w:rPr>
          <w:rFonts w:ascii="Times New Roman" w:cs="Times New Roman" w:eastAsia="Times New Roman" w:hAnsi="Times New Roman"/>
          <w:sz w:val="18"/>
          <w:szCs w:val="18"/>
          <w:color w:val="auto"/>
        </w:rPr>
        <w:t>”), in its capacity as the administrative agent under the Credit Agreement (the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and THE LENDERS AND L/C ISSUERS party hereto, and is made with reference to that certain Amended and Restated Credit Agreement dated as of April 25, 2014 (as amended by that certain First Amendment to Amended &amp; Restated Credit Agreement, dated as of June 26, 2015, that certain Second Amendment to Amended &amp; Restated Credit Agreement, dated as of February 6, 2018, that certain Third Amendment to Amended and Restated Credit Agreement and Administrative Agent Resignation and Appointment Agreement, dated as of April 30, 2018, and that certain Fourth Amendment to Amended and Restated Credit Agreement, dated as of November 30, 2018,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and as amended by this Amendment and as may be further amended, amended and restated, supplemented or otherwise modified from time to time, the “</w:t>
      </w:r>
      <w:r>
        <w:rPr>
          <w:rFonts w:ascii="Times New Roman" w:cs="Times New Roman" w:eastAsia="Times New Roman" w:hAnsi="Times New Roman"/>
          <w:sz w:val="18"/>
          <w:szCs w:val="18"/>
          <w:b w:val="1"/>
          <w:bCs w:val="1"/>
          <w:color w:val="auto"/>
        </w:rPr>
        <w:t>Amended Credit Agreement</w:t>
      </w:r>
      <w:r>
        <w:rPr>
          <w:rFonts w:ascii="Times New Roman" w:cs="Times New Roman" w:eastAsia="Times New Roman" w:hAnsi="Times New Roman"/>
          <w:sz w:val="18"/>
          <w:szCs w:val="18"/>
          <w:color w:val="auto"/>
        </w:rPr>
        <w:t xml:space="preserve">”), by and among the Borrower, Holdings, the other Guarantors party thereto, the Lenders and L/C Issuers party thereto and the Administrative Agent. Capitalized terms used herein without definition shall have the same meanings herein as set forth in the Amended Credit Agreement, and the rules of interpretation set forth in Section 1.02 of the Amended Credit Agreement shall apply hereto,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Loan Parties have requested that the Lenders and L/C Issuers agree to amend certain provisions of the Credit Agreement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for herein; and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subject to the satisfaction of the conditions specified herein, the undersigned Lenders and L/C Issuers are willing to agree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amendments to the Credit Agreement in accordance with Section 11.01 of the Credit Agreement.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agreements, provisions and covenants herein contained, the parties hereto agree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SECTION I.</w:t>
      </w:r>
      <w:r>
        <w:rPr>
          <w:sz w:val="20"/>
          <w:szCs w:val="20"/>
          <w:color w:val="auto"/>
        </w:rPr>
        <w:tab/>
      </w:r>
      <w:r>
        <w:rPr>
          <w:rFonts w:ascii="Times New Roman" w:cs="Times New Roman" w:eastAsia="Times New Roman" w:hAnsi="Times New Roman"/>
          <w:sz w:val="17"/>
          <w:szCs w:val="17"/>
          <w:b w:val="1"/>
          <w:bCs w:val="1"/>
          <w:color w:val="auto"/>
        </w:rPr>
        <w:t>AMENDMENTS TO CREDIT 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Effective on and as of the date on which each of the conditions set forth in </w:t>
      </w:r>
      <w:r>
        <w:rPr>
          <w:rFonts w:ascii="Times New Roman" w:cs="Times New Roman" w:eastAsia="Times New Roman" w:hAnsi="Times New Roman"/>
          <w:sz w:val="18"/>
          <w:szCs w:val="18"/>
          <w:u w:val="single" w:color="auto"/>
          <w:color w:val="auto"/>
        </w:rPr>
        <w:t>Section II</w:t>
      </w:r>
      <w:r>
        <w:rPr>
          <w:rFonts w:ascii="Times New Roman" w:cs="Times New Roman" w:eastAsia="Times New Roman" w:hAnsi="Times New Roman"/>
          <w:sz w:val="18"/>
          <w:szCs w:val="18"/>
          <w:color w:val="auto"/>
        </w:rPr>
        <w:t xml:space="preserve"> has been satisfied (or waived by the party or parties entitled to the benefit thereof):</w:t>
      </w:r>
    </w:p>
    <w:p>
      <w:pPr>
        <w:spacing w:after="0" w:line="162" w:lineRule="exact"/>
        <w:rPr>
          <w:sz w:val="20"/>
          <w:szCs w:val="20"/>
          <w:color w:val="auto"/>
        </w:rPr>
      </w:pPr>
    </w:p>
    <w:p>
      <w:pPr>
        <w:jc w:val="both"/>
        <w:ind w:firstLine="656"/>
        <w:spacing w:after="0" w:line="256" w:lineRule="auto"/>
        <w:tabs>
          <w:tab w:leader="none" w:pos="14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(i) NRG Yield Operating LLC, a Delaware limited liability company, in its capacity as the Borrower under the Credit Agreement and the other Loan Documents, (ii) NRG Yield LLC, a Delaware limited liability company, in its capacity as Holdings under the Credit Agreement and the other Loan Documents and (iii) NRG Yield, Inc., a Delaware corporation, in its capacity as the Parent under the Credit Agreement and the other Loan Documents, in each case and as applicable, are hereby replaced with Clearway Energy Operating LLC, a Delaware limited liability company, Clearway Energy LLC, a Delaware limited liability company, and Clearway Energy, Inc., a Delaware corporation, in their capacities as the Borrower, Holdings and the Parent,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 w:name="page5"/>
    <w:bookmarkEnd w:id="4"/>
    <w:p>
      <w:pPr>
        <w:ind w:left="704" w:hanging="704"/>
        <w:spacing w:after="0"/>
        <w:tabs>
          <w:tab w:leader="none" w:pos="7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“Acquisition Period” in Section 1.01 of the Credit Agreement is hereby amended and restated in its entirety as follows:</w:t>
      </w:r>
    </w:p>
    <w:p>
      <w:pPr>
        <w:spacing w:after="0" w:line="225"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Period</w:t>
      </w:r>
      <w:r>
        <w:rPr>
          <w:rFonts w:ascii="Times New Roman" w:cs="Times New Roman" w:eastAsia="Times New Roman" w:hAnsi="Times New Roman"/>
          <w:sz w:val="18"/>
          <w:szCs w:val="18"/>
          <w:color w:val="auto"/>
        </w:rPr>
        <w:t xml:space="preserve">” means, upon the Borrower’s election pursuant to </w:t>
      </w:r>
      <w:r>
        <w:rPr>
          <w:rFonts w:ascii="Times New Roman" w:cs="Times New Roman" w:eastAsia="Times New Roman" w:hAnsi="Times New Roman"/>
          <w:sz w:val="18"/>
          <w:szCs w:val="18"/>
          <w:u w:val="single" w:color="auto"/>
          <w:color w:val="auto"/>
        </w:rPr>
        <w:t>Section 6.02(f)</w:t>
      </w:r>
      <w:r>
        <w:rPr>
          <w:rFonts w:ascii="Times New Roman" w:cs="Times New Roman" w:eastAsia="Times New Roman" w:hAnsi="Times New Roman"/>
          <w:sz w:val="18"/>
          <w:szCs w:val="18"/>
          <w:color w:val="auto"/>
        </w:rPr>
        <w:t>, the period beginning with the closing date for a Qualified Acquisition (a “</w:t>
      </w:r>
      <w:r>
        <w:rPr>
          <w:rFonts w:ascii="Times New Roman" w:cs="Times New Roman" w:eastAsia="Times New Roman" w:hAnsi="Times New Roman"/>
          <w:sz w:val="18"/>
          <w:szCs w:val="18"/>
          <w:u w:val="single" w:color="auto"/>
          <w:color w:val="auto"/>
        </w:rPr>
        <w:t>Qualified Acquisition Closing Date</w:t>
      </w:r>
      <w:r>
        <w:rPr>
          <w:rFonts w:ascii="Times New Roman" w:cs="Times New Roman" w:eastAsia="Times New Roman" w:hAnsi="Times New Roman"/>
          <w:sz w:val="18"/>
          <w:szCs w:val="18"/>
          <w:color w:val="auto"/>
        </w:rPr>
        <w:t xml:space="preserve">”) and ending on the earlier of (x) the last day of the first full fiscal quarter following such Qualified Acquisition Closing Date in which the Borrower Leverage Ratio is equal to or less than 5.50:1.00 or, during the period from July 1, 2020 through and including December 31, 2020, 6.00:1.00, (y) the last day of the third full fiscal quarter following such Qualified Acquisition Closing Date and (z) the date on which the Borrower notifies the Administrative Agent that it desires to end the Acquisition Period for such Qualified Acquisition;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that (i) no Acquisition Period may become effective if the Borrower fails to timely elect such Acquisition Period pursuant to the terms of </w:t>
      </w:r>
      <w:r>
        <w:rPr>
          <w:rFonts w:ascii="Times New Roman" w:cs="Times New Roman" w:eastAsia="Times New Roman" w:hAnsi="Times New Roman"/>
          <w:sz w:val="18"/>
          <w:szCs w:val="18"/>
          <w:u w:val="single" w:color="auto"/>
          <w:color w:val="auto"/>
        </w:rPr>
        <w:t>Section 6.02(f)</w:t>
      </w:r>
      <w:r>
        <w:rPr>
          <w:rFonts w:ascii="Times New Roman" w:cs="Times New Roman" w:eastAsia="Times New Roman" w:hAnsi="Times New Roman"/>
          <w:sz w:val="18"/>
          <w:szCs w:val="18"/>
          <w:color w:val="auto"/>
        </w:rPr>
        <w:t>, (ii) no more than one Acquisition Period may be elected with respect to any particular Qualified Acquisition, (iii) once any Acquisition Period is in effect, the next Acquisition Period may not commence until the termination of such Acquisition Period then in effect and (iv) in no event shall Acquisition Periods for one or more Qualified Acquisitions extend beyond six (6) consecutive fiscal quarters.”</w:t>
      </w:r>
    </w:p>
    <w:p>
      <w:pPr>
        <w:spacing w:after="0" w:line="186" w:lineRule="exact"/>
        <w:rPr>
          <w:sz w:val="20"/>
          <w:szCs w:val="20"/>
          <w:color w:val="auto"/>
        </w:rPr>
      </w:pPr>
    </w:p>
    <w:p>
      <w:pPr>
        <w:ind w:left="704" w:hanging="704"/>
        <w:spacing w:after="0"/>
        <w:tabs>
          <w:tab w:leader="none" w:pos="70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1.01 of the Credit Agreement is hereby amended by adding the following definitions in alphabetical order:</w:t>
      </w:r>
    </w:p>
    <w:p>
      <w:pPr>
        <w:spacing w:after="0" w:line="225" w:lineRule="exact"/>
        <w:rPr>
          <w:sz w:val="20"/>
          <w:szCs w:val="20"/>
          <w:color w:val="auto"/>
        </w:rPr>
      </w:pPr>
    </w:p>
    <w:p>
      <w:pPr>
        <w:ind w:left="644"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shall mean a certification regarding beneficial ownership as required by the Beneficial Ownership Regulation.</w:t>
      </w:r>
    </w:p>
    <w:p>
      <w:pPr>
        <w:spacing w:after="0" w:line="162"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shall mean 31 C.F.R. § 1010.230.</w:t>
      </w:r>
    </w:p>
    <w:p>
      <w:pPr>
        <w:spacing w:after="0" w:line="225" w:lineRule="exact"/>
        <w:rPr>
          <w:sz w:val="20"/>
          <w:szCs w:val="20"/>
          <w:color w:val="auto"/>
        </w:rPr>
      </w:pPr>
    </w:p>
    <w:p>
      <w:pPr>
        <w:ind w:left="724" w:hanging="724"/>
        <w:spacing w:after="0"/>
        <w:tabs>
          <w:tab w:leader="none" w:pos="7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1.02 of the Credit Agreement is hereby amended by adding the following subsection (d):</w:t>
      </w:r>
    </w:p>
    <w:p>
      <w:pPr>
        <w:spacing w:after="0" w:line="225" w:lineRule="exact"/>
        <w:rPr>
          <w:sz w:val="20"/>
          <w:szCs w:val="20"/>
          <w:color w:val="auto"/>
        </w:rPr>
      </w:pPr>
    </w:p>
    <w:p>
      <w:pPr>
        <w:jc w:val="both"/>
        <w:ind w:left="4"/>
        <w:spacing w:after="0" w:line="258" w:lineRule="auto"/>
        <w:rPr>
          <w:sz w:val="20"/>
          <w:szCs w:val="20"/>
          <w:color w:val="auto"/>
        </w:rPr>
      </w:pPr>
      <w:r>
        <w:rPr>
          <w:rFonts w:ascii="Times New Roman" w:cs="Times New Roman" w:eastAsia="Times New Roman" w:hAnsi="Times New Roman"/>
          <w:sz w:val="18"/>
          <w:szCs w:val="18"/>
          <w:color w:val="auto"/>
        </w:rPr>
        <w:t>“(d) Any reference herein to a merger, transfer, consolidation, amalgamation, assignment, sale, disposition or transfer, or similar term, shall be deemed to apply to a division of or by a Person, or an allocation of assets to a series of a Person (or the unwinding of such a division or allocation), as if it were a merger, transfer, consolidation, amalgamation, assignment, sale, disposition or transfer, or similar term, as applicable, to, of or with a separate Person. Any division of a Person shall constitute a separate Person hereunder (and each division of any Person that is a Subsidiary, joint venture or any other like term shall also constitute such a Person or entity).”</w:t>
      </w:r>
    </w:p>
    <w:p>
      <w:pPr>
        <w:spacing w:after="0" w:line="400"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4" w:right="239" w:bottom="1440" w:gutter="0" w:footer="0" w:header="0"/>
        </w:sectPr>
      </w:pPr>
    </w:p>
    <w:bookmarkStart w:id="5" w:name="page6"/>
    <w:bookmarkEnd w:id="5"/>
    <w:p>
      <w:pPr>
        <w:ind w:left="744" w:hanging="744"/>
        <w:spacing w:after="0"/>
        <w:tabs>
          <w:tab w:leader="none" w:pos="7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7.11(a) of the Credit Agreement is hereby amended and restated in its entirety as follows:</w:t>
      </w:r>
    </w:p>
    <w:p>
      <w:pPr>
        <w:spacing w:after="0" w:line="225" w:lineRule="exact"/>
        <w:rPr>
          <w:sz w:val="20"/>
          <w:szCs w:val="20"/>
          <w:color w:val="auto"/>
        </w:rPr>
      </w:pPr>
    </w:p>
    <w:p>
      <w:pPr>
        <w:jc w:val="both"/>
        <w:ind w:left="4"/>
        <w:spacing w:after="0" w:line="25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Borrower Leverage Ratio</w:t>
      </w:r>
      <w:r>
        <w:rPr>
          <w:rFonts w:ascii="Times New Roman" w:cs="Times New Roman" w:eastAsia="Times New Roman" w:hAnsi="Times New Roman"/>
          <w:sz w:val="18"/>
          <w:szCs w:val="18"/>
          <w:color w:val="auto"/>
        </w:rPr>
        <w:t>. Commencing with the fiscal quarter ending June 30, 2014 and as of the last day of each fiscal quarter thereafter, permit the Borrower Leverage Ratio for the most recently completed Measurement Period to be greater than (i) on any date of determination other than during an Acquisition Period, 5.50:1.00 or, with respect to any such date of determination during the period from July 1, 2020 through and including December 31, 2020, 6.00:1.00 and (ii) on any date of determination during an Acquisition Period, 6.00:1.00 or, with respect to any such date of determination during the period from July 1, 2020 through and including December 31, 2020, 6.50:1.00; and”</w:t>
      </w:r>
    </w:p>
    <w:p>
      <w:pPr>
        <w:spacing w:after="0" w:line="184" w:lineRule="exact"/>
        <w:rPr>
          <w:sz w:val="20"/>
          <w:szCs w:val="20"/>
          <w:color w:val="auto"/>
        </w:rPr>
      </w:pPr>
    </w:p>
    <w:p>
      <w:pPr>
        <w:ind w:left="704" w:hanging="704"/>
        <w:spacing w:after="0"/>
        <w:tabs>
          <w:tab w:leader="none" w:pos="7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is hereby amended by adding the following new Section 11.22 after Section 11.21 of the Credit Agreement.</w:t>
      </w:r>
    </w:p>
    <w:p>
      <w:pPr>
        <w:spacing w:after="0" w:line="225" w:lineRule="exact"/>
        <w:rPr>
          <w:sz w:val="20"/>
          <w:szCs w:val="20"/>
          <w:color w:val="auto"/>
        </w:rPr>
      </w:pPr>
    </w:p>
    <w:p>
      <w:pPr>
        <w:jc w:val="both"/>
        <w:ind w:left="4" w:righ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11.22. </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a Swap Contract or any other agreement or instrument that is a QFC (such support, “</w:t>
      </w:r>
      <w:r>
        <w:rPr>
          <w:rFonts w:ascii="Times New Roman" w:cs="Times New Roman" w:eastAsia="Times New Roman" w:hAnsi="Times New Roman"/>
          <w:sz w:val="18"/>
          <w:szCs w:val="18"/>
          <w:u w:val="single" w:color="auto"/>
          <w:color w:val="auto"/>
        </w:rPr>
        <w:t>QFC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5" w:lineRule="exact"/>
        <w:rPr>
          <w:sz w:val="20"/>
          <w:szCs w:val="20"/>
          <w:color w:val="auto"/>
        </w:rPr>
      </w:pPr>
    </w:p>
    <w:p>
      <w:pPr>
        <w:jc w:val="both"/>
        <w:ind w:left="644" w:right="640" w:firstLine="653"/>
        <w:spacing w:after="0" w:line="253" w:lineRule="auto"/>
        <w:tabs>
          <w:tab w:leader="none" w:pos="205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0" w:lineRule="exact"/>
        <w:rPr>
          <w:sz w:val="20"/>
          <w:szCs w:val="20"/>
          <w:color w:val="auto"/>
        </w:rPr>
      </w:pPr>
    </w:p>
    <w:p>
      <w:pPr>
        <w:spacing w:after="0" w:line="205"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4" w:right="239" w:bottom="1440" w:gutter="0" w:footer="0" w:header="0"/>
        </w:sectPr>
      </w:pPr>
    </w:p>
    <w:bookmarkStart w:id="6" w:name="page7"/>
    <w:bookmarkEnd w:id="6"/>
    <w:p>
      <w:pPr>
        <w:ind w:left="2640" w:hanging="687"/>
        <w:spacing w:after="0"/>
        <w:tabs>
          <w:tab w:leader="none" w:pos="2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used in this </w:t>
      </w:r>
      <w:r>
        <w:rPr>
          <w:rFonts w:ascii="Times New Roman" w:cs="Times New Roman" w:eastAsia="Times New Roman" w:hAnsi="Times New Roman"/>
          <w:sz w:val="18"/>
          <w:szCs w:val="18"/>
          <w:u w:val="single" w:color="auto"/>
          <w:color w:val="auto"/>
        </w:rPr>
        <w:t>Section 11.22</w:t>
      </w:r>
      <w:r>
        <w:rPr>
          <w:rFonts w:ascii="Times New Roman" w:cs="Times New Roman" w:eastAsia="Times New Roman" w:hAnsi="Times New Roman"/>
          <w:sz w:val="18"/>
          <w:szCs w:val="18"/>
          <w:color w:val="auto"/>
        </w:rPr>
        <w:t>, the following terms have the following meanings:</w:t>
      </w:r>
    </w:p>
    <w:p>
      <w:pPr>
        <w:spacing w:after="0" w:line="225" w:lineRule="exact"/>
        <w:rPr>
          <w:sz w:val="20"/>
          <w:szCs w:val="20"/>
          <w:color w:val="auto"/>
        </w:rPr>
      </w:pPr>
    </w:p>
    <w:p>
      <w:pPr>
        <w:ind w:left="1960" w:righ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 party.</w:t>
      </w:r>
    </w:p>
    <w:p>
      <w:pPr>
        <w:spacing w:after="0" w:line="16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225" w:lineRule="exact"/>
        <w:rPr>
          <w:sz w:val="20"/>
          <w:szCs w:val="20"/>
          <w:color w:val="auto"/>
        </w:rPr>
      </w:pPr>
    </w:p>
    <w:p>
      <w:pPr>
        <w:ind w:left="3080" w:hanging="479"/>
        <w:spacing w:after="0"/>
        <w:tabs>
          <w:tab w:leader="none" w:pos="3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25" w:lineRule="exact"/>
        <w:rPr>
          <w:rFonts w:ascii="Times New Roman" w:cs="Times New Roman" w:eastAsia="Times New Roman" w:hAnsi="Times New Roman"/>
          <w:sz w:val="18"/>
          <w:szCs w:val="18"/>
          <w:color w:val="auto"/>
        </w:rPr>
      </w:pPr>
    </w:p>
    <w:p>
      <w:pPr>
        <w:ind w:left="3100" w:hanging="499"/>
        <w:spacing w:after="0"/>
        <w:tabs>
          <w:tab w:leader="none" w:pos="3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3100" w:hanging="499"/>
        <w:spacing w:after="0"/>
        <w:tabs>
          <w:tab w:leader="none" w:pos="3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252.81, 47.2 or 382.1, as applicable.</w:t>
      </w:r>
    </w:p>
    <w:p>
      <w:pPr>
        <w:spacing w:after="0" w:line="207" w:lineRule="exact"/>
        <w:rPr>
          <w:sz w:val="20"/>
          <w:szCs w:val="20"/>
          <w:color w:val="auto"/>
        </w:rPr>
      </w:pPr>
    </w:p>
    <w:p>
      <w:pPr>
        <w:ind w:left="1960" w:righ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5390(c)(8)(D).”</w:t>
      </w:r>
    </w:p>
    <w:p>
      <w:pPr>
        <w:spacing w:after="0" w:line="158"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SECTION II.</w:t>
      </w:r>
      <w:r>
        <w:rPr>
          <w:sz w:val="20"/>
          <w:szCs w:val="20"/>
          <w:color w:val="auto"/>
        </w:rPr>
        <w:tab/>
      </w:r>
      <w:r>
        <w:rPr>
          <w:rFonts w:ascii="Times New Roman" w:cs="Times New Roman" w:eastAsia="Times New Roman" w:hAnsi="Times New Roman"/>
          <w:sz w:val="17"/>
          <w:szCs w:val="17"/>
          <w:b w:val="1"/>
          <w:bCs w:val="1"/>
          <w:color w:val="auto"/>
        </w:rPr>
        <w:t>CONDITIONS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This Amendment shall become effective as of the first date on which each of the following conditions in this </w:t>
      </w:r>
      <w:r>
        <w:rPr>
          <w:rFonts w:ascii="Times New Roman" w:cs="Times New Roman" w:eastAsia="Times New Roman" w:hAnsi="Times New Roman"/>
          <w:sz w:val="18"/>
          <w:szCs w:val="18"/>
          <w:u w:val="single" w:color="auto"/>
          <w:color w:val="auto"/>
        </w:rPr>
        <w:t>Section II</w:t>
      </w:r>
      <w:r>
        <w:rPr>
          <w:rFonts w:ascii="Times New Roman" w:cs="Times New Roman" w:eastAsia="Times New Roman" w:hAnsi="Times New Roman"/>
          <w:sz w:val="18"/>
          <w:szCs w:val="18"/>
          <w:color w:val="auto"/>
        </w:rPr>
        <w:t xml:space="preserve"> have been satisfied (the date of satisfaction of such conditions being referred to herein as the </w:t>
      </w:r>
      <w:r>
        <w:rPr>
          <w:rFonts w:ascii="Times New Roman" w:cs="Times New Roman" w:eastAsia="Times New Roman" w:hAnsi="Times New Roman"/>
          <w:sz w:val="18"/>
          <w:szCs w:val="18"/>
          <w:b w:val="1"/>
          <w:bCs w:val="1"/>
          <w:color w:val="auto"/>
        </w:rPr>
        <w:t>“Fifth Amendment Effective Date”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56"/>
        <w:spacing w:after="0" w:line="262" w:lineRule="auto"/>
        <w:tabs>
          <w:tab w:leader="none" w:pos="16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Deliverables to Administrative Agent</w:t>
      </w:r>
      <w:r>
        <w:rPr>
          <w:rFonts w:ascii="Times New Roman" w:cs="Times New Roman" w:eastAsia="Times New Roman" w:hAnsi="Times New Roman"/>
          <w:sz w:val="18"/>
          <w:szCs w:val="18"/>
          <w:color w:val="auto"/>
        </w:rPr>
        <w:t>. The Administrative Agent’s receipt of the following, each of which shall be originals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electronically transmitted copies of originals (followed as soon as reasonably practicable by originals) unless otherwise specified, each properly executed by a Responsible Officer of the signing Loan Party, each dated the Fifth Amendment Effective Date and each in form and substance reasonably satisfactory to the Administrative Agent and each of the Lenders:</w:t>
      </w:r>
    </w:p>
    <w:p>
      <w:pPr>
        <w:spacing w:after="0" w:line="180"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04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 counterpart signature page of this Amendment duly executed by each of the Loan Parties, (b) a counterpart signature page of this Amendment duly executed by the Administrative Agent and (c) a counterpart signature page of this Amendment duly executed by the Required Lenders;</w:t>
      </w:r>
    </w:p>
    <w:p>
      <w:pPr>
        <w:spacing w:after="0" w:line="176" w:lineRule="exact"/>
        <w:rPr>
          <w:rFonts w:ascii="Times New Roman" w:cs="Times New Roman" w:eastAsia="Times New Roman" w:hAnsi="Times New Roman"/>
          <w:sz w:val="18"/>
          <w:szCs w:val="18"/>
          <w:color w:val="auto"/>
        </w:rPr>
      </w:pPr>
    </w:p>
    <w:p>
      <w:pPr>
        <w:ind w:left="2040" w:hanging="735"/>
        <w:spacing w:after="0"/>
        <w:tabs>
          <w:tab w:leader="none" w:pos="20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Beneficial Ownership Certification in relation to the Borrower; and</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66" w:lineRule="auto"/>
        <w:tabs>
          <w:tab w:leader="none" w:pos="210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signed by a Responsible Officer of the Borrower certifying that as of the Fifth Amendment Effective Date, (a) there has been no event or circumstance that has had or could be reasonably expected to have, either individually or in the aggregate, a Material Adverse Effect since December 31, 2017 and (b) no Default or Event of Default has occurred and is continuing.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both"/>
        <w:ind w:left="660" w:hanging="4"/>
        <w:spacing w:after="0" w:line="262" w:lineRule="auto"/>
        <w:tabs>
          <w:tab w:leader="none" w:pos="151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Payment of Fees and Expenses. </w:t>
      </w:r>
      <w:r>
        <w:rPr>
          <w:rFonts w:ascii="Times New Roman" w:cs="Times New Roman" w:eastAsia="Times New Roman" w:hAnsi="Times New Roman"/>
          <w:sz w:val="18"/>
          <w:szCs w:val="18"/>
          <w:color w:val="auto"/>
        </w:rPr>
        <w:t>The Administrative Agent shall have received all reasonable and documented out-of-pocket fees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incurred in connection with this Amendment on or prior to the Fifth Amendment Effective Date, including, to the extent invoiced at least three (3) Business Days prior to the Fifth Amendment Effective Date, reimbursement or other payment of all out-of-pocket fees and expenses in each case required to be reimbursed or paid by the Borrower under the Credit Agreement.</w:t>
      </w:r>
    </w:p>
    <w:p>
      <w:pPr>
        <w:spacing w:after="0" w:line="176" w:lineRule="exact"/>
        <w:rPr>
          <w:rFonts w:ascii="Times New Roman" w:cs="Times New Roman" w:eastAsia="Times New Roman" w:hAnsi="Times New Roman"/>
          <w:sz w:val="18"/>
          <w:szCs w:val="18"/>
          <w:color w:val="auto"/>
        </w:rPr>
      </w:pPr>
    </w:p>
    <w:p>
      <w:pPr>
        <w:jc w:val="both"/>
        <w:ind w:firstLine="656"/>
        <w:spacing w:after="0" w:line="262" w:lineRule="auto"/>
        <w:tabs>
          <w:tab w:leader="none" w:pos="15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Material Adverse Effect</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b w:val="1"/>
          <w:bCs w:val="1"/>
          <w:color w:val="auto"/>
        </w:rPr>
        <w:t xml:space="preserve">s </w:t>
      </w:r>
      <w:r>
        <w:rPr>
          <w:rFonts w:ascii="Times New Roman" w:cs="Times New Roman" w:eastAsia="Times New Roman" w:hAnsi="Times New Roman"/>
          <w:sz w:val="18"/>
          <w:szCs w:val="18"/>
          <w:color w:val="auto"/>
        </w:rPr>
        <w:t>of the Fifth Amendment Effective Date, no event, circumstance or change shall have occurred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2017 that has resulted in, or could reasonably be expected to result in, either in any case or in the aggregate, a Material Adverse Effect or a material adverse change in, or material adverse effect upon, the operations, business, properties, liabilities or financial condition of the Project Companies taken as a whole.</w:t>
      </w:r>
    </w:p>
    <w:p>
      <w:pPr>
        <w:spacing w:after="0" w:line="176" w:lineRule="exact"/>
        <w:rPr>
          <w:rFonts w:ascii="Times New Roman" w:cs="Times New Roman" w:eastAsia="Times New Roman" w:hAnsi="Times New Roman"/>
          <w:sz w:val="18"/>
          <w:szCs w:val="18"/>
          <w:color w:val="auto"/>
        </w:rPr>
      </w:pPr>
    </w:p>
    <w:p>
      <w:pPr>
        <w:jc w:val="both"/>
        <w:ind w:right="20" w:firstLine="656"/>
        <w:spacing w:after="0" w:line="268" w:lineRule="auto"/>
        <w:tabs>
          <w:tab w:leader="none" w:pos="159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 and Warranties</w:t>
      </w:r>
      <w:r>
        <w:rPr>
          <w:rFonts w:ascii="Times New Roman" w:cs="Times New Roman" w:eastAsia="Times New Roman" w:hAnsi="Times New Roman"/>
          <w:sz w:val="18"/>
          <w:szCs w:val="18"/>
          <w:color w:val="auto"/>
        </w:rPr>
        <w:t>. Each of the representations and warranties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true and correct in all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respects on the Fifth Amendment Effective Date (unless made solely as of a prior date, in which case such representation and warranty was true and correct in all material respects as of such date).</w:t>
      </w:r>
    </w:p>
    <w:p>
      <w:pPr>
        <w:spacing w:after="0" w:line="171"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SECTION III.</w:t>
      </w:r>
      <w:r>
        <w:rPr>
          <w:sz w:val="20"/>
          <w:szCs w:val="20"/>
          <w:color w:val="auto"/>
        </w:rPr>
        <w:tab/>
      </w:r>
      <w:r>
        <w:rPr>
          <w:rFonts w:ascii="Times New Roman" w:cs="Times New Roman" w:eastAsia="Times New Roman" w:hAnsi="Times New Roman"/>
          <w:sz w:val="17"/>
          <w:szCs w:val="17"/>
          <w:b w:val="1"/>
          <w:bCs w:val="1"/>
          <w:color w:val="auto"/>
        </w:rPr>
        <w:t>REPRESENTATIONS AND WARRANTIES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Loan Party which is a party hereto represents and warrants to each Lender that the following statements are true and correct in all material respects as of the Fifth Amendment Effective Date:</w:t>
      </w:r>
    </w:p>
    <w:p>
      <w:pPr>
        <w:spacing w:after="0" w:line="158" w:lineRule="exact"/>
        <w:rPr>
          <w:sz w:val="20"/>
          <w:szCs w:val="20"/>
          <w:color w:val="auto"/>
        </w:rPr>
      </w:pPr>
    </w:p>
    <w:p>
      <w:pPr>
        <w:jc w:val="both"/>
        <w:ind w:firstLine="656"/>
        <w:spacing w:after="0" w:line="268" w:lineRule="auto"/>
        <w:tabs>
          <w:tab w:leader="none" w:pos="1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Corporate Power and Authority. </w:t>
      </w:r>
      <w:r>
        <w:rPr>
          <w:rFonts w:ascii="Times New Roman" w:cs="Times New Roman" w:eastAsia="Times New Roman" w:hAnsi="Times New Roman"/>
          <w:sz w:val="18"/>
          <w:szCs w:val="18"/>
          <w:color w:val="auto"/>
        </w:rPr>
        <w:t>Each Loan Party has all requisite power and authority and all requisite governmental licenses,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authorizations, consents and approvals to execute, deliver and perform its obligations under this Amendment and to perform its obligations under the Amended Credit Agreement and consummate the transactions contemplated by this Amendment and the Amended Credit Agreement.</w:t>
      </w:r>
    </w:p>
    <w:p>
      <w:pPr>
        <w:spacing w:after="0" w:line="170" w:lineRule="exact"/>
        <w:rPr>
          <w:rFonts w:ascii="Times New Roman" w:cs="Times New Roman" w:eastAsia="Times New Roman" w:hAnsi="Times New Roman"/>
          <w:sz w:val="18"/>
          <w:szCs w:val="18"/>
          <w:color w:val="auto"/>
        </w:rPr>
      </w:pPr>
    </w:p>
    <w:p>
      <w:pPr>
        <w:ind w:right="20" w:firstLine="656"/>
        <w:spacing w:after="0" w:line="286" w:lineRule="auto"/>
        <w:tabs>
          <w:tab w:leader="none" w:pos="165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Authorization of Amendment. </w:t>
      </w:r>
      <w:r>
        <w:rPr>
          <w:rFonts w:ascii="Times New Roman" w:cs="Times New Roman" w:eastAsia="Times New Roman" w:hAnsi="Times New Roman"/>
          <w:sz w:val="18"/>
          <w:szCs w:val="18"/>
          <w:color w:val="auto"/>
        </w:rPr>
        <w:t>The execution, delivery and performance by each Loan Party of this Amendment have been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by all necessary corporate or other organizational action.</w:t>
      </w:r>
    </w:p>
    <w:p>
      <w:pPr>
        <w:spacing w:after="0" w:line="154" w:lineRule="exact"/>
        <w:rPr>
          <w:rFonts w:ascii="Times New Roman" w:cs="Times New Roman" w:eastAsia="Times New Roman" w:hAnsi="Times New Roman"/>
          <w:sz w:val="18"/>
          <w:szCs w:val="18"/>
          <w:color w:val="auto"/>
        </w:rPr>
      </w:pPr>
    </w:p>
    <w:p>
      <w:pPr>
        <w:jc w:val="both"/>
        <w:ind w:firstLine="656"/>
        <w:spacing w:after="0" w:line="257" w:lineRule="auto"/>
        <w:tabs>
          <w:tab w:leader="none" w:pos="13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Conflict. </w:t>
      </w:r>
      <w:r>
        <w:rPr>
          <w:rFonts w:ascii="Times New Roman" w:cs="Times New Roman" w:eastAsia="Times New Roman" w:hAnsi="Times New Roman"/>
          <w:sz w:val="18"/>
          <w:szCs w:val="18"/>
          <w:color w:val="auto"/>
        </w:rPr>
        <w:t>The execution, delivery and performance by each Loan Party of this Amendment do not and will not (i) contravene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of such Person’s Organization Documents; (ii) conflict with or result in any breach or contravention of, or require any payment to be made under, (a) any material Contractual Obligation to which such Person is a party or affecting such Person or the properties of such Person or any of its Subsidiaries, or (b) any order, injunction, writ or decree of any Governmental Authority or any arbitral award to which such Person or its property is subject; (iii) result in the creation or imposition of any Lien upon or with respect to any property or assets now owned or hereafter acquired by such Person or any of its Subsidiaries (other than Liens created under the Collateral Documents); or (iv) violate any material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8" w:name="page9"/>
    <w:bookmarkEnd w:id="8"/>
    <w:p>
      <w:pPr>
        <w:jc w:val="both"/>
        <w:ind w:firstLine="656"/>
        <w:spacing w:after="0" w:line="259" w:lineRule="auto"/>
        <w:tabs>
          <w:tab w:leader="none" w:pos="14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Binding Effect. </w:t>
      </w:r>
      <w:r>
        <w:rPr>
          <w:rFonts w:ascii="Times New Roman" w:cs="Times New Roman" w:eastAsia="Times New Roman" w:hAnsi="Times New Roman"/>
          <w:sz w:val="18"/>
          <w:szCs w:val="18"/>
          <w:color w:val="auto"/>
        </w:rPr>
        <w:t>This Amendment has been duly executed and delivered by each Loan Party that is party hereto. Each of this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Amended Credit Agreement constitute a legal, valid and binding obligation of such Loan Party, enforceable against each Loan Party that is party hereto or thereto in accordance with its terms, except as enforceability hereof or thereof may be limited by (i) bankruptcy, insolvency, reorganization, moratorium, fraudulent transfer or other laws now or hereafter in effect relating to creditors’ rights generally (including specific performance) and (ii) general equitable principles (whether considered in a proceeding in equity or at law), and to the discretion of the court before which any proceeding may be brought.</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137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 and Warranties, Etc</w:t>
      </w:r>
      <w:r>
        <w:rPr>
          <w:rFonts w:ascii="Times New Roman" w:cs="Times New Roman" w:eastAsia="Times New Roman" w:hAnsi="Times New Roman"/>
          <w:sz w:val="18"/>
          <w:szCs w:val="18"/>
          <w:color w:val="auto"/>
        </w:rPr>
        <w:t>. (x) All representations and warranties contained in Article V of the Credit Agreement are true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correct in all material respects (but in all respects if such representation or warranty is qualified by “materiality” or “Material Adverse Effect”), except to the extent that such representations and warranties specifically refer to an earlier date, in which case they were true and correct in all material respects (but in all respects if such representation or warranty is qualified by “materiality” or “Material Adverse Effect”) as of such earlier date, and except that the representations and warranties contained in </w:t>
      </w:r>
      <w:r>
        <w:rPr>
          <w:rFonts w:ascii="Times New Roman" w:cs="Times New Roman" w:eastAsia="Times New Roman" w:hAnsi="Times New Roman"/>
          <w:sz w:val="18"/>
          <w:szCs w:val="18"/>
          <w:u w:val="single" w:color="auto"/>
          <w:color w:val="auto"/>
        </w:rPr>
        <w:t>Sections 5.05(a)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the Credit Agreement shall be deemed to refer to the most recent statements furnished pursuant to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the Credit Agreement, respectively, and the representations and warranties contained in </w:t>
      </w:r>
      <w:r>
        <w:rPr>
          <w:rFonts w:ascii="Times New Roman" w:cs="Times New Roman" w:eastAsia="Times New Roman" w:hAnsi="Times New Roman"/>
          <w:sz w:val="18"/>
          <w:szCs w:val="18"/>
          <w:u w:val="single" w:color="auto"/>
          <w:color w:val="auto"/>
        </w:rPr>
        <w:t>Section 5.05(c)</w:t>
      </w:r>
      <w:r>
        <w:rPr>
          <w:rFonts w:ascii="Times New Roman" w:cs="Times New Roman" w:eastAsia="Times New Roman" w:hAnsi="Times New Roman"/>
          <w:sz w:val="18"/>
          <w:szCs w:val="18"/>
          <w:color w:val="auto"/>
        </w:rPr>
        <w:t xml:space="preserve"> of the Credit Agreement shall be deemed to refer to the statements furnished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of the Credit Agreement with respect to the fiscal year ended December 31, 2017, and (y) no Default has occurred and is continuing.</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IV.</w:t>
      </w:r>
      <w:r>
        <w:rPr>
          <w:sz w:val="20"/>
          <w:szCs w:val="20"/>
          <w:color w:val="auto"/>
        </w:rPr>
        <w:tab/>
      </w:r>
      <w:r>
        <w:rPr>
          <w:rFonts w:ascii="Times New Roman" w:cs="Times New Roman" w:eastAsia="Times New Roman" w:hAnsi="Times New Roman"/>
          <w:sz w:val="17"/>
          <w:szCs w:val="17"/>
          <w:b w:val="1"/>
          <w:bCs w:val="1"/>
          <w:color w:val="auto"/>
        </w:rPr>
        <w:t>ACKNOWLEDGMENT AND CONSENT OF LOAN PARTIES; REAFFIRMATION OF GUARANTIES AND LIENS</w:t>
      </w:r>
    </w:p>
    <w:p>
      <w:pPr>
        <w:spacing w:after="0" w:line="225" w:lineRule="exact"/>
        <w:rPr>
          <w:sz w:val="20"/>
          <w:szCs w:val="20"/>
          <w:color w:val="auto"/>
        </w:rPr>
      </w:pPr>
    </w:p>
    <w:p>
      <w:pPr>
        <w:ind w:firstLine="656"/>
        <w:spacing w:after="0" w:line="286" w:lineRule="auto"/>
        <w:tabs>
          <w:tab w:leader="none" w:pos="156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Acknowledgment and Consent</w:t>
      </w:r>
      <w:r>
        <w:rPr>
          <w:rFonts w:ascii="Times New Roman" w:cs="Times New Roman" w:eastAsia="Times New Roman" w:hAnsi="Times New Roman"/>
          <w:sz w:val="18"/>
          <w:szCs w:val="18"/>
          <w:color w:val="auto"/>
        </w:rPr>
        <w:t>. Each Loan Party hereby acknowledges that it has reviewed the terms and provisions of the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this Amendment and consents to the amendments of the Credit Agreement effected pursuant to this Amendment.</w:t>
      </w:r>
    </w:p>
    <w:p>
      <w:pPr>
        <w:spacing w:after="0" w:line="154" w:lineRule="exact"/>
        <w:rPr>
          <w:rFonts w:ascii="Times New Roman" w:cs="Times New Roman" w:eastAsia="Times New Roman" w:hAnsi="Times New Roman"/>
          <w:sz w:val="18"/>
          <w:szCs w:val="18"/>
          <w:color w:val="auto"/>
        </w:rPr>
      </w:pPr>
    </w:p>
    <w:p>
      <w:pPr>
        <w:jc w:val="both"/>
        <w:ind w:firstLine="656"/>
        <w:spacing w:after="0" w:line="259" w:lineRule="auto"/>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Guaranty and Lien Reaffirmation. </w:t>
      </w:r>
      <w:r>
        <w:rPr>
          <w:rFonts w:ascii="Times New Roman" w:cs="Times New Roman" w:eastAsia="Times New Roman" w:hAnsi="Times New Roman"/>
          <w:sz w:val="18"/>
          <w:szCs w:val="18"/>
          <w:color w:val="auto"/>
        </w:rPr>
        <w:t>Each Loan Party hereby (i) confirms that each Loan Document (including the Guaranty), both before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immediately after giving effect to and, if applicable, as amended by this Amendment, to which it is a party or otherwise bound, and all Collateral encumbered thereby will continue to guarantee or secure, as the case may be, to the fullest extent possible in accordance with the Loan Documents, as amended by this Amendment, if applicable, the payment and performance of the Secured Obligations and (ii) ratifies all guaranties and Liens granted by it pursuant to the Loan Documents.</w:t>
      </w:r>
    </w:p>
    <w:p>
      <w:pPr>
        <w:spacing w:after="0" w:line="179" w:lineRule="exact"/>
        <w:rPr>
          <w:rFonts w:ascii="Times New Roman" w:cs="Times New Roman" w:eastAsia="Times New Roman" w:hAnsi="Times New Roman"/>
          <w:sz w:val="18"/>
          <w:szCs w:val="18"/>
          <w:color w:val="auto"/>
        </w:rPr>
      </w:pPr>
    </w:p>
    <w:p>
      <w:pPr>
        <w:jc w:val="both"/>
        <w:ind w:firstLine="656"/>
        <w:spacing w:after="0" w:line="268" w:lineRule="auto"/>
        <w:tabs>
          <w:tab w:leader="none" w:pos="14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Continuing Effect</w:t>
      </w:r>
      <w:r>
        <w:rPr>
          <w:rFonts w:ascii="Times New Roman" w:cs="Times New Roman" w:eastAsia="Times New Roman" w:hAnsi="Times New Roman"/>
          <w:sz w:val="18"/>
          <w:szCs w:val="18"/>
          <w:color w:val="auto"/>
        </w:rPr>
        <w:t>. Each Loan Party hereby acknowledges and agrees that (i) each Loan Document, both before and immediately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giving effect to and, if applicable, as amended by this Amendment, to which it is a party or otherwise bound shall continue in full force and effect and (ii) all of its obligations thereunder shall be valid and enforceable and shall not be impaired or limited by the execution or effectiveness of this Amendment.</w:t>
      </w:r>
    </w:p>
    <w:p>
      <w:pPr>
        <w:spacing w:after="0" w:line="170" w:lineRule="exact"/>
        <w:rPr>
          <w:rFonts w:ascii="Times New Roman" w:cs="Times New Roman" w:eastAsia="Times New Roman" w:hAnsi="Times New Roman"/>
          <w:sz w:val="18"/>
          <w:szCs w:val="18"/>
          <w:color w:val="auto"/>
        </w:rPr>
      </w:pPr>
    </w:p>
    <w:p>
      <w:pPr>
        <w:jc w:val="both"/>
        <w:ind w:firstLine="656"/>
        <w:spacing w:after="0" w:line="268" w:lineRule="auto"/>
        <w:tabs>
          <w:tab w:leader="none" w:pos="14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Filings Necessary</w:t>
      </w:r>
      <w:r>
        <w:rPr>
          <w:rFonts w:ascii="Times New Roman" w:cs="Times New Roman" w:eastAsia="Times New Roman" w:hAnsi="Times New Roman"/>
          <w:sz w:val="18"/>
          <w:szCs w:val="18"/>
          <w:color w:val="auto"/>
        </w:rPr>
        <w:t>. Except as otherwise required herein, each Loan Party hereby confirms that no additional filings or recordings need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made, and no other actions need to be taken, by such Loan Party in order to maintain the perfection, enforceability or validity of the security interests created pursuant to the Collateral Documents.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9" w:name="page10"/>
    <w:bookmarkEnd w:id="9"/>
    <w:p>
      <w:pPr>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SECTION V.</w:t>
      </w:r>
      <w:r>
        <w:rPr>
          <w:sz w:val="20"/>
          <w:szCs w:val="20"/>
          <w:color w:val="auto"/>
        </w:rPr>
        <w:tab/>
      </w:r>
      <w:r>
        <w:rPr>
          <w:rFonts w:ascii="Times New Roman" w:cs="Times New Roman" w:eastAsia="Times New Roman" w:hAnsi="Times New Roman"/>
          <w:sz w:val="17"/>
          <w:szCs w:val="17"/>
          <w:b w:val="1"/>
          <w:bCs w:val="1"/>
          <w:color w:val="auto"/>
        </w:rPr>
        <w:t>MISCELLANEOUS</w:t>
      </w:r>
    </w:p>
    <w:p>
      <w:pPr>
        <w:spacing w:after="0" w:line="225" w:lineRule="exact"/>
        <w:rPr>
          <w:sz w:val="20"/>
          <w:szCs w:val="20"/>
          <w:color w:val="auto"/>
        </w:rPr>
      </w:pPr>
    </w:p>
    <w:p>
      <w:pPr>
        <w:ind w:left="1380" w:hanging="724"/>
        <w:spacing w:after="0"/>
        <w:tabs>
          <w:tab w:leader="none" w:pos="13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Reference to and Effect on Credit Agreement and Other Loan Documents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66" w:lineRule="auto"/>
        <w:tabs>
          <w:tab w:leader="none" w:pos="14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Fifth Amendment Effective Date, each reference in the Credit Agreement to “this Amendment,” “hereunder,” “hereof,” “herein” or words of like import referring to the Credit Agreement, and each reference in the other Loan Documents to the “Credit Agreement,” “thereunder,” “thereof” or words of like import referring to the Credit Agreement shall mean and be a reference to the Credit Agreement as amended by this Amendment.</w:t>
      </w:r>
    </w:p>
    <w:p>
      <w:pPr>
        <w:spacing w:after="0" w:line="176" w:lineRule="exact"/>
        <w:rPr>
          <w:rFonts w:ascii="Times New Roman" w:cs="Times New Roman" w:eastAsia="Times New Roman" w:hAnsi="Times New Roman"/>
          <w:sz w:val="18"/>
          <w:szCs w:val="18"/>
          <w:color w:val="auto"/>
        </w:rPr>
      </w:pPr>
    </w:p>
    <w:p>
      <w:pPr>
        <w:ind w:firstLine="656"/>
        <w:spacing w:after="0" w:line="282" w:lineRule="auto"/>
        <w:tabs>
          <w:tab w:leader="none" w:pos="145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amended by this Amendment, the Credit Agreement and the other Loan Documents shall remain in full force and effect and are hereby ratified and confirmed.</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43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Amendment shall not constitute either (x) a novation of the Credit Agreement or any of the other Loan Documents or any obligations thereunder or (y) a waiver of any provision of, or operate as a waiver of any right, power or remedy of any Agent, Lender or L/C Issuer under, the Credit Agreement or any of the other Loan Documents. The amendments contained herein are limited to the specified provisions and circumstances described and shall not be deemed to prejudice any rights not specifically addressed herein which any Agent, Lender or L/C Issuer may now have or may have in the future under the Amended Credit Agreement or any other Loan Document.</w:t>
      </w:r>
    </w:p>
    <w:p>
      <w:pPr>
        <w:spacing w:after="0" w:line="180" w:lineRule="exact"/>
        <w:rPr>
          <w:sz w:val="20"/>
          <w:szCs w:val="20"/>
          <w:color w:val="auto"/>
        </w:rPr>
      </w:pPr>
    </w:p>
    <w:p>
      <w:pPr>
        <w:ind w:left="1400" w:hanging="744"/>
        <w:spacing w:after="0"/>
        <w:tabs>
          <w:tab w:leader="none" w:pos="140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Loan Document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avoidance of doubt, this Amendment constitutes a Loan Document.</w:t>
      </w:r>
    </w:p>
    <w:p>
      <w:pPr>
        <w:spacing w:after="0" w:line="225"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624"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and Subsection headings in this Amendment are included herein for convenience of reference only and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a part of this Amendment for any other purpose or be given any substantive effect.</w:t>
      </w:r>
    </w:p>
    <w:p>
      <w:pPr>
        <w:spacing w:after="0" w:line="154"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624"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THIS AMENDMENT SHALL BE GOVERNED BY, AND CONSTRUED IN ACCORDANCE WITH, THE LAW OF THE STATE OF NEW YORK.</w:t>
      </w:r>
    </w:p>
    <w:p>
      <w:pPr>
        <w:spacing w:after="0" w:line="154" w:lineRule="exact"/>
        <w:rPr>
          <w:rFonts w:ascii="Times New Roman" w:cs="Times New Roman" w:eastAsia="Times New Roman" w:hAnsi="Times New Roman"/>
          <w:sz w:val="18"/>
          <w:szCs w:val="18"/>
          <w:b w:val="1"/>
          <w:bCs w:val="1"/>
          <w:color w:val="auto"/>
        </w:rPr>
      </w:pPr>
    </w:p>
    <w:p>
      <w:pPr>
        <w:ind w:left="1460" w:hanging="804"/>
        <w:spacing w:after="0"/>
        <w:tabs>
          <w:tab w:leader="none" w:pos="146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Submission to Jurisdiction; Waiver of Venue; Service of Process; Waiver of Jury 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provisions of Sections 11.14(b), (c) and</w:t>
      </w:r>
    </w:p>
    <w:p>
      <w:pPr>
        <w:spacing w:after="0" w:line="31"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Section 11.15 of the Amended Credit Agreement are hereby incorporated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as if set forth in full herein.</w:t>
      </w:r>
    </w:p>
    <w:p>
      <w:pPr>
        <w:spacing w:after="0" w:line="202" w:lineRule="exact"/>
        <w:rPr>
          <w:rFonts w:ascii="Times New Roman" w:cs="Times New Roman" w:eastAsia="Times New Roman" w:hAnsi="Times New Roman"/>
          <w:sz w:val="18"/>
          <w:szCs w:val="18"/>
          <w:color w:val="auto"/>
        </w:rPr>
      </w:pPr>
    </w:p>
    <w:p>
      <w:pPr>
        <w:jc w:val="both"/>
        <w:ind w:firstLine="656"/>
        <w:spacing w:after="0" w:line="268" w:lineRule="auto"/>
        <w:tabs>
          <w:tab w:leader="none" w:pos="1399"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may be executed in counterparts (and by different parties hereto in different counterparts), each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this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0" w:name="page11"/>
    <w:bookmarkEnd w:id="10"/>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Amendment to be duly executed and delivered by their respective officers thereunto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authorized as of the date first written above.</w:t>
      </w:r>
    </w:p>
    <w:p>
      <w:pPr>
        <w:spacing w:after="0" w:line="155" w:lineRule="exact"/>
        <w:rPr>
          <w:sz w:val="20"/>
          <w:szCs w:val="20"/>
          <w:color w:val="auto"/>
        </w:rPr>
      </w:pPr>
    </w:p>
    <w:p>
      <w:pPr>
        <w:spacing w:after="0"/>
        <w:tabs>
          <w:tab w:leader="none" w:pos="5680" w:val="left"/>
        </w:tabs>
        <w:rPr>
          <w:sz w:val="20"/>
          <w:szCs w:val="20"/>
          <w:color w:val="auto"/>
        </w:rPr>
      </w:pPr>
      <w:r>
        <w:rPr>
          <w:rFonts w:ascii="Times New Roman" w:cs="Times New Roman" w:eastAsia="Times New Roman" w:hAnsi="Times New Roman"/>
          <w:sz w:val="18"/>
          <w:szCs w:val="18"/>
          <w:b w:val="1"/>
          <w:bCs w:val="1"/>
          <w:color w:val="auto"/>
        </w:rPr>
        <w:t>BORROWER:</w:t>
      </w:r>
      <w:r>
        <w:rPr>
          <w:sz w:val="20"/>
          <w:szCs w:val="20"/>
          <w:color w:val="auto"/>
        </w:rPr>
        <w:tab/>
      </w:r>
      <w:r>
        <w:rPr>
          <w:rFonts w:ascii="Times New Roman" w:cs="Times New Roman" w:eastAsia="Times New Roman" w:hAnsi="Times New Roman"/>
          <w:sz w:val="18"/>
          <w:szCs w:val="18"/>
          <w:b w:val="1"/>
          <w:bCs w:val="1"/>
          <w:color w:val="auto"/>
        </w:rPr>
        <w:t>CLEARWAY ENERGY OPERATING LLC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26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Chad Plotkin</w:t>
            </w:r>
          </w:p>
        </w:tc>
      </w:tr>
      <w:tr>
        <w:trPr>
          <w:trHeight w:val="191"/>
        </w:trPr>
        <w:tc>
          <w:tcPr>
            <w:tcW w:w="3520" w:type="dxa"/>
            <w:vAlign w:val="bottom"/>
          </w:tcPr>
          <w:p>
            <w:pPr>
              <w:spacing w:after="0"/>
              <w:rPr>
                <w:sz w:val="16"/>
                <w:szCs w:val="16"/>
                <w:color w:val="auto"/>
              </w:rPr>
            </w:pPr>
          </w:p>
        </w:tc>
        <w:tc>
          <w:tcPr>
            <w:tcW w:w="2660" w:type="dxa"/>
            <w:vAlign w:val="bottom"/>
          </w:tcPr>
          <w:p>
            <w:pPr>
              <w:ind w:left="2180"/>
              <w:spacing w:after="0" w:line="191" w:lineRule="exact"/>
              <w:rPr>
                <w:sz w:val="20"/>
                <w:szCs w:val="20"/>
                <w:color w:val="auto"/>
              </w:rPr>
            </w:pPr>
            <w:r>
              <w:rPr>
                <w:rFonts w:ascii="Times New Roman" w:cs="Times New Roman" w:eastAsia="Times New Roman" w:hAnsi="Times New Roman"/>
                <w:sz w:val="18"/>
                <w:szCs w:val="18"/>
                <w:color w:val="auto"/>
                <w:w w:val="95"/>
              </w:rPr>
              <w:t>Name:</w:t>
            </w:r>
          </w:p>
        </w:tc>
        <w:tc>
          <w:tcPr>
            <w:tcW w:w="5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Chad Plotkin</w:t>
            </w:r>
          </w:p>
        </w:tc>
      </w:tr>
      <w:tr>
        <w:trPr>
          <w:trHeight w:val="234"/>
        </w:trPr>
        <w:tc>
          <w:tcPr>
            <w:tcW w:w="3520" w:type="dxa"/>
            <w:vAlign w:val="bottom"/>
          </w:tcPr>
          <w:p>
            <w:pPr>
              <w:spacing w:after="0"/>
              <w:rPr>
                <w:sz w:val="20"/>
                <w:szCs w:val="20"/>
                <w:color w:val="auto"/>
              </w:rPr>
            </w:pPr>
          </w:p>
        </w:tc>
        <w:tc>
          <w:tcPr>
            <w:tcW w:w="790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Title: Senior Vice President, Chief Financial Officer &amp; Treasurer</w:t>
            </w:r>
          </w:p>
        </w:tc>
      </w:tr>
      <w:tr>
        <w:trPr>
          <w:trHeight w:val="410"/>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GUARANTORS:</w:t>
            </w:r>
          </w:p>
        </w:tc>
        <w:tc>
          <w:tcPr>
            <w:tcW w:w="790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CLEARWAY ENERGY LLC</w:t>
            </w:r>
          </w:p>
        </w:tc>
      </w:tr>
      <w:tr>
        <w:trPr>
          <w:trHeight w:val="238"/>
        </w:trPr>
        <w:tc>
          <w:tcPr>
            <w:tcW w:w="3520" w:type="dxa"/>
            <w:vAlign w:val="bottom"/>
          </w:tcPr>
          <w:p>
            <w:pPr>
              <w:spacing w:after="0"/>
              <w:rPr>
                <w:sz w:val="20"/>
                <w:szCs w:val="20"/>
                <w:color w:val="auto"/>
              </w:rPr>
            </w:pPr>
          </w:p>
        </w:tc>
        <w:tc>
          <w:tcPr>
            <w:tcW w:w="790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DGPV HOLDING LLC</w:t>
            </w:r>
          </w:p>
        </w:tc>
      </w:tr>
      <w:tr>
        <w:trPr>
          <w:trHeight w:val="648"/>
        </w:trPr>
        <w:tc>
          <w:tcPr>
            <w:tcW w:w="3520" w:type="dxa"/>
            <w:vAlign w:val="bottom"/>
          </w:tcPr>
          <w:p>
            <w:pPr>
              <w:spacing w:after="0"/>
              <w:rPr>
                <w:sz w:val="24"/>
                <w:szCs w:val="24"/>
                <w:color w:val="auto"/>
              </w:rPr>
            </w:pPr>
          </w:p>
        </w:tc>
        <w:tc>
          <w:tcPr>
            <w:tcW w:w="26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 Chad Plotkin</w:t>
            </w:r>
          </w:p>
        </w:tc>
      </w:tr>
    </w:tbl>
    <w:p>
      <w:pPr>
        <w:ind w:left="5700"/>
        <w:spacing w:after="0"/>
        <w:rPr>
          <w:sz w:val="20"/>
          <w:szCs w:val="20"/>
          <w:color w:val="auto"/>
        </w:rPr>
      </w:pPr>
      <w:r>
        <w:rPr>
          <w:rFonts w:ascii="Times New Roman" w:cs="Times New Roman" w:eastAsia="Times New Roman" w:hAnsi="Times New Roman"/>
          <w:sz w:val="18"/>
          <w:szCs w:val="18"/>
          <w:color w:val="auto"/>
        </w:rPr>
        <w:t>Name:Chad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3380" w:right="1000" w:firstLine="2319"/>
        <w:spacing w:after="0" w:line="511" w:lineRule="auto"/>
        <w:rPr>
          <w:sz w:val="20"/>
          <w:szCs w:val="20"/>
          <w:color w:val="auto"/>
        </w:rPr>
      </w:pPr>
      <w:r>
        <w:rPr>
          <w:rFonts w:ascii="Times New Roman" w:cs="Times New Roman" w:eastAsia="Times New Roman" w:hAnsi="Times New Roman"/>
          <w:sz w:val="18"/>
          <w:szCs w:val="18"/>
          <w:color w:val="auto"/>
        </w:rPr>
        <w:t>Title: Senior Vice President, Chief Financial Officer &amp; Treasurer [Signature Page to Fifth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1" w:name="page12"/>
    <w:bookmarkEnd w:id="11"/>
    <w:p>
      <w:pPr>
        <w:ind w:left="4520"/>
        <w:spacing w:after="0"/>
        <w:rPr>
          <w:sz w:val="20"/>
          <w:szCs w:val="20"/>
          <w:color w:val="auto"/>
        </w:rPr>
      </w:pPr>
      <w:r>
        <w:rPr>
          <w:rFonts w:ascii="Times New Roman" w:cs="Times New Roman" w:eastAsia="Times New Roman" w:hAnsi="Times New Roman"/>
          <w:sz w:val="18"/>
          <w:szCs w:val="18"/>
          <w:b w:val="1"/>
          <w:bCs w:val="1"/>
          <w:color w:val="auto"/>
        </w:rPr>
        <w:t>ALTA WIND 1-5 HOLDING COMPANY, LLC</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ALTA WIND COMPANY, LLC</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CENTRAL CA FUEL CELL 1, LLC</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CLEARWAY SOLAR STAR LLC</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ECP UPTOWN CAMPUS HOLDINGS LLC</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ENERGY CENTER CAGUAS HOLDINGS LLC</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ENERGY CENTER FAJARDO HOLDINGS LLC</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FUEL CELL HOLDINGS LLC</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PORTFOLIO SOLAR I, LLC</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RPV HOLDING LLC</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SOLAR FLAGSTAFF ONE LLC</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SOLAR IGUANA LLC</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SOLAR LAS VEGAS MB 1 LLC</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SOLAR TABERNACLE LLC</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SOUTH TRENT HOLDINGS LLC</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SPP ASSET HOLDINGS, LLC</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SPP FUND II HOLDINGS, LLC</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SPP FUND II, LLC</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SPP FUND II-B, LLC</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SPP FUND III, LLC</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THERMAL CANADA INFRASTRUCTURE HOLDINGS LLC</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THERMAL INFRASTRUCTURE DEVELOPMENT HOLDINGS LLC</w:t>
      </w:r>
    </w:p>
    <w:p>
      <w:pPr>
        <w:spacing w:after="0" w:line="4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THERMAL HAWAII DEVELOPMENT HOLDINGS LLC</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UB FUEL CELL, LLC</w:t>
      </w:r>
    </w:p>
    <w:p>
      <w:pPr>
        <w:spacing w:after="0" w:line="200" w:lineRule="exact"/>
        <w:rPr>
          <w:sz w:val="20"/>
          <w:szCs w:val="20"/>
          <w:color w:val="auto"/>
        </w:rPr>
      </w:pPr>
    </w:p>
    <w:p>
      <w:pPr>
        <w:spacing w:after="0" w:line="259" w:lineRule="exact"/>
        <w:rPr>
          <w:sz w:val="20"/>
          <w:szCs w:val="20"/>
          <w:color w:val="auto"/>
        </w:rPr>
      </w:pPr>
    </w:p>
    <w:p>
      <w:pPr>
        <w:ind w:left="450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26035</wp:posOffset>
            </wp:positionV>
            <wp:extent cx="33274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Name:Chad Plotkin</w:t>
      </w:r>
    </w:p>
    <w:p>
      <w:pPr>
        <w:spacing w:after="0" w:line="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Vice President &amp; Treasurer</w:t>
      </w:r>
    </w:p>
    <w:p>
      <w:pPr>
        <w:spacing w:after="0" w:line="22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[Signature Page to Fifth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060"/>
          </w:cols>
          <w:pgMar w:left="1440" w:top="927" w:right="399" w:bottom="1440" w:gutter="0" w:footer="0" w:header="0"/>
        </w:sectPr>
      </w:pPr>
    </w:p>
    <w:bookmarkStart w:id="12" w:name="page13"/>
    <w:bookmarkEnd w:id="12"/>
    <w:p>
      <w:pPr>
        <w:ind w:left="4500"/>
        <w:spacing w:after="0"/>
        <w:rPr>
          <w:sz w:val="20"/>
          <w:szCs w:val="20"/>
          <w:color w:val="auto"/>
        </w:rPr>
      </w:pPr>
      <w:r>
        <w:rPr>
          <w:rFonts w:ascii="Times New Roman" w:cs="Times New Roman" w:eastAsia="Times New Roman" w:hAnsi="Times New Roman"/>
          <w:sz w:val="17"/>
          <w:szCs w:val="17"/>
          <w:b w:val="1"/>
          <w:bCs w:val="1"/>
          <w:color w:val="auto"/>
        </w:rPr>
        <w:t>JPMORGAN CHASE BANK, N.A.,</w:t>
      </w:r>
    </w:p>
    <w:p>
      <w:pPr>
        <w:spacing w:after="0" w:line="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0" w:lineRule="exact"/>
        <w:rPr>
          <w:sz w:val="20"/>
          <w:szCs w:val="20"/>
          <w:color w:val="auto"/>
        </w:rPr>
      </w:pPr>
    </w:p>
    <w:p>
      <w:pPr>
        <w:spacing w:after="0" w:line="309" w:lineRule="exact"/>
        <w:rPr>
          <w:sz w:val="20"/>
          <w:szCs w:val="20"/>
          <w:color w:val="auto"/>
        </w:rPr>
      </w:pPr>
    </w:p>
    <w:p>
      <w:pPr>
        <w:ind w:left="450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Amit Gaur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26035</wp:posOffset>
            </wp:positionV>
            <wp:extent cx="33274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Name:Amit Gaur</w:t>
      </w:r>
    </w:p>
    <w:p>
      <w:pPr>
        <w:spacing w:after="0" w:line="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Fifth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299085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13" w:name="page14"/>
    <w:bookmarkEnd w:id="13"/>
    <w:p>
      <w:pPr>
        <w:ind w:left="4500"/>
        <w:spacing w:after="0"/>
        <w:rPr>
          <w:sz w:val="20"/>
          <w:szCs w:val="20"/>
          <w:color w:val="auto"/>
        </w:rPr>
      </w:pPr>
      <w:r>
        <w:rPr>
          <w:rFonts w:ascii="Times New Roman" w:cs="Times New Roman" w:eastAsia="Times New Roman" w:hAnsi="Times New Roman"/>
          <w:sz w:val="17"/>
          <w:szCs w:val="17"/>
          <w:b w:val="1"/>
          <w:bCs w:val="1"/>
          <w:color w:val="auto"/>
        </w:rPr>
        <w:t>JPMORGAN CHASE BANK, N.A.,</w:t>
      </w:r>
    </w:p>
    <w:p>
      <w:pPr>
        <w:spacing w:after="0" w:line="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 Lender and L/C Issuer</w:t>
      </w:r>
    </w:p>
    <w:p>
      <w:pPr>
        <w:spacing w:after="0" w:line="200" w:lineRule="exact"/>
        <w:rPr>
          <w:sz w:val="20"/>
          <w:szCs w:val="20"/>
          <w:color w:val="auto"/>
        </w:rPr>
      </w:pPr>
    </w:p>
    <w:p>
      <w:pPr>
        <w:spacing w:after="0" w:line="309" w:lineRule="exact"/>
        <w:rPr>
          <w:sz w:val="20"/>
          <w:szCs w:val="20"/>
          <w:color w:val="auto"/>
        </w:rPr>
      </w:pPr>
    </w:p>
    <w:p>
      <w:pPr>
        <w:ind w:left="450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Amit Gaur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26035</wp:posOffset>
            </wp:positionV>
            <wp:extent cx="33274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Name:Amit Gaur</w:t>
      </w:r>
    </w:p>
    <w:p>
      <w:pPr>
        <w:spacing w:after="0" w:line="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[Signature Page to Fifth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299085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14" w:name="page15"/>
    <w:bookmarkEnd w:id="14"/>
    <w:p>
      <w:pPr>
        <w:ind w:left="4500"/>
        <w:spacing w:after="0"/>
        <w:rPr>
          <w:sz w:val="20"/>
          <w:szCs w:val="20"/>
          <w:color w:val="auto"/>
        </w:rPr>
      </w:pPr>
      <w:r>
        <w:rPr>
          <w:rFonts w:ascii="Times New Roman" w:cs="Times New Roman" w:eastAsia="Times New Roman" w:hAnsi="Times New Roman"/>
          <w:sz w:val="17"/>
          <w:szCs w:val="17"/>
          <w:b w:val="1"/>
          <w:bCs w:val="1"/>
          <w:color w:val="auto"/>
        </w:rPr>
        <w:t>ABN AMRO CAPITAL USA LLC,</w:t>
      </w:r>
    </w:p>
    <w:p>
      <w:pPr>
        <w:spacing w:after="0" w:line="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 Lender</w:t>
      </w:r>
    </w:p>
    <w:p>
      <w:pPr>
        <w:spacing w:after="0" w:line="200" w:lineRule="exact"/>
        <w:rPr>
          <w:sz w:val="20"/>
          <w:szCs w:val="20"/>
          <w:color w:val="auto"/>
        </w:rPr>
      </w:pPr>
    </w:p>
    <w:p>
      <w:pPr>
        <w:spacing w:after="0" w:line="309" w:lineRule="exact"/>
        <w:rPr>
          <w:sz w:val="20"/>
          <w:szCs w:val="20"/>
          <w:color w:val="auto"/>
        </w:rPr>
      </w:pPr>
    </w:p>
    <w:p>
      <w:pPr>
        <w:ind w:left="450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Amit Wynalda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26035</wp:posOffset>
            </wp:positionV>
            <wp:extent cx="33274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Name:Amit Wynalda</w:t>
      </w:r>
    </w:p>
    <w:p>
      <w:pPr>
        <w:spacing w:after="0" w:line="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66" w:lineRule="exact"/>
        <w:rPr>
          <w:sz w:val="20"/>
          <w:szCs w:val="20"/>
          <w:color w:val="auto"/>
        </w:rPr>
      </w:pPr>
    </w:p>
    <w:p>
      <w:pPr>
        <w:ind w:left="450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Justin K.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26035</wp:posOffset>
            </wp:positionV>
            <wp:extent cx="33274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Name:Justin K. Martin</w:t>
      </w:r>
    </w:p>
    <w:p>
      <w:pPr>
        <w:spacing w:after="0" w:line="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Director</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[Signature Page to Fifth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299085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15" w:name="page16"/>
    <w:bookmarkEnd w:id="15"/>
    <w:p>
      <w:pPr>
        <w:ind w:left="4500"/>
        <w:spacing w:after="0"/>
        <w:rPr>
          <w:sz w:val="20"/>
          <w:szCs w:val="20"/>
          <w:color w:val="auto"/>
        </w:rPr>
      </w:pPr>
      <w:r>
        <w:rPr>
          <w:rFonts w:ascii="Times New Roman" w:cs="Times New Roman" w:eastAsia="Times New Roman" w:hAnsi="Times New Roman"/>
          <w:sz w:val="18"/>
          <w:szCs w:val="18"/>
          <w:b w:val="1"/>
          <w:bCs w:val="1"/>
          <w:color w:val="auto"/>
        </w:rPr>
        <w:t>BANK OF AMERICA, N.A.,</w:t>
      </w:r>
    </w:p>
    <w:p>
      <w:pPr>
        <w:spacing w:after="0" w:line="4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 Lender and L/C Issuer</w:t>
      </w:r>
    </w:p>
    <w:p>
      <w:pPr>
        <w:spacing w:after="0" w:line="200" w:lineRule="exact"/>
        <w:rPr>
          <w:sz w:val="20"/>
          <w:szCs w:val="20"/>
          <w:color w:val="auto"/>
        </w:rPr>
      </w:pPr>
    </w:p>
    <w:p>
      <w:pPr>
        <w:spacing w:after="0" w:line="309" w:lineRule="exact"/>
        <w:rPr>
          <w:sz w:val="20"/>
          <w:szCs w:val="20"/>
          <w:color w:val="auto"/>
        </w:rPr>
      </w:pPr>
    </w:p>
    <w:p>
      <w:pPr>
        <w:ind w:left="450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Jennifer Cochrane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26035</wp:posOffset>
            </wp:positionV>
            <wp:extent cx="33274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Name:Jennifer Cochrane</w:t>
      </w:r>
    </w:p>
    <w:p>
      <w:pPr>
        <w:spacing w:after="0" w:line="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Fifth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299085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16" w:name="page17"/>
    <w:bookmarkEnd w:id="16"/>
    <w:p>
      <w:pPr>
        <w:ind w:left="4500"/>
        <w:spacing w:after="0"/>
        <w:rPr>
          <w:sz w:val="20"/>
          <w:szCs w:val="20"/>
          <w:color w:val="auto"/>
        </w:rPr>
      </w:pPr>
      <w:r>
        <w:rPr>
          <w:rFonts w:ascii="Times New Roman" w:cs="Times New Roman" w:eastAsia="Times New Roman" w:hAnsi="Times New Roman"/>
          <w:sz w:val="18"/>
          <w:szCs w:val="18"/>
          <w:b w:val="1"/>
          <w:bCs w:val="1"/>
          <w:color w:val="auto"/>
        </w:rPr>
        <w:t>BARCLAYS BANK PLC,</w:t>
      </w:r>
    </w:p>
    <w:p>
      <w:pPr>
        <w:spacing w:after="0" w:line="4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 Lender and L/C Issuer</w:t>
      </w:r>
    </w:p>
    <w:p>
      <w:pPr>
        <w:spacing w:after="0" w:line="200" w:lineRule="exact"/>
        <w:rPr>
          <w:sz w:val="20"/>
          <w:szCs w:val="20"/>
          <w:color w:val="auto"/>
        </w:rPr>
      </w:pPr>
    </w:p>
    <w:p>
      <w:pPr>
        <w:spacing w:after="0" w:line="309" w:lineRule="exact"/>
        <w:rPr>
          <w:sz w:val="20"/>
          <w:szCs w:val="20"/>
          <w:color w:val="auto"/>
        </w:rPr>
      </w:pPr>
    </w:p>
    <w:p>
      <w:pPr>
        <w:ind w:left="450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Syndey G.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26035</wp:posOffset>
            </wp:positionV>
            <wp:extent cx="33274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Name:Sydney G. Dennis</w:t>
      </w:r>
    </w:p>
    <w:p>
      <w:pPr>
        <w:spacing w:after="0" w:line="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Director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Fifth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299085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17" w:name="page18"/>
    <w:bookmarkEnd w:id="17"/>
    <w:p>
      <w:pPr>
        <w:ind w:left="4500"/>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4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 Lender</w:t>
      </w:r>
    </w:p>
    <w:p>
      <w:pPr>
        <w:spacing w:after="0" w:line="200" w:lineRule="exact"/>
        <w:rPr>
          <w:sz w:val="20"/>
          <w:szCs w:val="20"/>
          <w:color w:val="auto"/>
        </w:rPr>
      </w:pPr>
    </w:p>
    <w:p>
      <w:pPr>
        <w:spacing w:after="0" w:line="309" w:lineRule="exact"/>
        <w:rPr>
          <w:sz w:val="20"/>
          <w:szCs w:val="20"/>
          <w:color w:val="auto"/>
        </w:rPr>
      </w:pPr>
    </w:p>
    <w:p>
      <w:pPr>
        <w:ind w:left="450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Ashwani Khubani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26035</wp:posOffset>
            </wp:positionV>
            <wp:extent cx="33274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Name:Ashwani Khubani</w:t>
      </w:r>
    </w:p>
    <w:p>
      <w:pPr>
        <w:spacing w:after="0" w:line="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Vice President / Managing Director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Fifth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299085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18" w:name="page19"/>
    <w:bookmarkEnd w:id="18"/>
    <w:p>
      <w:pPr>
        <w:ind w:left="4500"/>
        <w:spacing w:after="0"/>
        <w:rPr>
          <w:sz w:val="20"/>
          <w:szCs w:val="20"/>
          <w:color w:val="auto"/>
        </w:rPr>
      </w:pPr>
      <w:r>
        <w:rPr>
          <w:rFonts w:ascii="Times New Roman" w:cs="Times New Roman" w:eastAsia="Times New Roman" w:hAnsi="Times New Roman"/>
          <w:sz w:val="17"/>
          <w:szCs w:val="17"/>
          <w:b w:val="1"/>
          <w:bCs w:val="1"/>
          <w:color w:val="auto"/>
        </w:rPr>
        <w:t>GOLDMAN SACHS BANK USA,</w:t>
      </w:r>
    </w:p>
    <w:p>
      <w:pPr>
        <w:spacing w:after="0" w:line="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 Lender</w:t>
      </w:r>
    </w:p>
    <w:p>
      <w:pPr>
        <w:spacing w:after="0" w:line="200" w:lineRule="exact"/>
        <w:rPr>
          <w:sz w:val="20"/>
          <w:szCs w:val="20"/>
          <w:color w:val="auto"/>
        </w:rPr>
      </w:pPr>
    </w:p>
    <w:p>
      <w:pPr>
        <w:spacing w:after="0" w:line="309" w:lineRule="exact"/>
        <w:rPr>
          <w:sz w:val="20"/>
          <w:szCs w:val="20"/>
          <w:color w:val="auto"/>
        </w:rPr>
      </w:pPr>
    </w:p>
    <w:p>
      <w:pPr>
        <w:ind w:left="450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Jamie Minieri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26035</wp:posOffset>
            </wp:positionV>
            <wp:extent cx="33274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Name:Jamie Minieri</w:t>
      </w:r>
    </w:p>
    <w:p>
      <w:pPr>
        <w:spacing w:after="0" w:line="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Fifth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299085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19" w:name="page20"/>
    <w:bookmarkEnd w:id="19"/>
    <w:p>
      <w:pPr>
        <w:ind w:left="4500"/>
        <w:spacing w:after="0"/>
        <w:rPr>
          <w:sz w:val="20"/>
          <w:szCs w:val="20"/>
          <w:color w:val="auto"/>
        </w:rPr>
      </w:pPr>
      <w:r>
        <w:rPr>
          <w:rFonts w:ascii="Times New Roman" w:cs="Times New Roman" w:eastAsia="Times New Roman" w:hAnsi="Times New Roman"/>
          <w:sz w:val="17"/>
          <w:szCs w:val="17"/>
          <w:b w:val="1"/>
          <w:bCs w:val="1"/>
          <w:color w:val="auto"/>
        </w:rPr>
        <w:t>CREDIT SUISSE AG, CAYMAN ISLANDS BRANCH,</w:t>
      </w:r>
    </w:p>
    <w:p>
      <w:pPr>
        <w:spacing w:after="0" w:line="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 Lender and L/C Issuer</w:t>
      </w:r>
    </w:p>
    <w:p>
      <w:pPr>
        <w:spacing w:after="0" w:line="200" w:lineRule="exact"/>
        <w:rPr>
          <w:sz w:val="20"/>
          <w:szCs w:val="20"/>
          <w:color w:val="auto"/>
        </w:rPr>
      </w:pPr>
    </w:p>
    <w:p>
      <w:pPr>
        <w:spacing w:after="0" w:line="309" w:lineRule="exact"/>
        <w:rPr>
          <w:sz w:val="20"/>
          <w:szCs w:val="20"/>
          <w:color w:val="auto"/>
        </w:rPr>
      </w:pPr>
    </w:p>
    <w:p>
      <w:pPr>
        <w:ind w:left="450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Mikhail Faybusovich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26035</wp:posOffset>
            </wp:positionV>
            <wp:extent cx="33274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Name:Mikahil Faybusovich</w:t>
      </w:r>
    </w:p>
    <w:p>
      <w:pPr>
        <w:spacing w:after="0" w:line="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66" w:lineRule="exact"/>
        <w:rPr>
          <w:sz w:val="20"/>
          <w:szCs w:val="20"/>
          <w:color w:val="auto"/>
        </w:rPr>
      </w:pPr>
    </w:p>
    <w:p>
      <w:pPr>
        <w:ind w:left="450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Andrew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26035</wp:posOffset>
            </wp:positionV>
            <wp:extent cx="33274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Name:Andrew Griffin</w:t>
      </w:r>
    </w:p>
    <w:p>
      <w:pPr>
        <w:spacing w:after="0" w:line="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Fifth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299085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20" w:name="page21"/>
    <w:bookmarkEnd w:id="20"/>
    <w:p>
      <w:pPr>
        <w:ind w:left="4500"/>
        <w:spacing w:after="0"/>
        <w:rPr>
          <w:sz w:val="20"/>
          <w:szCs w:val="20"/>
          <w:color w:val="auto"/>
        </w:rPr>
      </w:pPr>
      <w:r>
        <w:rPr>
          <w:rFonts w:ascii="Times New Roman" w:cs="Times New Roman" w:eastAsia="Times New Roman" w:hAnsi="Times New Roman"/>
          <w:sz w:val="17"/>
          <w:szCs w:val="17"/>
          <w:b w:val="1"/>
          <w:bCs w:val="1"/>
          <w:color w:val="auto"/>
        </w:rPr>
        <w:t>KEYBANK NATIONAL ASSOCIATION,</w:t>
      </w:r>
    </w:p>
    <w:p>
      <w:pPr>
        <w:spacing w:after="0" w:line="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 Lender</w:t>
      </w:r>
    </w:p>
    <w:p>
      <w:pPr>
        <w:spacing w:after="0" w:line="200" w:lineRule="exact"/>
        <w:rPr>
          <w:sz w:val="20"/>
          <w:szCs w:val="20"/>
          <w:color w:val="auto"/>
        </w:rPr>
      </w:pPr>
    </w:p>
    <w:p>
      <w:pPr>
        <w:spacing w:after="0" w:line="309" w:lineRule="exact"/>
        <w:rPr>
          <w:sz w:val="20"/>
          <w:szCs w:val="20"/>
          <w:color w:val="auto"/>
        </w:rPr>
      </w:pPr>
    </w:p>
    <w:p>
      <w:pPr>
        <w:ind w:left="450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Renee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26035</wp:posOffset>
            </wp:positionV>
            <wp:extent cx="33274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Name:Renee M. Bonnell</w:t>
      </w:r>
    </w:p>
    <w:p>
      <w:pPr>
        <w:spacing w:after="0" w:line="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Fifth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299085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21" w:name="page22"/>
    <w:bookmarkEnd w:id="21"/>
    <w:p>
      <w:pPr>
        <w:ind w:left="4500"/>
        <w:spacing w:after="0"/>
        <w:rPr>
          <w:sz w:val="20"/>
          <w:szCs w:val="20"/>
          <w:color w:val="auto"/>
        </w:rPr>
      </w:pPr>
      <w:r>
        <w:rPr>
          <w:rFonts w:ascii="Times New Roman" w:cs="Times New Roman" w:eastAsia="Times New Roman" w:hAnsi="Times New Roman"/>
          <w:sz w:val="17"/>
          <w:szCs w:val="17"/>
          <w:b w:val="1"/>
          <w:bCs w:val="1"/>
          <w:color w:val="auto"/>
        </w:rPr>
        <w:t>MORGAN STANLEY SENIOR FUNDING, INC.</w:t>
      </w:r>
    </w:p>
    <w:p>
      <w:pPr>
        <w:spacing w:after="0" w:line="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 Lender</w:t>
      </w:r>
    </w:p>
    <w:p>
      <w:pPr>
        <w:spacing w:after="0" w:line="200" w:lineRule="exact"/>
        <w:rPr>
          <w:sz w:val="20"/>
          <w:szCs w:val="20"/>
          <w:color w:val="auto"/>
        </w:rPr>
      </w:pPr>
    </w:p>
    <w:p>
      <w:pPr>
        <w:spacing w:after="0" w:line="309" w:lineRule="exact"/>
        <w:rPr>
          <w:sz w:val="20"/>
          <w:szCs w:val="20"/>
          <w:color w:val="auto"/>
        </w:rPr>
      </w:pPr>
    </w:p>
    <w:p>
      <w:pPr>
        <w:ind w:left="450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Jack Kuhns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26035</wp:posOffset>
            </wp:positionV>
            <wp:extent cx="33274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Name:Jack Kuhns</w:t>
      </w:r>
    </w:p>
    <w:p>
      <w:pPr>
        <w:spacing w:after="0" w:line="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Fifth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299085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22" w:name="page23"/>
    <w:bookmarkEnd w:id="22"/>
    <w:p>
      <w:pPr>
        <w:ind w:left="4500"/>
        <w:spacing w:after="0"/>
        <w:rPr>
          <w:sz w:val="20"/>
          <w:szCs w:val="20"/>
          <w:color w:val="auto"/>
        </w:rPr>
      </w:pPr>
      <w:r>
        <w:rPr>
          <w:rFonts w:ascii="Times New Roman" w:cs="Times New Roman" w:eastAsia="Times New Roman" w:hAnsi="Times New Roman"/>
          <w:sz w:val="17"/>
          <w:szCs w:val="17"/>
          <w:b w:val="1"/>
          <w:bCs w:val="1"/>
          <w:color w:val="auto"/>
        </w:rPr>
        <w:t>MUFG UNION BANK, N.A. f/k/a UNION BANK, N.A.,</w:t>
      </w:r>
    </w:p>
    <w:p>
      <w:pPr>
        <w:spacing w:after="0" w:line="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 Lender</w:t>
      </w:r>
    </w:p>
    <w:p>
      <w:pPr>
        <w:spacing w:after="0" w:line="200" w:lineRule="exact"/>
        <w:rPr>
          <w:sz w:val="20"/>
          <w:szCs w:val="20"/>
          <w:color w:val="auto"/>
        </w:rPr>
      </w:pPr>
    </w:p>
    <w:p>
      <w:pPr>
        <w:spacing w:after="0" w:line="309" w:lineRule="exact"/>
        <w:rPr>
          <w:sz w:val="20"/>
          <w:szCs w:val="20"/>
          <w:color w:val="auto"/>
        </w:rPr>
      </w:pPr>
    </w:p>
    <w:p>
      <w:pPr>
        <w:ind w:left="450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Kevin Sillona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26035</wp:posOffset>
            </wp:positionV>
            <wp:extent cx="33274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Name:Kevin Sillona</w:t>
      </w:r>
    </w:p>
    <w:p>
      <w:pPr>
        <w:spacing w:after="0" w:line="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[Signature Page to Fifth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299085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23" w:name="page24"/>
    <w:bookmarkEnd w:id="23"/>
    <w:p>
      <w:pPr>
        <w:ind w:left="4500"/>
        <w:spacing w:after="0"/>
        <w:rPr>
          <w:sz w:val="20"/>
          <w:szCs w:val="20"/>
          <w:color w:val="auto"/>
        </w:rPr>
      </w:pPr>
      <w:r>
        <w:rPr>
          <w:rFonts w:ascii="Times New Roman" w:cs="Times New Roman" w:eastAsia="Times New Roman" w:hAnsi="Times New Roman"/>
          <w:sz w:val="18"/>
          <w:szCs w:val="18"/>
          <w:b w:val="1"/>
          <w:bCs w:val="1"/>
          <w:color w:val="auto"/>
        </w:rPr>
        <w:t>ROYAL BANK OF CANADA,</w:t>
      </w:r>
    </w:p>
    <w:p>
      <w:pPr>
        <w:spacing w:after="0" w:line="4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a Lender and L/C Issuer</w:t>
      </w:r>
    </w:p>
    <w:p>
      <w:pPr>
        <w:spacing w:after="0" w:line="200" w:lineRule="exact"/>
        <w:rPr>
          <w:sz w:val="20"/>
          <w:szCs w:val="20"/>
          <w:color w:val="auto"/>
        </w:rPr>
      </w:pPr>
    </w:p>
    <w:p>
      <w:pPr>
        <w:spacing w:after="0" w:line="309" w:lineRule="exact"/>
        <w:rPr>
          <w:sz w:val="20"/>
          <w:szCs w:val="20"/>
          <w:color w:val="auto"/>
        </w:rPr>
      </w:pPr>
    </w:p>
    <w:p>
      <w:pPr>
        <w:ind w:left="450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/s/ Frank Lambrinos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26035</wp:posOffset>
            </wp:positionV>
            <wp:extent cx="33274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Name:Frank Lambrinos</w:t>
      </w:r>
    </w:p>
    <w:p>
      <w:pPr>
        <w:spacing w:after="0" w:line="3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[Signature Page to Fifth Amendment to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309880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9019"/>
      </w:cols>
      <w:pgMar w:left="1440" w:top="9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o"/>
      <w:numFmt w:val="bullet"/>
      <w:start w:val="1"/>
    </w:lvl>
  </w:abstractNum>
  <w:abstractNum w:abstractNumId="1">
    <w:nsid w:val="1190CDE7"/>
    <w:multiLevelType w:val="hybridMultilevel"/>
    <w:lvl w:ilvl="0">
      <w:lvlJc w:val="left"/>
      <w:lvlText w:val="(%1)"/>
      <w:numFmt w:val="lowerLetter"/>
      <w:start w:val="4"/>
    </w:lvl>
  </w:abstractNum>
  <w:abstractNum w:abstractNumId="2">
    <w:nsid w:val="66EF438D"/>
    <w:multiLevelType w:val="hybridMultilevel"/>
    <w:lvl w:ilvl="0">
      <w:lvlJc w:val="left"/>
      <w:lvlText w:val="%1"/>
      <w:numFmt w:val="decimal"/>
      <w:start w:val="104"/>
    </w:lvl>
  </w:abstractNum>
  <w:abstractNum w:abstractNumId="3">
    <w:nsid w:val="140E0F76"/>
    <w:multiLevelType w:val="hybridMultilevel"/>
    <w:lvl w:ilvl="0">
      <w:lvlJc w:val="left"/>
      <w:lvlText w:val="%1."/>
      <w:numFmt w:val="upperLetter"/>
      <w:start w:val="1"/>
    </w:lvl>
  </w:abstractNum>
  <w:abstractNum w:abstractNumId="4">
    <w:nsid w:val="3352255A"/>
    <w:multiLevelType w:val="hybridMultilevel"/>
    <w:lvl w:ilvl="0">
      <w:lvlJc w:val="left"/>
      <w:lvlText w:val="%1."/>
      <w:numFmt w:val="upperLetter"/>
      <w:start w:val="2"/>
    </w:lvl>
  </w:abstractNum>
  <w:abstractNum w:abstractNumId="5">
    <w:nsid w:val="109CF92E"/>
    <w:multiLevelType w:val="hybridMultilevel"/>
    <w:lvl w:ilvl="0">
      <w:lvlJc w:val="left"/>
      <w:lvlText w:val="%1."/>
      <w:numFmt w:val="upperLetter"/>
      <w:start w:val="3"/>
    </w:lvl>
  </w:abstractNum>
  <w:abstractNum w:abstractNumId="6">
    <w:nsid w:val="DED7263"/>
    <w:multiLevelType w:val="hybridMultilevel"/>
    <w:lvl w:ilvl="0">
      <w:lvlJc w:val="left"/>
      <w:lvlText w:val="%1."/>
      <w:numFmt w:val="upperLetter"/>
      <w:start w:val="4"/>
    </w:lvl>
  </w:abstractNum>
  <w:abstractNum w:abstractNumId="7">
    <w:nsid w:val="7FDCC233"/>
    <w:multiLevelType w:val="hybridMultilevel"/>
    <w:lvl w:ilvl="0">
      <w:lvlJc w:val="left"/>
      <w:lvlText w:val="%1."/>
      <w:numFmt w:val="upperLetter"/>
      <w:start w:val="5"/>
    </w:lvl>
  </w:abstractNum>
  <w:abstractNum w:abstractNumId="8">
    <w:nsid w:val="1BEFD79F"/>
    <w:multiLevelType w:val="hybridMultilevel"/>
    <w:lvl w:ilvl="0">
      <w:lvlJc w:val="left"/>
      <w:lvlText w:val="%1."/>
      <w:numFmt w:val="upperLetter"/>
      <w:start w:val="6"/>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1)"/>
      <w:numFmt w:val="lowerLetter"/>
      <w:start w:val="2"/>
    </w:lvl>
  </w:abstractNum>
  <w:abstractNum w:abstractNumId="11">
    <w:nsid w:val="4E6AFB66"/>
    <w:multiLevelType w:val="hybridMultilevel"/>
    <w:lvl w:ilvl="0">
      <w:lvlJc w:val="left"/>
      <w:lvlText w:val="(%1)"/>
      <w:numFmt w:val="lowerRoman"/>
      <w:start w:val="1"/>
    </w:lvl>
  </w:abstractNum>
  <w:abstractNum w:abstractNumId="12">
    <w:nsid w:val="25E45D32"/>
    <w:multiLevelType w:val="hybridMultilevel"/>
    <w:lvl w:ilvl="0">
      <w:lvlJc w:val="left"/>
      <w:lvlText w:val="%1."/>
      <w:numFmt w:val="upperLetter"/>
      <w:start w:val="1"/>
    </w:lvl>
    <w:lvl w:ilvl="1">
      <w:lvlJc w:val="left"/>
      <w:lvlText w:val="%2."/>
      <w:numFmt w:val="lowerRoman"/>
      <w:start w:val="1"/>
    </w:lvl>
  </w:abstractNum>
  <w:abstractNum w:abstractNumId="13">
    <w:nsid w:val="519B500D"/>
    <w:multiLevelType w:val="hybridMultilevel"/>
    <w:lvl w:ilvl="0">
      <w:lvlJc w:val="left"/>
      <w:lvlText w:val="%1."/>
      <w:numFmt w:val="upperLetter"/>
      <w:start w:val="2"/>
    </w:lvl>
  </w:abstractNum>
  <w:abstractNum w:abstractNumId="14">
    <w:nsid w:val="431BD7B7"/>
    <w:multiLevelType w:val="hybridMultilevel"/>
    <w:lvl w:ilvl="0">
      <w:lvlJc w:val="left"/>
      <w:lvlText w:val="%1."/>
      <w:numFmt w:val="upperLetter"/>
      <w:start w:val="1"/>
    </w:lvl>
  </w:abstractNum>
  <w:abstractNum w:abstractNumId="15">
    <w:nsid w:val="3F2DBA31"/>
    <w:multiLevelType w:val="hybridMultilevel"/>
    <w:lvl w:ilvl="0">
      <w:lvlJc w:val="left"/>
      <w:lvlText w:val="%1."/>
      <w:numFmt w:val="upperLetter"/>
      <w:start w:val="4"/>
    </w:lvl>
  </w:abstractNum>
  <w:abstractNum w:abstractNumId="16">
    <w:nsid w:val="7C83E458"/>
    <w:multiLevelType w:val="hybridMultilevel"/>
    <w:lvl w:ilvl="0">
      <w:lvlJc w:val="left"/>
      <w:lvlText w:val="%1."/>
      <w:numFmt w:val="upperLetter"/>
      <w:start w:val="1"/>
    </w:lvl>
  </w:abstractNum>
  <w:abstractNum w:abstractNumId="17">
    <w:nsid w:val="257130A3"/>
    <w:multiLevelType w:val="hybridMultilevel"/>
    <w:lvl w:ilvl="0">
      <w:lvlJc w:val="left"/>
      <w:lvlText w:val="%1."/>
      <w:numFmt w:val="upperLetter"/>
      <w:start w:val="1"/>
    </w:lvl>
  </w:abstractNum>
  <w:abstractNum w:abstractNumId="18">
    <w:nsid w:val="62BBD95A"/>
    <w:multiLevelType w:val="hybridMultilevel"/>
    <w:lvl w:ilvl="0">
      <w:lvlJc w:val="left"/>
      <w:lvlText w:val="(%1)"/>
      <w:numFmt w:val="lowerRoman"/>
      <w:start w:val="1"/>
    </w:lvl>
  </w:abstractNum>
  <w:abstractNum w:abstractNumId="19">
    <w:nsid w:val="436C6125"/>
    <w:multiLevelType w:val="hybridMultilevel"/>
    <w:lvl w:ilvl="0">
      <w:lvlJc w:val="left"/>
      <w:lvlText w:val="%1"/>
      <w:numFmt w:val="lowerLetter"/>
      <w:start w:val="1"/>
    </w:lvl>
    <w:lvl w:ilvl="1">
      <w:lvlJc w:val="left"/>
      <w:lvlText w:val="%2."/>
      <w:numFmt w:val="upperLetter"/>
      <w:start w:val="2"/>
    </w:lvl>
  </w:abstractNum>
  <w:abstractNum w:abstractNumId="20">
    <w:nsid w:val="628C895D"/>
    <w:multiLevelType w:val="hybridMultilevel"/>
    <w:lvl w:ilvl="0">
      <w:lvlJc w:val="left"/>
      <w:lvlText w:val="(%1)"/>
      <w:numFmt w:val="lowerLetter"/>
      <w:start w:val="4"/>
    </w:lvl>
    <w:lvl w:ilvl="1">
      <w:lvlJc w:val="left"/>
      <w:lvlText w:val="%2."/>
      <w:numFmt w:val="upp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2019-12-28T00:51:19Z</dcterms:created>
  <dcterms:modified xsi:type="dcterms:W3CDTF">2019-12-28T00:51:19Z</dcterms:modified>
</cp:coreProperties>
</file>