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972185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877570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50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1"/>
              </w:rPr>
              <w:t>(State or other jurisdiction</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3"/>
              </w:rPr>
              <w:t>(I.R.S. Employer</w:t>
            </w:r>
          </w:p>
        </w:tc>
      </w:tr>
      <w:tr>
        <w:trPr>
          <w:trHeight w:val="230"/>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2"/>
              </w:rPr>
              <w:t>of 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0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040" w:type="dxa"/>
            <w:vAlign w:val="bottom"/>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7"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w:t>
      </w:r>
    </w:p>
    <w:p>
      <w:pPr>
        <w:spacing w:after="0" w:line="80" w:lineRule="exact"/>
        <w:rPr>
          <w:sz w:val="24"/>
          <w:szCs w:val="24"/>
          <w:color w:val="auto"/>
        </w:rPr>
      </w:pPr>
    </w:p>
    <w:p>
      <w:pPr>
        <w:ind w:left="6880"/>
        <w:spacing w:after="0"/>
        <w:tabs>
          <w:tab w:leader="none" w:pos="74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117"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1" w:lineRule="exact"/>
        <w:rPr>
          <w:sz w:val="24"/>
          <w:szCs w:val="24"/>
          <w:color w:val="auto"/>
        </w:rPr>
      </w:pPr>
    </w:p>
    <w:p>
      <w:pPr>
        <w:ind w:left="6880"/>
        <w:spacing w:after="0"/>
        <w:tabs>
          <w:tab w:leader="none" w:pos="74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117" w:lineRule="exact"/>
        <w:rPr>
          <w:sz w:val="24"/>
          <w:szCs w:val="24"/>
          <w:color w:val="auto"/>
        </w:rPr>
      </w:pPr>
    </w:p>
    <w:p>
      <w:pPr>
        <w:jc w:val="both"/>
        <w:ind w:right="20" w:firstLine="27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8" w:lineRule="exact"/>
        <w:rPr>
          <w:sz w:val="24"/>
          <w:szCs w:val="24"/>
          <w:color w:val="auto"/>
        </w:rPr>
      </w:pPr>
    </w:p>
    <w:p>
      <w:pPr>
        <w:ind w:left="360"/>
        <w:spacing w:after="0"/>
        <w:tabs>
          <w:tab w:leader="none" w:pos="2820" w:val="left"/>
          <w:tab w:leader="none" w:pos="5660" w:val="left"/>
          <w:tab w:leader="none" w:pos="8880" w:val="left"/>
        </w:tabs>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p>
    <w:p>
      <w:pPr>
        <w:spacing w:after="0" w:line="77"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(Do not check if a smaller reporting company)</w:t>
      </w:r>
    </w:p>
    <w:p>
      <w:pPr>
        <w:spacing w:after="0" w:line="16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October 31, 2016, there were 34,586,250 Class A units outstanding, 42,738,750 Class B units outstanding, 62,784,250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NRG YIELD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60</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440" w:right="259" w:bottom="1440" w:gutter="0" w:footer="0" w:header="0"/>
        </w:sectPr>
      </w:pPr>
    </w:p>
    <w:bookmarkStart w:id="2" w:name="page3"/>
    <w:bookmarkEnd w:id="2"/>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Item 1A of the Company's Annual Report on Form 10-K for the year ended December 31, 2015, and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 and</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8680" w:type="dxa"/>
            <w:vAlign w:val="bottom"/>
          </w:tcPr>
          <w:p>
            <w:pPr>
              <w:ind w:left="202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680" w:type="dxa"/>
            <w:vAlign w:val="bottom"/>
          </w:tcPr>
          <w:p>
            <w:pPr>
              <w:spacing w:after="0"/>
              <w:rPr>
                <w:sz w:val="20"/>
                <w:szCs w:val="20"/>
                <w:color w:val="auto"/>
              </w:rPr>
            </w:pPr>
            <w:r>
              <w:rPr>
                <w:rFonts w:ascii="Arial" w:cs="Arial" w:eastAsia="Arial" w:hAnsi="Arial"/>
                <w:sz w:val="18"/>
                <w:szCs w:val="18"/>
                <w:color w:val="auto"/>
              </w:rPr>
              <w:t>2015 Form 10-K</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rPr>
              <w:t>NRG Yield LLC's Annual Report on Form 10-K for the year ended December 31, 2015</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2024 Senior Notes</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$500 million aggregate principal amount of 5.375% unsecured senior notes due 2024, issued by NRG Yield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2026 Senior Notes</w:t>
            </w:r>
          </w:p>
        </w:tc>
        <w:tc>
          <w:tcPr>
            <w:tcW w:w="8680" w:type="dxa"/>
            <w:vAlign w:val="bottom"/>
          </w:tcPr>
          <w:p>
            <w:pPr>
              <w:ind w:left="280"/>
              <w:spacing w:after="0"/>
              <w:rPr>
                <w:sz w:val="20"/>
                <w:szCs w:val="20"/>
                <w:color w:val="auto"/>
              </w:rPr>
            </w:pPr>
            <w:r>
              <w:rPr>
                <w:rFonts w:ascii="Arial" w:cs="Arial" w:eastAsia="Arial" w:hAnsi="Arial"/>
                <w:sz w:val="18"/>
                <w:szCs w:val="18"/>
                <w:color w:val="auto"/>
                <w:w w:val="99"/>
              </w:rPr>
              <w:t>$350 million aggregate principal amount of 5.00% unsecured senior notes due 2026, issued by NRG Yield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2037 Notes</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$200 million aggregate principal amount of 4.68% senior secured notes due 2037, issued by CVSR Holdco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AOCL</w:t>
            </w:r>
          </w:p>
        </w:tc>
        <w:tc>
          <w:tcPr>
            <w:tcW w:w="86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ARO</w:t>
            </w:r>
          </w:p>
        </w:tc>
        <w:tc>
          <w:tcPr>
            <w:tcW w:w="8680" w:type="dxa"/>
            <w:vAlign w:val="bottom"/>
          </w:tcPr>
          <w:p>
            <w:pPr>
              <w:ind w:left="280"/>
              <w:spacing w:after="0"/>
              <w:rPr>
                <w:sz w:val="20"/>
                <w:szCs w:val="20"/>
                <w:color w:val="auto"/>
              </w:rPr>
            </w:pPr>
            <w:r>
              <w:rPr>
                <w:rFonts w:ascii="Arial" w:cs="Arial" w:eastAsia="Arial" w:hAnsi="Arial"/>
                <w:sz w:val="18"/>
                <w:szCs w:val="18"/>
                <w:color w:val="auto"/>
              </w:rPr>
              <w:t>Asset Retirement Obligation</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ASC</w:t>
            </w:r>
          </w:p>
        </w:tc>
        <w:tc>
          <w:tcPr>
            <w:tcW w:w="8680" w:type="dxa"/>
            <w:vAlign w:val="bottom"/>
          </w:tcPr>
          <w:p>
            <w:pPr>
              <w:ind w:left="28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ASU</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ATM Program</w:t>
            </w:r>
          </w:p>
        </w:tc>
        <w:tc>
          <w:tcPr>
            <w:tcW w:w="8680" w:type="dxa"/>
            <w:vAlign w:val="bottom"/>
          </w:tcPr>
          <w:p>
            <w:pPr>
              <w:ind w:left="28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Buffalo Bear</w:t>
            </w:r>
          </w:p>
        </w:tc>
        <w:tc>
          <w:tcPr>
            <w:tcW w:w="8680" w:type="dxa"/>
            <w:vAlign w:val="bottom"/>
          </w:tcPr>
          <w:p>
            <w:pPr>
              <w:ind w:left="28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CAFD</w:t>
            </w:r>
          </w:p>
        </w:tc>
        <w:tc>
          <w:tcPr>
            <w:tcW w:w="8680" w:type="dxa"/>
            <w:vAlign w:val="bottom"/>
          </w:tcPr>
          <w:p>
            <w:pPr>
              <w:ind w:left="28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less cash distributions to</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w w:val="93"/>
              </w:rPr>
              <w:t>noncontrolling interests, maintenance capital expenditures, pro-rata EBITDA from unconsolidated affiliates, cash</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231F20"/>
              </w:rPr>
              <w:t>interest paid, income taxes paid, principal amortization of indebtedness and changes in other assets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Company</w:t>
            </w:r>
          </w:p>
        </w:tc>
        <w:tc>
          <w:tcPr>
            <w:tcW w:w="8680" w:type="dxa"/>
            <w:vAlign w:val="bottom"/>
          </w:tcPr>
          <w:p>
            <w:pPr>
              <w:ind w:left="280"/>
              <w:spacing w:after="0"/>
              <w:rPr>
                <w:sz w:val="20"/>
                <w:szCs w:val="20"/>
                <w:color w:val="auto"/>
              </w:rPr>
            </w:pPr>
            <w:r>
              <w:rPr>
                <w:rFonts w:ascii="Arial" w:cs="Arial" w:eastAsia="Arial" w:hAnsi="Arial"/>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w:t>
            </w:r>
          </w:p>
        </w:tc>
        <w:tc>
          <w:tcPr>
            <w:tcW w:w="8680" w:type="dxa"/>
            <w:vAlign w:val="bottom"/>
          </w:tcPr>
          <w:p>
            <w:pPr>
              <w:ind w:left="2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Drop Down</w:t>
            </w:r>
          </w:p>
        </w:tc>
        <w:tc>
          <w:tcPr>
            <w:tcW w:w="8680" w:type="dxa"/>
            <w:vAlign w:val="bottom"/>
          </w:tcPr>
          <w:p>
            <w:pPr>
              <w:ind w:left="28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Holdco</w:t>
            </w:r>
          </w:p>
        </w:tc>
        <w:tc>
          <w:tcPr>
            <w:tcW w:w="8680" w:type="dxa"/>
            <w:vAlign w:val="bottom"/>
          </w:tcPr>
          <w:p>
            <w:pPr>
              <w:ind w:left="28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1</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2</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Distributed Solar</w:t>
            </w:r>
          </w:p>
        </w:tc>
        <w:tc>
          <w:tcPr>
            <w:tcW w:w="8680" w:type="dxa"/>
            <w:vAlign w:val="bottom"/>
          </w:tcPr>
          <w:p>
            <w:pPr>
              <w:ind w:left="2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Collectively, the January 2015 Drop Down Assets, November 2015 Drop Down Assets, and CVSR Drop Down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80" w:type="dxa"/>
            <w:vAlign w:val="bottom"/>
          </w:tcPr>
          <w:p>
            <w:pPr>
              <w:ind w:left="28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EDA</w:t>
            </w:r>
          </w:p>
        </w:tc>
        <w:tc>
          <w:tcPr>
            <w:tcW w:w="8680" w:type="dxa"/>
            <w:vAlign w:val="bottom"/>
          </w:tcPr>
          <w:p>
            <w:pPr>
              <w:ind w:left="280"/>
              <w:spacing w:after="0"/>
              <w:rPr>
                <w:sz w:val="20"/>
                <w:szCs w:val="20"/>
                <w:color w:val="auto"/>
              </w:rPr>
            </w:pPr>
            <w:r>
              <w:rPr>
                <w:rFonts w:ascii="Arial" w:cs="Arial" w:eastAsia="Arial" w:hAnsi="Arial"/>
                <w:sz w:val="18"/>
                <w:szCs w:val="18"/>
                <w:color w:val="auto"/>
              </w:rPr>
              <w:t>Equity Distribution Agreement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El Segundo</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ERCOT</w:t>
            </w:r>
          </w:p>
        </w:tc>
        <w:tc>
          <w:tcPr>
            <w:tcW w:w="8680" w:type="dxa"/>
            <w:vAlign w:val="bottom"/>
          </w:tcPr>
          <w:p>
            <w:pPr>
              <w:ind w:left="280"/>
              <w:spacing w:after="0"/>
              <w:rPr>
                <w:sz w:val="20"/>
                <w:szCs w:val="20"/>
                <w:color w:val="auto"/>
              </w:rPr>
            </w:pPr>
            <w:r>
              <w:rPr>
                <w:rFonts w:ascii="Arial" w:cs="Arial" w:eastAsia="Arial" w:hAnsi="Arial"/>
                <w:sz w:val="18"/>
                <w:szCs w:val="18"/>
                <w:color w:val="auto"/>
                <w:w w:val="98"/>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EWG</w:t>
            </w:r>
          </w:p>
        </w:tc>
        <w:tc>
          <w:tcPr>
            <w:tcW w:w="8680" w:type="dxa"/>
            <w:vAlign w:val="bottom"/>
          </w:tcPr>
          <w:p>
            <w:pPr>
              <w:ind w:left="28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Exchange Act</w:t>
            </w:r>
          </w:p>
        </w:tc>
        <w:tc>
          <w:tcPr>
            <w:tcW w:w="868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FASB</w:t>
            </w:r>
          </w:p>
        </w:tc>
        <w:tc>
          <w:tcPr>
            <w:tcW w:w="868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FERC</w:t>
            </w:r>
          </w:p>
        </w:tc>
        <w:tc>
          <w:tcPr>
            <w:tcW w:w="8680" w:type="dxa"/>
            <w:vAlign w:val="bottom"/>
          </w:tcPr>
          <w:p>
            <w:pPr>
              <w:ind w:left="2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GAAP</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GenConn</w:t>
            </w:r>
          </w:p>
        </w:tc>
        <w:tc>
          <w:tcPr>
            <w:tcW w:w="8680" w:type="dxa"/>
            <w:vAlign w:val="bottom"/>
          </w:tcPr>
          <w:p>
            <w:pPr>
              <w:ind w:left="2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HLBV</w:t>
            </w:r>
          </w:p>
        </w:tc>
        <w:tc>
          <w:tcPr>
            <w:tcW w:w="8680" w:type="dxa"/>
            <w:vAlign w:val="bottom"/>
          </w:tcPr>
          <w:p>
            <w:pPr>
              <w:ind w:left="28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IASB</w:t>
            </w:r>
          </w:p>
        </w:tc>
        <w:tc>
          <w:tcPr>
            <w:tcW w:w="8680" w:type="dxa"/>
            <w:vAlign w:val="bottom"/>
          </w:tcPr>
          <w:p>
            <w:pPr>
              <w:ind w:left="2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ISO</w:t>
            </w:r>
          </w:p>
        </w:tc>
        <w:tc>
          <w:tcPr>
            <w:tcW w:w="8680" w:type="dxa"/>
            <w:vAlign w:val="bottom"/>
          </w:tcPr>
          <w:p>
            <w:pPr>
              <w:ind w:left="2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Kansas South</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KPPH</w:t>
            </w:r>
          </w:p>
        </w:tc>
        <w:tc>
          <w:tcPr>
            <w:tcW w:w="8680" w:type="dxa"/>
            <w:vAlign w:val="bottom"/>
          </w:tcPr>
          <w:p>
            <w:pPr>
              <w:ind w:left="280"/>
              <w:spacing w:after="0"/>
              <w:rPr>
                <w:sz w:val="20"/>
                <w:szCs w:val="20"/>
                <w:color w:val="auto"/>
              </w:rPr>
            </w:pPr>
            <w:r>
              <w:rPr>
                <w:rFonts w:ascii="Arial" w:cs="Arial" w:eastAsia="Arial" w:hAnsi="Arial"/>
                <w:sz w:val="18"/>
                <w:szCs w:val="18"/>
                <w:color w:val="auto"/>
              </w:rPr>
              <w:t>1,000 Pounds Per Hour</w:t>
            </w:r>
          </w:p>
        </w:tc>
        <w:tc>
          <w:tcPr>
            <w:tcW w:w="0" w:type="dxa"/>
            <w:vAlign w:val="bottom"/>
          </w:tcPr>
          <w:p>
            <w:pPr>
              <w:spacing w:after="0"/>
              <w:rPr>
                <w:sz w:val="1"/>
                <w:szCs w:val="1"/>
                <w:color w:val="auto"/>
              </w:rPr>
            </w:pPr>
          </w:p>
        </w:tc>
      </w:tr>
      <w:tr>
        <w:trPr>
          <w:trHeight w:val="486"/>
        </w:trPr>
        <w:tc>
          <w:tcPr>
            <w:tcW w:w="2680" w:type="dxa"/>
            <w:vAlign w:val="bottom"/>
          </w:tcPr>
          <w:p>
            <w:pPr>
              <w:spacing w:after="0"/>
              <w:rPr>
                <w:sz w:val="24"/>
                <w:szCs w:val="24"/>
                <w:color w:val="auto"/>
              </w:rPr>
            </w:pPr>
          </w:p>
        </w:tc>
        <w:tc>
          <w:tcPr>
            <w:tcW w:w="8680" w:type="dxa"/>
            <w:vAlign w:val="bottom"/>
          </w:tcPr>
          <w:p>
            <w:pPr>
              <w:ind w:left="29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1121"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Laredo Ridge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Laredo Ridge Wind, LLC, the operating subsidiary of Mission Wind Laredo, LLC, which owns the Laredo Ridge project</w:t>
      </w:r>
    </w:p>
    <w:p>
      <w:pPr>
        <w:spacing w:after="0" w:line="8" w:lineRule="exact"/>
        <w:rPr>
          <w:sz w:val="20"/>
          <w:szCs w:val="20"/>
          <w:color w:val="auto"/>
        </w:rPr>
      </w:pPr>
    </w:p>
    <w:p>
      <w:pPr>
        <w:sectPr>
          <w:pgSz w:w="11900" w:h="16838" w:orient="portrait"/>
          <w:cols w:equalWidth="0" w:num="2">
            <w:col w:w="2240" w:space="720"/>
            <w:col w:w="8380"/>
          </w:cols>
          <w:pgMar w:left="280" w:top="1287" w:right="279" w:bottom="1440" w:gutter="0" w:footer="0" w:header="0"/>
        </w:sectPr>
      </w:pPr>
    </w:p>
    <w:p>
      <w:pPr>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Marsh Landing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Marsh Landing LLC, formerly GenOn Marsh Landing LLC</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8"/>
          <w:szCs w:val="18"/>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British Thermal Units</w:t>
      </w:r>
    </w:p>
    <w:p>
      <w:pPr>
        <w:spacing w:after="0" w:line="74"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w:t>
      </w:r>
    </w:p>
    <w:p>
      <w:pPr>
        <w:spacing w:after="0" w:line="8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Saleable megawatt hours, net of internal/parasitic load megawatt-hours</w:t>
      </w:r>
    </w:p>
    <w:p>
      <w:pPr>
        <w:spacing w:after="0" w:line="8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 Thermal Equivalent</w:t>
      </w:r>
    </w:p>
    <w:p>
      <w:pPr>
        <w:spacing w:after="0" w:line="8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NERC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North American Electric Reliability Corporation</w:t>
      </w:r>
    </w:p>
    <w:p>
      <w:pPr>
        <w:spacing w:after="0" w:line="7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 credit exposure to NRG Yield, Inc. net of collateral</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November 2015 Drop Down Assets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75% of the Class B interests of NRG Wind TE Holdco, which owns a portfolio of 12 wind facilities totaling 814 net MW, which was acquired by Yield Operating LLC from NRG on November 3, 2015</w:t>
      </w:r>
    </w:p>
    <w:p>
      <w:pPr>
        <w:spacing w:after="0" w:line="8" w:lineRule="exact"/>
        <w:rPr>
          <w:sz w:val="20"/>
          <w:szCs w:val="20"/>
          <w:color w:val="auto"/>
        </w:rPr>
      </w:pPr>
    </w:p>
    <w:p>
      <w:pPr>
        <w:sectPr>
          <w:pgSz w:w="11900" w:h="16838" w:orient="portrait"/>
          <w:cols w:equalWidth="0" w:num="2">
            <w:col w:w="2580" w:space="38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7"/>
          <w:szCs w:val="17"/>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Energy, Inc.</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7"/>
          <w:szCs w:val="17"/>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Wind TE Holdco LLC</w:t>
      </w:r>
    </w:p>
    <w:p>
      <w:pPr>
        <w:spacing w:after="0" w:line="7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Pinnacle Wind, LLC, the operating subsidiary of Tapestry Wind LLC, which owns the Pinnacle project</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7"/>
          <w:szCs w:val="17"/>
          <w:color w:val="auto"/>
        </w:rPr>
        <w:t>PML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Power Marketing LLC</w:t>
      </w:r>
    </w:p>
    <w:p>
      <w:pPr>
        <w:spacing w:after="0" w:line="7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Public Utility Commission of Texas</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QF</w:t>
      </w:r>
    </w:p>
    <w:p>
      <w:pPr>
        <w:spacing w:after="0" w:line="20" w:lineRule="exact"/>
        <w:rPr>
          <w:sz w:val="20"/>
          <w:szCs w:val="20"/>
          <w:color w:val="auto"/>
        </w:rPr>
      </w:pPr>
      <w:r>
        <w:rPr>
          <w:sz w:val="20"/>
          <w:szCs w:val="20"/>
          <w:color w:val="auto"/>
        </w:rPr>
        <w:br w:type="column"/>
      </w:r>
    </w:p>
    <w:p>
      <w:pPr>
        <w:jc w:val="center"/>
        <w:ind w:right="2900"/>
        <w:spacing w:after="0"/>
        <w:rPr>
          <w:sz w:val="20"/>
          <w:szCs w:val="20"/>
          <w:color w:val="auto"/>
        </w:rPr>
      </w:pPr>
      <w:r>
        <w:rPr>
          <w:rFonts w:ascii="Arial" w:cs="Arial" w:eastAsia="Arial" w:hAnsi="Arial"/>
          <w:sz w:val="16"/>
          <w:szCs w:val="16"/>
          <w:color w:val="auto"/>
        </w:rPr>
        <w:t>Qualifying Facility under the Public Utility Regulatory Policies Act of 1978</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RPV Holdco 1 LLC</w:t>
      </w:r>
    </w:p>
    <w:p>
      <w:pPr>
        <w:spacing w:after="0" w:line="7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Organization</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and the 2026 Senior Notes</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TA-High Desert LLC, the operating subsidiary of NRG Solar Mayfair LLC, which owns the TA High Desert project</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Taloga Wind, LLC, the operating subsidiary of Tapestry Wind LLC, which owns the Taloga project</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Collection of the Pinnacle, Buffalo Bear and Taloga projects</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UPMC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University of Pittsburgh Medical Center</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86"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6"/>
          <w:szCs w:val="16"/>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Yield Operating LLC, the holder of the project assets that belong to NRG Yield LLC</w:t>
      </w:r>
    </w:p>
    <w:p>
      <w:pPr>
        <w:spacing w:after="0" w:line="211" w:lineRule="exact"/>
        <w:rPr>
          <w:sz w:val="20"/>
          <w:szCs w:val="20"/>
          <w:color w:val="auto"/>
        </w:rPr>
      </w:pPr>
    </w:p>
    <w:p>
      <w:pPr>
        <w:sectPr>
          <w:pgSz w:w="11900" w:h="16838" w:orient="portrait"/>
          <w:cols w:equalWidth="0" w:num="2">
            <w:col w:w="2240" w:space="720"/>
            <w:col w:w="8380"/>
          </w:cols>
          <w:pgMar w:left="280" w:top="1287" w:right="27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80" w:top="1287"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c>
          <w:tcPr>
            <w:tcW w:w="260" w:type="dxa"/>
            <w:vAlign w:val="bottom"/>
          </w:tcPr>
          <w:p>
            <w:pPr>
              <w:spacing w:after="0"/>
              <w:rPr>
                <w:sz w:val="19"/>
                <w:szCs w:val="19"/>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r>
      <w:tr>
        <w:trPr>
          <w:trHeight w:val="233"/>
        </w:trPr>
        <w:tc>
          <w:tcPr>
            <w:tcW w:w="562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21" w:right="239" w:bottom="1440" w:gutter="0" w:footer="0" w:header="0"/>
        </w:sectPr>
      </w:pPr>
    </w:p>
    <w:bookmarkStart w:id="6" w:name="page7"/>
    <w:bookmarkEnd w:id="6"/>
    <w:p>
      <w:pPr>
        <w:jc w:val="center"/>
        <w:ind w:right="-219"/>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29"/>
        </w:trPr>
        <w:tc>
          <w:tcPr>
            <w:tcW w:w="5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9"/>
                <w:szCs w:val="19"/>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c>
          <w:tcPr>
            <w:tcW w:w="220" w:type="dxa"/>
            <w:vAlign w:val="bottom"/>
          </w:tcPr>
          <w:p>
            <w:pPr>
              <w:spacing w:after="0"/>
              <w:rPr>
                <w:sz w:val="19"/>
                <w:szCs w:val="19"/>
                <w:color w:val="auto"/>
              </w:rPr>
            </w:pPr>
          </w:p>
        </w:tc>
        <w:tc>
          <w:tcPr>
            <w:tcW w:w="11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68</w:t>
            </w:r>
          </w:p>
        </w:tc>
      </w:tr>
      <w:tr>
        <w:trPr>
          <w:trHeight w:val="243"/>
        </w:trPr>
        <w:tc>
          <w:tcPr>
            <w:tcW w:w="58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(loss) on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w:t>
            </w:r>
          </w:p>
        </w:tc>
      </w:tr>
      <w:tr>
        <w:trPr>
          <w:trHeight w:val="237"/>
        </w:trPr>
        <w:tc>
          <w:tcPr>
            <w:tcW w:w="40" w:type="dxa"/>
            <w:vAlign w:val="bottom"/>
          </w:tcPr>
          <w:p>
            <w:pPr>
              <w:spacing w:after="0"/>
              <w:rPr>
                <w:sz w:val="20"/>
                <w:szCs w:val="20"/>
                <w:color w:val="auto"/>
              </w:rPr>
            </w:pPr>
          </w:p>
        </w:tc>
        <w:tc>
          <w:tcPr>
            <w:tcW w:w="5760" w:type="dxa"/>
            <w:vAlign w:val="bottom"/>
            <w:gridSpan w:val="2"/>
          </w:tcPr>
          <w:p>
            <w:pPr>
              <w:ind w:left="5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w:t>
            </w:r>
          </w:p>
        </w:tc>
      </w:tr>
      <w:tr>
        <w:trPr>
          <w:trHeight w:val="237"/>
        </w:trPr>
        <w:tc>
          <w:tcPr>
            <w:tcW w:w="40" w:type="dxa"/>
            <w:vAlign w:val="bottom"/>
          </w:tcPr>
          <w:p>
            <w:pPr>
              <w:spacing w:after="0"/>
              <w:rPr>
                <w:sz w:val="20"/>
                <w:szCs w:val="20"/>
                <w:color w:val="auto"/>
              </w:rPr>
            </w:pPr>
          </w:p>
        </w:tc>
        <w:tc>
          <w:tcPr>
            <w:tcW w:w="576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1121" w:right="45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BALANCE SHEETS</w:t>
      </w:r>
    </w:p>
    <w:p>
      <w:pPr>
        <w:spacing w:after="0" w:line="231"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2016</w:t>
            </w:r>
          </w:p>
        </w:tc>
        <w:tc>
          <w:tcPr>
            <w:tcW w:w="220" w:type="dxa"/>
            <w:vAlign w:val="bottom"/>
          </w:tcPr>
          <w:p>
            <w:pPr>
              <w:spacing w:after="0"/>
              <w:rPr>
                <w:sz w:val="14"/>
                <w:szCs w:val="14"/>
                <w:color w:val="auto"/>
              </w:rPr>
            </w:pPr>
          </w:p>
        </w:tc>
        <w:tc>
          <w:tcPr>
            <w:tcW w:w="1720" w:type="dxa"/>
            <w:vAlign w:val="bottom"/>
          </w:tcPr>
          <w:p>
            <w:pPr>
              <w:jc w:val="right"/>
              <w:ind w:right="230"/>
              <w:spacing w:after="0"/>
              <w:rPr>
                <w:sz w:val="20"/>
                <w:szCs w:val="20"/>
                <w:color w:val="auto"/>
              </w:rPr>
            </w:pPr>
            <w:r>
              <w:rPr>
                <w:rFonts w:ascii="Arial" w:cs="Arial" w:eastAsia="Arial" w:hAnsi="Arial"/>
                <w:sz w:val="14"/>
                <w:szCs w:val="14"/>
                <w:b w:val="1"/>
                <w:bCs w:val="1"/>
                <w:color w:val="auto"/>
                <w:w w:val="98"/>
              </w:rPr>
              <w:t xml:space="preserve">December 31, 2015 </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Accounts receivable — trade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Notes receivable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43"/>
        </w:trPr>
        <w:tc>
          <w:tcPr>
            <w:tcW w:w="762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investments in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Notes receivable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97"/>
        </w:trPr>
        <w:tc>
          <w:tcPr>
            <w:tcW w:w="7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840" w:type="dxa"/>
            <w:vAlign w:val="bottom"/>
            <w:tcBorders>
              <w:bottom w:val="single" w:sz="8" w:color="CCEEFF"/>
            </w:tcBorders>
            <w:shd w:val="clear" w:color="auto" w:fill="CCEEFF"/>
          </w:tcPr>
          <w:p>
            <w:pPr>
              <w:jc w:val="center"/>
              <w:ind w:right="710"/>
              <w:spacing w:after="0"/>
              <w:rPr>
                <w:sz w:val="20"/>
                <w:szCs w:val="20"/>
                <w:color w:val="auto"/>
              </w:rPr>
            </w:pPr>
            <w:r>
              <w:rPr>
                <w:rFonts w:ascii="Arial" w:cs="Arial" w:eastAsia="Arial" w:hAnsi="Arial"/>
                <w:sz w:val="18"/>
                <w:szCs w:val="18"/>
                <w:b w:val="1"/>
                <w:bCs w:val="1"/>
                <w:color w:val="auto"/>
              </w:rPr>
              <w:t>LIABILITIES AND MEMBERS'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 — external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Long-term debt — external</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Accounts payable — affiliate</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gridSpan w:val="3"/>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Contributed capital</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57"/>
        </w:trPr>
        <w:tc>
          <w:tcPr>
            <w:tcW w:w="76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52" w:hanging="152"/>
        <w:spacing w:after="0"/>
        <w:tabs>
          <w:tab w:leader="none" w:pos="15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1121" w:right="259" w:bottom="626"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r>
      <w:tr>
        <w:trPr>
          <w:trHeight w:val="250"/>
        </w:trPr>
        <w:tc>
          <w:tcPr>
            <w:tcW w:w="8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amortization and ARO accretion</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Disposal of asset components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prepaid and accrued capacity payments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Drop Down Assets, net of cash acquired</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restricted cash</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Decrease in notes receivable</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renewable energy grants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NRG for CVSR and NRG Wind TE Holdco</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the issuance of Class C units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distributions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 — affiliate</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281</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debt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(payments for) borrowings from the revolving credit facility</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 — external</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Payments for long-term debt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6"/>
          <w:szCs w:val="16"/>
          <w:color w:val="auto"/>
        </w:rPr>
        <w:t>Retrospectively adjusted as discussed in Note 1,</w:t>
      </w:r>
      <w:r>
        <w:rPr>
          <w:rFonts w:ascii="Arial" w:cs="Arial" w:eastAsia="Arial" w:hAnsi="Arial"/>
          <w:sz w:val="11"/>
          <w:szCs w:val="11"/>
          <w:color w:val="auto"/>
        </w:rPr>
        <w:t xml:space="preserve">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NRG Yield LLC's Class B units and Class D units and receives distributions through its ownership of these units. Yield, Inc. owns 100% of NRG Yield LLC's Class A units and Class C units. NRG Yield LLC, through its wholly owned subsidiary Yield Operating LLC, holds a portfolio of renewable and conventional generation and thermal infrastructure assets, primarily located in the Northeast, Southwest and California regions of the U.S.</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29, 2015, Yield, Inc. issued 28,198,000 shares of Class C common stock for net proceeds of $599 million. Yield, Inc. utilized the proceeds of the offering to acquire 28,198,000 Class C units of NRG Yield LLC, increasing its voting interest to 44.9% and its economic interest to 53.3%. Yield, Inc. consolidates the results of the Company through its controlling interest as sole managing member of NRG Yield LLC.</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14605</wp:posOffset>
            </wp:positionV>
            <wp:extent cx="5848985" cy="4322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21" w:right="2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color w:val="auto"/>
        </w:rPr>
        <w:t>As of September 30, 2016, the Company's operating assets are comprised of the following projects: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610</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PFMG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Crosswinds</w:t>
            </w:r>
          </w:p>
        </w:tc>
        <w:tc>
          <w:tcPr>
            <w:tcW w:w="118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Elbow Creek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Elkhorn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Forward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Goat Wind</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Hardin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Lookout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Odin</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San Juan Mesa</w:t>
            </w:r>
          </w:p>
        </w:tc>
        <w:tc>
          <w:tcPr>
            <w:tcW w:w="118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Sleeping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Spanish Fork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Wildorado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5" w:right="239" w:bottom="238"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12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gridSpan w:val="5"/>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7"/>
                <w:shd w:val="clear" w:color="auto" w:fill="CCEEFF"/>
              </w:rPr>
              <w:t>Thermal equivalent MWt</w:t>
            </w:r>
          </w:p>
        </w:tc>
        <w:tc>
          <w:tcPr>
            <w:tcW w:w="1200" w:type="dxa"/>
            <w:vAlign w:val="bottom"/>
            <w:shd w:val="clear" w:color="auto" w:fill="CCEEFF"/>
          </w:tcPr>
          <w:p>
            <w:pPr>
              <w:spacing w:after="0"/>
              <w:rPr>
                <w:sz w:val="20"/>
                <w:szCs w:val="20"/>
                <w:color w:val="auto"/>
              </w:rPr>
            </w:pPr>
            <w:r>
              <w:rPr>
                <w:rFonts w:ascii="Arial" w:cs="Arial" w:eastAsia="Arial" w:hAnsi="Arial"/>
                <w:sz w:val="9"/>
                <w:szCs w:val="9"/>
                <w:color w:val="auto"/>
                <w:shd w:val="clear" w:color="auto" w:fill="CCEEFF"/>
              </w:rPr>
              <w:t>(c)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18"/>
                <w:szCs w:val="18"/>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Various</w:t>
            </w:r>
          </w:p>
        </w:tc>
        <w:tc>
          <w:tcPr>
            <w:tcW w:w="100" w:type="dxa"/>
            <w:vAlign w:val="bottom"/>
            <w:vMerge w:val="restart"/>
            <w:shd w:val="clear" w:color="auto" w:fill="CCEEFF"/>
          </w:tcPr>
          <w:p>
            <w:pPr>
              <w:spacing w:after="0"/>
              <w:rPr>
                <w:sz w:val="18"/>
                <w:szCs w:val="18"/>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49"/>
        </w:trPr>
        <w:tc>
          <w:tcPr>
            <w:tcW w:w="280" w:type="dxa"/>
            <w:vAlign w:val="bottom"/>
            <w:tcBorders>
              <w:bottom w:val="single" w:sz="8" w:color="CCEEFF"/>
            </w:tcBorders>
            <w:shd w:val="clear" w:color="auto" w:fill="CCEEFF"/>
          </w:tcPr>
          <w:p>
            <w:pPr>
              <w:spacing w:after="0"/>
              <w:rPr>
                <w:sz w:val="4"/>
                <w:szCs w:val="4"/>
                <w:color w:val="auto"/>
              </w:rPr>
            </w:pPr>
          </w:p>
        </w:tc>
        <w:tc>
          <w:tcPr>
            <w:tcW w:w="1500" w:type="dxa"/>
            <w:vAlign w:val="bottom"/>
            <w:tcBorders>
              <w:bottom w:val="single" w:sz="8" w:color="CCEEFF"/>
            </w:tcBorders>
            <w:vMerge w:val="continue"/>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1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3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14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4060" w:type="dxa"/>
            <w:vAlign w:val="bottom"/>
            <w:gridSpan w:val="4"/>
          </w:tcPr>
          <w:p>
            <w:pPr>
              <w:spacing w:after="0"/>
              <w:rPr>
                <w:sz w:val="20"/>
                <w:szCs w:val="20"/>
                <w:color w:val="auto"/>
              </w:rPr>
            </w:pPr>
            <w:r>
              <w:rPr>
                <w:rFonts w:ascii="Arial" w:cs="Arial" w:eastAsia="Arial" w:hAnsi="Arial"/>
                <w:sz w:val="14"/>
                <w:szCs w:val="14"/>
                <w:color w:val="auto"/>
              </w:rPr>
              <w:t>NRG Dover Energy Center LLC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76"/>
        </w:trPr>
        <w:tc>
          <w:tcPr>
            <w:tcW w:w="2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Thermal generation</w:t>
            </w:r>
          </w:p>
        </w:tc>
        <w:tc>
          <w:tcPr>
            <w:tcW w:w="1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Various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1,438</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80" w:type="dxa"/>
            <w:vAlign w:val="bottom"/>
            <w:shd w:val="clear" w:color="auto" w:fill="CCEEFF"/>
          </w:tcPr>
          <w:p>
            <w:pPr>
              <w:spacing w:after="0"/>
              <w:rPr>
                <w:sz w:val="16"/>
                <w:szCs w:val="16"/>
                <w:color w:val="auto"/>
              </w:rPr>
            </w:pPr>
          </w:p>
        </w:tc>
        <w:tc>
          <w:tcPr>
            <w:tcW w:w="27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Total net capacity (excluding equivalent MWt)</w:t>
            </w:r>
          </w:p>
        </w:tc>
        <w:tc>
          <w:tcPr>
            <w:tcW w:w="1260" w:type="dxa"/>
            <w:vAlign w:val="bottom"/>
            <w:shd w:val="clear" w:color="auto" w:fill="CCEEFF"/>
          </w:tcPr>
          <w:p>
            <w:pPr>
              <w:spacing w:after="0"/>
              <w:rPr>
                <w:sz w:val="20"/>
                <w:szCs w:val="20"/>
                <w:color w:val="auto"/>
              </w:rPr>
            </w:pPr>
            <w:r>
              <w:rPr>
                <w:rFonts w:ascii="Arial" w:cs="Arial" w:eastAsia="Arial" w:hAnsi="Arial"/>
                <w:sz w:val="9"/>
                <w:szCs w:val="9"/>
                <w:color w:val="auto"/>
                <w:shd w:val="clear" w:color="auto" w:fill="CCEEFF"/>
              </w:rPr>
              <w:t>(d)</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4,686</w:t>
            </w:r>
          </w:p>
        </w:tc>
        <w:tc>
          <w:tcPr>
            <w:tcW w:w="10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80" w:type="dxa"/>
            <w:vAlign w:val="bottom"/>
            <w:tcBorders>
              <w:bottom w:val="single" w:sz="8" w:color="CCEEFF"/>
            </w:tcBorders>
            <w:shd w:val="clear" w:color="auto" w:fill="CCEEFF"/>
          </w:tcPr>
          <w:p>
            <w:pPr>
              <w:spacing w:after="0"/>
              <w:rPr>
                <w:sz w:val="4"/>
                <w:szCs w:val="4"/>
                <w:color w:val="auto"/>
              </w:rPr>
            </w:pPr>
          </w:p>
        </w:tc>
        <w:tc>
          <w:tcPr>
            <w:tcW w:w="2700" w:type="dxa"/>
            <w:vAlign w:val="bottom"/>
            <w:tcBorders>
              <w:bottom w:val="single" w:sz="8" w:color="CCEEFF"/>
            </w:tcBorders>
            <w:gridSpan w:val="2"/>
            <w:vMerge w:val="continue"/>
            <w:shd w:val="clear" w:color="auto" w:fill="CCEEFF"/>
          </w:tcPr>
          <w:p>
            <w:pPr>
              <w:spacing w:after="0"/>
              <w:rPr>
                <w:sz w:val="4"/>
                <w:szCs w:val="4"/>
                <w:color w:val="auto"/>
              </w:rPr>
            </w:pPr>
          </w:p>
        </w:tc>
        <w:tc>
          <w:tcPr>
            <w:tcW w:w="1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3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right="360" w:firstLine="8"/>
        <w:spacing w:after="0" w:line="229" w:lineRule="auto"/>
        <w:tabs>
          <w:tab w:leader="none" w:pos="160" w:val="left"/>
        </w:tabs>
        <w:numPr>
          <w:ilvl w:val="0"/>
          <w:numId w:val="7"/>
        </w:numPr>
        <w:rPr>
          <w:rFonts w:ascii="Arial" w:cs="Arial" w:eastAsia="Arial" w:hAnsi="Arial"/>
          <w:sz w:val="11"/>
          <w:szCs w:val="11"/>
          <w:color w:val="auto"/>
        </w:rPr>
      </w:pPr>
      <w:r>
        <w:rPr>
          <w:rFonts w:ascii="Arial" w:cs="Arial" w:eastAsia="Arial" w:hAnsi="Arial"/>
          <w:sz w:val="16"/>
          <w:szCs w:val="16"/>
          <w:color w:val="auto"/>
        </w:rPr>
        <w:t>Net capacity represents the maximum, or rated, generating capacity of the facility multiplied by the Company's percentage ownership in the facility as of September 30, 2016.</w:t>
      </w:r>
    </w:p>
    <w:p>
      <w:pPr>
        <w:ind w:left="180" w:hanging="172"/>
        <w:spacing w:after="0" w:line="211" w:lineRule="auto"/>
        <w:tabs>
          <w:tab w:leader="none" w:pos="180" w:val="left"/>
        </w:tabs>
        <w:numPr>
          <w:ilvl w:val="0"/>
          <w:numId w:val="7"/>
        </w:numPr>
        <w:rPr>
          <w:rFonts w:ascii="Arial" w:cs="Arial" w:eastAsia="Arial" w:hAnsi="Arial"/>
          <w:sz w:val="11"/>
          <w:szCs w:val="11"/>
          <w:color w:val="auto"/>
        </w:rPr>
      </w:pPr>
      <w:r>
        <w:rPr>
          <w:rFonts w:ascii="Arial" w:cs="Arial" w:eastAsia="Arial" w:hAnsi="Arial"/>
          <w:sz w:val="16"/>
          <w:szCs w:val="16"/>
          <w:color w:val="auto"/>
        </w:rPr>
        <w:t>Projects are part of tax equity arrangements</w:t>
      </w:r>
      <w:r>
        <w:rPr>
          <w:rFonts w:ascii="Arial" w:cs="Arial" w:eastAsia="Arial" w:hAnsi="Arial"/>
          <w:sz w:val="16"/>
          <w:szCs w:val="16"/>
          <w:i w:val="1"/>
          <w:iCs w:val="1"/>
          <w:color w:val="auto"/>
        </w:rPr>
        <w:t>.</w:t>
      </w:r>
    </w:p>
    <w:p>
      <w:pPr>
        <w:ind w:right="420" w:firstLine="8"/>
        <w:spacing w:after="0" w:line="211" w:lineRule="auto"/>
        <w:tabs>
          <w:tab w:leader="none" w:pos="160" w:val="left"/>
        </w:tabs>
        <w:numPr>
          <w:ilvl w:val="0"/>
          <w:numId w:val="7"/>
        </w:numPr>
        <w:rPr>
          <w:rFonts w:ascii="Arial" w:cs="Arial" w:eastAsia="Arial" w:hAnsi="Arial"/>
          <w:sz w:val="11"/>
          <w:szCs w:val="11"/>
          <w:color w:val="auto"/>
        </w:rPr>
      </w:pPr>
      <w:r>
        <w:rPr>
          <w:rFonts w:ascii="Arial" w:cs="Arial" w:eastAsia="Arial" w:hAnsi="Arial"/>
          <w:sz w:val="16"/>
          <w:szCs w:val="16"/>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00" w:firstLine="8"/>
        <w:spacing w:after="0" w:line="224" w:lineRule="auto"/>
        <w:tabs>
          <w:tab w:leader="none" w:pos="167" w:val="left"/>
        </w:tabs>
        <w:numPr>
          <w:ilvl w:val="0"/>
          <w:numId w:val="7"/>
        </w:numPr>
        <w:rPr>
          <w:rFonts w:ascii="Arial" w:cs="Arial" w:eastAsia="Arial" w:hAnsi="Arial"/>
          <w:sz w:val="11"/>
          <w:szCs w:val="11"/>
          <w:color w:val="auto"/>
        </w:rPr>
      </w:pPr>
      <w:r>
        <w:rPr>
          <w:rFonts w:ascii="Arial" w:cs="Arial" w:eastAsia="Arial" w:hAnsi="Arial"/>
          <w:sz w:val="16"/>
          <w:szCs w:val="16"/>
          <w:color w:val="auto"/>
        </w:rPr>
        <w:t xml:space="preserve">Total net capacity excludes 43 MW for RPV Holdco and 52 MW for DGPV Holdco 1 and DGPV Holdco 2 projects, of which the Company's net interests are 41 MW and 49, respectively, based on cash to be distributed. These projects are part of tax equity arrangements and are consolidated by NRG, as further described in Note 4, </w:t>
      </w:r>
      <w:r>
        <w:rPr>
          <w:rFonts w:ascii="Arial" w:cs="Arial" w:eastAsia="Arial" w:hAnsi="Arial"/>
          <w:sz w:val="16"/>
          <w:szCs w:val="16"/>
          <w:i w:val="1"/>
          <w:iCs w:val="1"/>
          <w:color w:val="auto"/>
        </w:rPr>
        <w:t>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Entities, or VIEs</w:t>
      </w:r>
      <w:r>
        <w:rPr>
          <w:rFonts w:ascii="Arial" w:cs="Arial" w:eastAsia="Arial" w:hAnsi="Arial"/>
          <w:sz w:val="16"/>
          <w:szCs w:val="16"/>
          <w:color w:val="auto"/>
        </w:rPr>
        <w:t>.</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Three out of the fourteen district energy systems are subject to rate regulation by state public utility commissions while the other district energy systems have rates determined by negotiated bilateral contracts.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As described in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Company has a management services agreement with NRG for various services, including human resources, accounting, tax, legal, information systems, treasury, and risk management.</w:t>
      </w:r>
    </w:p>
    <w:p>
      <w:pPr>
        <w:spacing w:after="0" w:line="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September 1, 2016, the Company acquired the remaining 51.05% of CVSR, or the CVSR Drop Down, from NRG for cash consideration of $78.5 million plus an immaterial working capital adjustment. Prior to the transaction, the Company recorded its 48.95% interest in CVSR as an equity method investment. The acquisition of the CVSR Drop Down was accounted for as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Accordingly, in connection with the retrospective adjustment of prior periods, the Company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Previously, on November 3, 2015, the Company acquired 75% of the Class B interests of NRG Wind TE Holdco, or the November 2015 Drop Down Assets, from NRG for cash consideration of $209 million. In February 2016, NRG made a final working capital payment of $2 million, reducing total cash consideration to $207 million. On January 2, 2015, the Company acquired the Laredo Ridge, Tapestry, and Walnut Creek projects, or the January 2015 Drop Down Assets, for total cash consideration of $489 million, including $9 million for working capital. The recast for these transactions, referred to as Drop Down Assets, were accounted for as transfers of entities under common control.</w:t>
      </w:r>
    </w:p>
    <w:p>
      <w:pPr>
        <w:spacing w:after="0" w:line="13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Company's consolidated financial statements for the year ended December 31, 2015. Interim results are not necessarily indicative of results for a full year.</w:t>
      </w:r>
    </w:p>
    <w:p>
      <w:pPr>
        <w:spacing w:after="0" w:line="10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2016, and the results of operations, comprehensive income (loss) and cash flows for the three and nine months ended September 30, 2016 and 2015.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September 30, 2016 and December 31,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September 30, 2016</w:t>
            </w:r>
          </w:p>
        </w:tc>
        <w:tc>
          <w:tcPr>
            <w:tcW w:w="184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December 31, 2015</w:t>
            </w:r>
          </w:p>
        </w:tc>
      </w:tr>
      <w:tr>
        <w:trPr>
          <w:trHeight w:val="33"/>
        </w:trPr>
        <w:tc>
          <w:tcPr>
            <w:tcW w:w="260" w:type="dxa"/>
            <w:vAlign w:val="bottom"/>
          </w:tcPr>
          <w:p>
            <w:pPr>
              <w:spacing w:after="0"/>
              <w:rPr>
                <w:sz w:val="2"/>
                <w:szCs w:val="2"/>
                <w:color w:val="auto"/>
              </w:rPr>
            </w:pPr>
          </w:p>
        </w:tc>
        <w:tc>
          <w:tcPr>
            <w:tcW w:w="78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8"/>
        </w:trPr>
        <w:tc>
          <w:tcPr>
            <w:tcW w:w="2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5"/>
        </w:trPr>
        <w:tc>
          <w:tcPr>
            <w:tcW w:w="26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1,002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22"/>
                <w:szCs w:val="22"/>
                <w:color w:val="auto"/>
              </w:rPr>
            </w:pPr>
          </w:p>
        </w:tc>
      </w:tr>
      <w:tr>
        <w:trPr>
          <w:trHeight w:val="27"/>
        </w:trPr>
        <w:tc>
          <w:tcPr>
            <w:tcW w:w="260" w:type="dxa"/>
            <w:vAlign w:val="bottom"/>
          </w:tcPr>
          <w:p>
            <w:pPr>
              <w:spacing w:after="0"/>
              <w:rPr>
                <w:sz w:val="2"/>
                <w:szCs w:val="2"/>
                <w:color w:val="auto"/>
              </w:rPr>
            </w:pPr>
          </w:p>
        </w:tc>
        <w:tc>
          <w:tcPr>
            <w:tcW w:w="7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Noncontrolling Interests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9"/>
        </w:trPr>
        <w:tc>
          <w:tcPr>
            <w:tcW w:w="26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r>
      <w:tr>
        <w:trPr>
          <w:trHeight w:val="270"/>
        </w:trPr>
        <w:tc>
          <w:tcPr>
            <w:tcW w:w="26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2015</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7"/>
        </w:trPr>
        <w:tc>
          <w:tcPr>
            <w:tcW w:w="260" w:type="dxa"/>
            <w:vAlign w:val="bottom"/>
          </w:tcPr>
          <w:p>
            <w:pPr>
              <w:spacing w:after="0"/>
              <w:rPr>
                <w:sz w:val="2"/>
                <w:szCs w:val="2"/>
                <w:color w:val="auto"/>
              </w:rPr>
            </w:pPr>
          </w:p>
        </w:tc>
        <w:tc>
          <w:tcPr>
            <w:tcW w:w="7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contributions from tax equity investors, net of distributions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43"/>
        </w:trPr>
        <w:tc>
          <w:tcPr>
            <w:tcW w:w="26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Distributions to NRG for NRG Wind TE Holdco</w:t>
            </w: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7"/>
        </w:trPr>
        <w:tc>
          <w:tcPr>
            <w:tcW w:w="260" w:type="dxa"/>
            <w:vAlign w:val="bottom"/>
          </w:tcPr>
          <w:p>
            <w:pPr>
              <w:spacing w:after="0"/>
              <w:rPr>
                <w:sz w:val="2"/>
                <w:szCs w:val="2"/>
                <w:color w:val="auto"/>
              </w:rPr>
            </w:pPr>
          </w:p>
        </w:tc>
        <w:tc>
          <w:tcPr>
            <w:tcW w:w="7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70"/>
        </w:trPr>
        <w:tc>
          <w:tcPr>
            <w:tcW w:w="26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2016</w:t>
            </w: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0"/>
        </w:trPr>
        <w:tc>
          <w:tcPr>
            <w:tcW w:w="2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NRG Yield LLC's Class A, B, C and D units during the nine months ended September 30, 2016:</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2016</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2016</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B, C and D unit</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0.23</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0.225</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2, 2016, the Company declared a distribution on its Class A, Class B, Class C and Class D units of $0.25 per unit payable on December 15, 2016 to unit holders of record as of December 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ASU 2016-16 </w:t>
      </w:r>
      <w:r>
        <w:rPr>
          <w:rFonts w:ascii="Arial" w:cs="Arial" w:eastAsia="Arial" w:hAnsi="Arial"/>
          <w:sz w:val="16"/>
          <w:szCs w:val="16"/>
          <w:color w:val="auto"/>
        </w:rPr>
        <w:t>- In October 2016, the FASB issued ASU No. 2016-16,</w:t>
      </w:r>
      <w:r>
        <w:rPr>
          <w:rFonts w:ascii="Arial" w:cs="Arial" w:eastAsia="Arial" w:hAnsi="Arial"/>
          <w:sz w:val="16"/>
          <w:szCs w:val="16"/>
          <w:i w:val="1"/>
          <w:iCs w:val="1"/>
          <w:color w:val="auto"/>
        </w:rPr>
        <w:t xml:space="preserve"> Income Taxes (Topic 740)</w:t>
      </w:r>
      <w:r>
        <w:rPr>
          <w:rFonts w:ascii="Arial" w:cs="Arial" w:eastAsia="Arial" w:hAnsi="Arial"/>
          <w:sz w:val="16"/>
          <w:szCs w:val="16"/>
          <w:color w:val="auto"/>
        </w:rPr>
        <w:t>, Intra-Entity Transfers of Assets Other Than Inventory,</w:t>
      </w:r>
      <w:r>
        <w:rPr>
          <w:rFonts w:ascii="Arial" w:cs="Arial" w:eastAsia="Arial" w:hAnsi="Arial"/>
          <w:sz w:val="16"/>
          <w:szCs w:val="16"/>
          <w:i w:val="1"/>
          <w:iCs w:val="1"/>
          <w:color w:val="auto"/>
        </w:rPr>
        <w:t xml:space="preserve"> </w:t>
      </w:r>
      <w:r>
        <w:rPr>
          <w:rFonts w:ascii="Arial" w:cs="Arial" w:eastAsia="Arial" w:hAnsi="Arial"/>
          <w:sz w:val="16"/>
          <w:szCs w:val="16"/>
          <w:color w:val="auto"/>
        </w:rPr>
        <w:t>or ASU No. 2016-16. The amendments of ASU No. 2016-16 were issued to improve the accounting for the income tax consequences of intra-entity transfers of assets other than inventory. Current GAAP prohibits the recognition of current and deferred income taxes for an intra-entity asset transfer until the asset has been sold to an outside party which has resulted in diversity in practice and increased complexity within financial reporting. The amendments of ASU No. 2016-16 would require an entity to recognize the income tax consequences of an intra-entity transfer of an asset other than inventory when the transfer occurs and do not require new disclosure requirements. The amendments of ASU No. 2016-16 are effective for annual reporting periods beginning after December 15, 2017, and interim periods within those annual periods. Early adoption is permitted and the adoption of ASU No. 2016-16 should be applied on a modified retrospective basis through a cumulative-effect adjustment directly to retained earnings as of the beginning of the period of adoption. The Company is currently evaluating the impact of the standard on the Company’s results of operations, cash flows and financial position.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21" w:right="239" w:bottom="1440" w:gutter="0" w:footer="0" w:header="0"/>
        </w:sectPr>
      </w:pPr>
    </w:p>
    <w:bookmarkStart w:id="14" w:name="page15"/>
    <w:bookmarkEnd w:id="14"/>
    <w:p>
      <w:pPr>
        <w:jc w:val="both"/>
        <w:ind w:firstLine="351"/>
        <w:spacing w:after="0" w:line="289" w:lineRule="auto"/>
        <w:rPr>
          <w:sz w:val="20"/>
          <w:szCs w:val="20"/>
          <w:color w:val="auto"/>
        </w:rPr>
      </w:pPr>
      <w:r>
        <w:rPr>
          <w:rFonts w:ascii="Arial" w:cs="Arial" w:eastAsia="Arial" w:hAnsi="Arial"/>
          <w:sz w:val="16"/>
          <w:szCs w:val="16"/>
          <w:i w:val="1"/>
          <w:iCs w:val="1"/>
          <w:color w:val="auto"/>
        </w:rPr>
        <w:t xml:space="preserve">ASU 2016-15 </w:t>
      </w:r>
      <w:r>
        <w:rPr>
          <w:rFonts w:ascii="Arial" w:cs="Arial" w:eastAsia="Arial" w:hAnsi="Arial"/>
          <w:sz w:val="16"/>
          <w:szCs w:val="16"/>
          <w:color w:val="auto"/>
        </w:rPr>
        <w:t>— In August 2016, the FASB issued ASU No. 2016-15,</w:t>
      </w:r>
      <w:r>
        <w:rPr>
          <w:rFonts w:ascii="Arial" w:cs="Arial" w:eastAsia="Arial" w:hAnsi="Arial"/>
          <w:sz w:val="16"/>
          <w:szCs w:val="16"/>
          <w:i w:val="1"/>
          <w:iCs w:val="1"/>
          <w:color w:val="auto"/>
        </w:rPr>
        <w:t xml:space="preserve"> Statement of Cash Flows (Topic 230)</w:t>
      </w:r>
      <w:r>
        <w:rPr>
          <w:rFonts w:ascii="Arial" w:cs="Arial" w:eastAsia="Arial" w:hAnsi="Arial"/>
          <w:sz w:val="16"/>
          <w:szCs w:val="16"/>
          <w:color w:val="auto"/>
        </w:rPr>
        <w:t>, Classification of Certain Cash Receipts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Payments, or ASU No. 2016-15. The amendments of ASU No. 2016-15 were issued to address eight specific cash flow issues for which stakeholders have indicated to the FASB that a diversity in practice existed in how entities were presenting and classifying these items in the statement of cash flows. The issues addressed by ASU No. 2016-15 include but are not limited to the classification of debt prepayment and debt extinguishment costs, payments made for contingent consideration for a business combination, proceeds from the settlement of insurance proceeds, distributions received from equity method investees and separately identifiable cash flows and the application of the predominance principle. The amendments of ASU No. 2016-15 are effective for public entities for fiscal years beginning after December 15, 2017 and interim periods in those fiscal years. Early adoption is permitted, including adoption in an interim fiscal period with all amendments adopted in the same period. The adoption of ASU No. 2016-15 is required to be applied retrospectively. The Company is currently evaluating the impact of the standard on the Company's statement of cash flows.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ASU 2016-07 </w:t>
      </w:r>
      <w:r>
        <w:rPr>
          <w:rFonts w:ascii="Arial" w:cs="Arial" w:eastAsia="Arial" w:hAnsi="Arial"/>
          <w:sz w:val="16"/>
          <w:szCs w:val="16"/>
          <w:color w:val="auto"/>
        </w:rPr>
        <w:t>— In March 2016, the FASB issued ASU No. 2016-07,</w:t>
      </w:r>
      <w:r>
        <w:rPr>
          <w:rFonts w:ascii="Arial" w:cs="Arial" w:eastAsia="Arial" w:hAnsi="Arial"/>
          <w:sz w:val="16"/>
          <w:szCs w:val="16"/>
          <w:i w:val="1"/>
          <w:iCs w:val="1"/>
          <w:color w:val="auto"/>
        </w:rPr>
        <w:t xml:space="preserve"> Investments - Equity Method and Joint Ventures </w:t>
      </w:r>
      <w:r>
        <w:rPr>
          <w:rFonts w:ascii="Arial" w:cs="Arial" w:eastAsia="Arial" w:hAnsi="Arial"/>
          <w:sz w:val="16"/>
          <w:szCs w:val="16"/>
          <w:color w:val="auto"/>
        </w:rPr>
        <w:t>(Topic 323), or ASU No. 2016-</w:t>
      </w:r>
    </w:p>
    <w:p>
      <w:pPr>
        <w:spacing w:after="0" w:line="46" w:lineRule="exact"/>
        <w:rPr>
          <w:sz w:val="20"/>
          <w:szCs w:val="20"/>
          <w:color w:val="auto"/>
        </w:rPr>
      </w:pPr>
    </w:p>
    <w:p>
      <w:pPr>
        <w:jc w:val="both"/>
        <w:ind w:firstLine="8"/>
        <w:spacing w:after="0" w:line="268" w:lineRule="auto"/>
        <w:tabs>
          <w:tab w:leader="none" w:pos="27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amendments of ASU No. 2016-07 eliminate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with no retroactive adjustment to the investment. In addition, ASU No. 2016-07 requires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guidance in ASU No. 2016-07 is effective for fiscal years beginning after December 15, 2016, and interim periods within those annual periods. The adoption of ASU No. 2016-07 is required to be applied prospectively and early adoption is permitted. The Company does not expect the standard to have a material impact on its results of operations, cash flows and financial position.</w:t>
      </w:r>
    </w:p>
    <w:p>
      <w:pPr>
        <w:spacing w:after="0" w:line="9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ASU 2016-02 </w:t>
      </w:r>
      <w:r>
        <w:rPr>
          <w:rFonts w:ascii="Arial" w:cs="Arial" w:eastAsia="Arial" w:hAnsi="Arial"/>
          <w:sz w:val="17"/>
          <w:szCs w:val="17"/>
          <w:color w:val="auto"/>
        </w:rPr>
        <w:t>— In February 2016, the FASB issued ASU No.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 842), or ASU No. 2016-02. The amendments of ASU No. 2016-02 complete the joint effort between the FASB and the International Accounting Standards Board, or IASB, to develop a common leasing standard for GAAP and International Financial Reporting Standards, or IFRS, with the objective to increase transparency and comparability among organizations by recognizing lease assets and lease liabilities on the balance sheet and to improve financial reporting. The guidance in ASU No. 2016-02 provides that a lessee that may have previously accounted for a lease as an operating lease under current GAAP should recognize the assets and liabilities that arise from a lease on the balance sheet. In addition, ASU No. 2016-02 expands the required quantitative and qualitative disclosures with regards to lease arrangements. The guidance in ASU No. 2016-02 is effective for fiscal years beginning after December 15, 2018, and interim periods within those annual periods. The adoption of ASU No. 2016-02 is required to be applied using a modified retrospective approach for the earliest period presented and early adoption is permitted. The Company is currently working through an adoption plan which includes the evaluation of lease contracts compared to the new standard and evaluating the impact of ASU No.2016-02 on the Company's results of operations, cash flows and financial position.</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ASU 2016-01 </w:t>
      </w:r>
      <w:r>
        <w:rPr>
          <w:rFonts w:ascii="Arial" w:cs="Arial" w:eastAsia="Arial" w:hAnsi="Arial"/>
          <w:sz w:val="18"/>
          <w:szCs w:val="18"/>
          <w:color w:val="auto"/>
        </w:rPr>
        <w:t>— In January 2016, the FASB issued ASU No. 2016-01,</w:t>
      </w:r>
      <w:r>
        <w:rPr>
          <w:rFonts w:ascii="Arial" w:cs="Arial" w:eastAsia="Arial" w:hAnsi="Arial"/>
          <w:sz w:val="18"/>
          <w:szCs w:val="18"/>
          <w:i w:val="1"/>
          <w:iCs w:val="1"/>
          <w:color w:val="auto"/>
        </w:rPr>
        <w:t xml:space="preserve"> Financial Instruments - Overall (Subtopic 825-10): Recognition and Measurement of Financial Assets and Financial Liabilities</w:t>
      </w:r>
      <w:r>
        <w:rPr>
          <w:rFonts w:ascii="Arial" w:cs="Arial" w:eastAsia="Arial" w:hAnsi="Arial"/>
          <w:sz w:val="18"/>
          <w:szCs w:val="18"/>
          <w:color w:val="auto"/>
        </w:rPr>
        <w:t>, or ASU No. 2016-01. The amendments of ASU No. 2016-01 eliminate available-for-sale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equity investments and require that equity investments (except those accounted for under the equity method of accounting, or those that result in consolidation of the investee) to be generally measured at fair value with changes in fair value recognized in net income. Further, the amendments require financial assets and financial liabilities to be presented separately in the notes to the financial statements, grouped by measurement category and form of financial asset. The guidance in ASU No. 2016-01 is effective for financial statements issued for fiscal years beginning after December 15, 2017, and interim periods within those annual periods. The Company is currently evaluating the impact of the standard on the Company's results of operations, cash flows and financial position.</w:t>
      </w:r>
    </w:p>
    <w:p>
      <w:pPr>
        <w:spacing w:after="0" w:line="13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ASU 2015-16 </w:t>
      </w:r>
      <w:r>
        <w:rPr>
          <w:rFonts w:ascii="Arial" w:cs="Arial" w:eastAsia="Arial" w:hAnsi="Arial"/>
          <w:sz w:val="18"/>
          <w:szCs w:val="18"/>
          <w:color w:val="auto"/>
        </w:rPr>
        <w:t>— In September 2015, the FASB issued ASU No. 2015-16,</w:t>
      </w:r>
      <w:r>
        <w:rPr>
          <w:rFonts w:ascii="Arial" w:cs="Arial" w:eastAsia="Arial" w:hAnsi="Arial"/>
          <w:sz w:val="18"/>
          <w:szCs w:val="18"/>
          <w:i w:val="1"/>
          <w:iCs w:val="1"/>
          <w:color w:val="auto"/>
        </w:rPr>
        <w:t xml:space="preserve"> Business Combinations (Topic 805): Simplifying the Accounting for Measurement-Period Adjustments</w:t>
      </w:r>
      <w:r>
        <w:rPr>
          <w:rFonts w:ascii="Arial" w:cs="Arial" w:eastAsia="Arial" w:hAnsi="Arial"/>
          <w:sz w:val="18"/>
          <w:szCs w:val="18"/>
          <w:color w:val="auto"/>
        </w:rPr>
        <w:t>, or ASU No. 2015-16. The amendments of ASU No. 2015-16 require that an acquirer recognize measurement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the provisional amounts recognized in a business combination in the reporting period during which the adjustments are determined. Additionally, the amendments of ASU No. 2015-16 require the acquirer to record in the same period's financial statements the effect on earnings of changes in depreciation, amortization or other income effects, if any, as a result of the measurement period adjustment, calculated as if the accounting had been completed at the acquisition date as well as disclosing on either the face of the income statement or in the notes the portion of the amount recorded in current period earnings that would have been recorded in previous reporting periods. The guidance in ASU No. 2015-16 is effective for financial statements issued for fiscal years beginning after December 15, 2015, and interim periods within those fiscal years. The amendments should be applied prospectively. The Company adopted this standard on January 1, 2016, and the adoption of this standard did not impact the Company's results of operations, cash flows or financial position.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25" w:right="239" w:bottom="1440" w:gutter="0" w:footer="0" w:header="0"/>
        </w:sectPr>
      </w:pPr>
    </w:p>
    <w:bookmarkStart w:id="15" w:name="page16"/>
    <w:bookmarkEnd w:id="15"/>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ASU 2014-09 </w:t>
      </w:r>
      <w:r>
        <w:rPr>
          <w:rFonts w:ascii="Arial" w:cs="Arial" w:eastAsia="Arial" w:hAnsi="Arial"/>
          <w:sz w:val="17"/>
          <w:szCs w:val="17"/>
          <w:color w:val="auto"/>
        </w:rPr>
        <w:t>— In May 2014, the FASB issued ASU No.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or ASU No. 2014-09.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of ASU No. 2014-09 complete the joint effort between the FASB and the IASB, to develop a common revenue standard for GAAP and IFRS, and to improve financial reporting. In addition to ASU No. 2014-09, the FASB has issued additional guidance which provides further clarification on Topic 606 including ASU No. 2016-08, ASU No. 2016-10, ASU No. 2016-12.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four step process to be applied by an entity in evaluating its contracts with customers. In August 2015, the FASB issued ASU No. 2015-14, which formally deferred the effective date by one year to make the guidance of ASU No. 2014-09 effective for annual reporting periods beginning after December 15, 2017, including interim periods therein. Early adoption is permitted, but not prior to the original effective date, which was for annual reporting periods beginning after December 15, 2016. The Company is working through an adoption plan which includes the evaluation of revenue contracts compared to the new standard and evaluating the impact of Topic 606 on the Company'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i w:val="1"/>
          <w:iCs w:val="1"/>
          <w:color w:val="auto"/>
        </w:rPr>
        <w:t xml:space="preserve">CVSR Drop Down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September 1, 2016, the Company had a 48.95% interest in CVSR, which was accounted for as an equity method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 On September 1, 2016, the Company acquired from NRG the remaining 51.05% interest of CVSR Holdco LLC, which indirectly owns the CVSR solar facility, for total cash consideration of $78.5 million plus an immaterial working capital adjustment. The Company also assumed additional debt of $496 million, which represents 51.05% of the CVSR project level debt and 51.05% of the notes issued under the CVSR Holdco Financing Agreement, as further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as of the closing date. The acquisition was funded with cash on hand.</w:t>
      </w:r>
    </w:p>
    <w:p>
      <w:pPr>
        <w:spacing w:after="0" w:line="11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historical value of the entities' equity was recorded as a distribution to NRG with the offset to noncontrolling interest.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has removed the equity method investment from all prior periods and adjusted its financial statements to reflect its results of operations, financial position and cash flows as if it had consolidated CVSR from the beginning of the financial statement period. As of June 30, 2016, the Company's recast consolidated balance sheet included a net receivable of $67 million related to current litigation with SunPower pursuant to indemnities in the project. The agreement between NRG and the Company for the CVSR Drop Down acquisition specified that all amounts related to the litigation with SunPower were excluded from the acquisition. Accordingly, prior to close of the transaction, the net receivable was transferred to NRG as a net reduction to its ownership interest in CVSR.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25"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t>The following is the summary of historical net liabilities assumed in connection with the CVSR Drop Down as of September 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CVSR</w:t>
            </w:r>
          </w:p>
        </w:tc>
      </w:tr>
      <w:tr>
        <w:trPr>
          <w:trHeight w:val="250"/>
        </w:trPr>
        <w:tc>
          <w:tcPr>
            <w:tcW w:w="9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826</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934</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56"/>
        </w:trPr>
        <w:tc>
          <w:tcPr>
            <w:tcW w:w="9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70"/>
        </w:trPr>
        <w:tc>
          <w:tcPr>
            <w:tcW w:w="9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966</w:t>
            </w: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978</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liabilities assumed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8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Historical Net Liabilities Assumed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Net of deferred financing costs of $5 million.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Since the acquisition date, CVSR has contributed $9 million in operating revenues and $4 million in net income to the Company.</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tables present the historical information summary combining the financial information for the CVSR Drop Down transferred in connection with the acquisition:</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31, 2015</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Previously Reported</w:t>
            </w:r>
          </w:p>
        </w:tc>
        <w:tc>
          <w:tcPr>
            <w:tcW w:w="16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CVSR</w:t>
            </w: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As Currently Reported</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4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5,056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5,878</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17"/>
        </w:trPr>
        <w:tc>
          <w:tcPr>
            <w:tcW w:w="546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7,608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8,522</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Debt</w:t>
            </w:r>
          </w:p>
        </w:tc>
        <w:tc>
          <w:tcPr>
            <w:tcW w:w="4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7"/>
        </w:trPr>
        <w:tc>
          <w:tcPr>
            <w:tcW w:w="546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5,174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5,982</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assets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00" w:type="dxa"/>
            <w:vAlign w:val="bottom"/>
            <w:gridSpan w:val="6"/>
          </w:tcPr>
          <w:p>
            <w:pPr>
              <w:jc w:val="center"/>
              <w:ind w:left="361"/>
              <w:spacing w:after="0"/>
              <w:rPr>
                <w:sz w:val="20"/>
                <w:szCs w:val="20"/>
                <w:color w:val="auto"/>
              </w:rPr>
            </w:pPr>
            <w:r>
              <w:rPr>
                <w:rFonts w:ascii="Arial" w:cs="Arial" w:eastAsia="Arial" w:hAnsi="Arial"/>
                <w:sz w:val="16"/>
                <w:szCs w:val="16"/>
                <w:b w:val="1"/>
                <w:bCs w:val="1"/>
                <w:color w:val="auto"/>
                <w:w w:val="90"/>
              </w:rPr>
              <w:t>Three months ended September 30, 2015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Previously Reported</w:t>
            </w:r>
          </w:p>
        </w:tc>
        <w:tc>
          <w:tcPr>
            <w:tcW w:w="160" w:type="dxa"/>
            <w:vAlign w:val="bottom"/>
          </w:tcPr>
          <w:p>
            <w:pPr>
              <w:spacing w:after="0"/>
              <w:rPr>
                <w:sz w:val="18"/>
                <w:szCs w:val="18"/>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8"/>
              </w:rPr>
              <w:t>CVSR</w:t>
            </w:r>
          </w:p>
        </w:tc>
        <w:tc>
          <w:tcPr>
            <w:tcW w:w="17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As Currently Reported</w:t>
            </w:r>
          </w:p>
        </w:tc>
        <w:tc>
          <w:tcPr>
            <w:tcW w:w="0" w:type="dxa"/>
            <w:vAlign w:val="bottom"/>
          </w:tcPr>
          <w:p>
            <w:pPr>
              <w:spacing w:after="0"/>
              <w:rPr>
                <w:sz w:val="1"/>
                <w:szCs w:val="1"/>
                <w:color w:val="auto"/>
              </w:rPr>
            </w:pPr>
          </w:p>
        </w:tc>
      </w:tr>
      <w:tr>
        <w:trPr>
          <w:trHeight w:val="140"/>
        </w:trPr>
        <w:tc>
          <w:tcPr>
            <w:tcW w:w="5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8"/>
              </w:rPr>
              <w:t>(a)</w:t>
            </w: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revenues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4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5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197485</wp:posOffset>
            </wp:positionV>
            <wp:extent cx="1389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07" w:lineRule="exact"/>
        <w:rPr>
          <w:sz w:val="20"/>
          <w:szCs w:val="20"/>
          <w:color w:val="auto"/>
        </w:rPr>
      </w:pPr>
    </w:p>
    <w:p>
      <w:pPr>
        <w:ind w:left="320" w:hanging="150"/>
        <w:spacing w:after="0"/>
        <w:tabs>
          <w:tab w:leader="none" w:pos="3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Previously reported in Note 15, </w:t>
      </w:r>
      <w:r>
        <w:rPr>
          <w:rFonts w:ascii="Arial" w:cs="Arial" w:eastAsia="Arial" w:hAnsi="Arial"/>
          <w:sz w:val="14"/>
          <w:szCs w:val="14"/>
          <w:i w:val="1"/>
          <w:iCs w:val="1"/>
          <w:color w:val="auto"/>
        </w:rPr>
        <w:t>Unaudited Quarterly Data,</w:t>
      </w:r>
      <w:r>
        <w:rPr>
          <w:rFonts w:ascii="Arial" w:cs="Arial" w:eastAsia="Arial" w:hAnsi="Arial"/>
          <w:sz w:val="14"/>
          <w:szCs w:val="14"/>
          <w:color w:val="auto"/>
        </w:rPr>
        <w:t xml:space="preserve"> to the Company's consolidated financial statements included in the 2015 Form 10-K</w:t>
      </w:r>
      <w:r>
        <w:rPr>
          <w:rFonts w:ascii="Arial" w:cs="Arial" w:eastAsia="Arial" w:hAnsi="Arial"/>
          <w:sz w:val="12"/>
          <w:szCs w:val="12"/>
          <w:color w:val="auto"/>
        </w:rPr>
        <w:t>.</w:t>
      </w:r>
    </w:p>
    <w:p>
      <w:pPr>
        <w:spacing w:after="0" w:line="396"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16</w:t>
      </w:r>
    </w:p>
    <w:p>
      <w:pPr>
        <w:sectPr>
          <w:pgSz w:w="11900" w:h="16838" w:orient="portrait"/>
          <w:cols w:equalWidth="0" w:num="1">
            <w:col w:w="11420"/>
          </w:cols>
          <w:pgMar w:left="240" w:top="1125" w:right="239" w:bottom="1440" w:gutter="0" w:footer="0" w:header="0"/>
        </w:sectPr>
      </w:pPr>
    </w:p>
    <w:bookmarkStart w:id="17" w:name="page18"/>
    <w:bookmarkEnd w:id="17"/>
    <w:tbl>
      <w:tblPr>
        <w:tblLayout w:type="fixed"/>
        <w:tblInd w:w="2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40" w:type="dxa"/>
            <w:vAlign w:val="bottom"/>
            <w:gridSpan w:val="5"/>
          </w:tcPr>
          <w:p>
            <w:pPr>
              <w:jc w:val="center"/>
              <w:ind w:right="399"/>
              <w:spacing w:after="0"/>
              <w:rPr>
                <w:sz w:val="20"/>
                <w:szCs w:val="20"/>
                <w:color w:val="auto"/>
              </w:rPr>
            </w:pPr>
            <w:r>
              <w:rPr>
                <w:rFonts w:ascii="Arial" w:cs="Arial" w:eastAsia="Arial" w:hAnsi="Arial"/>
                <w:sz w:val="16"/>
                <w:szCs w:val="16"/>
                <w:b w:val="1"/>
                <w:bCs w:val="1"/>
                <w:color w:val="auto"/>
                <w:w w:val="89"/>
              </w:rPr>
              <w:t>Nine months ended September 30, 2015</w:t>
            </w:r>
          </w:p>
        </w:tc>
        <w:tc>
          <w:tcPr>
            <w:tcW w:w="84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5460" w:type="dxa"/>
            <w:vAlign w:val="bottom"/>
          </w:tcPr>
          <w:p>
            <w:pPr>
              <w:spacing w:after="0"/>
              <w:rPr>
                <w:sz w:val="18"/>
                <w:szCs w:val="18"/>
                <w:color w:val="auto"/>
              </w:rPr>
            </w:pPr>
          </w:p>
        </w:tc>
        <w:tc>
          <w:tcPr>
            <w:tcW w:w="1360" w:type="dxa"/>
            <w:vAlign w:val="bottom"/>
          </w:tcPr>
          <w:p>
            <w:pPr>
              <w:jc w:val="center"/>
              <w:ind w:left="339"/>
              <w:spacing w:after="0"/>
              <w:rPr>
                <w:sz w:val="20"/>
                <w:szCs w:val="20"/>
                <w:color w:val="auto"/>
              </w:rPr>
            </w:pPr>
            <w:r>
              <w:rPr>
                <w:rFonts w:ascii="Arial" w:cs="Arial" w:eastAsia="Arial" w:hAnsi="Arial"/>
                <w:sz w:val="16"/>
                <w:szCs w:val="16"/>
                <w:b w:val="1"/>
                <w:bCs w:val="1"/>
                <w:color w:val="auto"/>
                <w:w w:val="88"/>
              </w:rPr>
              <w:t>As Previously</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5460" w:type="dxa"/>
            <w:vAlign w:val="bottom"/>
          </w:tcPr>
          <w:p>
            <w:pPr>
              <w:spacing w:after="0"/>
              <w:rPr>
                <w:sz w:val="21"/>
                <w:szCs w:val="21"/>
                <w:color w:val="auto"/>
              </w:rPr>
            </w:pPr>
          </w:p>
        </w:tc>
        <w:tc>
          <w:tcPr>
            <w:tcW w:w="136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87"/>
              </w:rPr>
              <w:t xml:space="preserve">Reported </w:t>
            </w:r>
            <w:r>
              <w:rPr>
                <w:rFonts w:ascii="Arial" w:cs="Arial" w:eastAsia="Arial" w:hAnsi="Arial"/>
                <w:sz w:val="21"/>
                <w:szCs w:val="21"/>
                <w:b w:val="1"/>
                <w:bCs w:val="1"/>
                <w:color w:val="auto"/>
                <w:w w:val="87"/>
                <w:vertAlign w:val="superscript"/>
              </w:rPr>
              <w:t>(a)</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98"/>
              </w:rPr>
              <w:t>CVSR</w:t>
            </w:r>
          </w:p>
        </w:tc>
        <w:tc>
          <w:tcPr>
            <w:tcW w:w="4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Currently Reported</w:t>
            </w:r>
          </w:p>
        </w:tc>
      </w:tr>
      <w:tr>
        <w:trPr>
          <w:trHeight w:val="264"/>
        </w:trPr>
        <w:tc>
          <w:tcPr>
            <w:tcW w:w="5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revenues</w:t>
            </w:r>
          </w:p>
        </w:tc>
        <w:tc>
          <w:tcPr>
            <w:tcW w:w="136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9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w:t>
            </w: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3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212</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9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33"/>
        </w:trPr>
        <w:tc>
          <w:tcPr>
            <w:tcW w:w="5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3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9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5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197485</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96" w:lineRule="exact"/>
        <w:rPr>
          <w:sz w:val="20"/>
          <w:szCs w:val="20"/>
          <w:color w:val="auto"/>
        </w:rPr>
      </w:pPr>
    </w:p>
    <w:p>
      <w:pPr>
        <w:ind w:left="340" w:hanging="170"/>
        <w:spacing w:after="0"/>
        <w:tabs>
          <w:tab w:leader="none" w:pos="34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 xml:space="preserve">Previously reported in Note 15, </w:t>
      </w:r>
      <w:r>
        <w:rPr>
          <w:rFonts w:ascii="Arial" w:cs="Arial" w:eastAsia="Arial" w:hAnsi="Arial"/>
          <w:sz w:val="15"/>
          <w:szCs w:val="15"/>
          <w:i w:val="1"/>
          <w:iCs w:val="1"/>
          <w:color w:val="auto"/>
        </w:rPr>
        <w:t>Unaudited Quarterly Data,</w:t>
      </w:r>
      <w:r>
        <w:rPr>
          <w:rFonts w:ascii="Arial" w:cs="Arial" w:eastAsia="Arial" w:hAnsi="Arial"/>
          <w:sz w:val="15"/>
          <w:szCs w:val="15"/>
          <w:color w:val="auto"/>
        </w:rPr>
        <w:t xml:space="preserve"> to the Company's consolidated financial statements included in the 2015 Form 10-K</w:t>
      </w:r>
      <w:r>
        <w:rPr>
          <w:rFonts w:ascii="Arial" w:cs="Arial" w:eastAsia="Arial" w:hAnsi="Arial"/>
          <w:sz w:val="13"/>
          <w:szCs w:val="13"/>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67"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i w:val="1"/>
          <w:iCs w:val="1"/>
          <w:color w:val="auto"/>
        </w:rPr>
        <w:t xml:space="preserve">November 2015 Drop Down Assets from NRG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November 3, 2015, the Company acquired the November 2015 Drop Down Assets, a portfolio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 wind facilities totaling 814 net MW, from NRG for cash consideration of $209 million, subject to working capital adjustments. In February 2016, NRG made a final working capital payment of $2 million, reducing total cash consideration to $207 million. The Company is responsible for its pro-rata share of non-recourse project debt of $193 million and noncontrolling interest associated with a tax equity structure of $159 million (as of the acquisition date).</w:t>
      </w:r>
    </w:p>
    <w:p>
      <w:pPr>
        <w:spacing w:after="0" w:line="10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funded the acquisition with borrowings from its revolving credit facility. The assets and liabilities transferred to the Company relate to interests under common control by NRG and were recorded at historical cost. The difference between the cash paid and historical value of the entities' equity was recorded as a distribution from NRG with the offset to contributed capital.</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10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29, 2015, the Company acquired 25% of the membership interest in Desert Sunlight Investment Holdings,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two solar photovoltaic facilities that total 550 MW, located in 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13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Spring Canyon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7, 2015, the Company acquired a 90.1% interest in Spring Canyon II, a 32 MW wind facility, and Spring Canyon III, a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each located in Logan County, Colorado, from Invenergy Wind Global LLC. The purchase price was funded with cash on hand. Power generated by Spring Canyon II and Spring Canyon III is sold to Platte River Power Authority under long-term PPAs with approximately 24 years of remaining contract life.</w:t>
      </w:r>
    </w:p>
    <w:p>
      <w:pPr>
        <w:spacing w:after="0" w:line="12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University of Bridgeport Fuel Cell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30, 2015, the Company completed the acquisition of the University of Bridgeport Fuel Cell project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Bridgeport, Connecticut from FuelCell Energy, Inc. The project added an additional 1.4 MW of thermal capacity to the Company's portfolio, with a 12-year contract, with the option for a 7-year extension. The acquisition is reflected in the Company's Thermal segment.</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January 2015 Drop Down Assets from NRG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2, 2015, the Company acquired the following projects from NRG: (i) Laredo Ridge, an 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located in Petersburg, Nebraska, (ii) 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The difference between the cash paid and the historical value of the entities' equity of $61 million, as well as $23 million of AOCL, was recorded as a distribution to NRG and reduced the balance of its contributed capital.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Company's consolidated financial statements included in the 2015 Form 10-K.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2016:</w:t>
      </w:r>
    </w:p>
    <w:p>
      <w:pPr>
        <w:spacing w:after="0" w:line="15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NRG Wind TE</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Alta Wind TE</w:t>
            </w:r>
          </w:p>
        </w:tc>
        <w:tc>
          <w:tcPr>
            <w:tcW w:w="140" w:type="dxa"/>
            <w:vAlign w:val="bottom"/>
          </w:tcPr>
          <w:p>
            <w:pPr>
              <w:spacing w:after="0"/>
              <w:rPr>
                <w:sz w:val="14"/>
                <w:szCs w:val="14"/>
                <w:color w:val="auto"/>
              </w:rPr>
            </w:pPr>
          </w:p>
        </w:tc>
        <w:tc>
          <w:tcPr>
            <w:tcW w:w="11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Spring Canyon</w:t>
            </w:r>
          </w:p>
        </w:tc>
        <w:tc>
          <w:tcPr>
            <w:tcW w:w="0" w:type="dxa"/>
            <w:vAlign w:val="bottom"/>
          </w:tcPr>
          <w:p>
            <w:pPr>
              <w:spacing w:after="0"/>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Holdco</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96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4960" w:type="dxa"/>
            <w:vAlign w:val="bottom"/>
          </w:tcPr>
          <w:p>
            <w:pPr>
              <w:ind w:left="460"/>
              <w:spacing w:after="0"/>
              <w:rPr>
                <w:sz w:val="20"/>
                <w:szCs w:val="20"/>
                <w:color w:val="auto"/>
              </w:rPr>
            </w:pPr>
            <w:r>
              <w:rPr>
                <w:rFonts w:ascii="Arial" w:cs="Arial" w:eastAsia="Arial" w:hAnsi="Arial"/>
                <w:sz w:val="18"/>
                <w:szCs w:val="18"/>
                <w:color w:val="auto"/>
              </w:rPr>
              <w:t>Net assets less noncontrolling interests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auto"/>
        </w:rPr>
        <w:t>to the Company's consolidated financial statements included in the 2015 Form 10-K.</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NRG 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NRG, maintain a partnership, NRG DGPV Holdco 1 LLC, or DGPV Holdco 1, the purpose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to own or purchase solar power generation projects and other ancillary related assets from NRG Renew LLC or its subsidiaries, via intermediate funds, including: (i) a tax equity-financed portfolio of 10 recently completed community solar projects representing approximately 8 MW with a weighted average remaining PPA term of 20 years; and (ii) a tax equity-financed portfolio of approximately 12 commercial photovoltaic systems representing approximately 37 MW with a weighted average remaining PPA term of 19 years. Both of these investments relate to the Company's $100 million commitment to distributed solar projects in partnership with NRG.</w:t>
      </w:r>
    </w:p>
    <w:p>
      <w:pPr>
        <w:spacing w:after="0" w:line="13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29, 2016, the Company and NRG entered into an additional partnership by forming NRG DGPV Holdco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or DGPV Holdco 2, to own or purchase solar power generation projects representing approximately 7 MW with a weighted average remaining PPA term of 18 years as well as other ancillary related assets from NRG Renew LLC or its subsidiaries, via intermediate funds. Under this partnership, the Company committed to fund up to $50 million of capital.</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is limited to its equity investment in DGPV Holdco 1 and DGPV Holdco 2, which was $77 million on a combined basis as of September 30, 2016.</w:t>
      </w:r>
    </w:p>
    <w:p>
      <w:pPr>
        <w:spacing w:after="0" w:line="11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NRG RPV Holdco 1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NRG Residential Solar Solutions LLC, a subsidiary of NRG, maintain a partnership, NRG RPV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Holdco 1 LLC, or RPV Holdco, that holds operating portfolios of residential solar assets developed by NRG's residential solar business, including: (i) an existing, unlevered portfolio of over 2,000 leases across nine states representing approximately 15 MW with a weighted average remaining lease term of approximately 17 years that was acquired outside of the partnership; and (ii) a tax equity-financed portfolio of approximately 5,400 leases representing approximately 28 MW, with an average lease term for the existing and new leases of approximately 17 to 20 years. In addition to the acquisition of the unlevered portfolio of leases, the Company had previously committed to fund up to $150 million of capital to invest in the tax equity financed portfolio, which was reduced to $100 million in February 2016. On August 5, 2016, the Company and NRG amended the RPV Holdco partnership to further reduce that capital commitment of $100 million to $60 million in connection with NRG’s change in business model approach in the residential solar business. As of September 30, 2016, the Company had contributed $57 million of this amount.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21" w:right="2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The Company's maximum exposure to loss is limited to its equity investment, which was $70 million as of September 30, 2016.</w:t>
      </w:r>
    </w:p>
    <w:p>
      <w:pPr>
        <w:spacing w:after="0" w:line="1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GenConn Energy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a 50% interest in GCE Holding LLC, the owner of GenConn, which owns and operates two 190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peaking generation facilities in Connecticut at the Devon and Middletown sites. As of September 30, 2016, the Company's investment in GenConn was $106 million and its maximum exposure to loss is limited to its equity investment.</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for GCE Holding LLC:</w:t>
      </w:r>
    </w:p>
    <w:p>
      <w:pPr>
        <w:spacing w:after="0" w:line="392"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3"/>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69"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3"/>
              </w:rPr>
              <w:t>September 30, 2016</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2015</w:t>
            </w:r>
          </w:p>
        </w:tc>
      </w:tr>
      <w:tr>
        <w:trPr>
          <w:trHeight w:val="251"/>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rPr>
                <w:sz w:val="21"/>
                <w:szCs w:val="21"/>
                <w:color w:val="auto"/>
              </w:rPr>
            </w:pPr>
          </w:p>
        </w:tc>
        <w:tc>
          <w:tcPr>
            <w:tcW w:w="3220" w:type="dxa"/>
            <w:vAlign w:val="bottom"/>
            <w:gridSpan w:val="3"/>
          </w:tcPr>
          <w:p>
            <w:pPr>
              <w:jc w:val="right"/>
              <w:ind w:right="121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accounts payable — affiliate,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September 30, 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 xml:space="preserve">As of December 31, 2015 </w:t>
            </w:r>
            <w:r>
              <w:rPr>
                <w:rFonts w:ascii="Arial" w:cs="Arial" w:eastAsia="Arial" w:hAnsi="Arial"/>
                <w:sz w:val="8"/>
                <w:szCs w:val="8"/>
                <w:b w:val="1"/>
                <w:bCs w:val="1"/>
                <w:color w:val="auto"/>
              </w:rPr>
              <w:t>(a)</w:t>
            </w:r>
          </w:p>
        </w:tc>
      </w:tr>
      <w:tr>
        <w:trPr>
          <w:trHeight w:val="263"/>
        </w:trPr>
        <w:tc>
          <w:tcPr>
            <w:tcW w:w="4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15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47</w:t>
            </w:r>
          </w:p>
        </w:tc>
      </w:tr>
      <w:tr>
        <w:trPr>
          <w:trHeight w:val="27"/>
        </w:trPr>
        <w:tc>
          <w:tcPr>
            <w:tcW w:w="4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553</w:t>
            </w:r>
          </w:p>
        </w:tc>
      </w:tr>
      <w:tr>
        <w:trPr>
          <w:trHeight w:val="27"/>
        </w:trPr>
        <w:tc>
          <w:tcPr>
            <w:tcW w:w="4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 including current portion</w:t>
            </w:r>
          </w:p>
        </w:tc>
        <w:tc>
          <w:tcPr>
            <w:tcW w:w="15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5,060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4,974</w:t>
            </w:r>
          </w:p>
        </w:tc>
      </w:tr>
      <w:tr>
        <w:trPr>
          <w:trHeight w:val="513"/>
        </w:trPr>
        <w:tc>
          <w:tcPr>
            <w:tcW w:w="482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20" w:name="page21"/>
    <w:bookmarkEnd w:id="20"/>
    <w:p>
      <w:pPr>
        <w:ind w:left="300" w:hanging="130"/>
        <w:spacing w:after="0"/>
        <w:tabs>
          <w:tab w:leader="none" w:pos="300" w:val="left"/>
        </w:tabs>
        <w:numPr>
          <w:ilvl w:val="0"/>
          <w:numId w:val="13"/>
        </w:numPr>
        <w:rPr>
          <w:rFonts w:ascii="Arial" w:cs="Arial" w:eastAsia="Arial" w:hAnsi="Arial"/>
          <w:sz w:val="15"/>
          <w:szCs w:val="15"/>
          <w:color w:val="auto"/>
          <w:vertAlign w:val="superscript"/>
        </w:rPr>
      </w:pPr>
      <w:r>
        <w:rPr>
          <w:rFonts w:ascii="Arial" w:cs="Arial" w:eastAsia="Arial" w:hAnsi="Arial"/>
          <w:sz w:val="13"/>
          <w:szCs w:val="13"/>
          <w:color w:val="auto"/>
        </w:rPr>
        <w:drawing>
          <wp:anchor simplePos="0" relativeHeight="251657728" behindDoc="1" locked="0" layoutInCell="0" allowOverlap="1">
            <wp:simplePos x="0" y="0"/>
            <wp:positionH relativeFrom="page">
              <wp:posOffset>260350</wp:posOffset>
            </wp:positionH>
            <wp:positionV relativeFrom="page">
              <wp:posOffset>886460</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890"/>
                    </a:xfrm>
                    <a:prstGeom prst="rect">
                      <a:avLst/>
                    </a:prstGeom>
                    <a:noFill/>
                  </pic:spPr>
                </pic:pic>
              </a:graphicData>
            </a:graphic>
          </wp:anchor>
        </w:drawing>
        <w:t xml:space="preserve">Retrospectively adjusted as discussed in Note 1, </w:t>
      </w:r>
      <w:r>
        <w:rPr>
          <w:rFonts w:ascii="Arial" w:cs="Arial" w:eastAsia="Arial" w:hAnsi="Arial"/>
          <w:sz w:val="13"/>
          <w:szCs w:val="13"/>
          <w:i w:val="1"/>
          <w:iCs w:val="1"/>
          <w:color w:val="auto"/>
        </w:rPr>
        <w:t>Nature of Business</w:t>
      </w:r>
      <w:r>
        <w:rPr>
          <w:rFonts w:ascii="Arial" w:cs="Arial" w:eastAsia="Arial" w:hAnsi="Arial"/>
          <w:sz w:val="13"/>
          <w:szCs w:val="13"/>
          <w:color w:val="auto"/>
        </w:rPr>
        <w:t>.</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2016 and December 31, 2015:</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As of September 30, 2016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2015</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850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4,872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5,114</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records its derivative assets and liabilities at fair value on its consolidated balance sheet. There were no derivative asset positions on the Company's consolidated balance sheet as of December 31, 2015. The following table presents assets and liabilities measured and recorded at fair value on the Company's consolidated balance sheets on a recurring basis and their level within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 September</w:t>
            </w:r>
          </w:p>
        </w:tc>
        <w:tc>
          <w:tcPr>
            <w:tcW w:w="14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30, 2016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8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0" w:type="dxa"/>
            <w:vAlign w:val="bottom"/>
          </w:tcPr>
          <w:p>
            <w:pPr>
              <w:spacing w:after="0"/>
              <w:rPr>
                <w:sz w:val="1"/>
                <w:szCs w:val="1"/>
                <w:color w:val="auto"/>
              </w:rPr>
            </w:pP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21"/>
                <w:szCs w:val="21"/>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Level 2</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5"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There were no derivative assets or liabilities classified as Level 1 or Level 3 as of September 30, 2016, and December 31,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2016, the credit reserve resulted in a $4 million increase in fair value, which was composed of a $3 million gain in OCI and $1 million reduction in interest expense. It is possible that future market prices could vary from those used in recording assets and liabilities and such variations could be material.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 xml:space="preserve">In addition to the credit risk discussion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w:t>
      </w:r>
      <w:r>
        <w:rPr>
          <w:rFonts w:ascii="Arial" w:cs="Arial" w:eastAsia="Arial" w:hAnsi="Arial"/>
          <w:sz w:val="17"/>
          <w:szCs w:val="17"/>
          <w:color w:val="231F20"/>
        </w:rPr>
        <w:t>to the Company's consolidated financial statements</w:t>
      </w:r>
      <w:r>
        <w:rPr>
          <w:rFonts w:ascii="Arial" w:cs="Arial" w:eastAsia="Arial" w:hAnsi="Arial"/>
          <w:sz w:val="17"/>
          <w:szCs w:val="17"/>
          <w:color w:val="auto"/>
        </w:rPr>
        <w:t xml:space="preserve"> </w:t>
      </w:r>
      <w:r>
        <w:rPr>
          <w:rFonts w:ascii="Arial" w:cs="Arial" w:eastAsia="Arial" w:hAnsi="Arial"/>
          <w:sz w:val="17"/>
          <w:szCs w:val="17"/>
          <w:color w:val="231F20"/>
        </w:rPr>
        <w:t>included in the Company's 2015 Form 10-K</w:t>
      </w:r>
      <w:r>
        <w:rPr>
          <w:rFonts w:ascii="Arial" w:cs="Arial" w:eastAsia="Arial" w:hAnsi="Arial"/>
          <w:sz w:val="17"/>
          <w:szCs w:val="17"/>
          <w:color w:val="000000"/>
        </w:rPr>
        <w:t>, the following is a discussion of the concentration of credit risk for the Company's financial instruments. Credit</w:t>
      </w:r>
      <w:r>
        <w:rPr>
          <w:rFonts w:ascii="Arial" w:cs="Arial" w:eastAsia="Arial" w:hAnsi="Arial"/>
          <w:sz w:val="17"/>
          <w:szCs w:val="17"/>
          <w:color w:val="231F20"/>
        </w:rPr>
        <w:t xml:space="preserve"> </w:t>
      </w:r>
      <w:r>
        <w:rPr>
          <w:rFonts w:ascii="Arial" w:cs="Arial" w:eastAsia="Arial" w:hAnsi="Arial"/>
          <w:sz w:val="17"/>
          <w:szCs w:val="17"/>
          <w:color w:val="000000"/>
        </w:rPr>
        <w:t>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September 30, 2016, credit risk exposure to these counterparties attributable to the Company's ownership interests was approximately $2.6 billion for the next five years. The majority of these power contracts are with utilities with strong credit quality and public utility commission or other regulatory support, as further described in Note 11, </w:t>
      </w:r>
      <w:r>
        <w:rPr>
          <w:rFonts w:ascii="Arial" w:cs="Arial" w:eastAsia="Arial" w:hAnsi="Arial"/>
          <w:sz w:val="18"/>
          <w:szCs w:val="18"/>
          <w:i w:val="1"/>
          <w:iCs w:val="1"/>
          <w:color w:val="auto"/>
        </w:rPr>
        <w:t>Segment Reporting</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to the Company's consolidated</w:t>
      </w:r>
      <w:r>
        <w:rPr>
          <w:rFonts w:ascii="Arial" w:cs="Arial" w:eastAsia="Arial" w:hAnsi="Arial"/>
          <w:sz w:val="18"/>
          <w:szCs w:val="18"/>
          <w:color w:val="auto"/>
        </w:rPr>
        <w:t xml:space="preserve"> </w:t>
      </w:r>
      <w:r>
        <w:rPr>
          <w:rFonts w:ascii="Arial" w:cs="Arial" w:eastAsia="Arial" w:hAnsi="Arial"/>
          <w:sz w:val="18"/>
          <w:szCs w:val="18"/>
          <w:color w:val="231F20"/>
        </w:rPr>
        <w:t>financial statements included in the Company's 2015 Form 10-K</w:t>
      </w:r>
      <w:r>
        <w:rPr>
          <w:rFonts w:ascii="Arial" w:cs="Arial" w:eastAsia="Arial" w:hAnsi="Arial"/>
          <w:sz w:val="18"/>
          <w:szCs w:val="18"/>
          <w:color w:val="000000"/>
        </w:rPr>
        <w:t>. However, such regulated utility counterparties can be impacted by changes in government</w:t>
      </w:r>
      <w:r>
        <w:rPr>
          <w:rFonts w:ascii="Arial" w:cs="Arial" w:eastAsia="Arial" w:hAnsi="Arial"/>
          <w:sz w:val="18"/>
          <w:szCs w:val="18"/>
          <w:color w:val="231F20"/>
        </w:rPr>
        <w:t xml:space="preserve"> </w:t>
      </w:r>
      <w:r>
        <w:rPr>
          <w:rFonts w:ascii="Arial" w:cs="Arial" w:eastAsia="Arial" w:hAnsi="Arial"/>
          <w:sz w:val="18"/>
          <w:szCs w:val="18"/>
          <w:color w:val="000000"/>
        </w:rPr>
        <w:t>regulations, which the Company is unable to predict.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Company's consolidated financial statements </w:t>
      </w:r>
      <w:r>
        <w:rPr>
          <w:rFonts w:ascii="Arial" w:cs="Arial" w:eastAsia="Arial" w:hAnsi="Arial"/>
          <w:sz w:val="18"/>
          <w:szCs w:val="18"/>
          <w:color w:val="000000"/>
        </w:rPr>
        <w:t>included in the Company's 2015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of September 30, 2016, the Company had forward contracts for the purchase of fuel commodities relating to the forecasted usage of the Company’s district energy centers extending through 2018. At September 30, 2016, these contracts were not designated as cash flow or fair value hedges.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2016, the Company had interest rate derivative instruments on non-recourse debt extending through 2031, most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7"/>
              </w:rPr>
              <w:t>September 30, 2016</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7"/>
              </w:rPr>
              <w:t xml:space="preserve">December 31, 2015 </w:t>
            </w:r>
            <w:r>
              <w:rPr>
                <w:rFonts w:ascii="Arial" w:cs="Arial" w:eastAsia="Arial" w:hAnsi="Arial"/>
                <w:sz w:val="8"/>
                <w:szCs w:val="8"/>
                <w:b w:val="1"/>
                <w:bCs w:val="1"/>
                <w:color w:val="auto"/>
                <w:w w:val="97"/>
              </w:rPr>
              <w:t>(a)</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1,875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1,991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5"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There were no derivative asset positions on the balance sheet as of December 31, 2015. The following table summarizes the fair value within the derivative instrument valuation on the balance sheet:</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264"/>
        </w:trPr>
        <w:tc>
          <w:tcPr>
            <w:tcW w:w="5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Derivative Assets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5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2016</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xml:space="preserve">December 31, 2015 </w:t>
            </w:r>
            <w:r>
              <w:rPr>
                <w:rFonts w:ascii="Arial" w:cs="Arial" w:eastAsia="Arial" w:hAnsi="Arial"/>
                <w:sz w:val="8"/>
                <w:szCs w:val="8"/>
                <w:b w:val="1"/>
                <w:bCs w:val="1"/>
                <w:color w:val="auto"/>
              </w:rPr>
              <w:t>(a)</w:t>
            </w:r>
          </w:p>
        </w:tc>
      </w:tr>
      <w:tr>
        <w:trPr>
          <w:trHeight w:val="250"/>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34</w:t>
            </w: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w:t>
            </w:r>
          </w:p>
        </w:tc>
      </w:tr>
      <w:tr>
        <w:trPr>
          <w:trHeight w:val="27"/>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Commodity contracts current</w:t>
            </w: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2</w:t>
            </w:r>
          </w:p>
        </w:tc>
      </w:tr>
      <w:tr>
        <w:trPr>
          <w:trHeight w:val="27"/>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r>
      <w:tr>
        <w:trPr>
          <w:trHeight w:val="257"/>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Total Derivatives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September 30, 2016, and December 31, 2015, there were no offsetting amounts at the counterparty master agreement level or outstanding collateral paid or received.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60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r>
      <w:tr>
        <w:trPr>
          <w:trHeight w:val="250"/>
        </w:trPr>
        <w:tc>
          <w:tcPr>
            <w:tcW w:w="6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6"/>
        </w:trPr>
        <w:tc>
          <w:tcPr>
            <w:tcW w:w="60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Accumulated OCL beginning balance </w:t>
            </w:r>
            <w:r>
              <w:rPr>
                <w:rFonts w:ascii="Arial" w:cs="Arial" w:eastAsia="Arial" w:hAnsi="Arial"/>
                <w:sz w:val="25"/>
                <w:szCs w:val="25"/>
                <w:color w:val="auto"/>
                <w:vertAlign w:val="superscript"/>
              </w:rPr>
              <w:t>(a)</w:t>
            </w:r>
          </w:p>
        </w:tc>
        <w:tc>
          <w:tcPr>
            <w:tcW w:w="8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80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7"/>
        </w:trPr>
        <w:tc>
          <w:tcPr>
            <w:tcW w:w="60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8"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0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three and nine months ended September 30, 2016 and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September 30, 2016, and 2015, the impact to the consolidated statements of income was a gain of $2 million and a loss of $6 million, respectively. For the nine months ended September 30, 2016, and 2015, the impact to the consolidated statements of income was a loss of $7 million and a gain of $13 million, respectively.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2015, certain NRG subsidiaries entered into commodity contracts with NRG Power Marketing and NRG Texas Power LLC. The purpose of these commodity contracts was to hedge the forecasted sale of power for Elbow Creek, Goat Wind, Alta X and Alta XI until the start of the PPAs. The effect of these commodity hedges was recorded to operating revenues, as described in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For the three and nine months ended September 30, 2015, the impact to the consolidated statements of income was an unrealized loss of $2 million and an unrealized gain of $1 million,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9,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w:t>
      </w:r>
      <w:r>
        <w:rPr>
          <w:rFonts w:ascii="Arial" w:cs="Arial" w:eastAsia="Arial" w:hAnsi="Arial"/>
          <w:sz w:val="18"/>
          <w:szCs w:val="18"/>
          <w:color w:val="231F20"/>
        </w:rPr>
        <w:t>Company's</w:t>
      </w:r>
      <w:r>
        <w:rPr>
          <w:rFonts w:ascii="Arial" w:cs="Arial" w:eastAsia="Arial" w:hAnsi="Arial"/>
          <w:sz w:val="18"/>
          <w:szCs w:val="18"/>
          <w:color w:val="auto"/>
        </w:rPr>
        <w:t xml:space="preserve"> consolidated financial statements included in the 2015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8"/>
              </w:rPr>
              <w:t>December 31,</w:t>
            </w:r>
          </w:p>
        </w:tc>
        <w:tc>
          <w:tcPr>
            <w:tcW w:w="19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14"/>
                <w:szCs w:val="14"/>
                <w:color w:val="auto"/>
              </w:rPr>
            </w:pPr>
          </w:p>
        </w:tc>
        <w:tc>
          <w:tcPr>
            <w:tcW w:w="122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(c)</w:t>
            </w:r>
          </w:p>
        </w:tc>
        <w:tc>
          <w:tcPr>
            <w:tcW w:w="1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8"/>
                <w:szCs w:val="8"/>
                <w:b w:val="1"/>
                <w:bCs w:val="1"/>
                <w:color w:val="auto"/>
              </w:rPr>
              <w:t>(a)</w:t>
            </w: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 except rates)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 affiliate, due 2019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Long-term debt - affiliate, due 2020</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281</w:t>
            </w:r>
          </w:p>
        </w:tc>
        <w:tc>
          <w:tcPr>
            <w:tcW w:w="1800" w:type="dxa"/>
            <w:vAlign w:val="bottom"/>
          </w:tcPr>
          <w:p>
            <w:pPr>
              <w:jc w:val="right"/>
              <w:spacing w:after="0"/>
              <w:rPr>
                <w:sz w:val="20"/>
                <w:szCs w:val="20"/>
                <w:color w:val="auto"/>
              </w:rPr>
            </w:pPr>
            <w:r>
              <w:rPr>
                <w:rFonts w:ascii="Arial" w:cs="Arial" w:eastAsia="Arial" w:hAnsi="Arial"/>
                <w:sz w:val="17"/>
                <w:szCs w:val="17"/>
                <w:color w:val="auto"/>
              </w:rPr>
              <w:t>3.325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2026 Senior Notes</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NRG Yield LLC and NRG Yield Operating LLC Revolving Credit Facility, due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960" w:type="dxa"/>
            <w:vAlign w:val="bottom"/>
            <w:shd w:val="clear" w:color="auto" w:fill="CCEEFF"/>
          </w:tcPr>
          <w:p>
            <w:pPr>
              <w:ind w:left="40"/>
              <w:spacing w:after="0" w:line="247" w:lineRule="exact"/>
              <w:rPr>
                <w:sz w:val="20"/>
                <w:szCs w:val="20"/>
                <w:color w:val="auto"/>
              </w:rPr>
            </w:pPr>
            <w:r>
              <w:rPr>
                <w:rFonts w:ascii="Arial" w:cs="Arial" w:eastAsia="Arial" w:hAnsi="Arial"/>
                <w:sz w:val="17"/>
                <w:szCs w:val="17"/>
                <w:color w:val="auto"/>
              </w:rPr>
              <w:t xml:space="preserve">2019 </w:t>
            </w:r>
            <w:r>
              <w:rPr>
                <w:rFonts w:ascii="Arial" w:cs="Arial" w:eastAsia="Arial" w:hAnsi="Arial"/>
                <w:sz w:val="28"/>
                <w:szCs w:val="28"/>
                <w:color w:val="auto"/>
                <w:vertAlign w:val="superscript"/>
              </w:rPr>
              <w:t>(b)</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306</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L+2.75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b w:val="1"/>
                <w:bCs w:val="1"/>
                <w:color w:val="auto"/>
              </w:rPr>
              <w:t>Project-level debt: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Alpine, due 2022</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154</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Alta Wind I, lease financing arrangement, due 2034</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252</w:t>
            </w:r>
          </w:p>
        </w:tc>
        <w:tc>
          <w:tcPr>
            <w:tcW w:w="1800" w:type="dxa"/>
            <w:vAlign w:val="bottom"/>
          </w:tcPr>
          <w:p>
            <w:pPr>
              <w:jc w:val="right"/>
              <w:spacing w:after="0"/>
              <w:rPr>
                <w:sz w:val="20"/>
                <w:szCs w:val="20"/>
                <w:color w:val="auto"/>
              </w:rPr>
            </w:pPr>
            <w:r>
              <w:rPr>
                <w:rFonts w:ascii="Arial" w:cs="Arial" w:eastAsia="Arial" w:hAnsi="Arial"/>
                <w:sz w:val="17"/>
                <w:szCs w:val="17"/>
                <w:color w:val="auto"/>
              </w:rPr>
              <w:t>7.015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Wind II, lease financing arrangement, due 2034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Alta Wind III, lease financing arrangement, due 2034</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206</w:t>
            </w:r>
          </w:p>
        </w:tc>
        <w:tc>
          <w:tcPr>
            <w:tcW w:w="1800" w:type="dxa"/>
            <w:vAlign w:val="bottom"/>
          </w:tcPr>
          <w:p>
            <w:pPr>
              <w:jc w:val="right"/>
              <w:spacing w:after="0"/>
              <w:rPr>
                <w:sz w:val="20"/>
                <w:szCs w:val="20"/>
                <w:color w:val="auto"/>
              </w:rPr>
            </w:pPr>
            <w:r>
              <w:rPr>
                <w:rFonts w:ascii="Arial" w:cs="Arial" w:eastAsia="Arial" w:hAnsi="Arial"/>
                <w:sz w:val="17"/>
                <w:szCs w:val="17"/>
                <w:color w:val="auto"/>
              </w:rPr>
              <w:t>6.067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Wind IV, lease financing arrangement, due 2034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Alta Wind V, lease financing arrangement, due 2035</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213</w:t>
            </w:r>
          </w:p>
        </w:tc>
        <w:tc>
          <w:tcPr>
            <w:tcW w:w="1800" w:type="dxa"/>
            <w:vAlign w:val="bottom"/>
          </w:tcPr>
          <w:p>
            <w:pPr>
              <w:jc w:val="right"/>
              <w:spacing w:after="0"/>
              <w:rPr>
                <w:sz w:val="20"/>
                <w:szCs w:val="20"/>
                <w:color w:val="auto"/>
              </w:rPr>
            </w:pPr>
            <w:r>
              <w:rPr>
                <w:rFonts w:ascii="Arial" w:cs="Arial" w:eastAsia="Arial" w:hAnsi="Arial"/>
                <w:sz w:val="17"/>
                <w:szCs w:val="17"/>
                <w:color w:val="auto"/>
              </w:rPr>
              <w:t>6.071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Alta Realty Investments, due 2031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Alta Wind Asset Management, due 2031</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L+2.375</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Avra Valley, due 2031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Blythe, due 2028</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21</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L+1.625</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Borrego, due 2025 and 2038</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L+ 2.50/5.65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CVSR, due 2037</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793</w:t>
            </w:r>
          </w:p>
        </w:tc>
        <w:tc>
          <w:tcPr>
            <w:tcW w:w="1800" w:type="dxa"/>
            <w:vAlign w:val="bottom"/>
          </w:tcPr>
          <w:p>
            <w:pPr>
              <w:jc w:val="right"/>
              <w:spacing w:after="0"/>
              <w:rPr>
                <w:sz w:val="20"/>
                <w:szCs w:val="20"/>
                <w:color w:val="auto"/>
              </w:rPr>
            </w:pPr>
            <w:r>
              <w:rPr>
                <w:rFonts w:ascii="Arial" w:cs="Arial" w:eastAsia="Arial" w:hAnsi="Arial"/>
                <w:sz w:val="17"/>
                <w:szCs w:val="17"/>
                <w:color w:val="auto"/>
              </w:rPr>
              <w:t>2.339 - 3.775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CVSR Holdco, due 2037</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El Segundo Energy Center, due 2023</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485</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L+1.625 - L+2.25</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Energy Center Minneapolis, due 2017 and 2025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5.95 -7.25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Kansas South, due 2031</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L+2.00</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Laredo Ridge, due 2028</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L+1.875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Marsh Landing, due 2017 and 2023</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418</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L+1.75 - L+1.875</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PFMG and related subsidiaries financing agreement, due 2030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Roadrunner, due 2031</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40</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L+1.625</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South Trent Wind, due 2020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L+1.625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TA High Desert, due 2020 and 2032</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52</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L+2.50/5.15</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Tapestry, due 2021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L+1.625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Viento, due 2023</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189</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L+2.75</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Walnut Creek, due 2023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351</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L+1.625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9"/>
        </w:trPr>
        <w:tc>
          <w:tcPr>
            <w:tcW w:w="5960" w:type="dxa"/>
            <w:vAlign w:val="bottom"/>
          </w:tcPr>
          <w:p>
            <w:pPr>
              <w:ind w:left="40"/>
              <w:spacing w:after="0"/>
              <w:rPr>
                <w:sz w:val="20"/>
                <w:szCs w:val="20"/>
                <w:color w:val="auto"/>
              </w:rPr>
            </w:pPr>
            <w:r>
              <w:rPr>
                <w:rFonts w:ascii="Arial" w:cs="Arial" w:eastAsia="Arial" w:hAnsi="Arial"/>
                <w:sz w:val="17"/>
                <w:szCs w:val="17"/>
                <w:color w:val="auto"/>
              </w:rPr>
              <w:t>WCEP Holdings, due 2023</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46</w:t>
            </w:r>
          </w:p>
        </w:tc>
        <w:tc>
          <w:tcPr>
            <w:tcW w:w="1920" w:type="dxa"/>
            <w:vAlign w:val="bottom"/>
            <w:gridSpan w:val="2"/>
          </w:tcPr>
          <w:p>
            <w:pPr>
              <w:jc w:val="right"/>
              <w:ind w:right="140"/>
              <w:spacing w:after="0"/>
              <w:rPr>
                <w:sz w:val="20"/>
                <w:szCs w:val="20"/>
                <w:color w:val="auto"/>
              </w:rPr>
            </w:pPr>
            <w:r>
              <w:rPr>
                <w:rFonts w:ascii="Arial" w:cs="Arial" w:eastAsia="Arial" w:hAnsi="Arial"/>
                <w:sz w:val="17"/>
                <w:szCs w:val="17"/>
                <w:color w:val="auto"/>
              </w:rPr>
              <w:t>L+3.00</w:t>
            </w:r>
          </w:p>
        </w:tc>
        <w:tc>
          <w:tcPr>
            <w:tcW w:w="1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various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960" w:type="dxa"/>
            <w:vAlign w:val="bottom"/>
          </w:tcPr>
          <w:p>
            <w:pPr>
              <w:ind w:left="280"/>
              <w:spacing w:after="0"/>
              <w:rPr>
                <w:sz w:val="20"/>
                <w:szCs w:val="20"/>
                <w:color w:val="auto"/>
              </w:rPr>
            </w:pPr>
            <w:r>
              <w:rPr>
                <w:rFonts w:ascii="Arial" w:cs="Arial" w:eastAsia="Arial" w:hAnsi="Arial"/>
                <w:sz w:val="17"/>
                <w:szCs w:val="17"/>
                <w:color w:val="auto"/>
              </w:rPr>
              <w:t>Subtotal project-level debt:</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4,250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4,254</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debt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5,678</w:t>
            </w:r>
          </w:p>
        </w:tc>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120"/>
              <w:spacing w:after="0"/>
              <w:rPr>
                <w:sz w:val="20"/>
                <w:szCs w:val="20"/>
                <w:color w:val="auto"/>
              </w:rPr>
            </w:pPr>
            <w:r>
              <w:rPr>
                <w:rFonts w:ascii="Arial" w:cs="Arial" w:eastAsia="Arial" w:hAnsi="Arial"/>
                <w:sz w:val="17"/>
                <w:szCs w:val="17"/>
                <w:color w:val="auto"/>
              </w:rPr>
              <w:t>Less current maturities</w:t>
            </w: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264</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deferred financing costs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w:t>
            </w:r>
          </w:p>
        </w:tc>
        <w:tc>
          <w:tcPr>
            <w:tcW w:w="1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960" w:type="dxa"/>
            <w:vAlign w:val="bottom"/>
          </w:tcPr>
          <w:p>
            <w:pPr>
              <w:ind w:left="180"/>
              <w:spacing w:after="0"/>
              <w:rPr>
                <w:sz w:val="20"/>
                <w:szCs w:val="20"/>
                <w:color w:val="auto"/>
              </w:rPr>
            </w:pPr>
            <w:r>
              <w:rPr>
                <w:rFonts w:ascii="Arial" w:cs="Arial" w:eastAsia="Arial" w:hAnsi="Arial"/>
                <w:sz w:val="17"/>
                <w:szCs w:val="17"/>
                <w:color w:val="auto"/>
              </w:rPr>
              <w:t>Total long-term debt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5,382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5,361</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jc w:val="both"/>
        <w:ind w:left="80" w:hanging="4"/>
        <w:spacing w:after="0" w:line="247" w:lineRule="auto"/>
        <w:tabs>
          <w:tab w:leader="none" w:pos="24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As of September 30, 2016, L+ equals 3 month LIBOR plus x%, except for the Alpine term loan, Marsh Landing term loan, Walnut Creek term loan, and NRG Yield LLC and NRG Yield Operating LLC Revolving Credit Facility, where L+ equals 1 month LIBOR plus x% and Kansas South and Viento, where L+ equals 6 month LIBOR plus x%.</w:t>
      </w:r>
    </w:p>
    <w:p>
      <w:pPr>
        <w:spacing w:after="0" w:line="1" w:lineRule="exact"/>
        <w:rPr>
          <w:rFonts w:ascii="Arial" w:cs="Arial" w:eastAsia="Arial" w:hAnsi="Arial"/>
          <w:sz w:val="19"/>
          <w:szCs w:val="19"/>
          <w:color w:val="auto"/>
          <w:vertAlign w:val="superscript"/>
        </w:rPr>
      </w:pPr>
    </w:p>
    <w:p>
      <w:pPr>
        <w:ind w:left="240" w:hanging="164"/>
        <w:spacing w:after="0" w:line="207" w:lineRule="auto"/>
        <w:tabs>
          <w:tab w:leader="none" w:pos="24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Applicable rate is determined by the borrower leverage ratio, as defined in the credit agreement.</w:t>
      </w:r>
    </w:p>
    <w:p>
      <w:pPr>
        <w:ind w:left="220" w:hanging="144"/>
        <w:spacing w:after="0" w:line="223" w:lineRule="auto"/>
        <w:tabs>
          <w:tab w:leader="none" w:pos="2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21" w:right="239" w:bottom="991" w:gutter="0" w:footer="0" w:header="0"/>
        </w:sectPr>
      </w:pPr>
    </w:p>
    <w:bookmarkStart w:id="25" w:name="page26"/>
    <w:bookmarkEnd w:id="25"/>
    <w:p>
      <w:pPr>
        <w:jc w:val="both"/>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2016, the Company was in compliance with all of the required covenants.</w:t>
      </w:r>
    </w:p>
    <w:p>
      <w:pPr>
        <w:spacing w:after="0" w:line="70" w:lineRule="exact"/>
        <w:rPr>
          <w:sz w:val="20"/>
          <w:szCs w:val="20"/>
          <w:color w:val="auto"/>
        </w:rPr>
      </w:pPr>
    </w:p>
    <w:p>
      <w:pPr>
        <w:ind w:left="420" w:right="1620"/>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nine months ended September 30, 2016. </w:t>
      </w:r>
      <w:r>
        <w:rPr>
          <w:rFonts w:ascii="Arial" w:cs="Arial" w:eastAsia="Arial" w:hAnsi="Arial"/>
          <w:sz w:val="18"/>
          <w:szCs w:val="18"/>
          <w:b w:val="1"/>
          <w:bCs w:val="1"/>
          <w:i w:val="1"/>
          <w:iCs w:val="1"/>
          <w:color w:val="auto"/>
        </w:rPr>
        <w:t>NRG Yield Operating LLC 2026 Senior Notes</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On August 18, 2016, Yield Operating LLC issued $350 million of senior unsecured notes, or the 2026 Senior Notes. The 2026 Senior Notes bear interest at 5.00% and </w:t>
      </w:r>
      <w:r>
        <w:rPr>
          <w:rFonts w:ascii="Arial" w:cs="Arial" w:eastAsia="Arial" w:hAnsi="Arial"/>
          <w:sz w:val="18"/>
          <w:szCs w:val="18"/>
          <w:color w:val="000000"/>
        </w:rPr>
        <w:t>mature on September 15, 2026. Interest on the notes is payable semi-annually on March 15 and September 15 of each year, and interest</w:t>
      </w:r>
      <w:r>
        <w:rPr>
          <w:rFonts w:ascii="Arial" w:cs="Arial" w:eastAsia="Arial" w:hAnsi="Arial"/>
          <w:sz w:val="18"/>
          <w:szCs w:val="18"/>
          <w:color w:val="231F20"/>
        </w:rPr>
        <w:t xml:space="preserve"> </w:t>
      </w:r>
      <w:r>
        <w:rPr>
          <w:rFonts w:ascii="Arial" w:cs="Arial" w:eastAsia="Arial" w:hAnsi="Arial"/>
          <w:sz w:val="18"/>
          <w:szCs w:val="18"/>
          <w:color w:val="000000"/>
        </w:rPr>
        <w:t>payments will commence on March 15, 2017. The 2026 Senior Notes are senior unsecured obligations of Yield Operating LLC and are guaranteed by NRG Yield LLC, and by certain of Yield Operating LLC’s wholly owned current and future subsidiaries. A portion of the proceeds of the 2026 Senior Notes were used to repay the revolving credit facility, as described below.</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CVSR Holdco Financing Arrangement</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On July 15, 2016, CVSR Holdco, the indirect owner of the CVSR solar facility, issued $200 million of senior secured notes, or the 2037 Notes, that bear interest at 4.68% and mature on March 31, 2037. Net proceeds were distributed to the Company and NRG based on their respective ownership as of July 15, 2016, and accordingly, the Company received net proceeds of </w:t>
      </w:r>
      <w:r>
        <w:rPr>
          <w:rFonts w:ascii="Arial" w:cs="Arial" w:eastAsia="Arial" w:hAnsi="Arial"/>
          <w:sz w:val="18"/>
          <w:szCs w:val="18"/>
          <w:color w:val="000000"/>
        </w:rPr>
        <w:t>$97.5 million</w:t>
      </w:r>
      <w:r>
        <w:rPr>
          <w:rFonts w:ascii="Arial" w:cs="Arial" w:eastAsia="Arial" w:hAnsi="Arial"/>
          <w:sz w:val="18"/>
          <w:szCs w:val="18"/>
          <w:color w:val="231F20"/>
        </w:rPr>
        <w:t>.</w:t>
      </w:r>
    </w:p>
    <w:p>
      <w:pPr>
        <w:spacing w:after="0" w:line="12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231F20"/>
        </w:rPr>
        <w:t xml:space="preserve">As described in </w:t>
      </w:r>
      <w:r>
        <w:rPr>
          <w:rFonts w:ascii="Arial" w:cs="Arial" w:eastAsia="Arial" w:hAnsi="Arial"/>
          <w:sz w:val="16"/>
          <w:szCs w:val="16"/>
          <w:color w:val="000000"/>
        </w:rPr>
        <w:t>Note 3,</w:t>
      </w:r>
      <w:r>
        <w:rPr>
          <w:rFonts w:ascii="Arial" w:cs="Arial" w:eastAsia="Arial" w:hAnsi="Arial"/>
          <w:sz w:val="16"/>
          <w:szCs w:val="16"/>
          <w:color w:val="231F20"/>
        </w:rPr>
        <w:t xml:space="preserve"> </w:t>
      </w:r>
      <w:r>
        <w:rPr>
          <w:rFonts w:ascii="Arial" w:cs="Arial" w:eastAsia="Arial" w:hAnsi="Arial"/>
          <w:sz w:val="16"/>
          <w:szCs w:val="16"/>
          <w:i w:val="1"/>
          <w:iCs w:val="1"/>
          <w:color w:val="000000"/>
        </w:rPr>
        <w:t>Business Acquisitions</w:t>
      </w:r>
      <w:r>
        <w:rPr>
          <w:rFonts w:ascii="Arial" w:cs="Arial" w:eastAsia="Arial" w:hAnsi="Arial"/>
          <w:sz w:val="16"/>
          <w:szCs w:val="16"/>
          <w:color w:val="000000"/>
        </w:rPr>
        <w:t>,</w:t>
      </w:r>
      <w:r>
        <w:rPr>
          <w:rFonts w:ascii="Arial" w:cs="Arial" w:eastAsia="Arial" w:hAnsi="Arial"/>
          <w:sz w:val="16"/>
          <w:szCs w:val="16"/>
          <w:color w:val="231F20"/>
        </w:rPr>
        <w:t xml:space="preserve"> on September 1, 2016, the Company acquired the remaining </w:t>
      </w:r>
      <w:r>
        <w:rPr>
          <w:rFonts w:ascii="Arial" w:cs="Arial" w:eastAsia="Arial" w:hAnsi="Arial"/>
          <w:sz w:val="16"/>
          <w:szCs w:val="16"/>
          <w:color w:val="000000"/>
        </w:rPr>
        <w:t>51.05%</w:t>
      </w:r>
      <w:r>
        <w:rPr>
          <w:rFonts w:ascii="Arial" w:cs="Arial" w:eastAsia="Arial" w:hAnsi="Arial"/>
          <w:sz w:val="16"/>
          <w:szCs w:val="16"/>
          <w:color w:val="231F20"/>
        </w:rPr>
        <w:t xml:space="preserve"> of CVSR, and assumed </w:t>
      </w:r>
      <w:r>
        <w:rPr>
          <w:rFonts w:ascii="Arial" w:cs="Arial" w:eastAsia="Arial" w:hAnsi="Arial"/>
          <w:sz w:val="16"/>
          <w:szCs w:val="16"/>
          <w:color w:val="000000"/>
        </w:rPr>
        <w:t>additional</w:t>
      </w:r>
      <w:r>
        <w:rPr>
          <w:rFonts w:ascii="Arial" w:cs="Arial" w:eastAsia="Arial" w:hAnsi="Arial"/>
          <w:sz w:val="16"/>
          <w:szCs w:val="16"/>
          <w:color w:val="231F20"/>
        </w:rPr>
        <w:t xml:space="preserve"> </w:t>
      </w:r>
      <w:r>
        <w:rPr>
          <w:rFonts w:ascii="Arial" w:cs="Arial" w:eastAsia="Arial" w:hAnsi="Arial"/>
          <w:sz w:val="16"/>
          <w:szCs w:val="16"/>
          <w:color w:val="000000"/>
        </w:rPr>
        <w:t xml:space="preserve">debt of $496 million, which represents 51.05% of the CVSR project level debt and the 2037 Notes. In connection with the retrospective adjustment of prior periods, as described in Note 1, </w:t>
      </w:r>
      <w:r>
        <w:rPr>
          <w:rFonts w:ascii="Arial" w:cs="Arial" w:eastAsia="Arial" w:hAnsi="Arial"/>
          <w:sz w:val="16"/>
          <w:szCs w:val="16"/>
          <w:i w:val="1"/>
          <w:iCs w:val="1"/>
          <w:color w:val="000000"/>
        </w:rPr>
        <w:t>Nature of Business</w:t>
      </w:r>
      <w:r>
        <w:rPr>
          <w:rFonts w:ascii="Arial" w:cs="Arial" w:eastAsia="Arial" w:hAnsi="Arial"/>
          <w:sz w:val="16"/>
          <w:szCs w:val="16"/>
          <w:color w:val="000000"/>
        </w:rPr>
        <w:t>, the Company now consolidates CVSR and 100% of its debt, in all periods presented.</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NRG Yield LLC and Yield Operating LLC Revolving Credit Facility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borrowed $60 million from the revolving credit facility and repaid $366 million during the </w:t>
      </w:r>
      <w:r>
        <w:rPr>
          <w:rFonts w:ascii="Arial" w:cs="Arial" w:eastAsia="Arial" w:hAnsi="Arial"/>
          <w:sz w:val="18"/>
          <w:szCs w:val="18"/>
          <w:color w:val="000000"/>
        </w:rPr>
        <w:t>nine months</w:t>
      </w:r>
      <w:r>
        <w:rPr>
          <w:rFonts w:ascii="Arial" w:cs="Arial" w:eastAsia="Arial" w:hAnsi="Arial"/>
          <w:sz w:val="18"/>
          <w:szCs w:val="18"/>
          <w:color w:val="231F20"/>
        </w:rPr>
        <w:t xml:space="preserve"> ended </w:t>
      </w:r>
      <w:r>
        <w:rPr>
          <w:rFonts w:ascii="Arial" w:cs="Arial" w:eastAsia="Arial" w:hAnsi="Arial"/>
          <w:sz w:val="18"/>
          <w:szCs w:val="18"/>
          <w:color w:val="000000"/>
        </w:rPr>
        <w:t>September 30, 2016</w:t>
      </w:r>
      <w:r>
        <w:rPr>
          <w:rFonts w:ascii="Arial" w:cs="Arial" w:eastAsia="Arial" w:hAnsi="Arial"/>
          <w:sz w:val="18"/>
          <w:szCs w:val="18"/>
          <w:color w:val="231F20"/>
        </w:rPr>
        <w:t xml:space="preserve">. The Company used its pro rata proceeds of </w:t>
      </w:r>
      <w:r>
        <w:rPr>
          <w:rFonts w:ascii="Arial" w:cs="Arial" w:eastAsia="Arial" w:hAnsi="Arial"/>
          <w:sz w:val="18"/>
          <w:szCs w:val="18"/>
          <w:color w:val="000000"/>
        </w:rPr>
        <w:t>$97.5 million</w:t>
      </w:r>
      <w:r>
        <w:rPr>
          <w:rFonts w:ascii="Arial" w:cs="Arial" w:eastAsia="Arial" w:hAnsi="Arial"/>
          <w:sz w:val="18"/>
          <w:szCs w:val="18"/>
          <w:color w:val="231F20"/>
        </w:rPr>
        <w:t xml:space="preserve"> from the CVSR Holdco Financing Arrangement, as described above, along with </w:t>
      </w:r>
      <w:r>
        <w:rPr>
          <w:rFonts w:ascii="Arial" w:cs="Arial" w:eastAsia="Arial" w:hAnsi="Arial"/>
          <w:sz w:val="18"/>
          <w:szCs w:val="18"/>
          <w:color w:val="000000"/>
        </w:rPr>
        <w:t>$28 million</w:t>
      </w:r>
      <w:r>
        <w:rPr>
          <w:rFonts w:ascii="Arial" w:cs="Arial" w:eastAsia="Arial" w:hAnsi="Arial"/>
          <w:sz w:val="18"/>
          <w:szCs w:val="18"/>
          <w:color w:val="231F20"/>
        </w:rPr>
        <w:t xml:space="preserve"> of cash on hand, to reduce borrowings under the Company’s revolving credit facility in July 2016. Additionally, in August 2016, the Company used a portion of its proceeds from the issuance of the 2026 Senior Notes to pay the remaining revolver balance of $193 million.</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2016</w:t>
      </w:r>
      <w:r>
        <w:rPr>
          <w:rFonts w:ascii="Arial" w:cs="Arial" w:eastAsia="Arial" w:hAnsi="Arial"/>
          <w:sz w:val="18"/>
          <w:szCs w:val="18"/>
          <w:color w:val="231F20"/>
        </w:rPr>
        <w:t>, there were no outstanding borrowings under the revolving credit facility and the Company had $64 million of letters of credit outstanding.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Thermal Financing</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On October 31, 2016, NRG Energy Center Minneapolis LLC, a subsidiary of NRG Thermal LLC, received proceeds of $125 million from the issuance of 3.55% Series D notes due October 31, 2031, or the Series D Notes, and entered into a shelf facility for the anticipated issuance of an additional $70 million of notes. The Series D Notes are, and the additional notes, if issued,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which in turn distributed the proceeds to NRG Yield Operating LLC to be utilized for general corporate purposes, including potential acquisitions.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depreciation and amortization, or Adjusted EBITDA, and CAFD, as well as economic gross margin and net income (loss).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Three months ended September 30, 2016</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2,001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5,783</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8,301</w:t>
            </w: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 xml:space="preserve">Three months ended September 30, 2015 </w:t>
            </w:r>
            <w:r>
              <w:rPr>
                <w:rFonts w:ascii="Arial" w:cs="Arial" w:eastAsia="Arial" w:hAnsi="Arial"/>
                <w:sz w:val="8"/>
                <w:szCs w:val="8"/>
                <w:b w:val="1"/>
                <w:bCs w:val="1"/>
                <w:color w:val="auto"/>
                <w:w w:val="92"/>
              </w:rPr>
              <w:t>(a)</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86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256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2C2C2C"/>
              </w:rPr>
              <w:t>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2C2C2C"/>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2C2C2C"/>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82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69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2C2C2C"/>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52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43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2C2C2C"/>
              </w:rPr>
              <w:t>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102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(68)</w:t>
            </w:r>
          </w:p>
        </w:tc>
        <w:tc>
          <w:tcPr>
            <w:tcW w:w="0" w:type="dxa"/>
            <w:vAlign w:val="bottom"/>
          </w:tcPr>
          <w:p>
            <w:pPr>
              <w:spacing w:after="0"/>
              <w:rPr>
                <w:sz w:val="1"/>
                <w:szCs w:val="1"/>
                <w:color w:val="auto"/>
              </w:rPr>
            </w:pPr>
          </w:p>
        </w:tc>
      </w:tr>
      <w:tr>
        <w:trPr>
          <w:trHeight w:val="24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2C2C2C"/>
              </w:rPr>
              <w:t>44</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2C2C2C"/>
              </w:rPr>
              <w:t>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2C2C2C"/>
              </w:rPr>
              <w:t>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2C2C2C"/>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2C2C2C"/>
              </w:rPr>
              <w:t>(18)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2C2C2C"/>
              </w:rPr>
              <w:t>44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0"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Nine months ended September 30, 2016</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 xml:space="preserve">Nine months ended September 30, 2015 </w:t>
            </w:r>
            <w:r>
              <w:rPr>
                <w:rFonts w:ascii="Arial" w:cs="Arial" w:eastAsia="Arial" w:hAnsi="Arial"/>
                <w:sz w:val="8"/>
                <w:szCs w:val="8"/>
                <w:b w:val="1"/>
                <w:bCs w:val="1"/>
                <w:color w:val="auto"/>
              </w:rPr>
              <w:t>(a)</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247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347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729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2C2C2C"/>
              </w:rPr>
              <w:t>51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2C2C2C"/>
              </w:rPr>
              <w:t>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2C2C2C"/>
              </w:rPr>
              <w:t>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246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61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222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2C2C2C"/>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2C2C2C"/>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135</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101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2C2C2C"/>
              </w:rPr>
              <w:t>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2C2C2C"/>
              </w:rPr>
              <w:t>(10)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251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2C2C2C"/>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2C2C2C"/>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2C2C2C"/>
              </w:rPr>
              <w:t>(116)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2C2C2C"/>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2C2C2C"/>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2C2C2C"/>
              </w:rPr>
              <w:t>(195)</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103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2C2C2C"/>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68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0"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transactions and relationships described elsewhere in these notes to the consolidated financial statements, NRG and certain subsidiaries of NRG provide services to the Company and its project entities. Amounts due to NRG subsidiaries are recorded as accounts payable - affiliate and amounts due to the Company from NRG or its subsidiaries are recorded as accounts receivable - affiliate in the Company's balance sheet.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Hedge Contracts by and between Renewables segment Entities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NRG Wind TE Holdco entities, which are subsidiaries in the Renewables segment, entered into power hedge contracts with NRG Texas Power LLC and generated $17 million during the nine months ended September 30, 2015. Effective October 2015, Elbow Creek, one of the NRG Wind TE Holdco entities, entered into a PPA with NRG Power Marketing LLC, or NRG Power Marketing, as further described below, and the hedge agreement between Elbow Creek and NRG Texas Power LLC was terminated.</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Additionally, Alta X and Alta XI entered into a hedge agreement with NRG Power Marketing, as further described in Note 6,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to hedge the forecasted sale of power until the start of the PPAs on January 1, 2016.</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 by and between Elbow Creek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2015, Elbow Creek, the Company's subsidiary in the Renewables segment, entered into a PPA with NRG Power Marketing for the sale of energy and environmental attributes with the effective date of November 1, 2015, and expiring on October 31, 2022. Elbow Creek generated $6 million of revenue during the nine months ended September 30, 2016.</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Thermal Entities and NRG</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Certain thermal entities which are wholly-owned subsidiaries of the Company are party to a Plant O&amp;M Services Agreement with NRG, pursuant to which NRG provides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Total fees incurred under the agreements were $15 million and $21 million for the nine months ended September 30, 2016 and 2015, respectively. There was a balance of $23 million and $29 million due to NRG in accounts payable — affiliate as of September 30, 2016 and December 31, 2015, respectively. As of September 30, 2016, $12 million of the balance was recorded in the current liabilities of the consolidated balance sheet and $11 million was recorded in long term liabilities of the consolidated balance sheet. Subsequent to September 30, 2016, the Company made payments of $4 million to reduce the outstanding balance due to NRG.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46" w:right="2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b w:val="1"/>
          <w:bCs w:val="1"/>
          <w:i w:val="1"/>
          <w:iCs w:val="1"/>
          <w:color w:val="auto"/>
        </w:rPr>
        <w:t>Power Purchase Agreement by and between NRG Energy Center Dover LLC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2016, NRG Energy Center Dover LLC, or NRG Dover, a subsidiary of the Company, entered into a PPA with NRG Power Marketing for the sale of energy and environmental attributes with an effective date of February 1, 2016 and expiration date of December 31, 2018. NRG Dover generated $4 million of revenue during the nine months ended September 30, 2016. The agreement in place is in addition to the existing Power Sales and Services Agreement described further below.</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Sales and Services Agreement by and between NRG Energy Center Dover LLC and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Dover, a subsidiary of the Company, is party to a Power Sales and Services Agreement with NRG Power Marketing. The agreement is automatically renewed on a month-to-month basis unless terminated by either party upon at least 30 days written notice. Under the agreement, NRG Power Marketing has the exclusive right to (i) manage, market and sell power, (ii) 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NRG Dover gross receipts generated through sales, less costs incurred by NRG Power Marketing related to providing such services as transmission and delivery costs, as well as fuel costs. In July 2013, the coal-fueled plant was converted to a natural gas facility. For the nine months ended September 30, 2016 and 2015, NRG Dover purchased $1 million and $4 million, respectively, of natural gas from NRG Power Marketing.</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NRG Energy Center Minneapolis LLC and NRG</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NRG Energy Center Minneapolis LLC, or NRG Minneapolis, a subsidiary of the Company is party to an Energy Marketing Services Agreement with NRG Power Marketing, a wholly-owned subsidiary of NRG. Under the agreement, NRG Power Marketing procures fuel and fuel transportation for the operation of the Minneapolis generating facility. For the nine months ended September 30, 2016 and 2015, NRG Minneapolis purchased $5 million and $6 million, respectively, of natural gas from NRG Power Marketing.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services agreements with wholly-owned subsidiaries of NRG. The fees incurred under the agreements were $4 million and $3 million for the nine months ended September 30, 2016 and 2015,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 by and between El Segundo and NRG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El Segundo incurs fees under an O&amp;M services agreement with NRG El Segundo Operations, Inc., a wholly-owned subsidiary of NRG. Under the O&amp;M services agreement, NRG El Segundo Operations, Inc. manages, operates and maintains the El Segundo facility for an initial term of ten years following the commercial operations date. For the nine months ended September 30, 2016 and 2015, the costs incurred under the agreement were $4 million. There was a balance of $1 million due to NRG El Segundo in accounts payable — affiliate as of September 30, 2016, and December 31, 2015.</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Marsh Landing is a party to an administrative services agreement with GenOn Energy Services, LLC, a wholly-owned subsidiary of NRG, which provides invoice processing and payment on behalf of Marsh Landing. Marsh Landing reimburses GenOn Energy Services, LLC for the amounts paid by it. The Company reimbursed costs under this agreement of $9 million and $11 million for the nine months ended September 30, 2016 and 2015, respectively. There was a balance of $1 million and $6 million due to GenOn Energy Services, LLC in accounts payable — affiliate as of September 30, 2016 and December 31, 2015,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CVSR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CVSR is a party to an administrative services agreement with NRG Renew Operation &amp; Maintenance LLC, a wholly-owned subsidiary of NRG, which provides O&amp;M services on behalf of CVSR. Initially, the agreement was entered into with NRG Energy Services and was subsequently assigned to NRG Renew Operation &amp; Maintenance LLC on July 15, 2015. The Company reimbursed a total of $2 million and $4 million to both entities for the expenses incurred for the nine months ended September 30, 2016 and 2015,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25" w:right="2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NRG provides the Company with various operation, management, and administrative services, which include human resources, accounting, tax, legal, information systems, treasury, and risk management, as set forth in the Management Services Agreement. As of September 30, 2016, the base management fee was approximately $7.5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nine months ended September 30, 2016, the fee was increased by $0.5 million on an annual basis primarily due to the acquisition of the CVSR Drop Down. Costs incurred under this agreement were $6 million for the nine months ended September 30, 2016 and 2015, which included certain direct expenses incurred by NRG on behalf of the Company in addition to the base management fee. There was a balance of $3 million due to NRG in accounts payable — affiliate as of September 30, 2016. Subsequent to September 30, 2016, the balance has been paid in full.</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NRG Wind TE Holdco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subsidiaries of NRG have entered into agreements with the Company's project entities to provide operation and maintenance services for the balance of the plants not covered by turbine supplier's maintenance and service agreements for the post-warranty period. The agreements have various terms with provisions for extension until terminated. For the nine months ended September 30, 2016 and 2015, the costs incurred under the agreements were $4 million and $3 million, respectively.</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subsidiaries of NRG provide support services to the NRG Wind TE Holdco project entities pursuant to various support services agreements. The agreements provide for administrative and support services and reimbursements of certain insurance, consultant, and credit costs. For the nine months ended September 30, 2016 and 2015, the costs incurred under the agreements were $2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 xml:space="preserve">As of September 30, 2016, Yield Operating LLC had outstanding $500 million of the 2024 Senior Notes and $350 million of the 2026 Senior Notes, collectively Senior Notes, as described in Note 7, </w:t>
      </w:r>
      <w:r>
        <w:rPr>
          <w:rFonts w:ascii="Arial" w:cs="Arial" w:eastAsia="Arial" w:hAnsi="Arial"/>
          <w:sz w:val="18"/>
          <w:szCs w:val="18"/>
          <w:i w:val="1"/>
          <w:iCs w:val="1"/>
          <w:color w:val="auto"/>
        </w:rPr>
        <w:t>Long-term Debt</w:t>
      </w:r>
      <w:r>
        <w:rPr>
          <w:rFonts w:ascii="Arial" w:cs="Arial" w:eastAsia="Arial" w:hAnsi="Arial"/>
          <w:sz w:val="18"/>
          <w:szCs w:val="18"/>
          <w:color w:val="auto"/>
        </w:rPr>
        <w:t>, . These Senior Notes are guaranteed by NRG Yield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September 30, 2016:</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its business through and derives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NRG Yield LLC, Yield Operating LLC, the issuer of the 2024 Senior Notes and the 2026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In this presentation, NRG Yield LLC consists of parent company operations. Guarantor subsidiaries and non-guarantor subsidiaries of NRG Yield LLC are reported on an equity basis. For companies acquired, the fair values of the assets and liabilities acquired have been presented on a push-down accounting basis. 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the Company completed the acquisition of the CVSR Drop Down and November 2015 Drop Down Assets from NRG on September 1, 2016, and November 3, 2015, respectively.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 The Company has recorded all minority interests in NRG Wind TE Holdco as noncontrolling interest in the Consolidated Financial Statements for all periods presented.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21" w:right="239" w:bottom="1440" w:gutter="0" w:footer="0" w:header="0"/>
        </w:sectPr>
      </w:pPr>
    </w:p>
    <w:bookmarkStart w:id="31" w:name="page32"/>
    <w:bookmarkEnd w:id="31"/>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121" w:right="439" w:bottom="1440" w:gutter="0" w:footer="0" w:header="0"/>
        </w:sectPr>
      </w:pPr>
    </w:p>
    <w:bookmarkStart w:id="32" w:name="page33"/>
    <w:bookmarkEnd w:id="32"/>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(losses) of</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unconsolidated 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9"/>
        </w:trPr>
        <w:tc>
          <w:tcPr>
            <w:tcW w:w="3260" w:type="dxa"/>
            <w:vAlign w:val="bottom"/>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1121" w:right="4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388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 NRG</w:t>
            </w:r>
          </w:p>
        </w:tc>
        <w:tc>
          <w:tcPr>
            <w:tcW w:w="42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NRG Yield LLC</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derivatives</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3700" w:type="dxa"/>
            <w:vAlign w:val="bottom"/>
          </w:tcPr>
          <w:p>
            <w:pPr>
              <w:ind w:left="500"/>
              <w:spacing w:after="0"/>
              <w:rPr>
                <w:sz w:val="20"/>
                <w:szCs w:val="20"/>
                <w:color w:val="auto"/>
              </w:rPr>
            </w:pPr>
            <w:r>
              <w:rPr>
                <w:rFonts w:ascii="Arial" w:cs="Arial" w:eastAsia="Arial" w:hAnsi="Arial"/>
                <w:sz w:val="18"/>
                <w:szCs w:val="18"/>
                <w:color w:val="auto"/>
              </w:rPr>
              <w:t>Other comprehensive loss</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3700" w:type="dxa"/>
            <w:vAlign w:val="bottom"/>
          </w:tcPr>
          <w:p>
            <w:pPr>
              <w:ind w:left="180"/>
              <w:spacing w:after="0"/>
              <w:rPr>
                <w:sz w:val="20"/>
                <w:szCs w:val="20"/>
                <w:color w:val="auto"/>
              </w:rPr>
            </w:pPr>
            <w:r>
              <w:rPr>
                <w:rFonts w:ascii="Arial" w:cs="Arial" w:eastAsia="Arial" w:hAnsi="Arial"/>
                <w:sz w:val="18"/>
                <w:szCs w:val="18"/>
                <w:color w:val="auto"/>
              </w:rPr>
              <w:t>Less: Comprehensive loss attributable to</w:t>
            </w: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6"/>
              </w:rPr>
              <w:t>Comprehensive Income Attributable to NRG</w:t>
            </w:r>
          </w:p>
        </w:tc>
        <w:tc>
          <w:tcPr>
            <w:tcW w:w="44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21" w:right="23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2016</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8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8,301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hanging="158"/>
        <w:spacing w:after="0"/>
        <w:tabs>
          <w:tab w:leader="none" w:pos="22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1121"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Contributed capital</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8,301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hanging="158"/>
        <w:spacing w:after="0"/>
        <w:tabs>
          <w:tab w:leader="none" w:pos="16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300" w:top="1337" w:right="299" w:bottom="1440" w:gutter="0" w:footer="0" w:header="0"/>
        </w:sectPr>
      </w:pPr>
    </w:p>
    <w:bookmarkStart w:id="36" w:name="page37"/>
    <w:bookmarkEnd w:id="36"/>
    <w:p>
      <w:pPr>
        <w:jc w:val="center"/>
        <w:ind w:right="-3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C2C2C"/>
                <w:w w:val="99"/>
              </w:rPr>
              <w:t>NRG Yield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2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2C2C2C"/>
                <w:w w:val="98"/>
              </w:rPr>
              <w:t>Operating LLC</w:t>
            </w:r>
          </w:p>
        </w:tc>
        <w:tc>
          <w:tcPr>
            <w:tcW w:w="160" w:type="dxa"/>
            <w:vAlign w:val="bottom"/>
          </w:tcPr>
          <w:p>
            <w:pPr>
              <w:spacing w:after="0"/>
              <w:rPr>
                <w:sz w:val="12"/>
                <w:szCs w:val="12"/>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3"/>
              </w:rPr>
              <w:t>(Note Issuer)</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Intercompany transactions between Yield LLC and subsidiaries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Acquisition of Drop Down Assets, net of cash acquired</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Increase in restricted cash</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notes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affiliates</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investments in unconsolidated affiliates</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0"/>
              <w:spacing w:after="0"/>
              <w:rPr>
                <w:sz w:val="20"/>
                <w:szCs w:val="20"/>
                <w:color w:val="auto"/>
              </w:rPr>
            </w:pPr>
            <w:r>
              <w:rPr>
                <w:rFonts w:ascii="Arial" w:cs="Arial" w:eastAsia="Arial" w:hAnsi="Arial"/>
                <w:sz w:val="18"/>
                <w:szCs w:val="18"/>
                <w:color w:val="auto"/>
              </w:rPr>
              <w:t>Transfer of funds under intercompany cash management</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0"/>
              <w:spacing w:after="0"/>
              <w:rPr>
                <w:sz w:val="20"/>
                <w:szCs w:val="20"/>
                <w:color w:val="auto"/>
              </w:rPr>
            </w:pPr>
            <w:r>
              <w:rPr>
                <w:rFonts w:ascii="Arial" w:cs="Arial" w:eastAsia="Arial" w:hAnsi="Arial"/>
                <w:sz w:val="18"/>
                <w:szCs w:val="18"/>
                <w:color w:val="auto"/>
              </w:rPr>
              <w:t>arrangement</w:t>
            </w:r>
          </w:p>
        </w:tc>
        <w:tc>
          <w:tcPr>
            <w:tcW w:w="4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contributions from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Distributions to NRG for CVSR and NRG Wind TE Holdco</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distributions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payments for the revolving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Proceeds from the issuance of long-term debt — external</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long-term debt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21" w:right="6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NRG Yield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80" w:type="dxa"/>
            <w:vAlign w:val="bottom"/>
          </w:tcPr>
          <w:p>
            <w:pPr>
              <w:spacing w:after="0"/>
              <w:rPr>
                <w:sz w:val="12"/>
                <w:szCs w:val="12"/>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 (b)</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20"/>
              <w:spacing w:after="0" w:line="199"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8"/>
                <w:szCs w:val="8"/>
                <w:b w:val="1"/>
                <w:bCs w:val="1"/>
                <w:color w:val="auto"/>
              </w:rPr>
              <w:t xml:space="preserve"> (a)</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Acquisition-related transaction and integration</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(losses) of consolidated</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w w:val="93"/>
              </w:rPr>
              <w:t>Equity in earnings of unconsolidated affiliates</w:t>
            </w:r>
          </w:p>
        </w:tc>
        <w:tc>
          <w:tcPr>
            <w:tcW w:w="14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(loss) attributable to</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5"/>
        </w:trPr>
        <w:tc>
          <w:tcPr>
            <w:tcW w:w="366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Net Income (Loss) Attributable to NRG Yield</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6"/>
        </w:trPr>
        <w:tc>
          <w:tcPr>
            <w:tcW w:w="3660" w:type="dxa"/>
            <w:vAlign w:val="bottom"/>
          </w:tcPr>
          <w:p>
            <w:pPr>
              <w:ind w:left="200"/>
              <w:spacing w:after="0"/>
              <w:rPr>
                <w:sz w:val="20"/>
                <w:szCs w:val="20"/>
                <w:color w:val="auto"/>
              </w:rPr>
            </w:pPr>
            <w:r>
              <w:rPr>
                <w:rFonts w:ascii="Arial" w:cs="Arial" w:eastAsia="Arial" w:hAnsi="Arial"/>
                <w:sz w:val="18"/>
                <w:szCs w:val="18"/>
                <w:b w:val="1"/>
                <w:bCs w:val="1"/>
                <w:color w:val="auto"/>
              </w:rPr>
              <w:t>LLC</w:t>
            </w:r>
          </w:p>
        </w:tc>
        <w:tc>
          <w:tcPr>
            <w:tcW w:w="1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ind w:left="180" w:hanging="172"/>
        <w:spacing w:after="0" w:line="191"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NRG Yield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Operating LLC</w:t>
            </w:r>
          </w:p>
        </w:tc>
        <w:tc>
          <w:tcPr>
            <w:tcW w:w="18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 (b)</w:t>
            </w:r>
          </w:p>
        </w:tc>
        <w:tc>
          <w:tcPr>
            <w:tcW w:w="140" w:type="dxa"/>
            <w:vAlign w:val="bottom"/>
          </w:tcPr>
          <w:p>
            <w:pPr>
              <w:spacing w:after="0"/>
              <w:rPr>
                <w:sz w:val="16"/>
                <w:szCs w:val="16"/>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(a)</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Equity in income (losses) of consolidated</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affiliates</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rPr>
              <w:t>Equity in earnings of unconsolidated</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affiliates</w:t>
            </w:r>
          </w:p>
        </w:tc>
        <w:tc>
          <w:tcPr>
            <w:tcW w:w="3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(Loss) Attributable to NRG</w:t>
            </w: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Yield LLC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21" w:right="2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September 30, 2015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1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NRG Yield Operating</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(a)(b)</w:t>
            </w:r>
          </w:p>
        </w:tc>
        <w:tc>
          <w:tcPr>
            <w:tcW w:w="160" w:type="dxa"/>
            <w:vAlign w:val="bottom"/>
          </w:tcPr>
          <w:p>
            <w:pPr>
              <w:spacing w:after="0"/>
              <w:rPr>
                <w:sz w:val="12"/>
                <w:szCs w:val="12"/>
                <w:color w:val="auto"/>
              </w:rPr>
            </w:pP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(a)</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 xml:space="preserve">Subsidiaries </w:t>
            </w:r>
            <w:r>
              <w:rPr>
                <w:rFonts w:ascii="Arial" w:cs="Arial" w:eastAsia="Arial" w:hAnsi="Arial"/>
                <w:sz w:val="8"/>
                <w:szCs w:val="8"/>
                <w:b w:val="1"/>
                <w:bCs w:val="1"/>
                <w:color w:val="auto"/>
                <w:w w:val="94"/>
              </w:rPr>
              <w:t>(a)</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5"/>
        </w:trPr>
        <w:tc>
          <w:tcPr>
            <w:tcW w:w="33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6"/>
        </w:trPr>
        <w:tc>
          <w:tcPr>
            <w:tcW w:w="3340" w:type="dxa"/>
            <w:vAlign w:val="bottom"/>
          </w:tcPr>
          <w:p>
            <w:pPr>
              <w:ind w:left="200"/>
              <w:spacing w:after="0"/>
              <w:rPr>
                <w:sz w:val="20"/>
                <w:szCs w:val="20"/>
                <w:color w:val="auto"/>
              </w:rPr>
            </w:pPr>
            <w:r>
              <w:rPr>
                <w:rFonts w:ascii="Arial" w:cs="Arial" w:eastAsia="Arial" w:hAnsi="Arial"/>
                <w:sz w:val="18"/>
                <w:szCs w:val="18"/>
                <w:b w:val="1"/>
                <w:bCs w:val="1"/>
                <w:color w:val="auto"/>
              </w:rPr>
              <w:t>(Loss)Attributable to NRG Yield LLC</w:t>
            </w:r>
          </w:p>
        </w:tc>
        <w:tc>
          <w:tcPr>
            <w:tcW w:w="1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0" w:lineRule="exact"/>
        <w:rPr>
          <w:rFonts w:ascii="Arial" w:cs="Arial" w:eastAsia="Arial" w:hAnsi="Arial"/>
          <w:sz w:val="18"/>
          <w:szCs w:val="18"/>
          <w:color w:val="auto"/>
          <w:vertAlign w:val="superscript"/>
        </w:rPr>
      </w:pPr>
    </w:p>
    <w:p>
      <w:pPr>
        <w:ind w:left="180" w:hanging="172"/>
        <w:spacing w:after="0" w:line="191"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1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Operating</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2"/>
                <w:szCs w:val="12"/>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 (b)</w:t>
            </w:r>
          </w:p>
        </w:tc>
        <w:tc>
          <w:tcPr>
            <w:tcW w:w="140" w:type="dxa"/>
            <w:vAlign w:val="bottom"/>
          </w:tcPr>
          <w:p>
            <w:pPr>
              <w:spacing w:after="0"/>
              <w:rPr>
                <w:sz w:val="12"/>
                <w:szCs w:val="12"/>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LLC</w:t>
            </w:r>
            <w:r>
              <w:rPr>
                <w:rFonts w:ascii="Arial" w:cs="Arial" w:eastAsia="Arial" w:hAnsi="Arial"/>
                <w:sz w:val="17"/>
                <w:szCs w:val="17"/>
                <w:b w:val="1"/>
                <w:bCs w:val="1"/>
                <w:color w:val="auto"/>
                <w:w w:val="97"/>
                <w:vertAlign w:val="superscript"/>
              </w:rPr>
              <w:t>(a)</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Subsidiaries</w:t>
            </w:r>
            <w:r>
              <w:rPr>
                <w:rFonts w:ascii="Arial" w:cs="Arial" w:eastAsia="Arial" w:hAnsi="Arial"/>
                <w:sz w:val="8"/>
                <w:szCs w:val="8"/>
                <w:b w:val="1"/>
                <w:bCs w:val="1"/>
                <w:color w:val="auto"/>
                <w:w w:val="98"/>
              </w:rPr>
              <w:t>(a)</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85</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5"/>
        </w:trPr>
        <w:tc>
          <w:tcPr>
            <w:tcW w:w="336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Comprehensive Income (Loss) attributable</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8"/>
                <w:szCs w:val="18"/>
                <w:color w:val="auto"/>
              </w:rPr>
              <w:t>50</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6"/>
        </w:trPr>
        <w:tc>
          <w:tcPr>
            <w:tcW w:w="3360" w:type="dxa"/>
            <w:vAlign w:val="bottom"/>
          </w:tcPr>
          <w:p>
            <w:pPr>
              <w:ind w:left="200"/>
              <w:spacing w:after="0"/>
              <w:rPr>
                <w:sz w:val="20"/>
                <w:szCs w:val="20"/>
                <w:color w:val="auto"/>
              </w:rPr>
            </w:pPr>
            <w:r>
              <w:rPr>
                <w:rFonts w:ascii="Arial" w:cs="Arial" w:eastAsia="Arial" w:hAnsi="Arial"/>
                <w:sz w:val="18"/>
                <w:szCs w:val="18"/>
                <w:b w:val="1"/>
                <w:bCs w:val="1"/>
                <w:color w:val="auto"/>
              </w:rPr>
              <w:t>to NRG Yield LLC</w:t>
            </w:r>
          </w:p>
        </w:tc>
        <w:tc>
          <w:tcPr>
            <w:tcW w:w="1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ind w:left="180" w:hanging="172"/>
        <w:spacing w:after="0" w:line="191" w:lineRule="auto"/>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121" w:right="299" w:bottom="1440" w:gutter="0" w:footer="0" w:header="0"/>
        </w:sectPr>
      </w:pPr>
    </w:p>
    <w:bookmarkStart w:id="40" w:name="page41"/>
    <w:bookmarkEnd w:id="40"/>
    <w:p>
      <w:pPr>
        <w:jc w:val="center"/>
        <w:ind w:right="-11"/>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2015</w:t>
      </w:r>
    </w:p>
    <w:p>
      <w:pPr>
        <w:spacing w:after="0" w:line="316"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(a)(b)</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(b)</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r>
              <w:rPr>
                <w:rFonts w:ascii="Arial" w:cs="Arial" w:eastAsia="Arial" w:hAnsi="Arial"/>
                <w:sz w:val="8"/>
                <w:szCs w:val="8"/>
                <w:b w:val="1"/>
                <w:bCs w:val="1"/>
                <w:color w:val="auto"/>
                <w:w w:val="91"/>
              </w:rPr>
              <w:t>(b)</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r>
              <w:rPr>
                <w:rFonts w:ascii="Arial" w:cs="Arial" w:eastAsia="Arial" w:hAnsi="Arial"/>
                <w:sz w:val="8"/>
                <w:szCs w:val="8"/>
                <w:b w:val="1"/>
                <w:bCs w:val="1"/>
                <w:color w:val="auto"/>
                <w:w w:val="93"/>
              </w:rPr>
              <w:t>(b)</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640" w:type="dxa"/>
            <w:vAlign w:val="bottom"/>
          </w:tcPr>
          <w:p>
            <w:pPr>
              <w:ind w:left="14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Accounts receivable — trade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97"/>
        </w:trPr>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consolidated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Equity investments in affiliates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64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ind w:left="152" w:hanging="152"/>
        <w:spacing w:after="0"/>
        <w:tabs>
          <w:tab w:leader="none" w:pos="152"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ind w:left="152" w:hanging="152"/>
        <w:spacing w:after="0" w:line="223" w:lineRule="auto"/>
        <w:tabs>
          <w:tab w:leader="none" w:pos="152"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1121"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(a)(b)</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8"/>
                <w:szCs w:val="8"/>
                <w:b w:val="1"/>
                <w:bCs w:val="1"/>
                <w:color w:val="auto"/>
              </w:rPr>
              <w:t>(b)</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r>
              <w:rPr>
                <w:rFonts w:ascii="Arial" w:cs="Arial" w:eastAsia="Arial" w:hAnsi="Arial"/>
                <w:sz w:val="8"/>
                <w:szCs w:val="8"/>
                <w:b w:val="1"/>
                <w:bCs w:val="1"/>
                <w:color w:val="auto"/>
                <w:w w:val="91"/>
              </w:rPr>
              <w:t>(b)</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r>
              <w:rPr>
                <w:rFonts w:ascii="Arial" w:cs="Arial" w:eastAsia="Arial" w:hAnsi="Arial"/>
                <w:sz w:val="8"/>
                <w:szCs w:val="8"/>
                <w:b w:val="1"/>
                <w:bCs w:val="1"/>
                <w:color w:val="auto"/>
                <w:w w:val="93"/>
              </w:rPr>
              <w:t>(b)</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tcPr>
          <w:p>
            <w:pPr>
              <w:ind w:left="98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Current portion of long-term debt —</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Accrued expenses and other current</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57"/>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1414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60" w:type="dxa"/>
            <w:vAlign w:val="bottom"/>
          </w:tcPr>
          <w:p>
            <w:pPr>
              <w:spacing w:after="0"/>
              <w:rPr>
                <w:sz w:val="14"/>
                <w:szCs w:val="14"/>
                <w:color w:val="auto"/>
              </w:rPr>
            </w:pP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8"/>
              </w:rPr>
              <w:t>Operating LLC</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Subsidiaries</w:t>
            </w:r>
            <w:r>
              <w:rPr>
                <w:rFonts w:ascii="Arial" w:cs="Arial" w:eastAsia="Arial" w:hAnsi="Arial"/>
                <w:sz w:val="8"/>
                <w:szCs w:val="8"/>
                <w:b w:val="1"/>
                <w:bCs w:val="1"/>
                <w:color w:val="auto"/>
              </w:rPr>
              <w:t>(a)</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2C2C2C"/>
                <w:w w:val="93"/>
              </w:rPr>
              <w:t>(Note 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Intercompany transactions from Yield LLC to subsidiaries</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Acquisition of Drop Down Assets, net of cash acquired</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Increase in restricted cash</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notes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Proceeds from renewable energy grants</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Investments in unconsolidated affiliates</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of funds under intercompany cash management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arrangement</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NRG for NRG Wind TE Holdco and CVSR</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Proceeds from the issuance of Class C and Class A units</w:t>
            </w:r>
          </w:p>
        </w:tc>
        <w:tc>
          <w:tcPr>
            <w:tcW w:w="4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distributions</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 affiliate</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Net borrowings from the revolving credit facility</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long-term debt - external</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Payments for long-term debt</w:t>
            </w:r>
          </w:p>
        </w:tc>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Braun v. NRG Yield, Inc. </w:t>
      </w:r>
      <w:r>
        <w:rPr>
          <w:rFonts w:ascii="Arial" w:cs="Arial" w:eastAsia="Arial" w:hAnsi="Arial"/>
          <w:sz w:val="17"/>
          <w:szCs w:val="17"/>
          <w:color w:val="auto"/>
        </w:rPr>
        <w:t>— On April 19, 2016, plaintiffs filed a putative class action lawsuit against NRG Yield, Inc., the current and former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On August 3, 2016, the court approved a stipulation entered into by the parties. The stipulation provided that the plaintiffs would file an amended complaint by August 19, 2016, which they did on August 18, 2016. The defendants filed demurrers and a motion challenging jurisdiction on October 18, 2016.</w:t>
      </w:r>
    </w:p>
    <w:p>
      <w:pPr>
        <w:spacing w:after="0" w:line="12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Ahmed v. NRG Energy, Inc. and the NRG Yield Board of Directors </w:t>
      </w:r>
      <w:r>
        <w:rPr>
          <w:rFonts w:ascii="Arial" w:cs="Arial" w:eastAsia="Arial" w:hAnsi="Arial"/>
          <w:sz w:val="17"/>
          <w:szCs w:val="17"/>
          <w:color w:val="auto"/>
        </w:rPr>
        <w:t>— On September 15, 2016, plaintiffs filed a putative class action lawsuit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NRG Energy, Inc., the directors of NRG Yield, Inc., and other 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responsive pleadings on November 4, 2016.</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21" w:right="239" w:bottom="1440" w:gutter="0" w:footer="0" w:header="0"/>
        </w:sectPr>
      </w:pPr>
    </w:p>
    <w:bookmarkStart w:id="44" w:name="page45"/>
    <w:bookmarkEnd w:id="44"/>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200" w:lineRule="exact"/>
        <w:rPr>
          <w:sz w:val="20"/>
          <w:szCs w:val="20"/>
          <w:color w:val="auto"/>
        </w:rPr>
      </w:pPr>
    </w:p>
    <w:p>
      <w:pPr>
        <w:spacing w:after="0" w:line="286"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following discussion analyzes the Company's historical financial condition and results of operations, which were recast to include the effect of the CVSR Drop Down and the November 2015 Drop Down Assets, which were acquired from NRG on September 1, 2016 and November 3, 2015, respectively.</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nine months ended September 30, 2016, and 2015. Also refer to the Company's 2015 Form 10-K,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4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NRG Yield LLC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distributions income from a diversified portfolio of lower-risk high-quality assets.</w:t>
      </w:r>
    </w:p>
    <w:p>
      <w:pPr>
        <w:spacing w:after="0" w:line="9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4,563 net MW as of September 30, 2016.</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17 years as of September 30, 2016,</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w:t>
      </w:r>
      <w:r>
        <w:rPr>
          <w:rFonts w:ascii="Arial" w:cs="Arial" w:eastAsia="Arial" w:hAnsi="Arial"/>
          <w:sz w:val="17"/>
          <w:szCs w:val="17"/>
          <w:color w:val="auto"/>
        </w:rPr>
        <w:t xml:space="preserve"> </w:t>
      </w:r>
      <w:r>
        <w:rPr>
          <w:rFonts w:ascii="Arial" w:cs="Arial" w:eastAsia="Arial" w:hAnsi="Arial"/>
          <w:sz w:val="17"/>
          <w:szCs w:val="17"/>
          <w:color w:val="231F20"/>
        </w:rPr>
        <w:t>steam and chilled water capacity of 1,315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2015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3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environmental matters are described in the Company’s 2015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p>
    <w:p>
      <w:pPr>
        <w:spacing w:after="0" w:line="11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and regulations surrounding the protection of wildlife, including migratory birds, eagles and threatened and endangered species. Environmental laws have become increasingly stringent and the Company expects this trend to continue.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Wind and Solar Resource Availability</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Market Conditions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capital markets in general are often subject to volatility that is unrelated to the operating performance of particular companies. The Company’s growth strategy depends on its ability to identify and acquire additional conventional and renewable facilities from NRG and unaffiliated third parties, which will require access to debt and equity financing to complete such acquisitions or replenish capital for future acquisitions. Any broad market fluctuations may affect the Company’s ability to access such capital through debt or equity financings.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2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Operational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Walnut Creek Forced Outage</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July and August 2016, Walnut Creek experienced two unrelated outages causing damage to a circuit breaker and a compressor resulting in forced outages on Units 2 and 4, respectively. The Company has undertaken a root cause analysis and is reviewing what is covered by warranty or available insurance coverage. Unit 2 returned to service on August 10, 2016 and Unit 4 returned to service on September 15, 2016.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2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center"/>
              <w:ind w:right="91"/>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right"/>
              <w:ind w:right="29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9"/>
        </w:trPr>
        <w:tc>
          <w:tcPr>
            <w:tcW w:w="52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otherwise noted)</w:t>
            </w: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9"/>
                <w:szCs w:val="19"/>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21"/>
                <w:szCs w:val="21"/>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2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r>
      <w:tr>
        <w:trPr>
          <w:trHeight w:val="237"/>
        </w:trPr>
        <w:tc>
          <w:tcPr>
            <w:tcW w:w="528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Emissions credit amortization</w:t>
            </w:r>
          </w:p>
        </w:tc>
        <w:tc>
          <w:tcPr>
            <w:tcW w:w="220" w:type="dxa"/>
            <w:vAlign w:val="bottom"/>
          </w:tcPr>
          <w:p>
            <w:pPr>
              <w:spacing w:after="0"/>
              <w:rPr>
                <w:sz w:val="21"/>
                <w:szCs w:val="21"/>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0" w:type="dxa"/>
            <w:vAlign w:val="bottom"/>
          </w:tcPr>
          <w:p>
            <w:pPr>
              <w:spacing w:after="0"/>
              <w:rPr>
                <w:sz w:val="20"/>
                <w:szCs w:val="20"/>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r>
      <w:tr>
        <w:trPr>
          <w:trHeight w:val="237"/>
        </w:trPr>
        <w:tc>
          <w:tcPr>
            <w:tcW w:w="52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5"/>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r>
      <w:tr>
        <w:trPr>
          <w:trHeight w:val="237"/>
        </w:trPr>
        <w:tc>
          <w:tcPr>
            <w:tcW w:w="52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52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w:t>
            </w: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Borders>
              <w:bottom w:val="single" w:sz="8" w:color="auto"/>
            </w:tcBorders>
            <w:gridSpan w:val="11"/>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2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31"/>
              <w:spacing w:after="0"/>
              <w:rPr>
                <w:sz w:val="20"/>
                <w:szCs w:val="20"/>
                <w:color w:val="auto"/>
              </w:rPr>
            </w:pPr>
            <w:r>
              <w:rPr>
                <w:rFonts w:ascii="Arial" w:cs="Arial" w:eastAsia="Arial" w:hAnsi="Arial"/>
                <w:sz w:val="14"/>
                <w:szCs w:val="14"/>
                <w:b w:val="1"/>
                <w:bCs w:val="1"/>
                <w:color w:val="auto"/>
              </w:rPr>
              <w:t>2015</w:t>
            </w:r>
          </w:p>
        </w:tc>
      </w:tr>
      <w:tr>
        <w:trPr>
          <w:trHeight w:val="270"/>
        </w:trPr>
        <w:tc>
          <w:tcPr>
            <w:tcW w:w="52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84"/>
              </w:rPr>
              <w:t>1,744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4"/>
              </w:rPr>
              <w:t>5,563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4,813</w:t>
            </w:r>
          </w:p>
        </w:tc>
      </w:tr>
      <w:tr>
        <w:trPr>
          <w:trHeight w:val="270"/>
        </w:trPr>
        <w:tc>
          <w:tcPr>
            <w:tcW w:w="52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w w:val="86"/>
              </w:rPr>
              <w:t>628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84"/>
              </w:rPr>
              <w:t>1,265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1,818</w:t>
            </w: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Thermal MWt sold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496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4"/>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r>
      <w:tr>
        <w:trPr>
          <w:trHeight w:val="341"/>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147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7"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4"/>
          <w:szCs w:val="14"/>
          <w:color w:val="auto"/>
        </w:rPr>
        <w:t>Volumes sold do not include the MWh generated by the Company's equity method investments.</w:t>
      </w:r>
    </w:p>
    <w:p>
      <w:pPr>
        <w:spacing w:after="0" w:line="19" w:lineRule="exact"/>
        <w:rPr>
          <w:rFonts w:ascii="Arial" w:cs="Arial" w:eastAsia="Arial" w:hAnsi="Arial"/>
          <w:sz w:val="16"/>
          <w:szCs w:val="16"/>
          <w:color w:val="auto"/>
          <w:vertAlign w:val="superscript"/>
        </w:rPr>
      </w:pPr>
    </w:p>
    <w:p>
      <w:pPr>
        <w:ind w:left="160" w:hanging="152"/>
        <w:spacing w:after="0" w:line="212" w:lineRule="auto"/>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Volumes generated are not sold as the Conventional facilities sell capacity rather than energy.</w:t>
      </w:r>
    </w:p>
    <w:p>
      <w:pPr>
        <w:ind w:firstLine="8"/>
        <w:spacing w:after="0" w:line="237" w:lineRule="auto"/>
        <w:tabs>
          <w:tab w:leader="none" w:pos="16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 xml:space="preserve">MWh sold do not include 110 MWh and 184 MWh generated by NRG Dover, a subsidiary of the Company, under the PPA with NRG Power Marketing during the three and nine months ended September 30, 2016, respectively, as further described in Note 11,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121" w:right="2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September 30, 2016, and 2015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Economic Gross Margin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gains,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2016</w:t>
            </w:r>
          </w:p>
        </w:tc>
        <w:tc>
          <w:tcPr>
            <w:tcW w:w="1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1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464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2015</w:t>
            </w: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1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64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390"/>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6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49" w:name="page50"/>
    <w:bookmarkEnd w:id="49"/>
    <w:p>
      <w:pPr>
        <w:ind w:firstLine="648"/>
        <w:spacing w:after="0" w:line="277" w:lineRule="auto"/>
        <w:rPr>
          <w:sz w:val="20"/>
          <w:szCs w:val="20"/>
          <w:color w:val="auto"/>
        </w:rPr>
      </w:pPr>
      <w:r>
        <w:rPr>
          <w:rFonts w:ascii="Arial" w:cs="Arial" w:eastAsia="Arial" w:hAnsi="Arial"/>
          <w:sz w:val="18"/>
          <w:szCs w:val="18"/>
          <w:color w:val="auto"/>
        </w:rPr>
        <w:t>Gross margin increased by $18 million and economic gross margin increased by $19 million during the three months ended September 30, 2016, compared to the same period in 2015, primarily due to:</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Increase in Renewables economic gross margin due to a 20% increase in volume generated at Alta wind projects, as well as 5% increase in</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7"/>
        </w:trPr>
        <w:tc>
          <w:tcPr>
            <w:tcW w:w="10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solar generation, primarily at CVSR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29"/>
        </w:trPr>
        <w:tc>
          <w:tcPr>
            <w:tcW w:w="10280" w:type="dxa"/>
            <w:vAlign w:val="bottom"/>
          </w:tcPr>
          <w:p>
            <w:pPr>
              <w:ind w:left="40"/>
              <w:spacing w:after="0"/>
              <w:rPr>
                <w:sz w:val="20"/>
                <w:szCs w:val="20"/>
                <w:color w:val="auto"/>
              </w:rPr>
            </w:pPr>
            <w:r>
              <w:rPr>
                <w:rFonts w:ascii="Arial" w:cs="Arial" w:eastAsia="Arial" w:hAnsi="Arial"/>
                <w:sz w:val="18"/>
                <w:szCs w:val="18"/>
                <w:color w:val="auto"/>
                <w:w w:val="93"/>
              </w:rPr>
              <w:t>Increase in Renewables economic gross margin due to an increase in price per MWh at Alta X and XI wind projects as the PPAs began in</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0280" w:type="dxa"/>
            <w:vAlign w:val="bottom"/>
          </w:tcPr>
          <w:p>
            <w:pPr>
              <w:ind w:left="200"/>
              <w:spacing w:after="0"/>
              <w:rPr>
                <w:sz w:val="20"/>
                <w:szCs w:val="20"/>
                <w:color w:val="auto"/>
              </w:rPr>
            </w:pPr>
            <w:r>
              <w:rPr>
                <w:rFonts w:ascii="Arial" w:cs="Arial" w:eastAsia="Arial" w:hAnsi="Arial"/>
                <w:sz w:val="18"/>
                <w:szCs w:val="18"/>
                <w:color w:val="auto"/>
              </w:rPr>
              <w:t>January 2016, compared to merchant prices in 2015</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10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Thermal economic gross margin primarily due to increased consumption revenue at several Thermal entities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29"/>
        </w:trPr>
        <w:tc>
          <w:tcPr>
            <w:tcW w:w="10280" w:type="dxa"/>
            <w:vAlign w:val="bottom"/>
          </w:tcPr>
          <w:p>
            <w:pPr>
              <w:ind w:left="40"/>
              <w:spacing w:after="0"/>
              <w:rPr>
                <w:sz w:val="20"/>
                <w:szCs w:val="20"/>
                <w:color w:val="auto"/>
              </w:rPr>
            </w:pPr>
            <w:r>
              <w:rPr>
                <w:rFonts w:ascii="Arial" w:cs="Arial" w:eastAsia="Arial" w:hAnsi="Arial"/>
                <w:sz w:val="18"/>
                <w:szCs w:val="18"/>
                <w:color w:val="auto"/>
                <w:w w:val="95"/>
              </w:rPr>
              <w:t>Decrease in Conventional economic gross margin primarily to due forced outages at Walnut Creek in the third quarter of 2016, partially</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0280" w:type="dxa"/>
            <w:vAlign w:val="bottom"/>
          </w:tcPr>
          <w:p>
            <w:pPr>
              <w:ind w:left="200"/>
              <w:spacing w:after="0"/>
              <w:rPr>
                <w:sz w:val="20"/>
                <w:szCs w:val="20"/>
                <w:color w:val="auto"/>
              </w:rPr>
            </w:pPr>
            <w:r>
              <w:rPr>
                <w:rFonts w:ascii="Arial" w:cs="Arial" w:eastAsia="Arial" w:hAnsi="Arial"/>
                <w:sz w:val="18"/>
                <w:szCs w:val="18"/>
                <w:color w:val="auto"/>
              </w:rPr>
              <w:t>offset by increased capacity revenue at Marsh Landing due to a favorable performance test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Increase in economic 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Higher contract amortization primarily for the Alta X and XI PPAs, which began in January 2016</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0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Increase due to unrealized losses on forward contracts with an NRG subsidiary hedging the forecasted sale of power from Elbow Creek, Goat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10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Wind, Alta X and Alta XI in 2015, prior to the start of the PPAs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10280" w:type="dxa"/>
            <w:vAlign w:val="bottom"/>
          </w:tcPr>
          <w:p>
            <w:pPr>
              <w:ind w:left="380"/>
              <w:spacing w:after="0"/>
              <w:rPr>
                <w:sz w:val="20"/>
                <w:szCs w:val="20"/>
                <w:color w:val="auto"/>
              </w:rPr>
            </w:pPr>
            <w:r>
              <w:rPr>
                <w:rFonts w:ascii="Arial" w:cs="Arial" w:eastAsia="Arial" w:hAnsi="Arial"/>
                <w:sz w:val="18"/>
                <w:szCs w:val="18"/>
                <w:b w:val="1"/>
                <w:bCs w:val="1"/>
                <w:color w:val="auto"/>
              </w:rPr>
              <w:t>Increase in gross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w:t>
            </w:r>
          </w:p>
        </w:tc>
      </w:tr>
      <w:tr>
        <w:trPr>
          <w:trHeight w:val="20"/>
        </w:trPr>
        <w:tc>
          <w:tcPr>
            <w:tcW w:w="10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Operations and maintenance expense decreased by $3 million during the three months ended September 30, 2016, compared to the same period in 2015, primarily due to fewer third party service contracts, partially offset by the forced outages at Walnut Creek in the third quarter of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remained flat during the three months ended September 30, 2016, compared to the same period in 2015, due primarily to:</w:t>
      </w:r>
    </w:p>
    <w:p>
      <w:pPr>
        <w:spacing w:after="0" w:line="200" w:lineRule="exact"/>
        <w:rPr>
          <w:sz w:val="20"/>
          <w:szCs w:val="20"/>
          <w:color w:val="auto"/>
        </w:rPr>
      </w:pP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due to higher revolving credit facility borrowings in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Increase due to $200 million of debt issued by CVSR Holdco in August 2016</w:t>
            </w:r>
          </w:p>
        </w:tc>
        <w:tc>
          <w:tcPr>
            <w:tcW w:w="2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from changes in the fair value of Alpine interest rate swaps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97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For the three months ended September 30, 2016, the Company had income of $2 million attributable to NRG's 25% ownership of the Class B interests in NRG Wind TE Holdco and a loss of $38 million attributable to noncontrolling interests with respect to its tax equity financing arrangements and the application of the HLBV method. For the three months ended September 30, 2015, the Company had income of $1 million attributable to NRG's 25% ownership of the Class B interests in NRG Wind TE Holdco and a loss of $19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2016, and 2015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Economic Gross Margin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gains,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Nine months ended September 30, 2016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Emissions credit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Emissions credit amortization</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Nine months ended September 30,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51" w:name="page52"/>
    <w:bookmarkEnd w:id="51"/>
    <w:p>
      <w:pPr>
        <w:ind w:right="20" w:firstLine="648"/>
        <w:spacing w:after="0" w:line="277" w:lineRule="auto"/>
        <w:rPr>
          <w:sz w:val="20"/>
          <w:szCs w:val="20"/>
          <w:color w:val="auto"/>
        </w:rPr>
      </w:pPr>
      <w:r>
        <w:rPr>
          <w:rFonts w:ascii="Arial" w:cs="Arial" w:eastAsia="Arial" w:hAnsi="Arial"/>
          <w:sz w:val="18"/>
          <w:szCs w:val="18"/>
          <w:color w:val="auto"/>
        </w:rPr>
        <w:t>Gross margin increased by $64 million and economic gross margin increased by $82 million during the nine months ended September 30, 2016, compared to the same period in 2015 due to:</w:t>
      </w:r>
    </w:p>
    <w:p>
      <w:pPr>
        <w:sectPr>
          <w:pgSz w:w="11900" w:h="16838" w:orient="portrait"/>
          <w:cols w:equalWidth="0" w:num="1">
            <w:col w:w="11420"/>
          </w:cols>
          <w:pgMar w:left="240" w:top="1125"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both"/>
        <w:ind w:left="200" w:right="440" w:hanging="161"/>
        <w:spacing w:after="0" w:line="264" w:lineRule="auto"/>
        <w:rPr>
          <w:sz w:val="20"/>
          <w:szCs w:val="20"/>
          <w:color w:val="auto"/>
        </w:rPr>
      </w:pPr>
      <w:r>
        <w:rPr>
          <w:rFonts w:ascii="Arial" w:cs="Arial" w:eastAsia="Arial" w:hAnsi="Arial"/>
          <w:sz w:val="18"/>
          <w:szCs w:val="18"/>
          <w:color w:val="auto"/>
        </w:rPr>
        <w:t>Increase in Renewables economic gross margin due to a 31% increase in volume generated at the Alta wind projects, as well as a 3% increase in solar generation, primarily CVSR. Additionally, there was an increase in economic gross margin of $3 million at Spring Canyon which was acquired in May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200" w:right="140" w:hanging="161"/>
        <w:spacing w:after="0" w:line="277" w:lineRule="auto"/>
        <w:rPr>
          <w:sz w:val="20"/>
          <w:szCs w:val="20"/>
          <w:color w:val="auto"/>
        </w:rPr>
      </w:pPr>
      <w:r>
        <w:rPr>
          <w:rFonts w:ascii="Arial" w:cs="Arial" w:eastAsia="Arial" w:hAnsi="Arial"/>
          <w:sz w:val="18"/>
          <w:szCs w:val="18"/>
          <w:color w:val="auto"/>
        </w:rPr>
        <w:t>Increase in Renewables economic gross margin due to an increase in price per MWh at Alta X and XI wind projects as the PPAs began in January 2016, compared to merchant prices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200" w:right="100" w:hanging="161"/>
        <w:spacing w:after="0" w:line="277" w:lineRule="auto"/>
        <w:rPr>
          <w:sz w:val="20"/>
          <w:szCs w:val="20"/>
          <w:color w:val="auto"/>
        </w:rPr>
      </w:pPr>
      <w:r>
        <w:rPr>
          <w:rFonts w:ascii="Arial" w:cs="Arial" w:eastAsia="Arial" w:hAnsi="Arial"/>
          <w:sz w:val="18"/>
          <w:szCs w:val="18"/>
          <w:color w:val="auto"/>
        </w:rPr>
        <w:t>Increase in Thermal economic gross margin primarily due to lower gas prices in addition to increased revenues in January 2016 compared to January 2015 due to higher volume</w:t>
      </w:r>
    </w:p>
    <w:p>
      <w:pPr>
        <w:spacing w:after="0" w:line="8" w:lineRule="exact"/>
        <w:rPr>
          <w:sz w:val="20"/>
          <w:szCs w:val="20"/>
          <w:color w:val="auto"/>
        </w:rPr>
      </w:pPr>
    </w:p>
    <w:p>
      <w:pPr>
        <w:jc w:val="both"/>
        <w:ind w:left="200" w:hanging="161"/>
        <w:spacing w:after="0" w:line="264" w:lineRule="auto"/>
        <w:rPr>
          <w:sz w:val="20"/>
          <w:szCs w:val="20"/>
          <w:color w:val="auto"/>
        </w:rPr>
      </w:pPr>
      <w:r>
        <w:rPr>
          <w:rFonts w:ascii="Arial" w:cs="Arial" w:eastAsia="Arial" w:hAnsi="Arial"/>
          <w:sz w:val="18"/>
          <w:szCs w:val="18"/>
          <w:color w:val="auto"/>
        </w:rPr>
        <w:t>Conventional Generation economic gross margin remained flat primarily due to higher revenues at El Segundo as a result of forced outages in 2015, as well as increased capacity revenue at Marsh Landing due to a favorable performance test, offset by lower revenues at Walnut Creek as a result of forced outages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Increase in economic gross margin</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Higher contract amortization primarily for the Alta X and XI PPAs, which began in January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200" w:right="80" w:hanging="161"/>
        <w:spacing w:after="0" w:line="277" w:lineRule="auto"/>
        <w:rPr>
          <w:sz w:val="20"/>
          <w:szCs w:val="20"/>
          <w:color w:val="auto"/>
        </w:rPr>
      </w:pPr>
      <w:r>
        <w:rPr>
          <w:rFonts w:ascii="Arial" w:cs="Arial" w:eastAsia="Arial" w:hAnsi="Arial"/>
          <w:sz w:val="18"/>
          <w:szCs w:val="18"/>
          <w:color w:val="auto"/>
        </w:rPr>
        <w:t>Emissions credit amortization of NOx allowances at Walnut Creek and El Segundo in compliance with amendments to the Regional Clean Air Incentives Market program</w:t>
      </w:r>
    </w:p>
    <w:p>
      <w:pPr>
        <w:spacing w:after="0" w:line="8" w:lineRule="exact"/>
        <w:rPr>
          <w:sz w:val="20"/>
          <w:szCs w:val="20"/>
          <w:color w:val="auto"/>
        </w:rPr>
      </w:pPr>
    </w:p>
    <w:p>
      <w:pPr>
        <w:ind w:left="200" w:right="240" w:hanging="161"/>
        <w:spacing w:after="0" w:line="277" w:lineRule="auto"/>
        <w:rPr>
          <w:sz w:val="20"/>
          <w:szCs w:val="20"/>
          <w:color w:val="auto"/>
        </w:rPr>
      </w:pPr>
      <w:r>
        <w:rPr>
          <w:rFonts w:ascii="Arial" w:cs="Arial" w:eastAsia="Arial" w:hAnsi="Arial"/>
          <w:sz w:val="18"/>
          <w:szCs w:val="18"/>
          <w:color w:val="auto"/>
        </w:rPr>
        <w:t>Decrease due to unrealized gains on forward contracts with an NRG subsidiary hedging the forecasted sale of power from Elbow Creek, Goat Wind, Alta X and Alta XI in 2015, prior to the start of the 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Increase in gross margin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69"/>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82" w:lineRule="exact"/>
        <w:rPr>
          <w:sz w:val="20"/>
          <w:szCs w:val="20"/>
          <w:color w:val="auto"/>
        </w:rPr>
      </w:pPr>
    </w:p>
    <w:p>
      <w:pPr>
        <w:ind w:left="949" w:hanging="949"/>
        <w:spacing w:after="0"/>
        <w:tabs>
          <w:tab w:leader="none" w:pos="9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55</w:t>
      </w:r>
    </w:p>
    <w:p>
      <w:pPr>
        <w:spacing w:after="0" w:line="279"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23</w:t>
      </w:r>
    </w:p>
    <w:p>
      <w:pPr>
        <w:spacing w:after="0" w:line="279" w:lineRule="exact"/>
        <w:rPr>
          <w:rFonts w:ascii="Arial" w:cs="Arial" w:eastAsia="Arial" w:hAnsi="Arial"/>
          <w:sz w:val="18"/>
          <w:szCs w:val="18"/>
          <w:color w:val="auto"/>
        </w:rPr>
      </w:pPr>
    </w:p>
    <w:p>
      <w:pPr>
        <w:ind w:left="1029"/>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7975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6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w:t>
      </w:r>
    </w:p>
    <w:p>
      <w:pPr>
        <w:spacing w:after="0" w:line="27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w:t>
      </w:r>
    </w:p>
    <w:p>
      <w:pPr>
        <w:spacing w:after="0" w:line="27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w:t>
      </w:r>
    </w:p>
    <w:p>
      <w:pPr>
        <w:spacing w:after="0" w:line="73" w:lineRule="exact"/>
        <w:rPr>
          <w:sz w:val="20"/>
          <w:szCs w:val="20"/>
          <w:color w:val="auto"/>
        </w:rPr>
      </w:pPr>
    </w:p>
    <w:p>
      <w:pPr>
        <w:ind w:left="949" w:hanging="949"/>
        <w:spacing w:after="0"/>
        <w:tabs>
          <w:tab w:leader="none" w:pos="94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wp:posOffset>
            </wp:positionV>
            <wp:extent cx="7975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10080" w:space="111"/>
            <w:col w:w="1229"/>
          </w:cols>
          <w:pgMar w:left="240" w:top="1125"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costs of operations decreased by $3 million during the nine months ended September 30, 2016, compared to the same period in 2015, primarily due to a property tax rebate received in 2016 for the Alta projects.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Equity in earnings of unconsolidated affiliates increased by $10 million during the nine months ended September 30, 2016, compared to the same period in 2015, due primarily to increased equity in earnings from Desert Sunlight, which was acquired in June 2015, DGPV Holdco 1, RPV Holdco and San Juan Mesa, partially offset by losses from Elkhorn Ridge.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increased by $9 million during the nine months ended September 30, 2016, compared to the same period in 2015, due to:</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higher revolving credit facility borrowings in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from the issuance of intercompany debt with Yield, Inc. due 2020</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changes in the fair value of Alpine 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due to $200 million of debt issued by CVSR Holdco in August 2016</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for redemption of Alta X and XI project-level debt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10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10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0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nine months ended September 30, 2016, the Company had income of $5 million attributable to NRG's 25% ownership of the Class B interests in NRG Wind TE Holdco and a loss of $67 million attributable to noncontrolling interests with respect to its tax equity financing arrangements and the application of the HLBV method. For the nine months ended September 30, 2015, the Company had income of $6 million attributable to NRG's 25% ownership of the Class B interests in NRG Wind TE Holdco and a loss of $40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25"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to service debt and to pay distributions. Historically, the Company's predecessor operations were financed as part of NRG's integrated operations and largely relied on internally generated cash flows as well as corporate and/or project-level borrowings to satisfy its capital expenditure requirements. </w:t>
      </w:r>
      <w:r>
        <w:rPr>
          <w:rFonts w:ascii="Arial" w:cs="Arial" w:eastAsia="Arial" w:hAnsi="Arial"/>
          <w:sz w:val="17"/>
          <w:szCs w:val="17"/>
          <w:color w:val="000000"/>
        </w:rPr>
        <w:t>As a normal part of the Company's business, depending on market conditions, the Company will from time to time consider</w:t>
      </w:r>
      <w:r>
        <w:rPr>
          <w:rFonts w:ascii="Arial" w:cs="Arial" w:eastAsia="Arial" w:hAnsi="Arial"/>
          <w:sz w:val="17"/>
          <w:szCs w:val="17"/>
          <w:color w:val="231F20"/>
        </w:rPr>
        <w:t xml:space="preserve"> </w:t>
      </w:r>
      <w:r>
        <w:rPr>
          <w:rFonts w:ascii="Arial" w:cs="Arial" w:eastAsia="Arial" w:hAnsi="Arial"/>
          <w:sz w:val="17"/>
          <w:szCs w:val="17"/>
          <w:color w:val="000000"/>
        </w:rPr>
        <w:t>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2016</w:t>
      </w:r>
      <w:r>
        <w:rPr>
          <w:rFonts w:ascii="Arial" w:cs="Arial" w:eastAsia="Arial" w:hAnsi="Arial"/>
          <w:sz w:val="18"/>
          <w:szCs w:val="18"/>
          <w:color w:val="231F20"/>
        </w:rPr>
        <w:t xml:space="preserve">, and </w:t>
      </w:r>
      <w:r>
        <w:rPr>
          <w:rFonts w:ascii="Arial" w:cs="Arial" w:eastAsia="Arial" w:hAnsi="Arial"/>
          <w:sz w:val="18"/>
          <w:szCs w:val="18"/>
          <w:color w:val="000000"/>
        </w:rPr>
        <w:t>December 31, 2015</w:t>
      </w:r>
      <w:r>
        <w:rPr>
          <w:rFonts w:ascii="Arial" w:cs="Arial" w:eastAsia="Arial" w:hAnsi="Arial"/>
          <w:sz w:val="18"/>
          <w:szCs w:val="18"/>
          <w:color w:val="231F20"/>
        </w:rPr>
        <w:t xml:space="preserve">, the Company's liquidity was approximately $769 million and $374 million, respectively, comprised of cash, restricted cash, and availability under the Company's revolving credit facility. The Company's liquidity includes $138 million and $131 million of restricted cash balances as of </w:t>
      </w:r>
      <w:r>
        <w:rPr>
          <w:rFonts w:ascii="Arial" w:cs="Arial" w:eastAsia="Arial" w:hAnsi="Arial"/>
          <w:sz w:val="18"/>
          <w:szCs w:val="18"/>
          <w:color w:val="000000"/>
        </w:rPr>
        <w:t>September 30, 2016</w:t>
      </w:r>
      <w:r>
        <w:rPr>
          <w:rFonts w:ascii="Arial" w:cs="Arial" w:eastAsia="Arial" w:hAnsi="Arial"/>
          <w:sz w:val="18"/>
          <w:szCs w:val="18"/>
          <w:color w:val="231F20"/>
        </w:rPr>
        <w:t xml:space="preserve">, and </w:t>
      </w:r>
      <w:r>
        <w:rPr>
          <w:rFonts w:ascii="Arial" w:cs="Arial" w:eastAsia="Arial" w:hAnsi="Arial"/>
          <w:sz w:val="18"/>
          <w:szCs w:val="18"/>
          <w:color w:val="000000"/>
        </w:rPr>
        <w:t>December 31, 2015</w:t>
      </w:r>
      <w:r>
        <w:rPr>
          <w:rFonts w:ascii="Arial" w:cs="Arial" w:eastAsia="Arial" w:hAnsi="Arial"/>
          <w:sz w:val="18"/>
          <w:szCs w:val="18"/>
          <w:color w:val="231F20"/>
        </w:rPr>
        <w:t xml:space="preserve">, respectively. Restricted cash consists primarily of funds to satisfy the requirements of certain debt agreements and funds held within the Company's projects that are restricted in their use. The Company's various financing arrangements are described in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As of </w:t>
      </w:r>
      <w:r>
        <w:rPr>
          <w:rFonts w:ascii="Arial" w:cs="Arial" w:eastAsia="Arial" w:hAnsi="Arial"/>
          <w:sz w:val="18"/>
          <w:szCs w:val="18"/>
          <w:color w:val="000000"/>
        </w:rPr>
        <w:t>September 30, 2016</w:t>
      </w:r>
      <w:r>
        <w:rPr>
          <w:rFonts w:ascii="Arial" w:cs="Arial" w:eastAsia="Arial" w:hAnsi="Arial"/>
          <w:sz w:val="18"/>
          <w:szCs w:val="18"/>
          <w:color w:val="231F20"/>
        </w:rPr>
        <w:t>, the Company had $431 million of available borrowings under its revolving credit facility.</w:t>
      </w:r>
    </w:p>
    <w:p>
      <w:pPr>
        <w:spacing w:after="0" w:line="13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2016</w:t>
      </w:r>
      <w:r>
        <w:rPr>
          <w:rFonts w:ascii="Arial" w:cs="Arial" w:eastAsia="Arial" w:hAnsi="Arial"/>
          <w:sz w:val="18"/>
          <w:szCs w:val="18"/>
          <w:color w:val="231F20"/>
        </w:rPr>
        <w:t>, there were no outstanding borrowings and there were $64 million of letters of credit outstanding under the Company's revolving credit facility.</w:t>
      </w:r>
    </w:p>
    <w:p>
      <w:pPr>
        <w:spacing w:after="0" w:line="11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On August 15, 2016, S&amp;P lowered its corporate credit rating on the Yield Operating 2024 Senior Notes to BB from BB+. The rating outlook is stable</w:t>
      </w:r>
      <w:r>
        <w:rPr>
          <w:rFonts w:ascii="Arial" w:cs="Arial" w:eastAsia="Arial" w:hAnsi="Arial"/>
          <w:sz w:val="17"/>
          <w:szCs w:val="17"/>
          <w:color w:val="auto"/>
        </w:rPr>
        <w:t>.</w:t>
      </w:r>
    </w:p>
    <w:p>
      <w:pPr>
        <w:spacing w:after="0" w:line="89" w:lineRule="exact"/>
        <w:rPr>
          <w:sz w:val="20"/>
          <w:szCs w:val="20"/>
          <w:color w:val="auto"/>
        </w:rPr>
      </w:pPr>
    </w:p>
    <w:p>
      <w:pPr>
        <w:ind w:left="420" w:right="1740"/>
        <w:spacing w:after="0" w:line="438"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2016, the Company's 2024 Senior Notes and 2026 Senior Notes are rated BB by S&amp;P and Ba2 by Moody's.</w:t>
      </w:r>
      <w:r>
        <w:rPr>
          <w:rFonts w:ascii="Arial" w:cs="Arial" w:eastAsia="Arial" w:hAnsi="Arial"/>
          <w:sz w:val="18"/>
          <w:szCs w:val="18"/>
          <w:color w:val="231F20"/>
        </w:rPr>
        <w:t xml:space="preserve"> </w:t>
      </w:r>
      <w:r>
        <w:rPr>
          <w:rFonts w:ascii="Arial" w:cs="Arial" w:eastAsia="Arial" w:hAnsi="Arial"/>
          <w:sz w:val="18"/>
          <w:szCs w:val="18"/>
          <w:b w:val="1"/>
          <w:bCs w:val="1"/>
          <w:i w:val="1"/>
          <w:iCs w:val="1"/>
          <w:color w:val="231F20"/>
        </w:rPr>
        <w:t>Sources of Liquidity</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Note 9,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audited consolidated financial statements included in the Company's 2015 Form 10-K, the Company's financing arrangements consist of the revolving credit facility, the Senior Notes, its intercompany borrowings with Yield, Inc. and project-level financings for its various assets.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NRG Yield Operating LLC 2026 Senior Notes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On August 18, 2016, Yield Operating LLC issued $350 million of senior unsecured notes, or the 2026 Senior Notes. The 2026 Senior Notes bear interest at 5.00% and </w:t>
      </w:r>
      <w:r>
        <w:rPr>
          <w:rFonts w:ascii="Arial" w:cs="Arial" w:eastAsia="Arial" w:hAnsi="Arial"/>
          <w:sz w:val="18"/>
          <w:szCs w:val="18"/>
          <w:color w:val="000000"/>
        </w:rPr>
        <w:t>mature on September 15, 2026. Interest on the notes is payable semi-annually on March 15 and September 15 of each year, and interest</w:t>
      </w:r>
      <w:r>
        <w:rPr>
          <w:rFonts w:ascii="Arial" w:cs="Arial" w:eastAsia="Arial" w:hAnsi="Arial"/>
          <w:sz w:val="18"/>
          <w:szCs w:val="18"/>
          <w:color w:val="231F20"/>
        </w:rPr>
        <w:t xml:space="preserve"> </w:t>
      </w:r>
      <w:r>
        <w:rPr>
          <w:rFonts w:ascii="Arial" w:cs="Arial" w:eastAsia="Arial" w:hAnsi="Arial"/>
          <w:sz w:val="18"/>
          <w:szCs w:val="18"/>
          <w:color w:val="000000"/>
        </w:rPr>
        <w:t>payments will commence on March 15, 2017. The 2026 Senior Notes are senior unsecured obligations of Yield Operating LLC and are guaranteed by NRG Yield LLC, and by certain of Yield Operating LLC’s wholly owned current and future subsidiaries. A portion of the proceeds of the 2026 Senior Notes were used to repay the revolving credit facility.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21" w:right="23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i w:val="1"/>
          <w:iCs w:val="1"/>
          <w:color w:val="231F20"/>
        </w:rPr>
        <w:t>At-the-Market Equity Offering Program</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August 9, 2016, NRG Yield, Inc. entered into an equity distribution agreement, or EDA, with Barclays Capital Inc., Credit Suisse Securities (USA) LLC, J.P. Morgan Securities LLC and RBC Capital Markets, LLC, as sales agents. Pursuant to the terms of the EDA, NRG Yield, Inc. may offer and sell shares of its Class C common stock par value, $0.01 per share, from time to time through the sales agents, as NRG Yield, Inc.'s sales agents for the offer and sale of the shares, up to an aggregate sales price of $150,000,000 through an at-the-market equity offering program, or ATM Program. NRG Yield, Inc. may also sell shares of its Class C common stock to any of the sales agents, as principals for its own account, at a price agreed upon at the time of sale. Under the EDA, NRG Yield LLC makes certain customary representations and warranties regarding its business and other matters.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31, 2016, no shares were issued under the ATM Program.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CVSR Holdco Financing Arrangement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On July 15, 2016, CVSR Holdco, the indirect owner of the CVSR solar facility, issued $200 million of senior secured notes that bear interest at 4.68% and mature on March 31, 2037. Net proceeds were distributed to the Company and NRG based on their respective ownership as of July 15, 2016, and accordingly, the Company received net proceeds of </w:t>
      </w:r>
      <w:r>
        <w:rPr>
          <w:rFonts w:ascii="Arial" w:cs="Arial" w:eastAsia="Arial" w:hAnsi="Arial"/>
          <w:sz w:val="18"/>
          <w:szCs w:val="18"/>
          <w:color w:val="000000"/>
        </w:rPr>
        <w:t>$97.5 million</w:t>
      </w:r>
      <w:r>
        <w:rPr>
          <w:rFonts w:ascii="Arial" w:cs="Arial" w:eastAsia="Arial" w:hAnsi="Arial"/>
          <w:sz w:val="18"/>
          <w:szCs w:val="18"/>
          <w:color w:val="231F20"/>
        </w:rPr>
        <w:t xml:space="preserve">. The proceeds were utilized, along with </w:t>
      </w:r>
      <w:r>
        <w:rPr>
          <w:rFonts w:ascii="Arial" w:cs="Arial" w:eastAsia="Arial" w:hAnsi="Arial"/>
          <w:sz w:val="18"/>
          <w:szCs w:val="18"/>
          <w:color w:val="000000"/>
        </w:rPr>
        <w:t>$28 million</w:t>
      </w:r>
      <w:r>
        <w:rPr>
          <w:rFonts w:ascii="Arial" w:cs="Arial" w:eastAsia="Arial" w:hAnsi="Arial"/>
          <w:sz w:val="18"/>
          <w:szCs w:val="18"/>
          <w:color w:val="231F20"/>
        </w:rPr>
        <w:t xml:space="preserve"> of cash on hand, to reduce borrowings under the Company’s revolving credit facility.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Financing</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On October 31, 2016, NRG Energy Center Minneapolis LLC, a subsidiary of NRG Thermal LLC, received proceeds of $125 million from the issuance of 3.55% </w:t>
      </w:r>
      <w:r>
        <w:rPr>
          <w:rFonts w:ascii="Arial" w:cs="Arial" w:eastAsia="Arial" w:hAnsi="Arial"/>
          <w:sz w:val="17"/>
          <w:szCs w:val="17"/>
          <w:color w:val="231F20"/>
        </w:rPr>
        <w:t>Series D notes due October 31, 2031, or the Series D Notes, and entered into a shelf facility for the anticipated issuance of an additional $70 million</w:t>
      </w:r>
      <w:r>
        <w:rPr>
          <w:rFonts w:ascii="Arial" w:cs="Arial" w:eastAsia="Arial" w:hAnsi="Arial"/>
          <w:sz w:val="17"/>
          <w:szCs w:val="17"/>
          <w:color w:val="auto"/>
        </w:rPr>
        <w:t xml:space="preserve"> </w:t>
      </w:r>
      <w:r>
        <w:rPr>
          <w:rFonts w:ascii="Arial" w:cs="Arial" w:eastAsia="Arial" w:hAnsi="Arial"/>
          <w:sz w:val="17"/>
          <w:szCs w:val="17"/>
          <w:color w:val="231F20"/>
        </w:rPr>
        <w:t>of notes. The Series D Notes are, and the additional notes, if issued,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which in turn distributed the proceeds to NRG Yield Operating LLC to be utilized for general corporate purposes, including potential acquisitions.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(ii) capital expenditures; (iii) acquisitions and investments; and (iv) distributions.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capital spending program is mainly focused on maintenance capital expenditures, or costs to maintain the assets currently operating, such as costs to replace or refurbish assets during routine maintenance, and growth capital expenditures or construction of new assets and completing the construction of assets where construction is in process. The Company develops annual capital spending plans based on projected requirements for maintenance and growth capital. For the nine months ended </w:t>
      </w:r>
      <w:r>
        <w:rPr>
          <w:rFonts w:ascii="Arial" w:cs="Arial" w:eastAsia="Arial" w:hAnsi="Arial"/>
          <w:sz w:val="17"/>
          <w:szCs w:val="17"/>
          <w:color w:val="000000"/>
        </w:rPr>
        <w:t>September 30, 2016</w:t>
      </w:r>
      <w:r>
        <w:rPr>
          <w:rFonts w:ascii="Arial" w:cs="Arial" w:eastAsia="Arial" w:hAnsi="Arial"/>
          <w:sz w:val="17"/>
          <w:szCs w:val="17"/>
          <w:color w:val="231F20"/>
        </w:rPr>
        <w:t>, the Company used approximately $16 million to fund capital expenditures, of which $12 million related to maintenance capital expenditures. For the nine months ended September 30, 2015, the Company used approximately $17 million to fund capital expenditures, of which $8 million related to maintenance capital expenditures.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3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i w:val="1"/>
          <w:iCs w:val="1"/>
          <w:color w:val="auto"/>
        </w:rPr>
        <w:t xml:space="preserve">CVSR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1, 2016, the Company acquired the remaining 51.05% interest of CVSR Holdco LLC, which indirectly owns the CVSR solar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from NRG for total cash consideration of $78.5 million plus an immaterial working capital adjustment. The Company also assumed additional debt of $496 million, which represents 51.05% of the CVSR project level debt and 51.05% of the notes issued under the CVSR Holdco Financing Agreement. The acquisition was funded with cash on hand.</w:t>
      </w:r>
    </w:p>
    <w:p>
      <w:pPr>
        <w:spacing w:after="0" w:line="126"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231F20"/>
        </w:rPr>
        <w:t xml:space="preserve">UPMC </w:t>
      </w:r>
      <w:r>
        <w:rPr>
          <w:rFonts w:ascii="Arial" w:cs="Arial" w:eastAsia="Arial" w:hAnsi="Arial"/>
          <w:sz w:val="18"/>
          <w:szCs w:val="18"/>
          <w:i w:val="1"/>
          <w:iCs w:val="1"/>
          <w:color w:val="000000"/>
        </w:rPr>
        <w:t>Thermal Project</w:t>
      </w:r>
      <w:r>
        <w:rPr>
          <w:rFonts w:ascii="Arial" w:cs="Arial" w:eastAsia="Arial" w:hAnsi="Arial"/>
          <w:sz w:val="18"/>
          <w:szCs w:val="18"/>
          <w:i w:val="1"/>
          <w:iCs w:val="1"/>
          <w:color w:val="231F20"/>
        </w:rPr>
        <w:t xml:space="preserve"> </w:t>
      </w:r>
      <w:r>
        <w:rPr>
          <w:rFonts w:ascii="Arial" w:cs="Arial" w:eastAsia="Arial" w:hAnsi="Arial"/>
          <w:sz w:val="18"/>
          <w:szCs w:val="18"/>
          <w:b w:val="1"/>
          <w:bCs w:val="1"/>
          <w:color w:val="000000"/>
        </w:rPr>
        <w:t>—</w:t>
      </w:r>
      <w:r>
        <w:rPr>
          <w:rFonts w:ascii="Arial" w:cs="Arial" w:eastAsia="Arial" w:hAnsi="Arial"/>
          <w:sz w:val="18"/>
          <w:szCs w:val="18"/>
          <w:i w:val="1"/>
          <w:iCs w:val="1"/>
          <w:color w:val="231F20"/>
        </w:rPr>
        <w:t xml:space="preserve"> </w:t>
      </w:r>
      <w:r>
        <w:rPr>
          <w:rFonts w:ascii="Arial" w:cs="Arial" w:eastAsia="Arial" w:hAnsi="Arial"/>
          <w:sz w:val="18"/>
          <w:szCs w:val="18"/>
          <w:color w:val="000000"/>
        </w:rPr>
        <w:t>On October 31, 2016, NRG Business Services LLC, a subsidiary of NRG, and NRG Energy Center Pittsburgh LLC, or</w:t>
      </w:r>
      <w:r>
        <w:rPr>
          <w:rFonts w:ascii="Arial" w:cs="Arial" w:eastAsia="Arial" w:hAnsi="Arial"/>
          <w:sz w:val="18"/>
          <w:szCs w:val="18"/>
          <w:i w:val="1"/>
          <w:iCs w:val="1"/>
          <w:color w:val="231F20"/>
        </w:rPr>
        <w:t xml:space="preserve"> </w:t>
      </w:r>
      <w:r>
        <w:rPr>
          <w:rFonts w:ascii="Arial" w:cs="Arial" w:eastAsia="Arial" w:hAnsi="Arial"/>
          <w:sz w:val="18"/>
          <w:szCs w:val="18"/>
          <w:color w:val="000000"/>
        </w:rPr>
        <w:t>NECP, a subsidiary of the Company, entered into a EPC agreement for the construction of a 73 MWt district energy system for NECP to provide 150 kpph of steam, 6,750 tons of chilled water and 7.5 MW of emergency backup power service to UPMC. The initial term of the energy services agreement (under fixed capacity payments) with UPMC Mercy will be for a period of twenty years from the service commencement date. Pursuant to the terms of the EPC agreement, NECP</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25" w:right="2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color w:val="auto"/>
        </w:rPr>
        <w:t>shall pay NRG Business Services LLC $79 million, subject to adjustment based upon certain conditions in the EPC agreement, upon substantial completion of the project. The project is expected to reach COD in the first quarter of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Yield, Inc. and NRG</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231F20"/>
        </w:rPr>
        <w:t xml:space="preserve">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less cash distributions to noncontrolling interests, maintenance capital expenditures, pro-rata EBITDA from unconsolidated affiliates, cash interest paid, income taxes paid, principal amortization of indebtedness and changes in other assets. Distributions on units </w:t>
      </w:r>
      <w:r>
        <w:rPr>
          <w:rFonts w:ascii="Arial" w:cs="Arial" w:eastAsia="Arial" w:hAnsi="Arial"/>
          <w:sz w:val="17"/>
          <w:szCs w:val="17"/>
          <w:color w:val="000000"/>
        </w:rPr>
        <w:t>are subject to available capital, market conditions, and</w:t>
      </w:r>
      <w:r>
        <w:rPr>
          <w:rFonts w:ascii="Arial" w:cs="Arial" w:eastAsia="Arial" w:hAnsi="Arial"/>
          <w:sz w:val="17"/>
          <w:szCs w:val="17"/>
          <w:color w:val="231F20"/>
        </w:rPr>
        <w:t xml:space="preserve"> </w:t>
      </w:r>
      <w:r>
        <w:rPr>
          <w:rFonts w:ascii="Arial" w:cs="Arial" w:eastAsia="Arial" w:hAnsi="Arial"/>
          <w:sz w:val="17"/>
          <w:szCs w:val="17"/>
          <w:color w:val="000000"/>
        </w:rPr>
        <w:t>compliance with associated laws, regulations and other contractual obligations. The Company expects that, based on current circumstances, comparable distributions will continue to be paid in the foreseeable future.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the Company's Class A, B, C and D units during the nine months ended September 30, 2016:</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2016</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2016</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B, C and D unit</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0.23</w:t>
            </w: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0.225</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November 2, 2016, the Company declared a distribution on its Class A, Class B, Class C and Class D units of $0.25 per unit payable on December 15, 2016 to unit holders of record as of December 1,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cash flows for the nine months ended September 30, 2016, compared to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60" w:type="dxa"/>
            <w:vAlign w:val="bottom"/>
            <w:tcBorders>
              <w:bottom w:val="single" w:sz="8" w:color="CCEEFF"/>
            </w:tcBorders>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273</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432"/>
        </w:trPr>
        <w:tc>
          <w:tcPr>
            <w:tcW w:w="53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00" w:type="dxa"/>
            <w:vAlign w:val="bottom"/>
          </w:tcPr>
          <w:p>
            <w:pPr>
              <w:ind w:left="40"/>
              <w:spacing w:after="0"/>
              <w:rPr>
                <w:sz w:val="20"/>
                <w:szCs w:val="20"/>
                <w:color w:val="auto"/>
              </w:rPr>
            </w:pPr>
            <w:r>
              <w:rPr>
                <w:rFonts w:ascii="Arial" w:cs="Arial" w:eastAsia="Arial" w:hAnsi="Arial"/>
                <w:sz w:val="18"/>
                <w:szCs w:val="18"/>
                <w:color w:val="auto"/>
                <w:w w:val="96"/>
              </w:rPr>
              <w:t>Changes to net cash provided by operating activities were driven by:</w:t>
            </w: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operating income adjusted for non-cash items</w:t>
            </w:r>
          </w:p>
        </w:tc>
        <w:tc>
          <w:tcPr>
            <w:tcW w:w="2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7760" w:type="dxa"/>
            <w:vAlign w:val="bottom"/>
            <w:gridSpan w:val="3"/>
          </w:tcPr>
          <w:p>
            <w:pPr>
              <w:ind w:left="40"/>
              <w:spacing w:after="0"/>
              <w:rPr>
                <w:sz w:val="20"/>
                <w:szCs w:val="20"/>
                <w:color w:val="auto"/>
              </w:rPr>
            </w:pPr>
            <w:r>
              <w:rPr>
                <w:rFonts w:ascii="Arial" w:cs="Arial" w:eastAsia="Arial" w:hAnsi="Arial"/>
                <w:sz w:val="18"/>
                <w:szCs w:val="18"/>
                <w:color w:val="auto"/>
                <w:w w:val="94"/>
              </w:rPr>
              <w:t>Changes in working capital driven primarily by the timing of wind generation in 2015 compared to 2016</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distributions from unconsolidated affiliates</w:t>
            </w:r>
          </w:p>
        </w:tc>
        <w:tc>
          <w:tcPr>
            <w:tcW w:w="2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530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0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8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4"/>
              </w:rPr>
              <w:t>Higher payments made to acquire the January 2015 Drop Down Assets compared to the CVSR Drop Down in 2016</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9060" w:type="dxa"/>
            <w:vAlign w:val="bottom"/>
            <w:gridSpan w:val="5"/>
          </w:tcPr>
          <w:p>
            <w:pPr>
              <w:ind w:left="40"/>
              <w:spacing w:after="0"/>
              <w:rPr>
                <w:sz w:val="20"/>
                <w:szCs w:val="20"/>
                <w:color w:val="auto"/>
              </w:rPr>
            </w:pPr>
            <w:r>
              <w:rPr>
                <w:rFonts w:ascii="Arial" w:cs="Arial" w:eastAsia="Arial" w:hAnsi="Arial"/>
                <w:sz w:val="18"/>
                <w:szCs w:val="18"/>
                <w:color w:val="auto"/>
                <w:w w:val="91"/>
              </w:rPr>
              <w:t>Decrease in investments in unconsolidated affiliates in 2016 primarily due to the investment in Desert Sunlight made in 2015</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776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Payments to acquire Spring Canyon and University of Bridgeport Fuel Cell in 2015, net of cash acquired</w:t>
            </w: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10180" w:type="dxa"/>
            <w:vAlign w:val="bottom"/>
            <w:gridSpan w:val="7"/>
          </w:tcPr>
          <w:p>
            <w:pPr>
              <w:ind w:left="40"/>
              <w:spacing w:after="0"/>
              <w:rPr>
                <w:sz w:val="20"/>
                <w:szCs w:val="20"/>
                <w:color w:val="auto"/>
              </w:rPr>
            </w:pPr>
            <w:r>
              <w:rPr>
                <w:rFonts w:ascii="Arial" w:cs="Arial" w:eastAsia="Arial" w:hAnsi="Arial"/>
                <w:sz w:val="18"/>
                <w:szCs w:val="18"/>
                <w:color w:val="auto"/>
                <w:w w:val="93"/>
              </w:rPr>
              <w:t>Changes in restricted cash due to higher funding for certain projects' debt reserves partially offset by higher project distributions in 2016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0"/>
              <w:spacing w:after="0"/>
              <w:rPr>
                <w:sz w:val="20"/>
                <w:szCs w:val="20"/>
                <w:color w:val="auto"/>
              </w:rPr>
            </w:pPr>
            <w:r>
              <w:rPr>
                <w:rFonts w:ascii="Arial" w:cs="Arial" w:eastAsia="Arial" w:hAnsi="Arial"/>
                <w:sz w:val="18"/>
                <w:szCs w:val="18"/>
                <w:color w:val="auto"/>
              </w:rPr>
              <w:t>compared to 2015</w:t>
            </w: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Receipt of renewable energy grants at CVSR in 2015</w:t>
            </w:r>
          </w:p>
        </w:tc>
        <w:tc>
          <w:tcPr>
            <w:tcW w:w="2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54</w:t>
            </w: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5"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3"/>
        </w:trPr>
        <w:tc>
          <w:tcPr>
            <w:tcW w:w="10160" w:type="dxa"/>
            <w:vAlign w:val="bottom"/>
          </w:tcPr>
          <w:p>
            <w:pPr>
              <w:ind w:left="40"/>
              <w:spacing w:after="0"/>
              <w:rPr>
                <w:sz w:val="20"/>
                <w:szCs w:val="20"/>
                <w:color w:val="auto"/>
              </w:rPr>
            </w:pPr>
            <w:r>
              <w:rPr>
                <w:rFonts w:ascii="Arial" w:cs="Arial" w:eastAsia="Arial" w:hAnsi="Arial"/>
                <w:sz w:val="18"/>
                <w:szCs w:val="18"/>
                <w:color w:val="auto"/>
              </w:rPr>
              <w:t>Changes in net cash (used in) provided by financing activities were driven by:</w:t>
            </w:r>
          </w:p>
        </w:tc>
        <w:tc>
          <w:tcPr>
            <w:tcW w:w="18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Class C units on June 29,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Higher net payments from the revolving credit facility</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net proceeds from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Decrease in net contributions from noncontrolling interests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distributions paid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3"/>
              </w:rPr>
              <w:t>Payment of distributions to NRG due to NRG's 25% ownership of NRG Wind TE Holdco and distributions from CVSR to NRG prior to the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acquisition date in 2016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debt issuance costs paid in 2016 compared to 2015</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10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10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September 30, 2016, the Company has several investments with an ownership interest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50% or less in energy and energy-related entities that are accounted for under the equity method. DGPV Holdco 1, DGPV Holdco 2, RPV Holdco and GenConn are variable interest entities for which the Company is not the primary beneficiary.</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$450 million as of September 30, 2016. This indebtedness may restrict the ability of these subsidiaries to issue dividends or distributions to the Company. See also Note 4, </w:t>
      </w:r>
      <w:r>
        <w:rPr>
          <w:rFonts w:ascii="Arial" w:cs="Arial" w:eastAsia="Arial" w:hAnsi="Arial"/>
          <w:sz w:val="18"/>
          <w:szCs w:val="18"/>
          <w:i w:val="1"/>
          <w:iCs w:val="1"/>
          <w:color w:val="auto"/>
        </w:rPr>
        <w:t>Variable Interest Entities, or</w:t>
      </w:r>
      <w:r>
        <w:rPr>
          <w:rFonts w:ascii="Arial" w:cs="Arial" w:eastAsia="Arial" w:hAnsi="Arial"/>
          <w:sz w:val="18"/>
          <w:szCs w:val="18"/>
          <w:color w:val="auto"/>
        </w:rPr>
        <w:t xml:space="preserve"> </w:t>
      </w:r>
      <w:r>
        <w:rPr>
          <w:rFonts w:ascii="Arial" w:cs="Arial" w:eastAsia="Arial" w:hAnsi="Arial"/>
          <w:sz w:val="18"/>
          <w:szCs w:val="18"/>
          <w:i w:val="1"/>
          <w:iCs w:val="1"/>
          <w:color w:val="auto"/>
        </w:rPr>
        <w:t>VIEs</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our capital expenditure programs, as disclosed in the Company's 2015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2016</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2016</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2015</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September 30, 2016</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87"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182"/>
              <w:spacing w:after="0"/>
              <w:rPr>
                <w:sz w:val="20"/>
                <w:szCs w:val="20"/>
                <w:color w:val="auto"/>
              </w:rPr>
            </w:pPr>
            <w:r>
              <w:rPr>
                <w:rFonts w:ascii="Arial" w:cs="Arial" w:eastAsia="Arial" w:hAnsi="Arial"/>
                <w:sz w:val="14"/>
                <w:szCs w:val="14"/>
                <w:b w:val="1"/>
                <w:bCs w:val="1"/>
                <w:color w:val="auto"/>
                <w:w w:val="91"/>
              </w:rPr>
              <w:t>Fair Value of contracts as of September 30, 2016</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rPr>
              <w:t>Maturity</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2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60" w:type="dxa"/>
            <w:vAlign w:val="bottom"/>
          </w:tcPr>
          <w:p>
            <w:pPr>
              <w:spacing w:after="0"/>
              <w:rPr>
                <w:sz w:val="13"/>
                <w:szCs w:val="13"/>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8"/>
              </w:rPr>
              <w:t>Greater Than</w:t>
            </w:r>
          </w:p>
        </w:tc>
        <w:tc>
          <w:tcPr>
            <w:tcW w:w="300" w:type="dxa"/>
            <w:vAlign w:val="bottom"/>
          </w:tcPr>
          <w:p>
            <w:pPr>
              <w:spacing w:after="0"/>
              <w:rPr>
                <w:sz w:val="13"/>
                <w:szCs w:val="13"/>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2"/>
                <w:szCs w:val="12"/>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1 Year or Less</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8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3"/>
                <w:szCs w:val="13"/>
                <w:color w:val="auto"/>
              </w:rPr>
            </w:pPr>
          </w:p>
        </w:tc>
        <w:tc>
          <w:tcPr>
            <w:tcW w:w="110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has elected to disclose derivative assets and liabilities on a trade-by-trade basis and does not offset amounts at the counterparty master agreement level. NRG, on behalf of the </w:t>
      </w:r>
      <w:r>
        <w:rPr>
          <w:rFonts w:ascii="Arial" w:cs="Arial" w:eastAsia="Arial" w:hAnsi="Arial"/>
          <w:sz w:val="18"/>
          <w:szCs w:val="18"/>
          <w:color w:val="000000"/>
        </w:rPr>
        <w:t>Company, measures the sensitivity of the portfolio to potential changes in market prices using VaR, a statistical model</w:t>
      </w:r>
      <w:r>
        <w:rPr>
          <w:rFonts w:ascii="Arial" w:cs="Arial" w:eastAsia="Arial" w:hAnsi="Arial"/>
          <w:sz w:val="18"/>
          <w:szCs w:val="18"/>
          <w:color w:val="231F20"/>
        </w:rPr>
        <w:t xml:space="preserve"> </w:t>
      </w:r>
      <w:r>
        <w:rPr>
          <w:rFonts w:ascii="Arial" w:cs="Arial" w:eastAsia="Arial" w:hAnsi="Arial"/>
          <w:sz w:val="18"/>
          <w:szCs w:val="18"/>
          <w:color w:val="000000"/>
        </w:rPr>
        <w:t>which attempts to predict risk of loss based on market price and volatility. NRG's risk management policy places a limit on one-day holding period VaR, which limits the net open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4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3 has been omitted from this report pursuant to the reduced disclosure format permitted by General Instruction H(2) to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third quarter of 2016 that materially affected, or are reasonably likely to materially affect, the Company’s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2016, see Note 11,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2015 Form 10-K. There have been no material changes in the Company's risk factors since those reported in its 2015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940" w:type="dxa"/>
            <w:vAlign w:val="bottom"/>
          </w:tcPr>
          <w:p>
            <w:pPr>
              <w:ind w:left="2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4.1</w:t>
            </w:r>
          </w:p>
        </w:tc>
        <w:tc>
          <w:tcPr>
            <w:tcW w:w="5940" w:type="dxa"/>
            <w:vAlign w:val="bottom"/>
            <w:vMerge w:val="restart"/>
          </w:tcPr>
          <w:p>
            <w:pPr>
              <w:ind w:left="220"/>
              <w:spacing w:after="0"/>
              <w:rPr>
                <w:sz w:val="20"/>
                <w:szCs w:val="20"/>
                <w:color w:val="auto"/>
              </w:rPr>
            </w:pPr>
            <w:r>
              <w:rPr>
                <w:rFonts w:ascii="Arial" w:cs="Arial" w:eastAsia="Arial" w:hAnsi="Arial"/>
                <w:sz w:val="16"/>
                <w:szCs w:val="16"/>
                <w:color w:val="auto"/>
                <w:w w:val="95"/>
              </w:rPr>
              <w:t>Indenture, dated August 18, 2016, among NRG Yield Operating LLC, the guarantors</w:t>
            </w: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5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5940" w:type="dxa"/>
            <w:vAlign w:val="bottom"/>
          </w:tcPr>
          <w:p>
            <w:pPr>
              <w:ind w:left="220"/>
              <w:spacing w:after="0"/>
              <w:rPr>
                <w:sz w:val="20"/>
                <w:szCs w:val="20"/>
                <w:color w:val="auto"/>
              </w:rPr>
            </w:pPr>
            <w:r>
              <w:rPr>
                <w:rFonts w:ascii="Arial" w:cs="Arial" w:eastAsia="Arial" w:hAnsi="Arial"/>
                <w:sz w:val="16"/>
                <w:szCs w:val="16"/>
                <w:color w:val="auto"/>
              </w:rPr>
              <w:t>named therein and Law Debenture Trust Company of New York.</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6"/>
                <w:szCs w:val="16"/>
                <w:color w:val="auto"/>
              </w:rPr>
              <w:t>4.2</w:t>
            </w:r>
          </w:p>
        </w:tc>
        <w:tc>
          <w:tcPr>
            <w:tcW w:w="5940" w:type="dxa"/>
            <w:vAlign w:val="bottom"/>
            <w:vMerge w:val="restart"/>
          </w:tcPr>
          <w:p>
            <w:pPr>
              <w:ind w:left="220"/>
              <w:spacing w:after="0"/>
              <w:rPr>
                <w:sz w:val="20"/>
                <w:szCs w:val="20"/>
                <w:color w:val="auto"/>
              </w:rPr>
            </w:pPr>
            <w:r>
              <w:rPr>
                <w:rFonts w:ascii="Arial" w:cs="Arial" w:eastAsia="Arial" w:hAnsi="Arial"/>
                <w:sz w:val="16"/>
                <w:szCs w:val="16"/>
                <w:color w:val="auto"/>
              </w:rPr>
              <w:t>Form of 5.000% Senior Note due 2026.</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5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0"/>
        </w:trPr>
        <w:tc>
          <w:tcPr>
            <w:tcW w:w="820" w:type="dxa"/>
            <w:vAlign w:val="bottom"/>
          </w:tcPr>
          <w:p>
            <w:pPr>
              <w:spacing w:after="0"/>
              <w:rPr>
                <w:sz w:val="20"/>
                <w:szCs w:val="20"/>
                <w:color w:val="auto"/>
              </w:rPr>
            </w:pPr>
            <w:r>
              <w:rPr>
                <w:rFonts w:ascii="Arial" w:cs="Arial" w:eastAsia="Arial" w:hAnsi="Arial"/>
                <w:sz w:val="16"/>
                <w:szCs w:val="16"/>
                <w:color w:val="auto"/>
              </w:rPr>
              <w:t>4.3</w:t>
            </w:r>
          </w:p>
        </w:tc>
        <w:tc>
          <w:tcPr>
            <w:tcW w:w="5940" w:type="dxa"/>
            <w:vAlign w:val="bottom"/>
            <w:vMerge w:val="restart"/>
          </w:tcPr>
          <w:p>
            <w:pPr>
              <w:ind w:left="220"/>
              <w:spacing w:after="0"/>
              <w:rPr>
                <w:sz w:val="20"/>
                <w:szCs w:val="20"/>
                <w:color w:val="auto"/>
              </w:rPr>
            </w:pPr>
            <w:r>
              <w:rPr>
                <w:rFonts w:ascii="Arial" w:cs="Arial" w:eastAsia="Arial" w:hAnsi="Arial"/>
                <w:sz w:val="16"/>
                <w:szCs w:val="16"/>
                <w:color w:val="auto"/>
                <w:w w:val="94"/>
              </w:rPr>
              <w:t>Registration Rights Agreement, dated August 18, 2016, among NRG Yield Operating</w:t>
            </w: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5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940" w:type="dxa"/>
            <w:vAlign w:val="bottom"/>
          </w:tcPr>
          <w:p>
            <w:pPr>
              <w:ind w:left="220"/>
              <w:spacing w:after="0"/>
              <w:rPr>
                <w:sz w:val="20"/>
                <w:szCs w:val="20"/>
                <w:color w:val="auto"/>
              </w:rPr>
            </w:pPr>
            <w:r>
              <w:rPr>
                <w:rFonts w:ascii="Arial" w:cs="Arial" w:eastAsia="Arial" w:hAnsi="Arial"/>
                <w:sz w:val="16"/>
                <w:szCs w:val="16"/>
                <w:color w:val="auto"/>
                <w:w w:val="90"/>
              </w:rPr>
              <w:t>LLC, the guarantors named therein and J.P. Morgan Securities LLC, as representative of</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5940" w:type="dxa"/>
            <w:vAlign w:val="bottom"/>
          </w:tcPr>
          <w:p>
            <w:pPr>
              <w:ind w:left="220"/>
              <w:spacing w:after="0"/>
              <w:rPr>
                <w:sz w:val="20"/>
                <w:szCs w:val="20"/>
                <w:color w:val="auto"/>
              </w:rPr>
            </w:pPr>
            <w:r>
              <w:rPr>
                <w:rFonts w:ascii="Arial" w:cs="Arial" w:eastAsia="Arial" w:hAnsi="Arial"/>
                <w:sz w:val="16"/>
                <w:szCs w:val="16"/>
                <w:color w:val="auto"/>
              </w:rPr>
              <w:t>the initial purchasers.</w:t>
            </w:r>
          </w:p>
        </w:tc>
        <w:tc>
          <w:tcPr>
            <w:tcW w:w="0" w:type="dxa"/>
            <w:vAlign w:val="bottom"/>
          </w:tcPr>
          <w:p>
            <w:pPr>
              <w:spacing w:after="0"/>
              <w:rPr>
                <w:sz w:val="1"/>
                <w:szCs w:val="1"/>
                <w:color w:val="auto"/>
              </w:rPr>
            </w:pPr>
          </w:p>
        </w:tc>
      </w:tr>
      <w:tr>
        <w:trPr>
          <w:trHeight w:val="351"/>
        </w:trPr>
        <w:tc>
          <w:tcPr>
            <w:tcW w:w="820" w:type="dxa"/>
            <w:vAlign w:val="bottom"/>
          </w:tcPr>
          <w:p>
            <w:pPr>
              <w:spacing w:after="0"/>
              <w:rPr>
                <w:sz w:val="20"/>
                <w:szCs w:val="20"/>
                <w:color w:val="auto"/>
              </w:rPr>
            </w:pPr>
            <w:r>
              <w:rPr>
                <w:rFonts w:ascii="Arial" w:cs="Arial" w:eastAsia="Arial" w:hAnsi="Arial"/>
                <w:sz w:val="16"/>
                <w:szCs w:val="16"/>
                <w:color w:val="auto"/>
              </w:rPr>
              <w:t>31.1</w:t>
            </w:r>
          </w:p>
        </w:tc>
        <w:tc>
          <w:tcPr>
            <w:tcW w:w="5940" w:type="dxa"/>
            <w:vAlign w:val="bottom"/>
          </w:tcPr>
          <w:p>
            <w:pPr>
              <w:ind w:left="220"/>
              <w:spacing w:after="0"/>
              <w:rPr>
                <w:sz w:val="20"/>
                <w:szCs w:val="20"/>
                <w:color w:val="auto"/>
              </w:rPr>
            </w:pPr>
            <w:r>
              <w:rPr>
                <w:rFonts w:ascii="Arial" w:cs="Arial" w:eastAsia="Arial" w:hAnsi="Arial"/>
                <w:sz w:val="16"/>
                <w:szCs w:val="16"/>
                <w:color w:val="auto"/>
              </w:rPr>
              <w:t>Rule 13a-14(a)/15d-14(a) certification of Christopher S. Sotos.</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31.2</w:t>
            </w:r>
          </w:p>
        </w:tc>
        <w:tc>
          <w:tcPr>
            <w:tcW w:w="5940" w:type="dxa"/>
            <w:vAlign w:val="bottom"/>
          </w:tcPr>
          <w:p>
            <w:pPr>
              <w:ind w:left="220"/>
              <w:spacing w:after="0"/>
              <w:rPr>
                <w:sz w:val="20"/>
                <w:szCs w:val="20"/>
                <w:color w:val="auto"/>
              </w:rPr>
            </w:pPr>
            <w:r>
              <w:rPr>
                <w:rFonts w:ascii="Arial" w:cs="Arial" w:eastAsia="Arial" w:hAnsi="Arial"/>
                <w:sz w:val="16"/>
                <w:szCs w:val="16"/>
                <w:color w:val="auto"/>
              </w:rPr>
              <w:t>Rule 13a-14(a)/15d-14(a) certification of Kirkland B. Andrews.</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31.3</w:t>
            </w:r>
          </w:p>
        </w:tc>
        <w:tc>
          <w:tcPr>
            <w:tcW w:w="594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Callen.</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32</w:t>
            </w:r>
          </w:p>
        </w:tc>
        <w:tc>
          <w:tcPr>
            <w:tcW w:w="5940" w:type="dxa"/>
            <w:vAlign w:val="bottom"/>
          </w:tcPr>
          <w:p>
            <w:pPr>
              <w:ind w:left="220"/>
              <w:spacing w:after="0"/>
              <w:rPr>
                <w:sz w:val="20"/>
                <w:szCs w:val="20"/>
                <w:color w:val="auto"/>
              </w:rPr>
            </w:pPr>
            <w:r>
              <w:rPr>
                <w:rFonts w:ascii="Arial" w:cs="Arial" w:eastAsia="Arial" w:hAnsi="Arial"/>
                <w:sz w:val="16"/>
                <w:szCs w:val="16"/>
                <w:color w:val="auto"/>
              </w:rPr>
              <w:t>Section 1350 Certification.</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INS</w:t>
            </w:r>
          </w:p>
        </w:tc>
        <w:tc>
          <w:tcPr>
            <w:tcW w:w="5940" w:type="dxa"/>
            <w:vAlign w:val="bottom"/>
          </w:tcPr>
          <w:p>
            <w:pPr>
              <w:ind w:left="22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SCH</w:t>
            </w:r>
          </w:p>
        </w:tc>
        <w:tc>
          <w:tcPr>
            <w:tcW w:w="594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CAL</w:t>
            </w:r>
          </w:p>
        </w:tc>
        <w:tc>
          <w:tcPr>
            <w:tcW w:w="594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DEF</w:t>
            </w:r>
          </w:p>
        </w:tc>
        <w:tc>
          <w:tcPr>
            <w:tcW w:w="594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LAB</w:t>
            </w:r>
          </w:p>
        </w:tc>
        <w:tc>
          <w:tcPr>
            <w:tcW w:w="594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PRE</w:t>
            </w:r>
          </w:p>
        </w:tc>
        <w:tc>
          <w:tcPr>
            <w:tcW w:w="594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Registrant's Current Report on Form 8-K, filed on August 18, 2016.</w:t>
      </w:r>
    </w:p>
    <w:p>
      <w:pPr>
        <w:spacing w:after="0" w:line="126"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4.2 to the Registrant's Current Report on Form 8-K, filed on August 18, 2016.</w:t>
      </w:r>
    </w:p>
    <w:p>
      <w:pPr>
        <w:spacing w:after="0" w:line="126"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Registrant's Current Report on Form 8-K, filed on August 18, 2016.</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22" w:lineRule="exact"/>
        <w:rPr>
          <w:sz w:val="20"/>
          <w:szCs w:val="20"/>
          <w:color w:val="auto"/>
        </w:rPr>
      </w:pPr>
    </w:p>
    <w:p>
      <w:pPr>
        <w:sectPr>
          <w:pgSz w:w="11900" w:h="16838" w:orient="portrait"/>
          <w:cols w:equalWidth="0" w:num="2">
            <w:col w:w="6800" w:space="320"/>
            <w:col w:w="4240"/>
          </w:cols>
          <w:pgMar w:left="240" w:top="1121" w:right="2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40" w:top="1121" w:right="29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KIRKLAND B. ANDREWS</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Kirkland B. Andrews</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4, 2016</w:t>
            </w: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68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auto"/>
              </w:rPr>
              <w:t>60</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61" w:name="page62"/>
    <w:bookmarkEnd w:id="61"/>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ectPr>
          <w:pgSz w:w="11900" w:h="16838" w:orient="portrait"/>
          <w:cols w:equalWidth="0" w:num="1">
            <w:col w:w="11420"/>
          </w:cols>
          <w:pgMar w:left="240" w:top="661" w:right="239" w:bottom="1440" w:gutter="0" w:footer="0" w:header="0"/>
        </w:sectPr>
      </w:pPr>
    </w:p>
    <w:bookmarkStart w:id="62" w:name="page63"/>
    <w:bookmarkEnd w:id="62"/>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30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Kirkland B. Andrews</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ectPr>
          <w:pgSz w:w="11900" w:h="16838" w:orient="portrait"/>
          <w:cols w:equalWidth="0" w:num="1">
            <w:col w:w="11420"/>
          </w:cols>
          <w:pgMar w:left="240" w:top="661" w:right="239" w:bottom="1440" w:gutter="0" w:footer="0" w:header="0"/>
        </w:sectPr>
      </w:pPr>
    </w:p>
    <w:bookmarkStart w:id="63" w:name="page64"/>
    <w:bookmarkEnd w:id="63"/>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September 30, 2016,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Kirkland B. Andrews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decimal"/>
      <w:start w:val="7"/>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2019-12-29T10:20:02Z</dcterms:created>
  <dcterms:modified xsi:type="dcterms:W3CDTF">2019-12-29T10:20:02Z</dcterms:modified>
</cp:coreProperties>
</file>