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Ford Brian R</w:t>
              </w:r>
              <w:r>
                <w:rPr>
                  <w:rFonts w:ascii="Arial" w:cs="Arial" w:eastAsia="Arial" w:hAnsi="Arial"/>
                  <w:sz w:val="21"/>
                  <w:szCs w:val="21"/>
                  <w:color w:val="0000EE"/>
                </w:rPr>
                <w:t>.</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12/01/2020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40" w:type="dxa"/>
            <w:vAlign w:val="bottom"/>
            <w:gridSpan w:val="4"/>
            <w:vMerge w:val="restart"/>
          </w:tcPr>
          <w:p>
            <w:pPr>
              <w:jc w:val="right"/>
              <w:ind w:right="57"/>
              <w:spacing w:after="0"/>
              <w:rPr>
                <w:sz w:val="20"/>
                <w:szCs w:val="20"/>
                <w:color w:val="auto"/>
              </w:rPr>
            </w:pPr>
            <w:r>
              <w:rPr>
                <w:rFonts w:ascii="Arial" w:cs="Arial" w:eastAsia="Arial" w:hAnsi="Arial"/>
                <w:sz w:val="17"/>
                <w:szCs w:val="17"/>
                <w:color w:val="0000FF"/>
              </w:rPr>
              <w:t>12/01/2020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right"/>
              <w:ind w:right="113"/>
              <w:spacing w:after="0"/>
              <w:rPr>
                <w:sz w:val="20"/>
                <w:szCs w:val="20"/>
                <w:color w:val="auto"/>
              </w:rPr>
            </w:pPr>
            <w:r>
              <w:rPr>
                <w:rFonts w:ascii="Arial" w:cs="Arial" w:eastAsia="Arial" w:hAnsi="Arial"/>
                <w:sz w:val="17"/>
                <w:szCs w:val="17"/>
                <w:color w:val="0000FF"/>
              </w:rPr>
              <w:t>74</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7"/>
                <w:szCs w:val="17"/>
                <w:color w:val="0000FF"/>
              </w:rPr>
              <w:t>7,566</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4"/>
            <w:vMerge w:val="restart"/>
          </w:tcPr>
          <w:p>
            <w:pPr>
              <w:jc w:val="right"/>
              <w:ind w:right="57"/>
              <w:spacing w:after="0"/>
              <w:rPr>
                <w:sz w:val="20"/>
                <w:szCs w:val="20"/>
                <w:color w:val="auto"/>
              </w:rPr>
            </w:pPr>
            <w:r>
              <w:rPr>
                <w:rFonts w:ascii="Arial" w:cs="Arial" w:eastAsia="Arial" w:hAnsi="Arial"/>
                <w:sz w:val="17"/>
                <w:szCs w:val="17"/>
                <w:color w:val="0000FF"/>
              </w:rPr>
              <w:t>12/01/2020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rPr>
              <w:t>482</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46,341</w:t>
            </w:r>
            <w:r>
              <w:rPr>
                <w:rFonts w:ascii="Arial" w:cs="Arial" w:eastAsia="Arial" w:hAnsi="Arial"/>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-3364865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40" w:right="5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2,019 dividend equivalent rights that may only be settled in Class A Common Stock. There has been a de minimus adjustment of 1 share to the number of dividend equivalent rights as a resultof rounding fractional shares.</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7,638 dividend equivalent rights that may only be settled in Class C Common Stock. There has been a de minimus adjustment of 2 shares to the number of dividend equivalent rights as a result of rounding fractional shares.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8874"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2020-12-03T16:19:12Z</dcterms:created>
  <dcterms:modified xsi:type="dcterms:W3CDTF">2020-12-03T16:19:12Z</dcterms:modified>
</cp:coreProperties>
</file>