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8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1049020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11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49"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15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Pursuant to Section 13 OR 15(d) of The Securities Exchange Act of 1934</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February 28, 2022</w:t>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CLEARWAY ENERGY, INC.</w:t>
      </w:r>
    </w:p>
    <w:p>
      <w:pPr>
        <w:spacing w:after="0" w:line="7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00" w:lineRule="exact"/>
        <w:rPr>
          <w:sz w:val="24"/>
          <w:szCs w:val="24"/>
          <w:color w:val="auto"/>
        </w:rPr>
      </w:pPr>
    </w:p>
    <w:tbl>
      <w:tblPr>
        <w:tblLayout w:type="fixed"/>
        <w:tblInd w:w="300" w:type="dxa"/>
        <w:tblCellMar>
          <w:top w:w="0" w:type="dxa"/>
          <w:left w:w="0" w:type="dxa"/>
          <w:bottom w:w="0" w:type="dxa"/>
          <w:right w:w="0" w:type="dxa"/>
        </w:tblCellMar>
      </w:tblPr>
      <w:tr>
        <w:trPr>
          <w:trHeight w:val="261"/>
        </w:trPr>
        <w:tc>
          <w:tcPr>
            <w:tcW w:w="3680" w:type="dxa"/>
            <w:vAlign w:val="bottom"/>
          </w:tcPr>
          <w:p>
            <w:pPr>
              <w:jc w:val="center"/>
              <w:ind w:right="310"/>
              <w:spacing w:after="0"/>
              <w:rPr>
                <w:sz w:val="20"/>
                <w:szCs w:val="20"/>
                <w:color w:val="auto"/>
              </w:rPr>
            </w:pPr>
            <w:r>
              <w:rPr>
                <w:rFonts w:ascii="Arial" w:cs="Arial" w:eastAsia="Arial" w:hAnsi="Arial"/>
                <w:sz w:val="18"/>
                <w:szCs w:val="18"/>
                <w:b w:val="1"/>
                <w:bCs w:val="1"/>
                <w:color w:val="auto"/>
                <w:w w:val="91"/>
              </w:rPr>
              <w:t>Delaware</w:t>
            </w:r>
          </w:p>
        </w:tc>
        <w:tc>
          <w:tcPr>
            <w:tcW w:w="3060" w:type="dxa"/>
            <w:vAlign w:val="bottom"/>
          </w:tcPr>
          <w:p>
            <w:pPr>
              <w:jc w:val="right"/>
              <w:ind w:right="1210"/>
              <w:spacing w:after="0"/>
              <w:rPr>
                <w:sz w:val="20"/>
                <w:szCs w:val="20"/>
                <w:color w:val="auto"/>
              </w:rPr>
            </w:pPr>
            <w:r>
              <w:rPr>
                <w:rFonts w:ascii="Arial" w:cs="Arial" w:eastAsia="Arial" w:hAnsi="Arial"/>
                <w:sz w:val="18"/>
                <w:szCs w:val="18"/>
                <w:b w:val="1"/>
                <w:bCs w:val="1"/>
                <w:color w:val="auto"/>
              </w:rPr>
              <w:t>001-36002</w:t>
            </w:r>
          </w:p>
        </w:tc>
        <w:tc>
          <w:tcPr>
            <w:tcW w:w="3300" w:type="dxa"/>
            <w:vAlign w:val="bottom"/>
          </w:tcPr>
          <w:p>
            <w:pPr>
              <w:jc w:val="right"/>
              <w:ind w:right="790"/>
              <w:spacing w:after="0"/>
              <w:rPr>
                <w:sz w:val="20"/>
                <w:szCs w:val="20"/>
                <w:color w:val="auto"/>
              </w:rPr>
            </w:pPr>
            <w:r>
              <w:rPr>
                <w:rFonts w:ascii="Arial" w:cs="Arial" w:eastAsia="Arial" w:hAnsi="Arial"/>
                <w:sz w:val="18"/>
                <w:szCs w:val="18"/>
                <w:b w:val="1"/>
                <w:bCs w:val="1"/>
                <w:color w:val="auto"/>
              </w:rPr>
              <w:t>46-1777204</w:t>
            </w:r>
          </w:p>
        </w:tc>
        <w:tc>
          <w:tcPr>
            <w:tcW w:w="0" w:type="dxa"/>
            <w:vAlign w:val="bottom"/>
          </w:tcPr>
          <w:p>
            <w:pPr>
              <w:spacing w:after="0"/>
              <w:rPr>
                <w:sz w:val="1"/>
                <w:szCs w:val="1"/>
                <w:color w:val="auto"/>
              </w:rPr>
            </w:pPr>
          </w:p>
        </w:tc>
      </w:tr>
      <w:tr>
        <w:trPr>
          <w:trHeight w:val="189"/>
        </w:trPr>
        <w:tc>
          <w:tcPr>
            <w:tcW w:w="3680" w:type="dxa"/>
            <w:vAlign w:val="bottom"/>
          </w:tcPr>
          <w:p>
            <w:pPr>
              <w:jc w:val="center"/>
              <w:ind w:right="290"/>
              <w:spacing w:after="0" w:line="189" w:lineRule="exact"/>
              <w:rPr>
                <w:sz w:val="20"/>
                <w:szCs w:val="20"/>
                <w:color w:val="auto"/>
              </w:rPr>
            </w:pPr>
            <w:r>
              <w:rPr>
                <w:rFonts w:ascii="Arial" w:cs="Arial" w:eastAsia="Arial" w:hAnsi="Arial"/>
                <w:sz w:val="18"/>
                <w:szCs w:val="18"/>
                <w:color w:val="auto"/>
                <w:w w:val="92"/>
              </w:rPr>
              <w:t>(State or other jurisdiction of incorporation or</w:t>
            </w:r>
          </w:p>
        </w:tc>
        <w:tc>
          <w:tcPr>
            <w:tcW w:w="3060" w:type="dxa"/>
            <w:vAlign w:val="bottom"/>
            <w:vMerge w:val="restart"/>
          </w:tcPr>
          <w:p>
            <w:pPr>
              <w:jc w:val="center"/>
              <w:ind w:right="230"/>
              <w:spacing w:after="0"/>
              <w:rPr>
                <w:sz w:val="20"/>
                <w:szCs w:val="20"/>
                <w:color w:val="auto"/>
              </w:rPr>
            </w:pPr>
            <w:r>
              <w:rPr>
                <w:rFonts w:ascii="Arial" w:cs="Arial" w:eastAsia="Arial" w:hAnsi="Arial"/>
                <w:sz w:val="18"/>
                <w:szCs w:val="18"/>
                <w:color w:val="auto"/>
                <w:w w:val="92"/>
              </w:rPr>
              <w:t>(Commission File Number)</w:t>
            </w:r>
          </w:p>
        </w:tc>
        <w:tc>
          <w:tcPr>
            <w:tcW w:w="3300" w:type="dxa"/>
            <w:vAlign w:val="bottom"/>
            <w:vMerge w:val="restart"/>
          </w:tcPr>
          <w:p>
            <w:pPr>
              <w:jc w:val="center"/>
              <w:ind w:left="590"/>
              <w:spacing w:after="0"/>
              <w:rPr>
                <w:sz w:val="20"/>
                <w:szCs w:val="20"/>
                <w:color w:val="auto"/>
              </w:rPr>
            </w:pPr>
            <w:r>
              <w:rPr>
                <w:rFonts w:ascii="Arial" w:cs="Arial" w:eastAsia="Arial" w:hAnsi="Arial"/>
                <w:sz w:val="18"/>
                <w:szCs w:val="18"/>
                <w:color w:val="auto"/>
                <w:w w:val="94"/>
              </w:rPr>
              <w:t>(I.R.S. Employer Identification No.)</w:t>
            </w:r>
          </w:p>
        </w:tc>
        <w:tc>
          <w:tcPr>
            <w:tcW w:w="0" w:type="dxa"/>
            <w:vAlign w:val="bottom"/>
          </w:tcPr>
          <w:p>
            <w:pPr>
              <w:spacing w:after="0"/>
              <w:rPr>
                <w:sz w:val="1"/>
                <w:szCs w:val="1"/>
                <w:color w:val="auto"/>
              </w:rPr>
            </w:pPr>
          </w:p>
        </w:tc>
      </w:tr>
      <w:tr>
        <w:trPr>
          <w:trHeight w:val="135"/>
        </w:trPr>
        <w:tc>
          <w:tcPr>
            <w:tcW w:w="3680" w:type="dxa"/>
            <w:vAlign w:val="bottom"/>
            <w:vMerge w:val="restart"/>
          </w:tcPr>
          <w:p>
            <w:pPr>
              <w:jc w:val="center"/>
              <w:ind w:right="310"/>
              <w:spacing w:after="0"/>
              <w:rPr>
                <w:sz w:val="20"/>
                <w:szCs w:val="20"/>
                <w:color w:val="auto"/>
              </w:rPr>
            </w:pPr>
            <w:r>
              <w:rPr>
                <w:rFonts w:ascii="Arial" w:cs="Arial" w:eastAsia="Arial" w:hAnsi="Arial"/>
                <w:sz w:val="18"/>
                <w:szCs w:val="18"/>
                <w:color w:val="auto"/>
                <w:w w:val="92"/>
              </w:rPr>
              <w:t>organization)</w:t>
            </w:r>
          </w:p>
        </w:tc>
        <w:tc>
          <w:tcPr>
            <w:tcW w:w="3060" w:type="dxa"/>
            <w:vAlign w:val="bottom"/>
            <w:vMerge w:val="continue"/>
          </w:tcPr>
          <w:p>
            <w:pPr>
              <w:spacing w:after="0"/>
              <w:rPr>
                <w:sz w:val="11"/>
                <w:szCs w:val="11"/>
                <w:color w:val="auto"/>
              </w:rPr>
            </w:pPr>
          </w:p>
        </w:tc>
        <w:tc>
          <w:tcPr>
            <w:tcW w:w="33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3680" w:type="dxa"/>
            <w:vAlign w:val="bottom"/>
            <w:vMerge w:val="continue"/>
          </w:tcPr>
          <w:p>
            <w:pPr>
              <w:spacing w:after="0"/>
              <w:rPr>
                <w:sz w:val="8"/>
                <w:szCs w:val="8"/>
                <w:color w:val="auto"/>
              </w:rPr>
            </w:pPr>
          </w:p>
        </w:tc>
        <w:tc>
          <w:tcPr>
            <w:tcW w:w="3060" w:type="dxa"/>
            <w:vAlign w:val="bottom"/>
          </w:tcPr>
          <w:p>
            <w:pPr>
              <w:spacing w:after="0"/>
              <w:rPr>
                <w:sz w:val="8"/>
                <w:szCs w:val="8"/>
                <w:color w:val="auto"/>
              </w:rPr>
            </w:pPr>
          </w:p>
        </w:tc>
        <w:tc>
          <w:tcPr>
            <w:tcW w:w="33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300 Carnegie Center, Suite 300, Princeton, New Jersey 08540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4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(609) 608-1525</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31F20"/>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231F20"/>
        </w:rPr>
        <w:t>(Former name or former address, if changed since last report.)</w:t>
      </w:r>
    </w:p>
    <w:p>
      <w:pPr>
        <w:spacing w:after="0" w:line="238"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97" w:lineRule="exact"/>
        <w:rPr>
          <w:sz w:val="24"/>
          <w:szCs w:val="24"/>
          <w:color w:val="auto"/>
        </w:rPr>
      </w:pPr>
    </w:p>
    <w:p>
      <w:pPr>
        <w:ind w:left="260" w:hanging="21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43" w:lineRule="exact"/>
        <w:rPr>
          <w:rFonts w:ascii="MS PGothic" w:cs="MS PGothic" w:eastAsia="MS PGothic" w:hAnsi="MS PGothic"/>
          <w:sz w:val="18"/>
          <w:szCs w:val="18"/>
          <w:color w:val="auto"/>
        </w:rPr>
      </w:pPr>
    </w:p>
    <w:p>
      <w:pPr>
        <w:ind w:left="260" w:hanging="21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231F20"/>
        </w:rPr>
        <w:t>Soliciting material pursuant to Rule 14a-12 under the Exchange Act (17 CFR 240.14a-12)</w:t>
      </w:r>
    </w:p>
    <w:p>
      <w:pPr>
        <w:spacing w:after="0" w:line="31" w:lineRule="exact"/>
        <w:rPr>
          <w:rFonts w:ascii="MS PGothic" w:cs="MS PGothic" w:eastAsia="MS PGothic" w:hAnsi="MS PGothic"/>
          <w:sz w:val="18"/>
          <w:szCs w:val="18"/>
          <w:color w:val="auto"/>
        </w:rPr>
      </w:pPr>
    </w:p>
    <w:p>
      <w:pPr>
        <w:ind w:left="260" w:hanging="21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231F20"/>
        </w:rPr>
        <w:t>Pre-commencement communications pursuant to Rule 14d-2(b) under the Exchange Act (17 CFR 240.14d-2(b))</w:t>
      </w:r>
    </w:p>
    <w:p>
      <w:pPr>
        <w:spacing w:after="0" w:line="22" w:lineRule="exact"/>
        <w:rPr>
          <w:rFonts w:ascii="MS PGothic" w:cs="MS PGothic" w:eastAsia="MS PGothic" w:hAnsi="MS PGothic"/>
          <w:sz w:val="18"/>
          <w:szCs w:val="18"/>
          <w:color w:val="auto"/>
        </w:rPr>
      </w:pPr>
    </w:p>
    <w:p>
      <w:pPr>
        <w:ind w:right="2940" w:firstLine="48"/>
        <w:spacing w:after="0" w:line="277" w:lineRule="auto"/>
        <w:tabs>
          <w:tab w:leader="none" w:pos="252"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231F20"/>
        </w:rPr>
        <w:t xml:space="preserve">Pre-commencement communications pursuant to Rule 13e-4(c) under the Exchange Act (17 CFR 240.13e-4(c)) </w:t>
      </w:r>
      <w:r>
        <w:rPr>
          <w:rFonts w:ascii="Arial" w:cs="Arial" w:eastAsia="Arial" w:hAnsi="Arial"/>
          <w:sz w:val="18"/>
          <w:szCs w:val="18"/>
          <w:color w:val="000000"/>
        </w:rPr>
        <w:t>Securities registered pursuant to Section 12(b) of the Act:</w:t>
      </w:r>
    </w:p>
    <w:p>
      <w:pPr>
        <w:spacing w:after="0" w:line="2"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8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56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91"/>
              </w:rPr>
              <w:t>Trading Symbol(s)</w:t>
            </w:r>
          </w:p>
        </w:tc>
        <w:tc>
          <w:tcPr>
            <w:tcW w:w="480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2"/>
        </w:trPr>
        <w:tc>
          <w:tcPr>
            <w:tcW w:w="3880" w:type="dxa"/>
            <w:vAlign w:val="bottom"/>
          </w:tcPr>
          <w:p>
            <w:pPr>
              <w:jc w:val="center"/>
              <w:spacing w:after="0"/>
              <w:rPr>
                <w:sz w:val="20"/>
                <w:szCs w:val="20"/>
                <w:color w:val="auto"/>
              </w:rPr>
            </w:pPr>
            <w:r>
              <w:rPr>
                <w:rFonts w:ascii="Arial" w:cs="Arial" w:eastAsia="Arial" w:hAnsi="Arial"/>
                <w:sz w:val="18"/>
                <w:szCs w:val="18"/>
                <w:color w:val="auto"/>
                <w:w w:val="90"/>
              </w:rPr>
              <w:t>Class A Common Stock, par value $0.01</w:t>
            </w:r>
          </w:p>
        </w:tc>
        <w:tc>
          <w:tcPr>
            <w:tcW w:w="2560" w:type="dxa"/>
            <w:vAlign w:val="bottom"/>
          </w:tcPr>
          <w:p>
            <w:pPr>
              <w:jc w:val="center"/>
              <w:ind w:right="90"/>
              <w:spacing w:after="0"/>
              <w:rPr>
                <w:sz w:val="20"/>
                <w:szCs w:val="20"/>
                <w:color w:val="auto"/>
              </w:rPr>
            </w:pPr>
            <w:r>
              <w:rPr>
                <w:rFonts w:ascii="Arial" w:cs="Arial" w:eastAsia="Arial" w:hAnsi="Arial"/>
                <w:sz w:val="18"/>
                <w:szCs w:val="18"/>
                <w:color w:val="auto"/>
                <w:w w:val="97"/>
              </w:rPr>
              <w:t>CWEN.A</w:t>
            </w:r>
          </w:p>
        </w:tc>
        <w:tc>
          <w:tcPr>
            <w:tcW w:w="4800" w:type="dxa"/>
            <w:vAlign w:val="bottom"/>
          </w:tcPr>
          <w:p>
            <w:pPr>
              <w:jc w:val="center"/>
              <w:ind w:right="90"/>
              <w:spacing w:after="0"/>
              <w:rPr>
                <w:sz w:val="20"/>
                <w:szCs w:val="20"/>
                <w:color w:val="auto"/>
              </w:rPr>
            </w:pPr>
            <w:r>
              <w:rPr>
                <w:rFonts w:ascii="Arial" w:cs="Arial" w:eastAsia="Arial" w:hAnsi="Arial"/>
                <w:sz w:val="18"/>
                <w:szCs w:val="18"/>
                <w:color w:val="auto"/>
                <w:w w:val="91"/>
              </w:rPr>
              <w:t>New York Stock Exchange</w:t>
            </w:r>
          </w:p>
        </w:tc>
      </w:tr>
      <w:tr>
        <w:trPr>
          <w:trHeight w:val="230"/>
        </w:trPr>
        <w:tc>
          <w:tcPr>
            <w:tcW w:w="3880" w:type="dxa"/>
            <w:vAlign w:val="bottom"/>
          </w:tcPr>
          <w:p>
            <w:pPr>
              <w:jc w:val="center"/>
              <w:spacing w:after="0"/>
              <w:rPr>
                <w:sz w:val="20"/>
                <w:szCs w:val="20"/>
                <w:color w:val="auto"/>
              </w:rPr>
            </w:pPr>
            <w:r>
              <w:rPr>
                <w:rFonts w:ascii="Arial" w:cs="Arial" w:eastAsia="Arial" w:hAnsi="Arial"/>
                <w:sz w:val="18"/>
                <w:szCs w:val="18"/>
                <w:color w:val="auto"/>
                <w:w w:val="89"/>
              </w:rPr>
              <w:t>Class C Common Stock, par value $0.01</w:t>
            </w:r>
          </w:p>
        </w:tc>
        <w:tc>
          <w:tcPr>
            <w:tcW w:w="2560" w:type="dxa"/>
            <w:vAlign w:val="bottom"/>
          </w:tcPr>
          <w:p>
            <w:pPr>
              <w:jc w:val="center"/>
              <w:ind w:right="70"/>
              <w:spacing w:after="0"/>
              <w:rPr>
                <w:sz w:val="20"/>
                <w:szCs w:val="20"/>
                <w:color w:val="auto"/>
              </w:rPr>
            </w:pPr>
            <w:r>
              <w:rPr>
                <w:rFonts w:ascii="Arial" w:cs="Arial" w:eastAsia="Arial" w:hAnsi="Arial"/>
                <w:sz w:val="18"/>
                <w:szCs w:val="18"/>
                <w:color w:val="auto"/>
                <w:w w:val="94"/>
              </w:rPr>
              <w:t>CWEN</w:t>
            </w:r>
          </w:p>
        </w:tc>
        <w:tc>
          <w:tcPr>
            <w:tcW w:w="4800" w:type="dxa"/>
            <w:vAlign w:val="bottom"/>
          </w:tcPr>
          <w:p>
            <w:pPr>
              <w:jc w:val="center"/>
              <w:ind w:right="90"/>
              <w:spacing w:after="0"/>
              <w:rPr>
                <w:sz w:val="20"/>
                <w:szCs w:val="20"/>
                <w:color w:val="auto"/>
              </w:rPr>
            </w:pPr>
            <w:r>
              <w:rPr>
                <w:rFonts w:ascii="Arial" w:cs="Arial" w:eastAsia="Arial" w:hAnsi="Arial"/>
                <w:sz w:val="18"/>
                <w:szCs w:val="18"/>
                <w:color w:val="auto"/>
                <w:w w:val="91"/>
              </w:rPr>
              <w:t>New York Stock Exchange</w:t>
            </w:r>
          </w:p>
        </w:tc>
      </w:tr>
    </w:tbl>
    <w:p>
      <w:pPr>
        <w:spacing w:after="0" w:line="310" w:lineRule="exact"/>
        <w:rPr>
          <w:sz w:val="24"/>
          <w:szCs w:val="24"/>
          <w:color w:val="auto"/>
        </w:rPr>
      </w:pPr>
    </w:p>
    <w:p>
      <w:pPr>
        <w:ind w:right="52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231F20"/>
        </w:rPr>
        <w:t xml:space="preserve">Emerging growth company </w:t>
      </w:r>
      <w:r>
        <w:rPr>
          <w:rFonts w:ascii="MS PGothic" w:cs="MS PGothic" w:eastAsia="MS PGothic" w:hAnsi="MS PGothic"/>
          <w:sz w:val="16"/>
          <w:szCs w:val="16"/>
          <w:color w:val="000000"/>
        </w:rPr>
        <w:t>☐</w:t>
      </w:r>
    </w:p>
    <w:p>
      <w:pPr>
        <w:spacing w:after="0" w:line="266" w:lineRule="exact"/>
        <w:rPr>
          <w:sz w:val="24"/>
          <w:szCs w:val="24"/>
          <w:color w:val="auto"/>
        </w:rPr>
      </w:pPr>
    </w:p>
    <w:p>
      <w:pPr>
        <w:ind w:right="160"/>
        <w:spacing w:after="0" w:line="255"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 w:lineRule="exact"/>
        <w:rPr>
          <w:sz w:val="24"/>
          <w:szCs w:val="24"/>
          <w:color w:val="auto"/>
        </w:rPr>
      </w:pPr>
    </w:p>
    <w:p>
      <w:pPr>
        <w:jc w:val="right"/>
        <w:spacing w:after="0" w:line="181" w:lineRule="exact"/>
        <w:rPr>
          <w:sz w:val="20"/>
          <w:szCs w:val="20"/>
          <w:color w:val="auto"/>
        </w:rPr>
      </w:pP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904875</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p>
      <w:pPr>
        <w:spacing w:after="0"/>
        <w:tabs>
          <w:tab w:leader="none" w:pos="8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56" w:lineRule="exact"/>
        <w:rPr>
          <w:sz w:val="20"/>
          <w:szCs w:val="20"/>
          <w:color w:val="auto"/>
        </w:rPr>
      </w:pPr>
    </w:p>
    <w:p>
      <w:pPr>
        <w:jc w:val="both"/>
        <w:ind w:firstLine="212"/>
        <w:spacing w:after="0" w:line="279" w:lineRule="auto"/>
        <w:rPr>
          <w:sz w:val="20"/>
          <w:szCs w:val="20"/>
          <w:color w:val="auto"/>
        </w:rPr>
      </w:pPr>
      <w:r>
        <w:rPr>
          <w:rFonts w:ascii="Arial" w:cs="Arial" w:eastAsia="Arial" w:hAnsi="Arial"/>
          <w:sz w:val="17"/>
          <w:szCs w:val="17"/>
          <w:color w:val="auto"/>
        </w:rPr>
        <w:t xml:space="preserve">On February 28, 2022, Clearway Energy, Inc. issued a press release announcing its financial results for the year ended December 31, 2021. A copy of the press release is furnished as Exhibit 99.1 to this report on Form 8-K and is hereby incorporated by reference. </w:t>
      </w:r>
      <w:r>
        <w:rPr>
          <w:rFonts w:ascii="Arial" w:cs="Arial" w:eastAsia="Arial" w:hAnsi="Arial"/>
          <w:sz w:val="17"/>
          <w:szCs w:val="17"/>
          <w:color w:val="212529"/>
        </w:rPr>
        <w:t>In accordance with General Instruction</w:t>
      </w:r>
      <w:r>
        <w:rPr>
          <w:rFonts w:ascii="Arial" w:cs="Arial" w:eastAsia="Arial" w:hAnsi="Arial"/>
          <w:sz w:val="17"/>
          <w:szCs w:val="17"/>
          <w:color w:val="auto"/>
        </w:rPr>
        <w:t xml:space="preserve"> </w:t>
      </w:r>
      <w:r>
        <w:rPr>
          <w:rFonts w:ascii="Arial" w:cs="Arial" w:eastAsia="Arial" w:hAnsi="Arial"/>
          <w:sz w:val="17"/>
          <w:szCs w:val="17"/>
          <w:color w:val="212529"/>
        </w:rPr>
        <w:t>B.2 of Form 8-K, the information set forth in this Item 2.02 and in the attached exhibit are deemed to be furnished and shall not be deemed to be “filed” for purposes of Section 18 of the Securities Exchange Act of 1934, as amended (the “Exchange Act”).</w:t>
      </w:r>
    </w:p>
    <w:p>
      <w:pPr>
        <w:spacing w:after="0" w:line="194"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 Exhibits</w:t>
      </w:r>
    </w:p>
    <w:p>
      <w:pPr>
        <w:spacing w:after="0" w:line="2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212529"/>
        </w:rPr>
        <w:t>In accordance with General Instruction B.2 of Form 8-K, the information set forth in the attached exhibit is deemed to be furnished and shall not be deemed to be “filed” for purposes of Section 18 of the Exchange Act.</w:t>
      </w:r>
    </w:p>
    <w:p>
      <w:pPr>
        <w:sectPr>
          <w:pgSz w:w="11900" w:h="16838" w:orient="portrait"/>
          <w:cols w:equalWidth="0" w:num="1">
            <w:col w:w="11240"/>
          </w:cols>
          <w:pgMar w:left="320" w:top="1296" w:right="339" w:bottom="1440" w:gutter="0" w:footer="0" w:header="0"/>
        </w:sectPr>
      </w:pPr>
    </w:p>
    <w:p>
      <w:pPr>
        <w:spacing w:after="0" w:line="114"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Exhibit</w:t>
      </w:r>
    </w:p>
    <w:p>
      <w:pPr>
        <w:ind w:left="20"/>
        <w:spacing w:after="0"/>
        <w:rPr>
          <w:sz w:val="20"/>
          <w:szCs w:val="20"/>
          <w:color w:val="auto"/>
        </w:rPr>
      </w:pPr>
      <w:r>
        <w:rPr>
          <w:rFonts w:ascii="Arial" w:cs="Arial" w:eastAsia="Arial" w:hAnsi="Arial"/>
          <w:sz w:val="16"/>
          <w:szCs w:val="16"/>
          <w:b w:val="1"/>
          <w:bCs w:val="1"/>
          <w:color w:val="auto"/>
        </w:rPr>
        <w:t>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12598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59840" cy="8255"/>
                    </a:xfrm>
                    <a:prstGeom prst="rect">
                      <a:avLst/>
                    </a:prstGeom>
                    <a:noFill/>
                  </pic:spPr>
                </pic:pic>
              </a:graphicData>
            </a:graphic>
          </wp:anchor>
        </w:drawing>
      </w:r>
    </w:p>
    <w:p>
      <w:pPr>
        <w:spacing w:after="0" w:line="91" w:lineRule="exact"/>
        <w:rPr>
          <w:sz w:val="20"/>
          <w:szCs w:val="20"/>
          <w:color w:val="auto"/>
        </w:rPr>
      </w:pPr>
    </w:p>
    <w:p>
      <w:pPr>
        <w:ind w:left="20"/>
        <w:spacing w:after="0"/>
        <w:rPr>
          <w:sz w:val="20"/>
          <w:szCs w:val="20"/>
          <w:color w:val="auto"/>
        </w:rPr>
      </w:pPr>
      <w:r>
        <w:rPr>
          <w:rFonts w:ascii="Arial" w:cs="Arial" w:eastAsia="Arial" w:hAnsi="Arial"/>
          <w:sz w:val="18"/>
          <w:szCs w:val="18"/>
          <w:color w:val="auto"/>
        </w:rPr>
        <w:t>99.1</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br w:type="column"/>
      </w:r>
    </w:p>
    <w:p>
      <w:pPr>
        <w:spacing w:after="0" w:line="349"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516064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160645" cy="8255"/>
                    </a:xfrm>
                    <a:prstGeom prst="rect">
                      <a:avLst/>
                    </a:prstGeom>
                    <a:noFill/>
                  </pic:spPr>
                </pic:pic>
              </a:graphicData>
            </a:graphic>
          </wp:anchor>
        </w:drawing>
      </w:r>
    </w:p>
    <w:p>
      <w:pPr>
        <w:spacing w:after="0" w:line="20" w:lineRule="exact"/>
        <w:rPr>
          <w:sz w:val="20"/>
          <w:szCs w:val="20"/>
          <w:color w:val="auto"/>
        </w:rPr>
      </w:pPr>
    </w:p>
    <w:p>
      <w:pPr>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Press Release, dated February 28, 2022</w:t>
        </w:r>
      </w:hyperlink>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Cover Page Interactive Data File (formatted as inline XBRL and contained in Exhibit 101)</w:t>
      </w:r>
    </w:p>
    <w:p>
      <w:pPr>
        <w:spacing w:after="0" w:line="222" w:lineRule="exact"/>
        <w:rPr>
          <w:sz w:val="20"/>
          <w:szCs w:val="20"/>
          <w:color w:val="auto"/>
        </w:rPr>
      </w:pPr>
    </w:p>
    <w:p>
      <w:pPr>
        <w:sectPr>
          <w:pgSz w:w="11900" w:h="16838" w:orient="portrait"/>
          <w:cols w:equalWidth="0" w:num="2">
            <w:col w:w="1740" w:space="720"/>
            <w:col w:w="8780"/>
          </w:cols>
          <w:pgMar w:left="320" w:top="1296"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261620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96" w:right="339" w:bottom="1440" w:gutter="0" w:footer="0" w:header="0"/>
          <w:type w:val="continuous"/>
        </w:sectPr>
      </w:pPr>
    </w:p>
    <w:bookmarkStart w:id="2" w:name="page3"/>
    <w:bookmarkEnd w:id="2"/>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SIGNATURES</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5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Clearway Energy, Inc.</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(Registrant)</w:t>
      </w:r>
    </w:p>
    <w:p>
      <w:pPr>
        <w:spacing w:after="0" w:line="278" w:lineRule="exact"/>
        <w:rPr>
          <w:sz w:val="20"/>
          <w:szCs w:val="20"/>
          <w:color w:val="auto"/>
        </w:rPr>
      </w:pPr>
    </w:p>
    <w:tbl>
      <w:tblPr>
        <w:tblLayout w:type="fixed"/>
        <w:tblInd w:w="5620" w:type="dxa"/>
        <w:tblCellMar>
          <w:top w:w="0" w:type="dxa"/>
          <w:left w:w="0" w:type="dxa"/>
          <w:bottom w:w="0" w:type="dxa"/>
          <w:right w:w="0" w:type="dxa"/>
        </w:tblCellMar>
      </w:tblP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5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Kevin P. Malcarney</w:t>
            </w:r>
          </w:p>
        </w:tc>
      </w:tr>
      <w:tr>
        <w:trPr>
          <w:trHeight w:val="222"/>
        </w:trPr>
        <w:tc>
          <w:tcPr>
            <w:tcW w:w="540" w:type="dxa"/>
            <w:vAlign w:val="bottom"/>
          </w:tcPr>
          <w:p>
            <w:pPr>
              <w:spacing w:after="0"/>
              <w:rPr>
                <w:sz w:val="19"/>
                <w:szCs w:val="19"/>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Kevin P. Malcarney</w:t>
            </w:r>
          </w:p>
        </w:tc>
      </w:tr>
      <w:tr>
        <w:trPr>
          <w:trHeight w:val="230"/>
        </w:trPr>
        <w:tc>
          <w:tcPr>
            <w:tcW w:w="540" w:type="dxa"/>
            <w:vAlign w:val="bottom"/>
          </w:tcPr>
          <w:p>
            <w:pPr>
              <w:spacing w:after="0"/>
              <w:rPr>
                <w:sz w:val="20"/>
                <w:szCs w:val="20"/>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General Counsel and Corporate Secretary</w:t>
            </w:r>
          </w:p>
        </w:tc>
      </w:tr>
    </w:tbl>
    <w:p>
      <w:pPr>
        <w:spacing w:after="0" w:line="256"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Dated: February 28,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1440"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368935</wp:posOffset>
            </wp:positionV>
            <wp:extent cx="2442845" cy="3257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442845" cy="325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Clearway Energy, Inc. Reports Full Year 2021 Financial Results</w:t>
      </w:r>
    </w:p>
    <w:p>
      <w:pPr>
        <w:spacing w:after="0" w:line="257"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Full year financial performance ahead of guidance and in-line with sensitivities</w:t>
      </w:r>
    </w:p>
    <w:p>
      <w:pPr>
        <w:spacing w:after="0" w:line="27" w:lineRule="exact"/>
        <w:rPr>
          <w:rFonts w:ascii="Arial" w:cs="Arial" w:eastAsia="Arial" w:hAnsi="Arial"/>
          <w:sz w:val="18"/>
          <w:szCs w:val="18"/>
          <w:b w:val="1"/>
          <w:bCs w:val="1"/>
          <w:color w:val="auto"/>
        </w:rPr>
      </w:pPr>
    </w:p>
    <w:p>
      <w:pPr>
        <w:ind w:left="660" w:hanging="328"/>
        <w:spacing w:after="0"/>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Funded approximately $820 million in new growth investments</w:t>
      </w:r>
    </w:p>
    <w:p>
      <w:pPr>
        <w:spacing w:after="0" w:line="9" w:lineRule="exact"/>
        <w:rPr>
          <w:rFonts w:ascii="Arial" w:cs="Arial" w:eastAsia="Arial" w:hAnsi="Arial"/>
          <w:sz w:val="18"/>
          <w:szCs w:val="18"/>
          <w:b w:val="1"/>
          <w:bCs w:val="1"/>
          <w:color w:val="auto"/>
        </w:rPr>
      </w:pPr>
    </w:p>
    <w:p>
      <w:pPr>
        <w:ind w:left="660" w:hanging="328"/>
        <w:spacing w:after="0" w:line="250" w:lineRule="auto"/>
        <w:tabs>
          <w:tab w:leader="none" w:pos="655"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Raised $1.3 billion in new corporate level capital through the issuance of Green Bonds; transactions provided for corporate interest savings and maturity extensions</w:t>
      </w:r>
    </w:p>
    <w:p>
      <w:pPr>
        <w:ind w:left="660" w:hanging="328"/>
        <w:spacing w:after="0"/>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Sale of Clearway's Thermal Business remains on track to close in the first half of 2022</w:t>
      </w:r>
    </w:p>
    <w:p>
      <w:pPr>
        <w:spacing w:after="0" w:line="9" w:lineRule="exact"/>
        <w:rPr>
          <w:rFonts w:ascii="Arial" w:cs="Arial" w:eastAsia="Arial" w:hAnsi="Arial"/>
          <w:sz w:val="18"/>
          <w:szCs w:val="18"/>
          <w:b w:val="1"/>
          <w:bCs w:val="1"/>
          <w:color w:val="auto"/>
        </w:rPr>
      </w:pPr>
    </w:p>
    <w:p>
      <w:pPr>
        <w:ind w:left="660" w:hanging="328"/>
        <w:spacing w:after="0"/>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Reaffirming 2022 financial guidance and pro forma CAFD outlook</w:t>
      </w:r>
    </w:p>
    <w:p>
      <w:pPr>
        <w:spacing w:after="0" w:line="12" w:lineRule="exact"/>
        <w:rPr>
          <w:rFonts w:ascii="Arial" w:cs="Arial" w:eastAsia="Arial" w:hAnsi="Arial"/>
          <w:sz w:val="18"/>
          <w:szCs w:val="18"/>
          <w:b w:val="1"/>
          <w:bCs w:val="1"/>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18"/>
          <w:szCs w:val="18"/>
          <w:b w:val="1"/>
          <w:bCs w:val="1"/>
          <w:color w:val="auto"/>
        </w:rPr>
        <w:t>Increased the quarterly dividend by 2% to $0.3468 per share in the first quarter of 2022, or $1.3872 per share annualized</w:t>
      </w:r>
    </w:p>
    <w:p>
      <w:pPr>
        <w:spacing w:after="0" w:line="225"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 xml:space="preserve">PRINCETON, NJ </w:t>
      </w:r>
      <w:r>
        <w:rPr>
          <w:rFonts w:ascii="Arial" w:cs="Arial" w:eastAsia="Arial" w:hAnsi="Arial"/>
          <w:sz w:val="18"/>
          <w:szCs w:val="18"/>
          <w:color w:val="auto"/>
        </w:rPr>
        <w:t>—</w:t>
      </w:r>
      <w:r>
        <w:rPr>
          <w:rFonts w:ascii="Arial" w:cs="Arial" w:eastAsia="Arial" w:hAnsi="Arial"/>
          <w:sz w:val="18"/>
          <w:szCs w:val="18"/>
          <w:b w:val="1"/>
          <w:bCs w:val="1"/>
          <w:color w:val="auto"/>
        </w:rPr>
        <w:t xml:space="preserve"> February 28, 2022</w:t>
      </w:r>
      <w:r>
        <w:rPr>
          <w:rFonts w:ascii="Arial" w:cs="Arial" w:eastAsia="Arial" w:hAnsi="Arial"/>
          <w:sz w:val="18"/>
          <w:szCs w:val="18"/>
          <w:color w:val="auto"/>
        </w:rPr>
        <w:t>— Clearway Energy, Inc. (NYSE: CWEN, CWEN.A) today reported full year 2021 financial results, including a</w:t>
      </w:r>
      <w:r>
        <w:rPr>
          <w:rFonts w:ascii="Arial" w:cs="Arial" w:eastAsia="Arial" w:hAnsi="Arial"/>
          <w:sz w:val="18"/>
          <w:szCs w:val="18"/>
          <w:b w:val="1"/>
          <w:bCs w:val="1"/>
          <w:color w:val="auto"/>
        </w:rPr>
        <w:t xml:space="preserve"> </w:t>
      </w:r>
      <w:r>
        <w:rPr>
          <w:rFonts w:ascii="Arial" w:cs="Arial" w:eastAsia="Arial" w:hAnsi="Arial"/>
          <w:sz w:val="18"/>
          <w:szCs w:val="18"/>
          <w:color w:val="auto"/>
        </w:rPr>
        <w:t>Net Loss of $(75) million, Adjusted EBITDA of $1,150 million, Cash from Operating Activities of $701 million, and Cash Available for Distribution (CAFD) of $336 million.</w:t>
      </w:r>
    </w:p>
    <w:p>
      <w:pPr>
        <w:spacing w:after="0" w:line="20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"2021 was a tremendous year for Clearway. Results for the full year were ahead of CAFD guidance, the Company closed on approximately $820 million in growth investments, the balance sheet was optimized through the issuance of $1.3 billion in new corporate bonds providing both interest savings and maturity extensions, with the earliest corporate maturity now in 2028, and we announced the agreement to sell the Thermal Business for $1.9 billion,” said Christopher Sotos, Clearway Energy, Inc.’s President and Chief Executive Officer. “As we look forward, and with the sale of the Thermal Business on track to close in the first half of 2022, Clearway’s prospects have never been brighter. With the estimated $1.35 billion in net proceeds from the Thermal transaction, including $750 million in capital remaining to be allocated to growth investments, we have unprecedented financial flexibility to execute upon our long-term growth objectives, including the ability to achieve the upper range of our 5% to 8% annual dividend growth objective through at least 2026. This includes the latest opportunity with our sponsor, where we are advancing the next drop-down transaction which will further increase our leading renewable energy position and is expected to result in an investment of at least $250 million.”</w:t>
      </w:r>
    </w:p>
    <w:p>
      <w:pPr>
        <w:spacing w:after="0" w:line="20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Adjusted EBITDA and Cash Available for Distribution used in this press release are non-GAAP measures and are explained in greater detail under “Non-GAAP Financial Information” below.</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00" w:type="dxa"/>
            <w:vAlign w:val="bottom"/>
            <w:gridSpan w:val="2"/>
          </w:tcPr>
          <w:p>
            <w:pPr>
              <w:spacing w:after="0"/>
              <w:rPr>
                <w:sz w:val="20"/>
                <w:szCs w:val="20"/>
                <w:color w:val="auto"/>
              </w:rPr>
            </w:pPr>
            <w:r>
              <w:rPr>
                <w:rFonts w:ascii="Arial" w:cs="Arial" w:eastAsia="Arial" w:hAnsi="Arial"/>
                <w:sz w:val="18"/>
                <w:szCs w:val="18"/>
                <w:b w:val="1"/>
                <w:bCs w:val="1"/>
                <w:color w:val="auto"/>
              </w:rPr>
              <w:t>Overview of Financial and Operating Results</w:t>
            </w:r>
          </w:p>
        </w:tc>
        <w:tc>
          <w:tcPr>
            <w:tcW w:w="1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459"/>
        </w:trPr>
        <w:tc>
          <w:tcPr>
            <w:tcW w:w="4500" w:type="dxa"/>
            <w:vAlign w:val="bottom"/>
            <w:gridSpan w:val="2"/>
          </w:tcPr>
          <w:p>
            <w:pPr>
              <w:spacing w:after="0"/>
              <w:rPr>
                <w:sz w:val="20"/>
                <w:szCs w:val="20"/>
                <w:color w:val="auto"/>
              </w:rPr>
            </w:pPr>
            <w:r>
              <w:rPr>
                <w:rFonts w:ascii="Arial" w:cs="Arial" w:eastAsia="Arial" w:hAnsi="Arial"/>
                <w:sz w:val="18"/>
                <w:szCs w:val="18"/>
                <w:b w:val="1"/>
                <w:bCs w:val="1"/>
                <w:color w:val="auto"/>
              </w:rPr>
              <w:t>Segment Results</w:t>
            </w:r>
          </w:p>
        </w:tc>
        <w:tc>
          <w:tcPr>
            <w:tcW w:w="1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459"/>
        </w:trPr>
        <w:tc>
          <w:tcPr>
            <w:tcW w:w="4500" w:type="dxa"/>
            <w:vAlign w:val="bottom"/>
            <w:gridSpan w:val="2"/>
          </w:tcPr>
          <w:p>
            <w:pPr>
              <w:spacing w:after="0"/>
              <w:rPr>
                <w:sz w:val="20"/>
                <w:szCs w:val="20"/>
                <w:color w:val="auto"/>
              </w:rPr>
            </w:pPr>
            <w:r>
              <w:rPr>
                <w:rFonts w:ascii="Arial" w:cs="Arial" w:eastAsia="Arial" w:hAnsi="Arial"/>
                <w:sz w:val="18"/>
                <w:szCs w:val="18"/>
                <w:b w:val="1"/>
                <w:bCs w:val="1"/>
                <w:color w:val="auto"/>
              </w:rPr>
              <w:t>Table 1: Net Income/(Loss)</w:t>
            </w:r>
          </w:p>
        </w:tc>
        <w:tc>
          <w:tcPr>
            <w:tcW w:w="1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52"/>
        </w:trPr>
        <w:tc>
          <w:tcPr>
            <w:tcW w:w="4500" w:type="dxa"/>
            <w:vAlign w:val="bottom"/>
            <w:gridSpan w:val="2"/>
          </w:tcPr>
          <w:p>
            <w:pPr>
              <w:ind w:left="20"/>
              <w:spacing w:after="0"/>
              <w:rPr>
                <w:sz w:val="20"/>
                <w:szCs w:val="20"/>
                <w:color w:val="auto"/>
              </w:rPr>
            </w:pPr>
            <w:r>
              <w:rPr>
                <w:rFonts w:ascii="Arial" w:cs="Arial" w:eastAsia="Arial" w:hAnsi="Arial"/>
                <w:sz w:val="18"/>
                <w:szCs w:val="18"/>
                <w:i w:val="1"/>
                <w:iCs w:val="1"/>
                <w:color w:val="auto"/>
              </w:rPr>
              <w:t>($ millions)</w:t>
            </w:r>
          </w:p>
        </w:tc>
        <w:tc>
          <w:tcPr>
            <w:tcW w:w="2800" w:type="dxa"/>
            <w:vAlign w:val="bottom"/>
            <w:gridSpan w:val="4"/>
          </w:tcPr>
          <w:p>
            <w:pPr>
              <w:jc w:val="right"/>
              <w:ind w:right="310"/>
              <w:spacing w:after="0"/>
              <w:rPr>
                <w:sz w:val="20"/>
                <w:szCs w:val="20"/>
                <w:color w:val="auto"/>
              </w:rPr>
            </w:pPr>
            <w:r>
              <w:rPr>
                <w:rFonts w:ascii="Arial" w:cs="Arial" w:eastAsia="Arial" w:hAnsi="Arial"/>
                <w:sz w:val="18"/>
                <w:szCs w:val="18"/>
                <w:b w:val="1"/>
                <w:bCs w:val="1"/>
                <w:color w:val="auto"/>
              </w:rPr>
              <w:t>Three Months Ended</w:t>
            </w:r>
          </w:p>
        </w:tc>
        <w:tc>
          <w:tcPr>
            <w:tcW w:w="3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580" w:type="dxa"/>
            <w:vAlign w:val="bottom"/>
            <w:gridSpan w:val="4"/>
          </w:tcPr>
          <w:p>
            <w:pPr>
              <w:jc w:val="right"/>
              <w:ind w:right="450"/>
              <w:spacing w:after="0"/>
              <w:rPr>
                <w:sz w:val="20"/>
                <w:szCs w:val="20"/>
                <w:color w:val="auto"/>
              </w:rPr>
            </w:pPr>
            <w:r>
              <w:rPr>
                <w:rFonts w:ascii="Arial" w:cs="Arial" w:eastAsia="Arial" w:hAnsi="Arial"/>
                <w:sz w:val="18"/>
                <w:szCs w:val="18"/>
                <w:b w:val="1"/>
                <w:bCs w:val="1"/>
                <w:color w:val="auto"/>
              </w:rPr>
              <w:t>Twelve Months Ended</w:t>
            </w:r>
          </w:p>
        </w:tc>
      </w:tr>
      <w:tr>
        <w:trPr>
          <w:trHeight w:val="234"/>
        </w:trPr>
        <w:tc>
          <w:tcPr>
            <w:tcW w:w="4500" w:type="dxa"/>
            <w:vAlign w:val="bottom"/>
            <w:gridSpan w:val="2"/>
          </w:tcPr>
          <w:p>
            <w:pPr>
              <w:ind w:left="20"/>
              <w:spacing w:after="0"/>
              <w:rPr>
                <w:sz w:val="20"/>
                <w:szCs w:val="20"/>
                <w:color w:val="auto"/>
              </w:rPr>
            </w:pPr>
            <w:r>
              <w:rPr>
                <w:rFonts w:ascii="Arial" w:cs="Arial" w:eastAsia="Arial" w:hAnsi="Arial"/>
                <w:sz w:val="18"/>
                <w:szCs w:val="18"/>
                <w:b w:val="1"/>
                <w:bCs w:val="1"/>
                <w:color w:val="auto"/>
              </w:rPr>
              <w:t>Segment</w:t>
            </w: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12/31/21</w:t>
            </w: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12/31/20</w:t>
            </w: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jc w:val="right"/>
              <w:ind w:right="250"/>
              <w:spacing w:after="0"/>
              <w:rPr>
                <w:sz w:val="20"/>
                <w:szCs w:val="20"/>
                <w:color w:val="auto"/>
              </w:rPr>
            </w:pPr>
            <w:r>
              <w:rPr>
                <w:rFonts w:ascii="Arial" w:cs="Arial" w:eastAsia="Arial" w:hAnsi="Arial"/>
                <w:sz w:val="18"/>
                <w:szCs w:val="18"/>
                <w:b w:val="1"/>
                <w:bCs w:val="1"/>
                <w:color w:val="auto"/>
              </w:rPr>
              <w:t>12/31/21</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jc w:val="right"/>
              <w:ind w:right="250"/>
              <w:spacing w:after="0"/>
              <w:rPr>
                <w:sz w:val="20"/>
                <w:szCs w:val="20"/>
                <w:color w:val="auto"/>
              </w:rPr>
            </w:pPr>
            <w:r>
              <w:rPr>
                <w:rFonts w:ascii="Arial" w:cs="Arial" w:eastAsia="Arial" w:hAnsi="Arial"/>
                <w:sz w:val="18"/>
                <w:szCs w:val="18"/>
                <w:b w:val="1"/>
                <w:bCs w:val="1"/>
                <w:color w:val="auto"/>
              </w:rPr>
              <w:t>12/31/20</w:t>
            </w:r>
          </w:p>
        </w:tc>
      </w:tr>
      <w:tr>
        <w:trPr>
          <w:trHeight w:val="223"/>
        </w:trPr>
        <w:tc>
          <w:tcPr>
            <w:tcW w:w="43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Conventional</w:t>
            </w:r>
          </w:p>
        </w:tc>
        <w:tc>
          <w:tcPr>
            <w:tcW w:w="140" w:type="dxa"/>
            <w:vAlign w:val="bottom"/>
            <w:tcBorders>
              <w:top w:val="single" w:sz="8" w:color="CCEEFF"/>
            </w:tcBorders>
            <w:shd w:val="clear" w:color="auto" w:fill="CCEEFF"/>
          </w:tcPr>
          <w:p>
            <w:pPr>
              <w:spacing w:after="0"/>
              <w:rPr>
                <w:sz w:val="19"/>
                <w:szCs w:val="19"/>
                <w:color w:val="auto"/>
              </w:rPr>
            </w:pPr>
          </w:p>
        </w:tc>
        <w:tc>
          <w:tcPr>
            <w:tcW w:w="1140" w:type="dxa"/>
            <w:vAlign w:val="bottom"/>
            <w:tcBorders>
              <w:top w:val="single" w:sz="8" w:color="auto"/>
            </w:tcBorders>
            <w:shd w:val="clear" w:color="auto" w:fill="CCEEFF"/>
          </w:tcPr>
          <w:p>
            <w:pPr>
              <w:spacing w:after="0"/>
              <w:rPr>
                <w:sz w:val="19"/>
                <w:szCs w:val="19"/>
                <w:color w:val="auto"/>
              </w:rPr>
            </w:pPr>
          </w:p>
        </w:tc>
        <w:tc>
          <w:tcPr>
            <w:tcW w:w="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140" w:type="dxa"/>
            <w:vAlign w:val="bottom"/>
            <w:tcBorders>
              <w:top w:val="single" w:sz="8" w:color="CCEEFF"/>
            </w:tcBorders>
            <w:shd w:val="clear" w:color="auto" w:fill="CCEEFF"/>
          </w:tcPr>
          <w:p>
            <w:pPr>
              <w:spacing w:after="0"/>
              <w:rPr>
                <w:sz w:val="19"/>
                <w:szCs w:val="19"/>
                <w:color w:val="auto"/>
              </w:rPr>
            </w:pPr>
          </w:p>
        </w:tc>
        <w:tc>
          <w:tcPr>
            <w:tcW w:w="1140" w:type="dxa"/>
            <w:vAlign w:val="bottom"/>
            <w:tcBorders>
              <w:top w:val="single" w:sz="8" w:color="auto"/>
            </w:tcBorders>
            <w:shd w:val="clear" w:color="auto" w:fill="CCEEFF"/>
          </w:tcPr>
          <w:p>
            <w:pPr>
              <w:spacing w:after="0"/>
              <w:rPr>
                <w:sz w:val="19"/>
                <w:szCs w:val="19"/>
                <w:color w:val="auto"/>
              </w:rPr>
            </w:pPr>
          </w:p>
        </w:tc>
        <w:tc>
          <w:tcPr>
            <w:tcW w:w="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w:t>
            </w:r>
          </w:p>
        </w:tc>
      </w:tr>
      <w:tr>
        <w:trPr>
          <w:trHeight w:val="229"/>
        </w:trPr>
        <w:tc>
          <w:tcPr>
            <w:tcW w:w="4500" w:type="dxa"/>
            <w:vAlign w:val="bottom"/>
            <w:gridSpan w:val="2"/>
          </w:tcPr>
          <w:p>
            <w:pPr>
              <w:ind w:left="20"/>
              <w:spacing w:after="0"/>
              <w:rPr>
                <w:sz w:val="20"/>
                <w:szCs w:val="20"/>
                <w:color w:val="auto"/>
              </w:rPr>
            </w:pPr>
            <w:r>
              <w:rPr>
                <w:rFonts w:ascii="Arial" w:cs="Arial" w:eastAsia="Arial" w:hAnsi="Arial"/>
                <w:sz w:val="18"/>
                <w:szCs w:val="18"/>
                <w:color w:val="auto"/>
              </w:rPr>
              <w:t>Renewables</w:t>
            </w:r>
          </w:p>
        </w:tc>
        <w:tc>
          <w:tcPr>
            <w:tcW w:w="114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99"/>
              </w:rPr>
              <w:t>(42)</w:t>
            </w:r>
          </w:p>
        </w:tc>
        <w:tc>
          <w:tcPr>
            <w:tcW w:w="1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99"/>
              </w:rPr>
              <w:t>(83)</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(65)</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(109)</w:t>
            </w:r>
          </w:p>
        </w:tc>
      </w:tr>
      <w:tr>
        <w:trPr>
          <w:trHeight w:val="230"/>
        </w:trPr>
        <w:tc>
          <w:tcPr>
            <w:tcW w:w="4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Thermal</w:t>
            </w:r>
          </w:p>
        </w:tc>
        <w:tc>
          <w:tcPr>
            <w:tcW w:w="1140" w:type="dxa"/>
            <w:vAlign w:val="bottom"/>
            <w:shd w:val="clear" w:color="auto" w:fill="CCEEFF"/>
          </w:tcPr>
          <w:p>
            <w:pPr>
              <w:spacing w:after="0"/>
              <w:rPr>
                <w:sz w:val="19"/>
                <w:szCs w:val="19"/>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30"/>
        </w:trPr>
        <w:tc>
          <w:tcPr>
            <w:tcW w:w="4500" w:type="dxa"/>
            <w:vAlign w:val="bottom"/>
            <w:gridSpan w:val="2"/>
          </w:tcPr>
          <w:p>
            <w:pPr>
              <w:ind w:left="20"/>
              <w:spacing w:after="0"/>
              <w:rPr>
                <w:sz w:val="20"/>
                <w:szCs w:val="20"/>
                <w:color w:val="auto"/>
              </w:rPr>
            </w:pPr>
            <w:r>
              <w:rPr>
                <w:rFonts w:ascii="Arial" w:cs="Arial" w:eastAsia="Arial" w:hAnsi="Arial"/>
                <w:sz w:val="18"/>
                <w:szCs w:val="18"/>
                <w:color w:val="auto"/>
              </w:rPr>
              <w:t>Corporate</w:t>
            </w:r>
          </w:p>
        </w:tc>
        <w:tc>
          <w:tcPr>
            <w:tcW w:w="114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99"/>
              </w:rPr>
              <w:t>(69)</w:t>
            </w:r>
          </w:p>
        </w:tc>
        <w:tc>
          <w:tcPr>
            <w:tcW w:w="1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w w:val="99"/>
              </w:rPr>
              <w:t>(32)</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(204)</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48"/>
        </w:trPr>
        <w:tc>
          <w:tcPr>
            <w:tcW w:w="436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Net Loss</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(56)</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(73)</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w:t>
            </w:r>
          </w:p>
        </w:tc>
      </w:tr>
      <w:tr>
        <w:trPr>
          <w:trHeight w:val="20"/>
        </w:trPr>
        <w:tc>
          <w:tcPr>
            <w:tcW w:w="43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Table 2: Adjusted EBITDA</w:t>
      </w:r>
    </w:p>
    <w:p>
      <w:pPr>
        <w:spacing w:after="0" w:line="355"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w:t>
      </w:r>
    </w:p>
    <w:p>
      <w:pPr>
        <w:sectPr>
          <w:pgSz w:w="11900" w:h="16838" w:orient="portrait"/>
          <w:cols w:equalWidth="0" w:num="1">
            <w:col w:w="11240"/>
          </w:cols>
          <w:pgMar w:left="320" w:top="121"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0"/>
        </w:trPr>
        <w:tc>
          <w:tcPr>
            <w:tcW w:w="4500" w:type="dxa"/>
            <w:vAlign w:val="bottom"/>
            <w:gridSpan w:val="2"/>
          </w:tcPr>
          <w:p>
            <w:pPr>
              <w:ind w:left="20"/>
              <w:spacing w:after="0"/>
              <w:rPr>
                <w:sz w:val="20"/>
                <w:szCs w:val="20"/>
                <w:color w:val="auto"/>
              </w:rPr>
            </w:pPr>
            <w:r>
              <w:rPr>
                <w:rFonts w:ascii="Arial" w:cs="Arial" w:eastAsia="Arial" w:hAnsi="Arial"/>
                <w:sz w:val="18"/>
                <w:szCs w:val="18"/>
                <w:i w:val="1"/>
                <w:iCs w:val="1"/>
                <w:color w:val="auto"/>
              </w:rPr>
              <w:t>($ millions)</w:t>
            </w:r>
          </w:p>
        </w:tc>
        <w:tc>
          <w:tcPr>
            <w:tcW w:w="2780" w:type="dxa"/>
            <w:vAlign w:val="bottom"/>
            <w:gridSpan w:val="4"/>
          </w:tcPr>
          <w:p>
            <w:pPr>
              <w:jc w:val="right"/>
              <w:ind w:right="290"/>
              <w:spacing w:after="0"/>
              <w:rPr>
                <w:sz w:val="20"/>
                <w:szCs w:val="20"/>
                <w:color w:val="auto"/>
              </w:rPr>
            </w:pPr>
            <w:r>
              <w:rPr>
                <w:rFonts w:ascii="Arial" w:cs="Arial" w:eastAsia="Arial" w:hAnsi="Arial"/>
                <w:sz w:val="18"/>
                <w:szCs w:val="18"/>
                <w:b w:val="1"/>
                <w:bCs w:val="1"/>
                <w:color w:val="auto"/>
              </w:rPr>
              <w:t>Three Months Ended</w:t>
            </w: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580" w:type="dxa"/>
            <w:vAlign w:val="bottom"/>
            <w:gridSpan w:val="4"/>
          </w:tcPr>
          <w:p>
            <w:pPr>
              <w:jc w:val="right"/>
              <w:ind w:right="450"/>
              <w:spacing w:after="0"/>
              <w:rPr>
                <w:sz w:val="20"/>
                <w:szCs w:val="20"/>
                <w:color w:val="auto"/>
              </w:rPr>
            </w:pPr>
            <w:r>
              <w:rPr>
                <w:rFonts w:ascii="Arial" w:cs="Arial" w:eastAsia="Arial" w:hAnsi="Arial"/>
                <w:sz w:val="18"/>
                <w:szCs w:val="18"/>
                <w:b w:val="1"/>
                <w:bCs w:val="1"/>
                <w:color w:val="auto"/>
              </w:rPr>
              <w:t>Twelve Months Ended</w:t>
            </w:r>
          </w:p>
        </w:tc>
      </w:tr>
      <w:tr>
        <w:trPr>
          <w:trHeight w:val="234"/>
        </w:trPr>
        <w:tc>
          <w:tcPr>
            <w:tcW w:w="4500" w:type="dxa"/>
            <w:vAlign w:val="bottom"/>
            <w:gridSpan w:val="2"/>
          </w:tcPr>
          <w:p>
            <w:pPr>
              <w:ind w:left="20"/>
              <w:spacing w:after="0"/>
              <w:rPr>
                <w:sz w:val="20"/>
                <w:szCs w:val="20"/>
                <w:color w:val="auto"/>
              </w:rPr>
            </w:pPr>
            <w:r>
              <w:rPr>
                <w:rFonts w:ascii="Arial" w:cs="Arial" w:eastAsia="Arial" w:hAnsi="Arial"/>
                <w:sz w:val="18"/>
                <w:szCs w:val="18"/>
                <w:b w:val="1"/>
                <w:bCs w:val="1"/>
                <w:color w:val="auto"/>
              </w:rPr>
              <w:t>Segment</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12/31/21</w:t>
            </w: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12/31/20</w:t>
            </w: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jc w:val="right"/>
              <w:ind w:right="250"/>
              <w:spacing w:after="0"/>
              <w:rPr>
                <w:sz w:val="20"/>
                <w:szCs w:val="20"/>
                <w:color w:val="auto"/>
              </w:rPr>
            </w:pPr>
            <w:r>
              <w:rPr>
                <w:rFonts w:ascii="Arial" w:cs="Arial" w:eastAsia="Arial" w:hAnsi="Arial"/>
                <w:sz w:val="18"/>
                <w:szCs w:val="18"/>
                <w:b w:val="1"/>
                <w:bCs w:val="1"/>
                <w:color w:val="auto"/>
              </w:rPr>
              <w:t>12/31/21</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jc w:val="right"/>
              <w:ind w:right="250"/>
              <w:spacing w:after="0"/>
              <w:rPr>
                <w:sz w:val="20"/>
                <w:szCs w:val="20"/>
                <w:color w:val="auto"/>
              </w:rPr>
            </w:pPr>
            <w:r>
              <w:rPr>
                <w:rFonts w:ascii="Arial" w:cs="Arial" w:eastAsia="Arial" w:hAnsi="Arial"/>
                <w:sz w:val="18"/>
                <w:szCs w:val="18"/>
                <w:b w:val="1"/>
                <w:bCs w:val="1"/>
                <w:color w:val="auto"/>
              </w:rPr>
              <w:t>12/31/20</w:t>
            </w:r>
          </w:p>
        </w:tc>
      </w:tr>
      <w:tr>
        <w:trPr>
          <w:trHeight w:val="223"/>
        </w:trPr>
        <w:tc>
          <w:tcPr>
            <w:tcW w:w="43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Conventional</w:t>
            </w:r>
          </w:p>
        </w:tc>
        <w:tc>
          <w:tcPr>
            <w:tcW w:w="140" w:type="dxa"/>
            <w:vAlign w:val="bottom"/>
            <w:tcBorders>
              <w:top w:val="single" w:sz="8" w:color="CCEEFF"/>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spacing w:after="0"/>
              <w:rPr>
                <w:sz w:val="19"/>
                <w:szCs w:val="19"/>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101</w:t>
            </w:r>
          </w:p>
        </w:tc>
        <w:tc>
          <w:tcPr>
            <w:tcW w:w="140" w:type="dxa"/>
            <w:vAlign w:val="bottom"/>
            <w:tcBorders>
              <w:top w:val="single" w:sz="8" w:color="CCEEFF"/>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spacing w:after="0"/>
              <w:rPr>
                <w:sz w:val="19"/>
                <w:szCs w:val="19"/>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393</w:t>
            </w: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392</w:t>
            </w:r>
          </w:p>
        </w:tc>
      </w:tr>
      <w:tr>
        <w:trPr>
          <w:trHeight w:val="230"/>
        </w:trPr>
        <w:tc>
          <w:tcPr>
            <w:tcW w:w="4500" w:type="dxa"/>
            <w:vAlign w:val="bottom"/>
            <w:gridSpan w:val="2"/>
          </w:tcPr>
          <w:p>
            <w:pPr>
              <w:ind w:left="20"/>
              <w:spacing w:after="0"/>
              <w:rPr>
                <w:sz w:val="20"/>
                <w:szCs w:val="20"/>
                <w:color w:val="auto"/>
              </w:rPr>
            </w:pPr>
            <w:r>
              <w:rPr>
                <w:rFonts w:ascii="Arial" w:cs="Arial" w:eastAsia="Arial" w:hAnsi="Arial"/>
                <w:sz w:val="18"/>
                <w:szCs w:val="18"/>
                <w:color w:val="auto"/>
              </w:rPr>
              <w:t>Renewables</w:t>
            </w:r>
          </w:p>
        </w:tc>
        <w:tc>
          <w:tcPr>
            <w:tcW w:w="112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99"/>
              </w:rPr>
              <w:t>142</w:t>
            </w: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99"/>
              </w:rPr>
              <w:t>119</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723</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655</w:t>
            </w:r>
          </w:p>
        </w:tc>
      </w:tr>
      <w:tr>
        <w:trPr>
          <w:trHeight w:val="229"/>
        </w:trPr>
        <w:tc>
          <w:tcPr>
            <w:tcW w:w="4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Thermal</w:t>
            </w:r>
          </w:p>
        </w:tc>
        <w:tc>
          <w:tcPr>
            <w:tcW w:w="112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r>
      <w:tr>
        <w:trPr>
          <w:trHeight w:val="230"/>
        </w:trPr>
        <w:tc>
          <w:tcPr>
            <w:tcW w:w="4500" w:type="dxa"/>
            <w:vAlign w:val="bottom"/>
            <w:gridSpan w:val="2"/>
          </w:tcPr>
          <w:p>
            <w:pPr>
              <w:ind w:left="20"/>
              <w:spacing w:after="0"/>
              <w:rPr>
                <w:sz w:val="20"/>
                <w:szCs w:val="20"/>
                <w:color w:val="auto"/>
              </w:rPr>
            </w:pPr>
            <w:r>
              <w:rPr>
                <w:rFonts w:ascii="Arial" w:cs="Arial" w:eastAsia="Arial" w:hAnsi="Arial"/>
                <w:sz w:val="18"/>
                <w:szCs w:val="18"/>
                <w:color w:val="auto"/>
              </w:rPr>
              <w:t>Corporate</w:t>
            </w:r>
          </w:p>
        </w:tc>
        <w:tc>
          <w:tcPr>
            <w:tcW w:w="112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(6)</w:t>
            </w: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(32)</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23"/>
        </w:trPr>
        <w:tc>
          <w:tcPr>
            <w:tcW w:w="436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Adjusted EBITDA</w:t>
            </w:r>
          </w:p>
        </w:tc>
        <w:tc>
          <w:tcPr>
            <w:tcW w:w="140" w:type="dxa"/>
            <w:vAlign w:val="bottom"/>
            <w:tcBorders>
              <w:top w:val="single" w:sz="8" w:color="CCEEFF"/>
            </w:tcBorders>
            <w:shd w:val="clear" w:color="auto" w:fill="CCEEFF"/>
          </w:tcPr>
          <w:p>
            <w:pPr>
              <w:spacing w:after="0"/>
              <w:rPr>
                <w:sz w:val="19"/>
                <w:szCs w:val="19"/>
                <w:color w:val="auto"/>
              </w:rPr>
            </w:pPr>
          </w:p>
        </w:tc>
        <w:tc>
          <w:tcPr>
            <w:tcW w:w="1120" w:type="dxa"/>
            <w:vAlign w:val="bottom"/>
            <w:tcBorders>
              <w:top w:val="single" w:sz="8" w:color="auto"/>
              <w:bottom w:val="single" w:sz="8" w:color="auto"/>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250</w:t>
            </w:r>
          </w:p>
        </w:tc>
        <w:tc>
          <w:tcPr>
            <w:tcW w:w="140" w:type="dxa"/>
            <w:vAlign w:val="bottom"/>
            <w:tcBorders>
              <w:top w:val="single" w:sz="8" w:color="CCEEFF"/>
            </w:tcBorders>
            <w:shd w:val="clear" w:color="auto" w:fill="CCEEFF"/>
          </w:tcPr>
          <w:p>
            <w:pPr>
              <w:spacing w:after="0"/>
              <w:rPr>
                <w:sz w:val="19"/>
                <w:szCs w:val="19"/>
                <w:color w:val="auto"/>
              </w:rPr>
            </w:pPr>
          </w:p>
        </w:tc>
        <w:tc>
          <w:tcPr>
            <w:tcW w:w="1120" w:type="dxa"/>
            <w:vAlign w:val="bottom"/>
            <w:tcBorders>
              <w:top w:val="single" w:sz="8" w:color="auto"/>
              <w:bottom w:val="single" w:sz="8" w:color="auto"/>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229</w:t>
            </w: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1,150</w:t>
            </w: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1,082</w:t>
            </w: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Table 3: Cash from Operating Activities and Cash Available for Distribution (CAFD)</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960" w:type="dxa"/>
            <w:vAlign w:val="bottom"/>
            <w:gridSpan w:val="5"/>
          </w:tcPr>
          <w:p>
            <w:pPr>
              <w:ind w:left="48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tcPr>
          <w:p>
            <w:pPr>
              <w:spacing w:after="0"/>
              <w:rPr>
                <w:sz w:val="19"/>
                <w:szCs w:val="19"/>
                <w:color w:val="auto"/>
              </w:rPr>
            </w:pPr>
          </w:p>
        </w:tc>
        <w:tc>
          <w:tcPr>
            <w:tcW w:w="2700" w:type="dxa"/>
            <w:vAlign w:val="bottom"/>
            <w:gridSpan w:val="4"/>
          </w:tcPr>
          <w:p>
            <w:pPr>
              <w:jc w:val="right"/>
              <w:ind w:right="510"/>
              <w:spacing w:after="0"/>
              <w:rPr>
                <w:sz w:val="20"/>
                <w:szCs w:val="20"/>
                <w:color w:val="auto"/>
              </w:rPr>
            </w:pPr>
            <w:r>
              <w:rPr>
                <w:rFonts w:ascii="Arial" w:cs="Arial" w:eastAsia="Arial" w:hAnsi="Arial"/>
                <w:sz w:val="18"/>
                <w:szCs w:val="18"/>
                <w:b w:val="1"/>
                <w:bCs w:val="1"/>
                <w:color w:val="auto"/>
              </w:rPr>
              <w:t>Twelve Months Ended</w:t>
            </w:r>
          </w:p>
        </w:tc>
      </w:tr>
      <w:tr>
        <w:trPr>
          <w:trHeight w:val="234"/>
        </w:trPr>
        <w:tc>
          <w:tcPr>
            <w:tcW w:w="4460" w:type="dxa"/>
            <w:vAlign w:val="bottom"/>
            <w:gridSpan w:val="2"/>
          </w:tcPr>
          <w:p>
            <w:pPr>
              <w:ind w:left="20"/>
              <w:spacing w:after="0"/>
              <w:rPr>
                <w:sz w:val="20"/>
                <w:szCs w:val="20"/>
                <w:color w:val="auto"/>
              </w:rPr>
            </w:pPr>
            <w:r>
              <w:rPr>
                <w:rFonts w:ascii="Arial" w:cs="Arial" w:eastAsia="Arial" w:hAnsi="Arial"/>
                <w:sz w:val="18"/>
                <w:szCs w:val="18"/>
                <w:i w:val="1"/>
                <w:iCs w:val="1"/>
                <w:color w:val="auto"/>
              </w:rPr>
              <w:t>($ millions)</w:t>
            </w:r>
          </w:p>
        </w:tc>
        <w:tc>
          <w:tcPr>
            <w:tcW w:w="220" w:type="dxa"/>
            <w:vAlign w:val="bottom"/>
          </w:tcPr>
          <w:p>
            <w:pPr>
              <w:spacing w:after="0"/>
              <w:rPr>
                <w:sz w:val="20"/>
                <w:szCs w:val="20"/>
                <w:color w:val="auto"/>
              </w:rPr>
            </w:pPr>
          </w:p>
        </w:tc>
        <w:tc>
          <w:tcPr>
            <w:tcW w:w="1200" w:type="dxa"/>
            <w:vAlign w:val="bottom"/>
          </w:tcPr>
          <w:p>
            <w:pPr>
              <w:jc w:val="right"/>
              <w:ind w:right="350"/>
              <w:spacing w:after="0"/>
              <w:rPr>
                <w:sz w:val="20"/>
                <w:szCs w:val="20"/>
                <w:color w:val="auto"/>
              </w:rPr>
            </w:pPr>
            <w:r>
              <w:rPr>
                <w:rFonts w:ascii="Arial" w:cs="Arial" w:eastAsia="Arial" w:hAnsi="Arial"/>
                <w:sz w:val="18"/>
                <w:szCs w:val="18"/>
                <w:b w:val="1"/>
                <w:bCs w:val="1"/>
                <w:color w:val="auto"/>
              </w:rPr>
              <w:t>12/31/21</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20" w:type="dxa"/>
            <w:vAlign w:val="bottom"/>
          </w:tcPr>
          <w:p>
            <w:pPr>
              <w:jc w:val="right"/>
              <w:ind w:right="370"/>
              <w:spacing w:after="0"/>
              <w:rPr>
                <w:sz w:val="20"/>
                <w:szCs w:val="20"/>
                <w:color w:val="auto"/>
              </w:rPr>
            </w:pPr>
            <w:r>
              <w:rPr>
                <w:rFonts w:ascii="Arial" w:cs="Arial" w:eastAsia="Arial" w:hAnsi="Arial"/>
                <w:sz w:val="18"/>
                <w:szCs w:val="18"/>
                <w:b w:val="1"/>
                <w:bCs w:val="1"/>
                <w:color w:val="auto"/>
              </w:rPr>
              <w:t>12/31/20</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jc w:val="right"/>
              <w:ind w:right="270"/>
              <w:spacing w:after="0"/>
              <w:rPr>
                <w:sz w:val="20"/>
                <w:szCs w:val="20"/>
                <w:color w:val="auto"/>
              </w:rPr>
            </w:pPr>
            <w:r>
              <w:rPr>
                <w:rFonts w:ascii="Arial" w:cs="Arial" w:eastAsia="Arial" w:hAnsi="Arial"/>
                <w:sz w:val="18"/>
                <w:szCs w:val="18"/>
                <w:b w:val="1"/>
                <w:bCs w:val="1"/>
                <w:color w:val="auto"/>
              </w:rPr>
              <w:t>12/31/21</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350"/>
              <w:spacing w:after="0"/>
              <w:rPr>
                <w:sz w:val="20"/>
                <w:szCs w:val="20"/>
                <w:color w:val="auto"/>
              </w:rPr>
            </w:pPr>
            <w:r>
              <w:rPr>
                <w:rFonts w:ascii="Arial" w:cs="Arial" w:eastAsia="Arial" w:hAnsi="Arial"/>
                <w:sz w:val="18"/>
                <w:szCs w:val="18"/>
                <w:b w:val="1"/>
                <w:bCs w:val="1"/>
                <w:color w:val="auto"/>
              </w:rPr>
              <w:t>12/31/20</w:t>
            </w:r>
          </w:p>
        </w:tc>
      </w:tr>
      <w:tr>
        <w:trPr>
          <w:trHeight w:val="223"/>
        </w:trPr>
        <w:tc>
          <w:tcPr>
            <w:tcW w:w="432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Cash from Operating Activities</w:t>
            </w:r>
          </w:p>
        </w:tc>
        <w:tc>
          <w:tcPr>
            <w:tcW w:w="14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4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6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spacing w:after="0"/>
              <w:rPr>
                <w:sz w:val="19"/>
                <w:szCs w:val="19"/>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701</w:t>
            </w:r>
          </w:p>
        </w:tc>
        <w:tc>
          <w:tcPr>
            <w:tcW w:w="16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spacing w:after="0"/>
              <w:rPr>
                <w:sz w:val="19"/>
                <w:szCs w:val="19"/>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545</w:t>
            </w:r>
          </w:p>
        </w:tc>
      </w:tr>
      <w:tr>
        <w:trPr>
          <w:trHeight w:val="250"/>
        </w:trPr>
        <w:tc>
          <w:tcPr>
            <w:tcW w:w="4320" w:type="dxa"/>
            <w:vAlign w:val="bottom"/>
            <w:tcBorders>
              <w:bottom w:val="single" w:sz="8" w:color="auto"/>
            </w:tcBorders>
          </w:tcPr>
          <w:p>
            <w:pPr>
              <w:ind w:left="20"/>
              <w:spacing w:after="0" w:line="250" w:lineRule="exact"/>
              <w:rPr>
                <w:sz w:val="20"/>
                <w:szCs w:val="20"/>
                <w:color w:val="auto"/>
              </w:rPr>
            </w:pPr>
            <w:r>
              <w:rPr>
                <w:rFonts w:ascii="Arial" w:cs="Arial" w:eastAsia="Arial" w:hAnsi="Arial"/>
                <w:sz w:val="18"/>
                <w:szCs w:val="18"/>
                <w:color w:val="auto"/>
              </w:rPr>
              <w:t>Cash Available for Distribution (CAFD)</w:t>
            </w:r>
            <w:r>
              <w:rPr>
                <w:rFonts w:ascii="Arial" w:cs="Arial" w:eastAsia="Arial" w:hAnsi="Arial"/>
                <w:sz w:val="23"/>
                <w:szCs w:val="23"/>
                <w:color w:val="auto"/>
                <w:vertAlign w:val="superscript"/>
              </w:rPr>
              <w:t>1</w:t>
            </w:r>
          </w:p>
        </w:tc>
        <w:tc>
          <w:tcPr>
            <w:tcW w:w="140" w:type="dxa"/>
            <w:vAlign w:val="bottom"/>
          </w:tcPr>
          <w:p>
            <w:pPr>
              <w:spacing w:after="0"/>
              <w:rPr>
                <w:sz w:val="21"/>
                <w:szCs w:val="21"/>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4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w:t>
            </w:r>
          </w:p>
        </w:tc>
        <w:tc>
          <w:tcPr>
            <w:tcW w:w="16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336</w:t>
            </w:r>
          </w:p>
        </w:tc>
        <w:tc>
          <w:tcPr>
            <w:tcW w:w="16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295</w:t>
            </w:r>
          </w:p>
        </w:tc>
      </w:tr>
    </w:tbl>
    <w:p>
      <w:pPr>
        <w:spacing w:after="0" w:line="29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For the fourth quarter of 2021, the Company reported Net Loss of $(56) million, Adjusted EBITDA of $250 million, Cash from Operating Activities of $172 million, and CAFD of $35 million. Net Loss decreased versus the fourth quarter of 2020 as the contribution from growth investments was partially offset by higher recorded non-cash income tax expense. Adjusted EBITDA results in the fourth quarter of 2021 were higher than the fourth quarter of 2020 primarily due to the contribution from growth investments. In the fourth quarter of 2021, CAFD results were higher than fourth quarter of 2020 primarily due to the timing of corporate level debt service from refinancing the 2025 Senior Notes, which was partially offset by timing of project level debt service and distributions from growth investments.</w:t>
      </w:r>
    </w:p>
    <w:p>
      <w:pPr>
        <w:spacing w:after="0" w:line="21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For the full year of 2021, the Company reported a Net Loss of $(75) million, Adjusted EBITDA of $1,150 million, Cash from Operating Activities of $701 million, and CAFD of $336 million. Net Loss increased versus 2020 primarily due to mark-to-market losses for economic hedging activities, offset in part by lower derivative interest expense due to non-cash changes in the fair value of interest rate swaps. Adjusted EBITDA results were higher than 2020 primarily due to the contribution of growth investments and higher renewable energy production at the Alta wind portfolio versus last year which was partially offset by the impact from the Texas winter event in February of 2021. For the full year, CAFD results were higher than 2020 primarily due to the contribution of growth investments.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Update</w:t>
      </w:r>
    </w:p>
    <w:p>
      <w:pPr>
        <w:spacing w:after="0" w:line="25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Due to the COVID-19 pandemic, the Company has implemented measures and developed corporate and regional response plans to protect its employees and to maintain safe and reliable operations at its facilities. The Company does not currently anticipate any material impact to its financial conditions resulting from the pandemic, however it did see some degradation in volumetric sales on a weather normalized basis at certain Thermal locations during 2021.</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00" w:type="dxa"/>
            <w:vAlign w:val="bottom"/>
            <w:gridSpan w:val="2"/>
          </w:tcPr>
          <w:p>
            <w:pPr>
              <w:spacing w:after="0"/>
              <w:rPr>
                <w:sz w:val="20"/>
                <w:szCs w:val="20"/>
                <w:color w:val="auto"/>
              </w:rPr>
            </w:pPr>
            <w:r>
              <w:rPr>
                <w:rFonts w:ascii="Arial" w:cs="Arial" w:eastAsia="Arial" w:hAnsi="Arial"/>
                <w:sz w:val="18"/>
                <w:szCs w:val="18"/>
                <w:b w:val="1"/>
                <w:bCs w:val="1"/>
                <w:color w:val="auto"/>
              </w:rPr>
              <w:t>Operational Performance</w:t>
            </w:r>
          </w:p>
        </w:tc>
        <w:tc>
          <w:tcPr>
            <w:tcW w:w="1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80" w:type="dxa"/>
            <w:vAlign w:val="bottom"/>
          </w:tcPr>
          <w:p>
            <w:pPr>
              <w:spacing w:after="0"/>
              <w:rPr>
                <w:sz w:val="20"/>
                <w:szCs w:val="20"/>
                <w:color w:val="auto"/>
              </w:rPr>
            </w:pPr>
          </w:p>
        </w:tc>
      </w:tr>
      <w:tr>
        <w:trPr>
          <w:trHeight w:val="459"/>
        </w:trPr>
        <w:tc>
          <w:tcPr>
            <w:tcW w:w="4200" w:type="dxa"/>
            <w:vAlign w:val="bottom"/>
            <w:gridSpan w:val="2"/>
          </w:tcPr>
          <w:p>
            <w:pPr>
              <w:spacing w:after="0"/>
              <w:rPr>
                <w:sz w:val="20"/>
                <w:szCs w:val="20"/>
                <w:color w:val="auto"/>
              </w:rPr>
            </w:pPr>
            <w:r>
              <w:rPr>
                <w:rFonts w:ascii="Arial" w:cs="Arial" w:eastAsia="Arial" w:hAnsi="Arial"/>
                <w:sz w:val="18"/>
                <w:szCs w:val="18"/>
                <w:b w:val="1"/>
                <w:bCs w:val="1"/>
                <w:color w:val="auto"/>
              </w:rPr>
              <w:t>Table 4: Selected Operating Results</w:t>
            </w: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80" w:type="dxa"/>
            <w:vAlign w:val="bottom"/>
          </w:tcPr>
          <w:p>
            <w:pPr>
              <w:spacing w:after="0"/>
              <w:rPr>
                <w:sz w:val="24"/>
                <w:szCs w:val="24"/>
                <w:color w:val="auto"/>
              </w:rPr>
            </w:pPr>
          </w:p>
        </w:tc>
      </w:tr>
      <w:tr>
        <w:trPr>
          <w:trHeight w:val="252"/>
        </w:trPr>
        <w:tc>
          <w:tcPr>
            <w:tcW w:w="4200" w:type="dxa"/>
            <w:vAlign w:val="bottom"/>
            <w:gridSpan w:val="2"/>
          </w:tcPr>
          <w:p>
            <w:pPr>
              <w:ind w:left="20"/>
              <w:spacing w:after="0"/>
              <w:rPr>
                <w:sz w:val="20"/>
                <w:szCs w:val="20"/>
                <w:color w:val="auto"/>
              </w:rPr>
            </w:pPr>
            <w:r>
              <w:rPr>
                <w:rFonts w:ascii="Arial" w:cs="Arial" w:eastAsia="Arial" w:hAnsi="Arial"/>
                <w:sz w:val="18"/>
                <w:szCs w:val="18"/>
                <w:i w:val="1"/>
                <w:iCs w:val="1"/>
                <w:color w:val="auto"/>
              </w:rPr>
              <w:t>(MWh and MWht in thousands)</w:t>
            </w:r>
          </w:p>
        </w:tc>
        <w:tc>
          <w:tcPr>
            <w:tcW w:w="3440" w:type="dxa"/>
            <w:vAlign w:val="bottom"/>
            <w:gridSpan w:val="4"/>
          </w:tcPr>
          <w:p>
            <w:pPr>
              <w:ind w:left="860"/>
              <w:spacing w:after="0"/>
              <w:rPr>
                <w:sz w:val="20"/>
                <w:szCs w:val="20"/>
                <w:color w:val="auto"/>
              </w:rPr>
            </w:pPr>
            <w:r>
              <w:rPr>
                <w:rFonts w:ascii="Arial" w:cs="Arial" w:eastAsia="Arial" w:hAnsi="Arial"/>
                <w:sz w:val="18"/>
                <w:szCs w:val="18"/>
                <w:b w:val="1"/>
                <w:bCs w:val="1"/>
                <w:color w:val="auto"/>
              </w:rPr>
              <w:t>Three Months Ended</w:t>
            </w:r>
          </w:p>
        </w:tc>
        <w:tc>
          <w:tcPr>
            <w:tcW w:w="334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Twelve Months Ended</w:t>
            </w:r>
          </w:p>
        </w:tc>
      </w:tr>
      <w:tr>
        <w:trPr>
          <w:trHeight w:val="234"/>
        </w:trPr>
        <w:tc>
          <w:tcPr>
            <w:tcW w:w="4060" w:type="dxa"/>
            <w:vAlign w:val="bottom"/>
            <w:tcBorders>
              <w:bottom w:val="single" w:sz="8" w:color="auto"/>
            </w:tcBorders>
          </w:tcPr>
          <w:p>
            <w:pPr>
              <w:spacing w:after="0"/>
              <w:rPr>
                <w:sz w:val="20"/>
                <w:szCs w:val="20"/>
                <w:color w:val="auto"/>
              </w:rPr>
            </w:pPr>
          </w:p>
        </w:tc>
        <w:tc>
          <w:tcPr>
            <w:tcW w:w="140" w:type="dxa"/>
            <w:vAlign w:val="bottom"/>
            <w:tcBorders>
              <w:bottom w:val="single" w:sz="8" w:color="CCEEFF"/>
            </w:tcBorders>
          </w:tcPr>
          <w:p>
            <w:pPr>
              <w:spacing w:after="0"/>
              <w:rPr>
                <w:sz w:val="20"/>
                <w:szCs w:val="20"/>
                <w:color w:val="auto"/>
              </w:rPr>
            </w:pPr>
          </w:p>
        </w:tc>
        <w:tc>
          <w:tcPr>
            <w:tcW w:w="16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12/31/21</w:t>
            </w:r>
          </w:p>
        </w:tc>
        <w:tc>
          <w:tcPr>
            <w:tcW w:w="140" w:type="dxa"/>
            <w:vAlign w:val="bottom"/>
            <w:tcBorders>
              <w:bottom w:val="single" w:sz="8" w:color="CCEEFF"/>
            </w:tcBorders>
          </w:tcPr>
          <w:p>
            <w:pPr>
              <w:spacing w:after="0"/>
              <w:rPr>
                <w:sz w:val="20"/>
                <w:szCs w:val="20"/>
                <w:color w:val="auto"/>
              </w:rPr>
            </w:pPr>
          </w:p>
        </w:tc>
        <w:tc>
          <w:tcPr>
            <w:tcW w:w="16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12/31/20</w:t>
            </w:r>
          </w:p>
        </w:tc>
        <w:tc>
          <w:tcPr>
            <w:tcW w:w="100" w:type="dxa"/>
            <w:vAlign w:val="bottom"/>
            <w:tcBorders>
              <w:bottom w:val="single" w:sz="8" w:color="CCEEFF"/>
            </w:tcBorders>
          </w:tcPr>
          <w:p>
            <w:pPr>
              <w:spacing w:after="0"/>
              <w:rPr>
                <w:sz w:val="20"/>
                <w:szCs w:val="20"/>
                <w:color w:val="auto"/>
              </w:rPr>
            </w:pPr>
          </w:p>
        </w:tc>
        <w:tc>
          <w:tcPr>
            <w:tcW w:w="16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12/31/21</w:t>
            </w:r>
          </w:p>
        </w:tc>
        <w:tc>
          <w:tcPr>
            <w:tcW w:w="160" w:type="dxa"/>
            <w:vAlign w:val="bottom"/>
            <w:tcBorders>
              <w:bottom w:val="single" w:sz="8" w:color="CCEEFF"/>
            </w:tcBorders>
          </w:tcPr>
          <w:p>
            <w:pPr>
              <w:spacing w:after="0"/>
              <w:rPr>
                <w:sz w:val="20"/>
                <w:szCs w:val="20"/>
                <w:color w:val="auto"/>
              </w:rPr>
            </w:pPr>
          </w:p>
        </w:tc>
        <w:tc>
          <w:tcPr>
            <w:tcW w:w="15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12/31/20</w:t>
            </w:r>
          </w:p>
        </w:tc>
      </w:tr>
      <w:tr>
        <w:trPr>
          <w:trHeight w:val="250"/>
        </w:trPr>
        <w:tc>
          <w:tcPr>
            <w:tcW w:w="4060" w:type="dxa"/>
            <w:vAlign w:val="bottom"/>
            <w:shd w:val="clear" w:color="auto" w:fill="CCEEFF"/>
          </w:tcPr>
          <w:p>
            <w:pPr>
              <w:ind w:left="20"/>
              <w:spacing w:after="0" w:line="250" w:lineRule="exact"/>
              <w:rPr>
                <w:sz w:val="20"/>
                <w:szCs w:val="20"/>
                <w:color w:val="auto"/>
              </w:rPr>
            </w:pPr>
            <w:r>
              <w:rPr>
                <w:rFonts w:ascii="Arial" w:cs="Arial" w:eastAsia="Arial" w:hAnsi="Arial"/>
                <w:sz w:val="18"/>
                <w:szCs w:val="18"/>
                <w:color w:val="auto"/>
              </w:rPr>
              <w:t>Conventional Equivalent Availability Factor</w:t>
            </w:r>
            <w:r>
              <w:rPr>
                <w:rFonts w:ascii="Arial" w:cs="Arial" w:eastAsia="Arial" w:hAnsi="Arial"/>
                <w:sz w:val="23"/>
                <w:szCs w:val="23"/>
                <w:color w:val="auto"/>
                <w:vertAlign w:val="superscript"/>
              </w:rPr>
              <w:t>2</w:t>
            </w:r>
          </w:p>
        </w:tc>
        <w:tc>
          <w:tcPr>
            <w:tcW w:w="140" w:type="dxa"/>
            <w:vAlign w:val="bottom"/>
            <w:shd w:val="clear" w:color="auto" w:fill="CCEEFF"/>
          </w:tcPr>
          <w:p>
            <w:pPr>
              <w:spacing w:after="0"/>
              <w:rPr>
                <w:sz w:val="21"/>
                <w:szCs w:val="21"/>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98.5 %</w:t>
            </w:r>
          </w:p>
        </w:tc>
        <w:tc>
          <w:tcPr>
            <w:tcW w:w="140" w:type="dxa"/>
            <w:vAlign w:val="bottom"/>
            <w:shd w:val="clear" w:color="auto" w:fill="CCEEFF"/>
          </w:tcPr>
          <w:p>
            <w:pPr>
              <w:spacing w:after="0"/>
              <w:rPr>
                <w:sz w:val="21"/>
                <w:szCs w:val="21"/>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96.7 %</w:t>
            </w:r>
          </w:p>
        </w:tc>
        <w:tc>
          <w:tcPr>
            <w:tcW w:w="100" w:type="dxa"/>
            <w:vAlign w:val="bottom"/>
            <w:shd w:val="clear" w:color="auto" w:fill="CCEEFF"/>
          </w:tcPr>
          <w:p>
            <w:pPr>
              <w:spacing w:after="0"/>
              <w:rPr>
                <w:sz w:val="21"/>
                <w:szCs w:val="21"/>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94.7 %</w:t>
            </w:r>
          </w:p>
        </w:tc>
        <w:tc>
          <w:tcPr>
            <w:tcW w:w="160" w:type="dxa"/>
            <w:vAlign w:val="bottom"/>
            <w:shd w:val="clear" w:color="auto" w:fill="CCEEFF"/>
          </w:tcPr>
          <w:p>
            <w:pPr>
              <w:spacing w:after="0"/>
              <w:rPr>
                <w:sz w:val="21"/>
                <w:szCs w:val="21"/>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94.9 %</w:t>
            </w:r>
          </w:p>
        </w:tc>
      </w:tr>
      <w:tr>
        <w:trPr>
          <w:trHeight w:val="256"/>
        </w:trPr>
        <w:tc>
          <w:tcPr>
            <w:tcW w:w="4200" w:type="dxa"/>
            <w:vAlign w:val="bottom"/>
            <w:gridSpan w:val="2"/>
          </w:tcPr>
          <w:p>
            <w:pPr>
              <w:ind w:left="20"/>
              <w:spacing w:after="0" w:line="256" w:lineRule="exact"/>
              <w:rPr>
                <w:sz w:val="20"/>
                <w:szCs w:val="20"/>
                <w:color w:val="auto"/>
              </w:rPr>
            </w:pPr>
            <w:r>
              <w:rPr>
                <w:rFonts w:ascii="Arial" w:cs="Arial" w:eastAsia="Arial" w:hAnsi="Arial"/>
                <w:sz w:val="18"/>
                <w:szCs w:val="18"/>
                <w:color w:val="auto"/>
              </w:rPr>
              <w:t>Renewables Generation Sold (MWh)</w:t>
            </w:r>
            <w:r>
              <w:rPr>
                <w:rFonts w:ascii="Arial" w:cs="Arial" w:eastAsia="Arial" w:hAnsi="Arial"/>
                <w:sz w:val="23"/>
                <w:szCs w:val="23"/>
                <w:color w:val="auto"/>
                <w:vertAlign w:val="superscript"/>
              </w:rPr>
              <w:t>3</w:t>
            </w:r>
          </w:p>
        </w:tc>
        <w:tc>
          <w:tcPr>
            <w:tcW w:w="1600" w:type="dxa"/>
            <w:vAlign w:val="bottom"/>
          </w:tcPr>
          <w:p>
            <w:pPr>
              <w:jc w:val="right"/>
              <w:ind w:right="130"/>
              <w:spacing w:after="0"/>
              <w:rPr>
                <w:sz w:val="20"/>
                <w:szCs w:val="20"/>
                <w:color w:val="auto"/>
              </w:rPr>
            </w:pPr>
            <w:r>
              <w:rPr>
                <w:rFonts w:ascii="Arial" w:cs="Arial" w:eastAsia="Arial" w:hAnsi="Arial"/>
                <w:sz w:val="18"/>
                <w:szCs w:val="18"/>
                <w:color w:val="auto"/>
              </w:rPr>
              <w:t>2,673</w:t>
            </w:r>
          </w:p>
        </w:tc>
        <w:tc>
          <w:tcPr>
            <w:tcW w:w="140" w:type="dxa"/>
            <w:vAlign w:val="bottom"/>
          </w:tcPr>
          <w:p>
            <w:pPr>
              <w:spacing w:after="0"/>
              <w:rPr>
                <w:sz w:val="22"/>
                <w:szCs w:val="22"/>
                <w:color w:val="auto"/>
              </w:rPr>
            </w:pPr>
          </w:p>
        </w:tc>
        <w:tc>
          <w:tcPr>
            <w:tcW w:w="1600" w:type="dxa"/>
            <w:vAlign w:val="bottom"/>
          </w:tcPr>
          <w:p>
            <w:pPr>
              <w:jc w:val="right"/>
              <w:ind w:right="130"/>
              <w:spacing w:after="0"/>
              <w:rPr>
                <w:sz w:val="20"/>
                <w:szCs w:val="20"/>
                <w:color w:val="auto"/>
              </w:rPr>
            </w:pPr>
            <w:r>
              <w:rPr>
                <w:rFonts w:ascii="Arial" w:cs="Arial" w:eastAsia="Arial" w:hAnsi="Arial"/>
                <w:sz w:val="18"/>
                <w:szCs w:val="18"/>
                <w:color w:val="auto"/>
              </w:rPr>
              <w:t>1,714</w:t>
            </w:r>
          </w:p>
        </w:tc>
        <w:tc>
          <w:tcPr>
            <w:tcW w:w="100" w:type="dxa"/>
            <w:vAlign w:val="bottom"/>
          </w:tcPr>
          <w:p>
            <w:pPr>
              <w:spacing w:after="0"/>
              <w:rPr>
                <w:sz w:val="22"/>
                <w:szCs w:val="22"/>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11,313</w:t>
            </w:r>
          </w:p>
        </w:tc>
        <w:tc>
          <w:tcPr>
            <w:tcW w:w="160" w:type="dxa"/>
            <w:vAlign w:val="bottom"/>
          </w:tcPr>
          <w:p>
            <w:pPr>
              <w:spacing w:after="0"/>
              <w:rPr>
                <w:sz w:val="22"/>
                <w:szCs w:val="22"/>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7,460</w:t>
            </w:r>
          </w:p>
        </w:tc>
      </w:tr>
      <w:tr>
        <w:trPr>
          <w:trHeight w:val="230"/>
        </w:trPr>
        <w:tc>
          <w:tcPr>
            <w:tcW w:w="4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Thermal Generation Sold (MWh/MWht)</w:t>
            </w:r>
          </w:p>
        </w:tc>
        <w:tc>
          <w:tcPr>
            <w:tcW w:w="140" w:type="dxa"/>
            <w:vAlign w:val="bottom"/>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474</w:t>
            </w:r>
          </w:p>
        </w:tc>
        <w:tc>
          <w:tcPr>
            <w:tcW w:w="140" w:type="dxa"/>
            <w:vAlign w:val="bottom"/>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474</w:t>
            </w:r>
          </w:p>
        </w:tc>
        <w:tc>
          <w:tcPr>
            <w:tcW w:w="100" w:type="dxa"/>
            <w:vAlign w:val="bottom"/>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2,094</w:t>
            </w:r>
          </w:p>
        </w:tc>
        <w:tc>
          <w:tcPr>
            <w:tcW w:w="160" w:type="dxa"/>
            <w:vAlign w:val="bottom"/>
            <w:shd w:val="clear" w:color="auto" w:fill="CCEEFF"/>
          </w:tcPr>
          <w:p>
            <w:pPr>
              <w:spacing w:after="0"/>
              <w:rPr>
                <w:sz w:val="19"/>
                <w:szCs w:val="19"/>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1,995</w:t>
            </w:r>
          </w:p>
        </w:tc>
      </w:tr>
    </w:tbl>
    <w:p>
      <w:pPr>
        <w:spacing w:after="0" w:line="31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 the fourth quarter of 2021, availability at the Conventional segment was higher than the fourth quarter of 2020 primarily due to an outage at El Segundo in 2020. Generation in the Renewables segment during the fourth quarter of 2021 was 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17145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714500" cy="8890"/>
                    </a:xfrm>
                    <a:prstGeom prst="rect">
                      <a:avLst/>
                    </a:prstGeom>
                    <a:noFill/>
                  </pic:spPr>
                </pic:pic>
              </a:graphicData>
            </a:graphic>
          </wp:anchor>
        </w:drawing>
      </w:r>
    </w:p>
    <w:p>
      <w:pPr>
        <w:spacing w:after="0" w:line="254" w:lineRule="exact"/>
        <w:rPr>
          <w:sz w:val="20"/>
          <w:szCs w:val="20"/>
          <w:color w:val="auto"/>
        </w:rPr>
      </w:pPr>
    </w:p>
    <w:p>
      <w:pPr>
        <w:ind w:right="180" w:firstLine="8"/>
        <w:spacing w:after="0" w:line="201" w:lineRule="auto"/>
        <w:tabs>
          <w:tab w:leader="none" w:pos="103" w:val="left"/>
        </w:tabs>
        <w:numPr>
          <w:ilvl w:val="0"/>
          <w:numId w:val="3"/>
        </w:numPr>
        <w:rPr>
          <w:rFonts w:ascii="Arial" w:cs="Arial" w:eastAsia="Arial" w:hAnsi="Arial"/>
          <w:sz w:val="23"/>
          <w:szCs w:val="23"/>
          <w:color w:val="auto"/>
          <w:vertAlign w:val="superscript"/>
        </w:rPr>
      </w:pPr>
      <w:r>
        <w:rPr>
          <w:rFonts w:ascii="Arial" w:cs="Arial" w:eastAsia="Arial" w:hAnsi="Arial"/>
          <w:sz w:val="14"/>
          <w:szCs w:val="14"/>
          <w:color w:val="auto"/>
        </w:rPr>
        <w:t>Includes adjustments to reflect CAFD generated by unconsolidated investments that were not able to distribute project dividends prior to PG&amp;E's emergence from bankruptcy on July 1, 2020 and subsequent release post-bankruptcy</w:t>
      </w:r>
    </w:p>
    <w:p>
      <w:pPr>
        <w:spacing w:after="0" w:line="1" w:lineRule="exact"/>
        <w:rPr>
          <w:rFonts w:ascii="Arial" w:cs="Arial" w:eastAsia="Arial" w:hAnsi="Arial"/>
          <w:sz w:val="23"/>
          <w:szCs w:val="23"/>
          <w:color w:val="auto"/>
          <w:vertAlign w:val="superscript"/>
        </w:rPr>
      </w:pPr>
    </w:p>
    <w:p>
      <w:pPr>
        <w:spacing w:after="0" w:line="188" w:lineRule="auto"/>
        <w:rPr>
          <w:rFonts w:ascii="Arial" w:cs="Arial" w:eastAsia="Arial" w:hAnsi="Arial"/>
          <w:sz w:val="23"/>
          <w:szCs w:val="23"/>
          <w:color w:val="auto"/>
          <w:vertAlign w:val="superscript"/>
        </w:rPr>
      </w:pPr>
      <w:r>
        <w:rPr>
          <w:rFonts w:ascii="Arial" w:cs="Arial" w:eastAsia="Arial" w:hAnsi="Arial"/>
          <w:sz w:val="20"/>
          <w:szCs w:val="20"/>
          <w:color w:val="auto"/>
          <w:vertAlign w:val="superscript"/>
        </w:rPr>
        <w:t>2</w:t>
      </w:r>
      <w:r>
        <w:rPr>
          <w:rFonts w:ascii="Arial" w:cs="Arial" w:eastAsia="Arial" w:hAnsi="Arial"/>
          <w:sz w:val="13"/>
          <w:szCs w:val="13"/>
          <w:color w:val="auto"/>
        </w:rPr>
        <w:t xml:space="preserve"> Excludes unconsolidated projects</w:t>
      </w:r>
    </w:p>
    <w:p>
      <w:pPr>
        <w:spacing w:after="0"/>
        <w:rPr>
          <w:rFonts w:ascii="Arial" w:cs="Arial" w:eastAsia="Arial" w:hAnsi="Arial"/>
          <w:sz w:val="23"/>
          <w:szCs w:val="23"/>
          <w:color w:val="auto"/>
          <w:vertAlign w:val="superscript"/>
        </w:rPr>
      </w:pPr>
      <w:r>
        <w:rPr>
          <w:rFonts w:ascii="Arial" w:cs="Arial" w:eastAsia="Arial" w:hAnsi="Arial"/>
          <w:sz w:val="23"/>
          <w:szCs w:val="23"/>
          <w:color w:val="auto"/>
          <w:vertAlign w:val="superscript"/>
        </w:rPr>
        <w:t>3</w:t>
      </w:r>
      <w:r>
        <w:rPr>
          <w:rFonts w:ascii="Arial" w:cs="Arial" w:eastAsia="Arial" w:hAnsi="Arial"/>
          <w:sz w:val="14"/>
          <w:szCs w:val="14"/>
          <w:color w:val="auto"/>
        </w:rPr>
        <w:t xml:space="preserve"> Generation sold excludes MWh that are reimbursable for economic curtailment; volumes do not include the MWh generated/sold by the Company's equity method investments</w:t>
      </w:r>
    </w:p>
    <w:p>
      <w:pPr>
        <w:spacing w:after="0" w:line="232" w:lineRule="exact"/>
        <w:rPr>
          <w:sz w:val="20"/>
          <w:szCs w:val="20"/>
          <w:color w:val="auto"/>
        </w:rPr>
      </w:pPr>
    </w:p>
    <w:p>
      <w:pPr>
        <w:ind w:left="11160"/>
        <w:spacing w:after="0"/>
        <w:rPr>
          <w:sz w:val="20"/>
          <w:szCs w:val="20"/>
          <w:color w:val="auto"/>
        </w:rPr>
      </w:pPr>
      <w:r>
        <w:rPr>
          <w:rFonts w:ascii="Arial" w:cs="Arial" w:eastAsia="Arial" w:hAnsi="Arial"/>
          <w:sz w:val="14"/>
          <w:szCs w:val="14"/>
          <w:color w:val="auto"/>
        </w:rPr>
        <w:t>2</w:t>
      </w:r>
    </w:p>
    <w:p>
      <w:pPr>
        <w:sectPr>
          <w:pgSz w:w="11900" w:h="16838" w:orient="portrait"/>
          <w:cols w:equalWidth="0" w:num="1">
            <w:col w:w="11240"/>
          </w:cols>
          <w:pgMar w:left="320" w:top="931" w:right="339" w:bottom="1440" w:gutter="0" w:footer="0" w:header="0"/>
        </w:sectPr>
      </w:pPr>
    </w:p>
    <w:bookmarkStart w:id="5" w:name="page6"/>
    <w:bookmarkEnd w:id="5"/>
    <w:p>
      <w:pPr>
        <w:jc w:val="both"/>
        <w:spacing w:after="0" w:line="263" w:lineRule="auto"/>
        <w:rPr>
          <w:sz w:val="20"/>
          <w:szCs w:val="20"/>
          <w:color w:val="auto"/>
        </w:rPr>
      </w:pPr>
      <w:r>
        <w:rPr>
          <w:rFonts w:ascii="Arial" w:cs="Arial" w:eastAsia="Arial" w:hAnsi="Arial"/>
          <w:sz w:val="18"/>
          <w:szCs w:val="18"/>
          <w:color w:val="auto"/>
        </w:rPr>
        <w:t>higher than the fourth quarter of 2020 primarily due to the contribution of growth investments. These growth investments included the acquisition of the 35% interest in Agua Caliente and the additional interest in the Distributed Generation partnerships where results for both are now consolidated due to the resulting change in ownership.</w:t>
      </w:r>
    </w:p>
    <w:p>
      <w:pPr>
        <w:spacing w:after="0" w:line="2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February 2021, Texas experienced extreme winter weather conditions in which certain of the Company's wind projects were unable to operate and experienced outages due to the weather conditions at that time. Due to this event, and inclusive of amounts related to third-party equity investors, the Company recorded a reduction of approximately $50 million in revenue in the first quarter of 2021 to settle obligations for wind facilities during the extreme weather conditions. After factoring in third-party equity investor contributions, the cash impact to the Company during the first quarter of 2021 was approximately $25 million.</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000" w:type="dxa"/>
            <w:vAlign w:val="bottom"/>
            <w:gridSpan w:val="2"/>
          </w:tcPr>
          <w:p>
            <w:pPr>
              <w:spacing w:after="0"/>
              <w:rPr>
                <w:sz w:val="20"/>
                <w:szCs w:val="20"/>
                <w:color w:val="auto"/>
              </w:rPr>
            </w:pPr>
            <w:r>
              <w:rPr>
                <w:rFonts w:ascii="Arial" w:cs="Arial" w:eastAsia="Arial" w:hAnsi="Arial"/>
                <w:sz w:val="18"/>
                <w:szCs w:val="18"/>
                <w:b w:val="1"/>
                <w:bCs w:val="1"/>
                <w:color w:val="auto"/>
              </w:rPr>
              <w:t>Liquidity and Capital Resources</w:t>
            </w:r>
          </w:p>
        </w:tc>
        <w:tc>
          <w:tcPr>
            <w:tcW w:w="2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459"/>
        </w:trPr>
        <w:tc>
          <w:tcPr>
            <w:tcW w:w="7000" w:type="dxa"/>
            <w:vAlign w:val="bottom"/>
            <w:gridSpan w:val="2"/>
          </w:tcPr>
          <w:p>
            <w:pPr>
              <w:spacing w:after="0"/>
              <w:rPr>
                <w:sz w:val="20"/>
                <w:szCs w:val="20"/>
                <w:color w:val="auto"/>
              </w:rPr>
            </w:pPr>
            <w:r>
              <w:rPr>
                <w:rFonts w:ascii="Arial" w:cs="Arial" w:eastAsia="Arial" w:hAnsi="Arial"/>
                <w:sz w:val="18"/>
                <w:szCs w:val="18"/>
                <w:b w:val="1"/>
                <w:bCs w:val="1"/>
                <w:color w:val="auto"/>
              </w:rPr>
              <w:t>Table 5: Liquidity</w:t>
            </w:r>
          </w:p>
        </w:tc>
        <w:tc>
          <w:tcPr>
            <w:tcW w:w="2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256"/>
        </w:trPr>
        <w:tc>
          <w:tcPr>
            <w:tcW w:w="7000" w:type="dxa"/>
            <w:vAlign w:val="bottom"/>
            <w:gridSpan w:val="2"/>
          </w:tcPr>
          <w:p>
            <w:pPr>
              <w:ind w:left="20"/>
              <w:spacing w:after="0"/>
              <w:rPr>
                <w:sz w:val="20"/>
                <w:szCs w:val="20"/>
                <w:color w:val="auto"/>
              </w:rPr>
            </w:pPr>
            <w:r>
              <w:rPr>
                <w:rFonts w:ascii="Arial" w:cs="Arial" w:eastAsia="Arial" w:hAnsi="Arial"/>
                <w:sz w:val="18"/>
                <w:szCs w:val="18"/>
                <w:i w:val="1"/>
                <w:iCs w:val="1"/>
                <w:color w:val="auto"/>
              </w:rPr>
              <w:t>($ millions)</w:t>
            </w:r>
          </w:p>
        </w:tc>
        <w:tc>
          <w:tcPr>
            <w:tcW w:w="200" w:type="dxa"/>
            <w:vAlign w:val="bottom"/>
          </w:tcPr>
          <w:p>
            <w:pPr>
              <w:spacing w:after="0"/>
              <w:rPr>
                <w:sz w:val="22"/>
                <w:szCs w:val="22"/>
                <w:color w:val="auto"/>
              </w:rPr>
            </w:pPr>
          </w:p>
        </w:tc>
        <w:tc>
          <w:tcPr>
            <w:tcW w:w="1200" w:type="dxa"/>
            <w:vAlign w:val="bottom"/>
          </w:tcPr>
          <w:p>
            <w:pPr>
              <w:jc w:val="right"/>
              <w:ind w:right="190"/>
              <w:spacing w:after="0"/>
              <w:rPr>
                <w:sz w:val="20"/>
                <w:szCs w:val="20"/>
                <w:color w:val="auto"/>
              </w:rPr>
            </w:pPr>
            <w:r>
              <w:rPr>
                <w:rFonts w:ascii="Arial" w:cs="Arial" w:eastAsia="Arial" w:hAnsi="Arial"/>
                <w:sz w:val="18"/>
                <w:szCs w:val="18"/>
                <w:b w:val="1"/>
                <w:bCs w:val="1"/>
                <w:color w:val="auto"/>
                <w:w w:val="99"/>
              </w:rPr>
              <w:t>12/31/2021</w:t>
            </w:r>
          </w:p>
        </w:tc>
        <w:tc>
          <w:tcPr>
            <w:tcW w:w="1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12/31/2020</w:t>
            </w:r>
          </w:p>
        </w:tc>
      </w:tr>
      <w:tr>
        <w:trPr>
          <w:trHeight w:val="209"/>
        </w:trPr>
        <w:tc>
          <w:tcPr>
            <w:tcW w:w="68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Cash and Cash Equivalents:</w:t>
            </w: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r>
      <w:tr>
        <w:trPr>
          <w:trHeight w:val="230"/>
        </w:trPr>
        <w:tc>
          <w:tcPr>
            <w:tcW w:w="7000" w:type="dxa"/>
            <w:vAlign w:val="bottom"/>
            <w:gridSpan w:val="2"/>
          </w:tcPr>
          <w:p>
            <w:pPr>
              <w:ind w:left="220"/>
              <w:spacing w:after="0"/>
              <w:rPr>
                <w:sz w:val="20"/>
                <w:szCs w:val="20"/>
                <w:color w:val="auto"/>
              </w:rPr>
            </w:pPr>
            <w:r>
              <w:rPr>
                <w:rFonts w:ascii="Arial" w:cs="Arial" w:eastAsia="Arial" w:hAnsi="Arial"/>
                <w:sz w:val="16"/>
                <w:szCs w:val="16"/>
                <w:color w:val="auto"/>
              </w:rPr>
              <w:t>Clearway Energy, Inc. and Clearway Energy LLC, excluding subsidiaries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33</w:t>
            </w:r>
          </w:p>
        </w:tc>
        <w:tc>
          <w:tcPr>
            <w:tcW w:w="16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119</w:t>
            </w:r>
          </w:p>
        </w:tc>
      </w:tr>
      <w:tr>
        <w:trPr>
          <w:trHeight w:val="229"/>
        </w:trPr>
        <w:tc>
          <w:tcPr>
            <w:tcW w:w="7000" w:type="dxa"/>
            <w:vAlign w:val="bottom"/>
            <w:gridSpan w:val="2"/>
            <w:shd w:val="clear" w:color="auto" w:fill="CCEEFF"/>
          </w:tcPr>
          <w:p>
            <w:pPr>
              <w:ind w:left="220"/>
              <w:spacing w:after="0"/>
              <w:rPr>
                <w:sz w:val="20"/>
                <w:szCs w:val="20"/>
                <w:color w:val="auto"/>
              </w:rPr>
            </w:pPr>
            <w:r>
              <w:rPr>
                <w:rFonts w:ascii="Arial" w:cs="Arial" w:eastAsia="Arial" w:hAnsi="Arial"/>
                <w:sz w:val="16"/>
                <w:szCs w:val="16"/>
                <w:color w:val="auto"/>
              </w:rPr>
              <w:t>Subsidiaries</w:t>
            </w: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w:t>
            </w:r>
          </w:p>
        </w:tc>
      </w:tr>
      <w:tr>
        <w:trPr>
          <w:trHeight w:val="213"/>
        </w:trPr>
        <w:tc>
          <w:tcPr>
            <w:tcW w:w="7000" w:type="dxa"/>
            <w:vAlign w:val="bottom"/>
            <w:gridSpan w:val="2"/>
          </w:tcPr>
          <w:p>
            <w:pPr>
              <w:ind w:left="20"/>
              <w:spacing w:after="0"/>
              <w:rPr>
                <w:sz w:val="20"/>
                <w:szCs w:val="20"/>
                <w:color w:val="auto"/>
              </w:rPr>
            </w:pPr>
            <w:r>
              <w:rPr>
                <w:rFonts w:ascii="Arial" w:cs="Arial" w:eastAsia="Arial" w:hAnsi="Arial"/>
                <w:sz w:val="16"/>
                <w:szCs w:val="16"/>
                <w:b w:val="1"/>
                <w:bCs w:val="1"/>
                <w:color w:val="auto"/>
              </w:rPr>
              <w:t>Restricted Cash:</w:t>
            </w:r>
          </w:p>
        </w:tc>
        <w:tc>
          <w:tcPr>
            <w:tcW w:w="2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32"/>
        </w:trPr>
        <w:tc>
          <w:tcPr>
            <w:tcW w:w="7000" w:type="dxa"/>
            <w:vAlign w:val="bottom"/>
            <w:gridSpan w:val="2"/>
            <w:shd w:val="clear" w:color="auto" w:fill="CCEEFF"/>
          </w:tcPr>
          <w:p>
            <w:pPr>
              <w:ind w:left="220"/>
              <w:spacing w:after="0"/>
              <w:rPr>
                <w:sz w:val="20"/>
                <w:szCs w:val="20"/>
                <w:color w:val="auto"/>
              </w:rPr>
            </w:pPr>
            <w:r>
              <w:rPr>
                <w:rFonts w:ascii="Arial" w:cs="Arial" w:eastAsia="Arial" w:hAnsi="Arial"/>
                <w:sz w:val="16"/>
                <w:szCs w:val="16"/>
                <w:color w:val="auto"/>
              </w:rPr>
              <w:t>Operating accounts</w:t>
            </w:r>
          </w:p>
        </w:tc>
        <w:tc>
          <w:tcPr>
            <w:tcW w:w="200" w:type="dxa"/>
            <w:vAlign w:val="bottom"/>
            <w:shd w:val="clear" w:color="auto" w:fill="CCEEFF"/>
          </w:tcPr>
          <w:p>
            <w:pPr>
              <w:spacing w:after="0"/>
              <w:rPr>
                <w:sz w:val="20"/>
                <w:szCs w:val="20"/>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w:t>
            </w: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r>
      <w:tr>
        <w:trPr>
          <w:trHeight w:val="229"/>
        </w:trPr>
        <w:tc>
          <w:tcPr>
            <w:tcW w:w="7000" w:type="dxa"/>
            <w:vAlign w:val="bottom"/>
            <w:tcBorders>
              <w:bottom w:val="single" w:sz="8" w:color="CCEEFF"/>
            </w:tcBorders>
            <w:gridSpan w:val="2"/>
          </w:tcPr>
          <w:p>
            <w:pPr>
              <w:ind w:left="220"/>
              <w:spacing w:after="0"/>
              <w:rPr>
                <w:sz w:val="20"/>
                <w:szCs w:val="20"/>
                <w:color w:val="auto"/>
              </w:rPr>
            </w:pPr>
            <w:r>
              <w:rPr>
                <w:rFonts w:ascii="Arial" w:cs="Arial" w:eastAsia="Arial" w:hAnsi="Arial"/>
                <w:sz w:val="16"/>
                <w:szCs w:val="16"/>
                <w:color w:val="auto"/>
              </w:rPr>
              <w:t>Reserves, including debt service, distributions, performance obligations and other reserves</w:t>
            </w: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w:t>
            </w:r>
          </w:p>
        </w:tc>
        <w:tc>
          <w:tcPr>
            <w:tcW w:w="16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w:t>
            </w:r>
          </w:p>
        </w:tc>
      </w:tr>
      <w:tr>
        <w:trPr>
          <w:trHeight w:val="223"/>
        </w:trPr>
        <w:tc>
          <w:tcPr>
            <w:tcW w:w="7000" w:type="dxa"/>
            <w:vAlign w:val="bottom"/>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Total Cash</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654</w:t>
            </w:r>
          </w:p>
        </w:tc>
        <w:tc>
          <w:tcPr>
            <w:tcW w:w="16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465</w:t>
            </w:r>
          </w:p>
        </w:tc>
      </w:tr>
      <w:tr>
        <w:trPr>
          <w:trHeight w:val="223"/>
        </w:trPr>
        <w:tc>
          <w:tcPr>
            <w:tcW w:w="700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Revolving credit facility availability</w:t>
            </w: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167</w:t>
            </w:r>
          </w:p>
        </w:tc>
        <w:tc>
          <w:tcPr>
            <w:tcW w:w="16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429</w:t>
            </w:r>
          </w:p>
        </w:tc>
      </w:tr>
      <w:tr>
        <w:trPr>
          <w:trHeight w:val="248"/>
        </w:trPr>
        <w:tc>
          <w:tcPr>
            <w:tcW w:w="70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Total Liquidity</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821</w:t>
            </w:r>
          </w:p>
        </w:tc>
        <w:tc>
          <w:tcPr>
            <w:tcW w:w="1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894</w:t>
            </w:r>
          </w:p>
        </w:tc>
      </w:tr>
      <w:tr>
        <w:trPr>
          <w:trHeight w:val="20"/>
        </w:trPr>
        <w:tc>
          <w:tcPr>
            <w:tcW w:w="68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Total liquidity as of December 31, 2021 was $821 million, which was $73 million lower than as of December 31, 2020, as the execution of growth investments and the redemption of the 5.75% Senior Notes due 2025 was partially offset by the issuance of the 3.75% Senior Notes due 2031 and higher restricted cash balances at project level subsidiaries, including projects which the Company now consolidates in its financial statements.</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231F20"/>
        </w:rPr>
        <w:t xml:space="preserve">The Company's liquidity includes </w:t>
      </w:r>
      <w:r>
        <w:rPr>
          <w:rFonts w:ascii="Arial" w:cs="Arial" w:eastAsia="Arial" w:hAnsi="Arial"/>
          <w:sz w:val="18"/>
          <w:szCs w:val="18"/>
          <w:color w:val="000000"/>
        </w:rPr>
        <w:t>$475 million</w:t>
      </w:r>
      <w:r>
        <w:rPr>
          <w:rFonts w:ascii="Arial" w:cs="Arial" w:eastAsia="Arial" w:hAnsi="Arial"/>
          <w:sz w:val="18"/>
          <w:szCs w:val="18"/>
          <w:color w:val="231F20"/>
        </w:rPr>
        <w:t xml:space="preserve"> of restricted cash as of December 31, 2021. Restricted cash consists primarily of funds to satisfy the requirements of certain debt arrangements and funds held within the Company's projects that are restricted in their use. As </w:t>
      </w:r>
      <w:r>
        <w:rPr>
          <w:rFonts w:ascii="Arial" w:cs="Arial" w:eastAsia="Arial" w:hAnsi="Arial"/>
          <w:sz w:val="18"/>
          <w:szCs w:val="18"/>
          <w:color w:val="000000"/>
        </w:rPr>
        <w:t>of December 31, 2021, these</w:t>
      </w:r>
      <w:r>
        <w:rPr>
          <w:rFonts w:ascii="Arial" w:cs="Arial" w:eastAsia="Arial" w:hAnsi="Arial"/>
          <w:sz w:val="18"/>
          <w:szCs w:val="18"/>
          <w:color w:val="231F20"/>
        </w:rPr>
        <w:t xml:space="preserve"> </w:t>
      </w:r>
      <w:r>
        <w:rPr>
          <w:rFonts w:ascii="Arial" w:cs="Arial" w:eastAsia="Arial" w:hAnsi="Arial"/>
          <w:sz w:val="18"/>
          <w:szCs w:val="18"/>
          <w:color w:val="000000"/>
        </w:rPr>
        <w:t>restricted funds were comprised of $246 million designated to fund operating expenses, approximately $34 million designated for current debt service payments, and $131 million of reserves for debt service, performance obligations and other items including capital expenditures. The remaining $64 million is held in distribution reserve accounts.</w:t>
      </w:r>
    </w:p>
    <w:p>
      <w:pPr>
        <w:spacing w:after="0" w:line="21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Potential future sources of liquidity include excess operating cash flow, availability under the revolving credit facility, proceeds from asset dispositions, including the sale of the Thermal Business, and, subject to market conditions, new corporate debt and equity financings.</w:t>
      </w:r>
    </w:p>
    <w:p>
      <w:pPr>
        <w:spacing w:after="0" w:line="19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Due to the timing of growth investments and the expected closing date for the sale of the Thermal Business, the Company arranged the Bridge Loan Agreement to acquire the remaining 50% interest in the Utah Solar Portfolio as discussed below.</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Divestitures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Disposition of the Thermal Business</w:t>
      </w:r>
    </w:p>
    <w:p>
      <w:pPr>
        <w:spacing w:after="0" w:line="25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On October 25, 2021, the Company announced that, through its subsidiary Clearway Energy Operating LLC, it had entered into a binding agreement to sell its Thermal Business to KKR for total consideration of $1.9 billion, subject to customary closing and working capital adjustments. Based on current estimates, the Company expects total net cash proceeds of approximately $1.35 billion as a result of the transaction. The estimated cash proceeds to the Company are after the assumption of project level debt, estimated taxes and other obligations owed, transaction expenses, and capital expenditures required to be funded pursuant to terms and conditions of the definitive agreement.</w:t>
      </w:r>
    </w:p>
    <w:p>
      <w:pPr>
        <w:spacing w:after="0" w:line="200" w:lineRule="exact"/>
        <w:rPr>
          <w:sz w:val="20"/>
          <w:szCs w:val="20"/>
          <w:color w:val="auto"/>
        </w:rPr>
      </w:pPr>
    </w:p>
    <w:p>
      <w:pPr>
        <w:spacing w:after="0" w:line="345" w:lineRule="exact"/>
        <w:rPr>
          <w:sz w:val="20"/>
          <w:szCs w:val="20"/>
          <w:color w:val="auto"/>
        </w:rPr>
      </w:pPr>
    </w:p>
    <w:p>
      <w:pPr>
        <w:jc w:val="right"/>
        <w:spacing w:after="0"/>
        <w:rPr>
          <w:sz w:val="20"/>
          <w:szCs w:val="20"/>
          <w:color w:val="auto"/>
        </w:rPr>
      </w:pPr>
      <w:r>
        <w:rPr>
          <w:rFonts w:ascii="Arial" w:cs="Arial" w:eastAsia="Arial" w:hAnsi="Arial"/>
          <w:sz w:val="16"/>
          <w:szCs w:val="16"/>
          <w:color w:val="auto"/>
        </w:rPr>
        <w:t>3</w:t>
      </w:r>
    </w:p>
    <w:p>
      <w:pPr>
        <w:sectPr>
          <w:pgSz w:w="11900" w:h="16838" w:orient="portrait"/>
          <w:cols w:equalWidth="0" w:num="1">
            <w:col w:w="11240"/>
          </w:cols>
          <w:pgMar w:left="320" w:top="895" w:right="339" w:bottom="1440" w:gutter="0" w:footer="0" w:header="0"/>
        </w:sectPr>
      </w:pPr>
    </w:p>
    <w:bookmarkStart w:id="6" w:name="page7"/>
    <w:bookmarkEnd w:id="6"/>
    <w:p>
      <w:pPr>
        <w:jc w:val="both"/>
        <w:spacing w:after="0" w:line="259" w:lineRule="auto"/>
        <w:rPr>
          <w:sz w:val="20"/>
          <w:szCs w:val="20"/>
          <w:color w:val="auto"/>
        </w:rPr>
      </w:pPr>
      <w:r>
        <w:rPr>
          <w:rFonts w:ascii="Arial" w:cs="Arial" w:eastAsia="Arial" w:hAnsi="Arial"/>
          <w:sz w:val="18"/>
          <w:szCs w:val="18"/>
          <w:color w:val="auto"/>
        </w:rPr>
        <w:t>The Company's Thermal Business, commercially known as Clearway Community Energy, consists of thermal infrastructure assets that provide steam, hot water and/or chilled water, and in some instances electricity, to commercial businesses, universities, hospitals, and governmental customers across the United States. For 2022, Clearway estimates that the Thermal Business would contribute approximately $40 million in segment level CAFD on a full year basis.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The transaction is subject to various customary closing conditions, approvals, and consents and is expected to close in the first half of 2022.</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Growth Investments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Black Rock Wind</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December 29, 2021, the Company, through an indirect subsidiary, acquired from its sponsor a 50% interest in the Black Rock Wind Project, a 115 MW wind facility located in Grant and Mineral Counties, WV. The Company invested $60 million in net corporate capital for its interest in the project, of which $23 million was funded in February 2022 upon all turbines becoming operational. A majority of the project’s output is backed by contracts with investment-grade counterparties with a 15-year weighted average contract life.</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Mesquite Sky Wind</w:t>
      </w:r>
    </w:p>
    <w:p>
      <w:pPr>
        <w:spacing w:after="0" w:line="25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December 17, 2021, the Company, through an indirect subsidiary, acquired from its sponsor a 50% interest in the Mesquite Sky Wind Project, a 340 MW wind facility located in Callahan County, TX. The Company invested $61 million in net corporate capital for its interest in the project. A majority of the project’s output is backed by contracts with investment-grade counterparties with a 12-year weighted average contract life.</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 of the Remaining 50% Interest in the Utah Solar Portfolio</w:t>
      </w:r>
    </w:p>
    <w:p>
      <w:pPr>
        <w:spacing w:after="0" w:line="34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December 1, 2021, the Company acquired the remaining 50% equity interest in the Utah Solar Portfolio for $335 million before working capital and purchase price adjustments in the net amount of $5 million, representing total net consideration of $330 million. The Utah Solar Portfolio consists of seven utility-scale solar farms located in Utah representing 530 MW of capacity that achieved commercial operations in 2016. The assets within the portfolio sell power subject to 20-year PPAs with PacifiCorp that have approximately 15 years remaining under the agreements. The acquisition is expected to provide incremental annual asset CAFD on a five-year average basis of approximately $30 million beginning January 1, 2022. Following the close of the transaction, the Company now owns 100% of the membership interests in the Utah Solar Portfolio. The Company removed its equity method investment and consolidates its interests in the Utah Solar Portfolio within the Renewables segment from the date of the acquisition.</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Daggett 3 Solar</w:t>
      </w:r>
    </w:p>
    <w:p>
      <w:pPr>
        <w:spacing w:after="0" w:line="252" w:lineRule="exact"/>
        <w:rPr>
          <w:sz w:val="20"/>
          <w:szCs w:val="20"/>
          <w:color w:val="auto"/>
        </w:rPr>
      </w:pPr>
    </w:p>
    <w:p>
      <w:pPr>
        <w:jc w:val="both"/>
        <w:spacing w:after="0" w:line="299" w:lineRule="auto"/>
        <w:rPr>
          <w:sz w:val="20"/>
          <w:szCs w:val="20"/>
          <w:color w:val="auto"/>
        </w:rPr>
      </w:pPr>
      <w:r>
        <w:rPr>
          <w:rFonts w:ascii="Arial" w:cs="Arial" w:eastAsia="Arial" w:hAnsi="Arial"/>
          <w:sz w:val="16"/>
          <w:szCs w:val="16"/>
          <w:color w:val="auto"/>
        </w:rPr>
        <w:t>On October 28, 2021, the Company, through an indirect subsidiary, entered into an agreement with its sponsor to acquire a 25% equity interest in the Daggett 3 solar project upon the project meeting certain milestones. Daggett 3 is a 300 MW solar generating facility under development with a combined 144 MW and 576 MWh battery energy storage system located in San Bernardino, California. The Company expects to invest approximately $21 million,</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subject to closing adjustments. Commercial operations of the facility and the Company's investment are expected to occur in 2022.</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Pinnacle Wind Repowering</w:t>
      </w:r>
    </w:p>
    <w:p>
      <w:pPr>
        <w:spacing w:after="0" w:line="25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February 26, 2021, the Company, through an indirect subsidiary, entered into an amended partnership agreement with its sponsor to repower the Pinnacle Wind Project, a 54 MW wind facility located in Mineral County, WV. On December 14, 2021, the repowering project reached commercial operations and on December 15, 2021, the Company invested $64 million in corporate capital in the project, which was utilized along with tax equity proceeds, to repay outstanding balances of construction financing. The existing Pinnacle Wind power purchase agreements will continue to run through 2031.</w:t>
      </w:r>
    </w:p>
    <w:p>
      <w:pPr>
        <w:spacing w:after="0" w:line="200" w:lineRule="exact"/>
        <w:rPr>
          <w:sz w:val="20"/>
          <w:szCs w:val="20"/>
          <w:color w:val="auto"/>
        </w:rPr>
      </w:pPr>
    </w:p>
    <w:p>
      <w:pPr>
        <w:spacing w:after="0" w:line="357" w:lineRule="exact"/>
        <w:rPr>
          <w:sz w:val="20"/>
          <w:szCs w:val="20"/>
          <w:color w:val="auto"/>
        </w:rPr>
      </w:pPr>
    </w:p>
    <w:p>
      <w:pPr>
        <w:jc w:val="right"/>
        <w:spacing w:after="0"/>
        <w:rPr>
          <w:sz w:val="20"/>
          <w:szCs w:val="20"/>
          <w:color w:val="auto"/>
        </w:rPr>
      </w:pPr>
      <w:r>
        <w:rPr>
          <w:rFonts w:ascii="Arial" w:cs="Arial" w:eastAsia="Arial" w:hAnsi="Arial"/>
          <w:sz w:val="16"/>
          <w:szCs w:val="16"/>
          <w:color w:val="auto"/>
        </w:rPr>
        <w:t>4</w:t>
      </w:r>
    </w:p>
    <w:p>
      <w:pPr>
        <w:sectPr>
          <w:pgSz w:w="11900" w:h="16838" w:orient="portrait"/>
          <w:cols w:equalWidth="0" w:num="1">
            <w:col w:w="11240"/>
          </w:cols>
          <w:pgMar w:left="320" w:top="895" w:right="3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Financing Update</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Sixth Amendment to Clearway Energy Operating LLC Revolving Credit Facility</w:t>
      </w:r>
    </w:p>
    <w:p>
      <w:pPr>
        <w:spacing w:after="0" w:line="252" w:lineRule="exact"/>
        <w:rPr>
          <w:sz w:val="20"/>
          <w:szCs w:val="20"/>
          <w:color w:val="auto"/>
        </w:rPr>
      </w:pPr>
    </w:p>
    <w:p>
      <w:pPr>
        <w:ind w:right="2260"/>
        <w:spacing w:after="0" w:line="291" w:lineRule="auto"/>
        <w:rPr>
          <w:sz w:val="20"/>
          <w:szCs w:val="20"/>
          <w:color w:val="auto"/>
        </w:rPr>
      </w:pPr>
      <w:r>
        <w:rPr>
          <w:rFonts w:ascii="Arial" w:cs="Arial" w:eastAsia="Arial" w:hAnsi="Arial"/>
          <w:sz w:val="16"/>
          <w:szCs w:val="16"/>
          <w:color w:val="auto"/>
        </w:rPr>
        <w:t>On November 30, 2021, Clearway Energy Operating LLC entered into the Sixth Amendment to the Amended and Restated Credit Agreement to provide for an increase of the maximum permitted borrower leverage ratio to 6.00 to 1.00, as defined in</w:t>
      </w:r>
    </w:p>
    <w:p>
      <w:pPr>
        <w:jc w:val="both"/>
        <w:spacing w:after="0" w:line="253" w:lineRule="auto"/>
        <w:rPr>
          <w:sz w:val="20"/>
          <w:szCs w:val="20"/>
          <w:color w:val="auto"/>
        </w:rPr>
      </w:pPr>
      <w:r>
        <w:rPr>
          <w:rFonts w:ascii="Arial" w:cs="Arial" w:eastAsia="Arial" w:hAnsi="Arial"/>
          <w:sz w:val="18"/>
          <w:szCs w:val="18"/>
          <w:color w:val="auto"/>
        </w:rPr>
        <w:t>the Amended and Restated Credit Agreement, commencing on November 30, 2021 and ending on the leverage period termination date, which is the earliest of (i) two business days following the closing of the sale of the Thermal Business, (ii) 120 days following the termination or expiration of the binding agreement entered into to sell the Thermal Business and (iii) the maturity date of the Bridge Loan Agreement. The Sixth Amendment also permits the incurrence of the term loan facility under the Bridge Loan Agreement, permits the incurrence of hedging obligations, permits the prepayment of indebtedness, and implements certain other technical modifications.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Bridge Loan Agreement</w:t>
      </w:r>
    </w:p>
    <w:p>
      <w:pPr>
        <w:spacing w:after="0" w:line="25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November 30, 2021, Clearway Energy Operating LLC entered into a senior secured bridge credit agreement, or the Bridge Loan Agreement, that provides for a term loan facility with an aggregate principal amount of $335 million. The Bridge Loan Agreement will mature no later than November 29, 2022. The Company intends to use proceeds from the disposition of the Thermal Business to repay the outstanding principal. The borrowings under the Bridge Loan Facility were used to acquire the Utah Solar Portfolio on December 1, 2021, as described above.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2032 Green Bond Senior Notes</w:t>
      </w:r>
    </w:p>
    <w:p>
      <w:pPr>
        <w:spacing w:after="0" w:line="25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October 1, 2021, Clearway Energy Operating LLC completed the sale of $350 million of senior unsecured notes due 2032, or the 2032 Senior Notes. The 2032 Senior Notes bear interest at 3.750% and mature on January 15, 2032. Interest on the 2032 Senior Notes is payable semi-annually on January 15 and July 15 of each year. The 2032 Senior Notes are unsecured obligations of Clearway Energy Operating LLC and are guaranteed by Clearway Energy LLC and by certain of Clearway Energy Operating LLC's wholly owned current and future subsidiaries. The net proceeds from the 2032 Senior Notes were used to repurchase the $350 million in then outstanding 2026 Senior Notes.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of 2026 Senior Notes</w:t>
      </w:r>
    </w:p>
    <w:p>
      <w:pPr>
        <w:spacing w:after="0" w:line="25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October 1, 2021, the Company completed the repurchase of an aggregate principal amount of $123 million, or 35.3%, of the 2026 Senior Notes outstanding as part of the cash tender offer announced on September 24, 2021. On October 25, 2021, the Company exercised its right to optionally redeem the remaining principal amount of $227 million that were not validly tendered and purchased in the tender offer, pursuant to the terms of the indenture governing the 2026 Senior Notes. The 2026 Senior Notes repurchased and redeemed in October 2021 were effectuated at a premium of approximately 103% for total consideration of $359 million.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Quarterly Dividend</w:t>
      </w:r>
    </w:p>
    <w:p>
      <w:pPr>
        <w:spacing w:after="0" w:line="25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On February 17, 2022, Clearway Energy, Inc.’s Board of Directors declared a quarterly dividend on Class A and Class C common stock of $0.3468 per share payable on March 15, 2022, to stockholders of record as of March 1, 2022.</w:t>
      </w:r>
    </w:p>
    <w:p>
      <w:pPr>
        <w:spacing w:after="0" w:line="19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For 2022, the Company anticipates that, due to the sale of the Thermal Business, it may have positive current year earnings and profits. As a result, a portion of any dividends paid to holders of Class A and Class C common stock in 2022 may be treated as taxable dividends for U.S. federal income tax purposes. Such portion of the dividends that could be treated as taxable will depend upon a number of factors, including, but not limited to, the closing of the Thermal business sale and amount of actual gain, overall business performance, and other business activity during the year.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38"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Clearway Energy, Inc.’s quarterly operating results are impacted by seasonal factors, as well as weather variability which can impact renewable energy resource and volumetric sales of steam and chilled water at the Thermal segment. Most of the Company's revenues are generated from the months of May through September, as contracted pricing and renewable resources are at their highest levels in the Company’s portfolio. Factors driving the fluctuation in Net Income, Adjusted EBITDA, Cash from Operating Activities, and CAFD include the following:</w:t>
      </w:r>
    </w:p>
    <w:p>
      <w:pPr>
        <w:spacing w:after="0" w:line="198"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Higher summer capacity prices from conventional assets;</w:t>
      </w:r>
    </w:p>
    <w:p>
      <w:pPr>
        <w:spacing w:after="0" w:line="351" w:lineRule="exact"/>
        <w:rPr>
          <w:sz w:val="20"/>
          <w:szCs w:val="20"/>
          <w:color w:val="auto"/>
        </w:rPr>
      </w:pPr>
    </w:p>
    <w:p>
      <w:pPr>
        <w:jc w:val="right"/>
        <w:spacing w:after="0"/>
        <w:rPr>
          <w:sz w:val="20"/>
          <w:szCs w:val="20"/>
          <w:color w:val="auto"/>
        </w:rPr>
      </w:pPr>
      <w:r>
        <w:rPr>
          <w:rFonts w:ascii="Arial" w:cs="Arial" w:eastAsia="Arial" w:hAnsi="Arial"/>
          <w:sz w:val="16"/>
          <w:szCs w:val="16"/>
          <w:color w:val="auto"/>
        </w:rPr>
        <w:t>5</w:t>
      </w:r>
    </w:p>
    <w:p>
      <w:pPr>
        <w:sectPr>
          <w:pgSz w:w="11900" w:h="16838" w:orient="portrait"/>
          <w:cols w:equalWidth="0" w:num="1">
            <w:col w:w="11240"/>
          </w:cols>
          <w:pgMar w:left="320" w:top="891" w:right="339" w:bottom="1440" w:gutter="0" w:footer="0" w:header="0"/>
        </w:sectPr>
      </w:pPr>
    </w:p>
    <w:bookmarkStart w:id="8" w:name="page9"/>
    <w:bookmarkEnd w:id="8"/>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Higher solar insolation during the summer months;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Higher wind resources during the spring and summer months;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Debt service payments which are made either quarterly or semi-annually;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Timing of maintenance capital expenditures and the impact of both unforced and forced outages;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Timing of distributions from unconsolidated affiliates</w:t>
      </w:r>
    </w:p>
    <w:p>
      <w:pPr>
        <w:spacing w:after="0" w:line="23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takes into consideration the timing of these factors to ensure sufficient funds are available for distributions and operating activities on a quarterly basis.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Guidance and Pro Forma CAFD Outlook</w:t>
      </w:r>
    </w:p>
    <w:p>
      <w:pPr>
        <w:spacing w:after="0" w:line="243" w:lineRule="exact"/>
        <w:rPr>
          <w:sz w:val="20"/>
          <w:szCs w:val="20"/>
          <w:color w:val="auto"/>
        </w:rPr>
      </w:pPr>
    </w:p>
    <w:p>
      <w:pPr>
        <w:jc w:val="both"/>
        <w:spacing w:after="0" w:line="246" w:lineRule="auto"/>
        <w:rPr>
          <w:sz w:val="20"/>
          <w:szCs w:val="20"/>
          <w:color w:val="auto"/>
        </w:rPr>
      </w:pPr>
      <w:r>
        <w:rPr>
          <w:rFonts w:ascii="Arial" w:cs="Arial" w:eastAsia="Arial" w:hAnsi="Arial"/>
          <w:sz w:val="17"/>
          <w:szCs w:val="17"/>
          <w:color w:val="auto"/>
        </w:rPr>
        <w:t>The Company is reiterating its 2022 full year CAFD guidance of $395 million. The Company's 2022 financial guidance factors in the contribution of committed growth investments based on current expected closing timelines and assumes a full year contribution from the Thermal Business of approximately $40 million. 2022 CAFD guidance does not factor in the timing of when CAFD is realized from new growth investments pursuant to 5-year averages beyond 2022. The Company plans to update 2022 full year CAFD guidance after the Thermal Business transaction closes.</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With the effects above, the timing of CAFD realization pursuant to 5-year averages, asset CAFD across all segments being materially in-line with current profiles, and the impact of the disposition of the Company's Thermal Platform, the Company is reiterating its pro forma CAFD outlook expectations of approximately $385 million.</w:t>
      </w:r>
    </w:p>
    <w:p>
      <w:pPr>
        <w:spacing w:after="0" w:line="2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Financial guidance and the pro forma CAFD outlook continue to be based on median renewable energy production estimates for the full year and do not factor in any additional CAFD related to the allocation of excess proceeds from the sale of the Thermal Business.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Conference Call</w:t>
      </w:r>
    </w:p>
    <w:p>
      <w:pPr>
        <w:spacing w:after="0" w:line="25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February 28, 2022, Clearway Energy, Inc. will host a conference call at 8:00 a.m. Eastern to discuss these results. Investors, the news media and others may access the live webcast of the conference call and accompanying presentation materials by logging on to Clearway Energy, Inc.’s website at http://www.clearwayenergy.com and clicking on “Presentations &amp; Webcasts” under “Investor Relations.”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Clearway Energy, Inc.</w:t>
      </w:r>
    </w:p>
    <w:p>
      <w:pPr>
        <w:spacing w:after="0" w:line="25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Clearway Energy, Inc. is one of the largest renewable energy owners in the US with over 5,000 net MW of installed wind and solar generation projects. Clearway Energy’s over 9,000 net MW of assets also includes approximately 2,500 net MW of environmentally-sound, highly efficient natural gas generation facilities as well as a portfolio of district energy systems. Through this environmentally-sound diversified and primarily contracted portfolio, Clearway Energy endeavors to provide its investors with stable and growing dividend income. Clearway Energy’s Class C and Class A common stock are traded on the New York Stock Exchange under the symbols CWEN and CWEN.A, respectively. Clearway Energy, Inc. is sponsored by its controlling investor, Global Infrastructure Partners.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 Harbor Disclosure</w:t>
      </w:r>
    </w:p>
    <w:p>
      <w:pPr>
        <w:spacing w:after="0" w:line="256"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This news release contains forward-looking statements within the meaning of Section 27A of the Securities Act of 1933 and Section 21E of the Securities Exchange Act of 1934. Such forward-looking statements are subject to certain risks, uncertainties and assumptions, and typically can be identified by the use of words such as “expect,” “estimate,” "target," “anticipate,” “forecast,” “plan,” “outlook,” “believe” and similar terms. Such forward-looking statements include, but are not limited to, statements regarding the Company’s pending disposition of its Thermal Business, the Company’s dividend expectations and its operations, its facilities and its financial results, impacts related to COVID-19 (including any variant of the virus) or any other pandemic, the benefits of the relationship with Global Infrastructure Partners and Global Infrastructure Partners' expertise, the Company’s future relationship and arrangements with Global Infrastructure Partners and Clearway Energy Group, as well as the Company's Net Income, Adjusted EBITDA, Cash from Operating Activities, Cash Available for Distribution, the Company’s future revenues, income, indebtedness, capital structure, strategy, plans, expectations, objectives, projected financial performance and/or business results and other future events, and views of economic and market conditions.</w:t>
      </w:r>
    </w:p>
    <w:p>
      <w:pPr>
        <w:spacing w:after="0" w:line="180"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Although Clearway Energy, Inc. believes that the expectations are reasonable, it can give no assurance that these expectations will prove to be correct, and actual results may vary materially. Factors that could cause actual results to differ materially</w:t>
      </w:r>
    </w:p>
    <w:p>
      <w:pPr>
        <w:spacing w:after="0" w:line="309" w:lineRule="exact"/>
        <w:rPr>
          <w:sz w:val="20"/>
          <w:szCs w:val="20"/>
          <w:color w:val="auto"/>
        </w:rPr>
      </w:pPr>
    </w:p>
    <w:p>
      <w:pPr>
        <w:jc w:val="right"/>
        <w:spacing w:after="0"/>
        <w:rPr>
          <w:sz w:val="20"/>
          <w:szCs w:val="20"/>
          <w:color w:val="auto"/>
        </w:rPr>
      </w:pPr>
      <w:r>
        <w:rPr>
          <w:rFonts w:ascii="Arial" w:cs="Arial" w:eastAsia="Arial" w:hAnsi="Arial"/>
          <w:sz w:val="16"/>
          <w:szCs w:val="16"/>
          <w:color w:val="auto"/>
        </w:rPr>
        <w:t>6</w:t>
      </w:r>
    </w:p>
    <w:p>
      <w:pPr>
        <w:sectPr>
          <w:pgSz w:w="11900" w:h="16838" w:orient="portrait"/>
          <w:cols w:equalWidth="0" w:num="1">
            <w:col w:w="11240"/>
          </w:cols>
          <w:pgMar w:left="320" w:top="895" w:right="339" w:bottom="1440" w:gutter="0" w:footer="0" w:header="0"/>
        </w:sectPr>
      </w:pPr>
    </w:p>
    <w:bookmarkStart w:id="9" w:name="page10"/>
    <w:bookmarkEnd w:id="9"/>
    <w:p>
      <w:pPr>
        <w:jc w:val="both"/>
        <w:spacing w:after="0" w:line="252" w:lineRule="auto"/>
        <w:rPr>
          <w:sz w:val="20"/>
          <w:szCs w:val="20"/>
          <w:color w:val="auto"/>
        </w:rPr>
      </w:pPr>
      <w:r>
        <w:rPr>
          <w:rFonts w:ascii="Arial" w:cs="Arial" w:eastAsia="Arial" w:hAnsi="Arial"/>
          <w:sz w:val="16"/>
          <w:szCs w:val="16"/>
          <w:color w:val="auto"/>
        </w:rPr>
        <w:t>from those contemplated above include, among others, the Company's ability to maintain and grow its quarterly dividend, impacts related to COVID-19 (including any variant of the virus) or any other pandemic, risks relating to the Company's relationships with Global Infrastructure Partners and Clearway Energy Group, the failure to identify, execute or successfully implement acquisitions or dispositions (including receipt of third party consents and regulatory approvals), including the Company’s ability to complete the pending disposition of its Thermal Business, the Company's ability to acquire assets from Global Infrastructure Partners or Clearway Energy Group, the Company’s ability to raise additional capital due to its indebtedness, corporate structure, market conditions or otherwise, hazards customary in the power industry, weather conditions, including wind and solar performance, the Company’s ability to operate its businesses efficiently, manage maintenance capital expenditures and costs effectively, and generate earnings and cash flows from its asset-based businesses in relation to its debt and other obligations, the willingness and ability of counterparties to the Company’s offtake agreements to fulfill their obligations under such agreements, the Company's ability to enter into new contracts as existing contracts expire, changes in government regulations, operating and financial restrictions placed on the Company that are contained in the project-level debt facilities and other agreements of the Company and its subsidiaries, cyber terrorism and inadequate cybersecurity and the Company’s ability to borrow additional funds and access capital markets. Furthermore, any dividends are subject to available capital, market conditions, and compliance with associated laws and regulations.</w:t>
      </w:r>
    </w:p>
    <w:p>
      <w:pPr>
        <w:spacing w:after="0" w:line="206"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Clearway Energy, Inc. undertakes no obligation to update or revise any forward-looking statements, whether as a result of new information, future events or otherwise. The Adjusted EBITDA and Cash Available for Distribution are estimates as of today’s date, February 28, 2022, and are based on assumptions believed to be reasonable as of this date. Clearway Energy, Inc. expressly disclaims any current intention to update such guidance. The foregoing review of factors that could cause Clearway Energy, Inc.’s actual results to differ materially from those contemplated in the forward-looking statements included in this news release should be considered in connection with information regarding risks and uncertainties that may affect Clearway Energy, Inc.’s future results included in Clearway Energy, Inc.’s filings with the Securities and Exchange Commission at www.sec.gov. In addition, Clearway Energy, Inc. makes available free of charge at www.clearwayenergy.com, copies of materials it files with, or furnishes to, the Securities and Exchange Commission.</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 #</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Contacts:</w:t>
      </w:r>
    </w:p>
    <w:p>
      <w:pPr>
        <w:spacing w:after="0" w:line="234" w:lineRule="exact"/>
        <w:rPr>
          <w:sz w:val="20"/>
          <w:szCs w:val="20"/>
          <w:color w:val="auto"/>
        </w:rPr>
      </w:pPr>
    </w:p>
    <w:p>
      <w:pPr>
        <w:ind w:left="660"/>
        <w:spacing w:after="0"/>
        <w:tabs>
          <w:tab w:leader="none" w:pos="2120" w:val="left"/>
        </w:tabs>
        <w:rPr>
          <w:sz w:val="20"/>
          <w:szCs w:val="20"/>
          <w:color w:val="auto"/>
        </w:rPr>
      </w:pPr>
      <w:r>
        <w:rPr>
          <w:rFonts w:ascii="Arial" w:cs="Arial" w:eastAsia="Arial" w:hAnsi="Arial"/>
          <w:sz w:val="18"/>
          <w:szCs w:val="18"/>
          <w:b w:val="1"/>
          <w:bCs w:val="1"/>
          <w:color w:val="auto"/>
        </w:rPr>
        <w:t>Investors:</w:t>
      </w:r>
      <w:r>
        <w:rPr>
          <w:sz w:val="20"/>
          <w:szCs w:val="20"/>
          <w:color w:val="auto"/>
        </w:rPr>
        <w:tab/>
      </w:r>
      <w:r>
        <w:rPr>
          <w:rFonts w:ascii="Arial" w:cs="Arial" w:eastAsia="Arial" w:hAnsi="Arial"/>
          <w:sz w:val="18"/>
          <w:szCs w:val="18"/>
          <w:b w:val="1"/>
          <w:bCs w:val="1"/>
          <w:color w:val="auto"/>
        </w:rPr>
        <w:t>Media:</w:t>
      </w:r>
    </w:p>
    <w:p>
      <w:pPr>
        <w:spacing w:after="0" w:line="27" w:lineRule="exact"/>
        <w:rPr>
          <w:sz w:val="20"/>
          <w:szCs w:val="20"/>
          <w:color w:val="auto"/>
        </w:rPr>
      </w:pPr>
    </w:p>
    <w:p>
      <w:pPr>
        <w:ind w:left="180"/>
        <w:spacing w:after="0"/>
        <w:tabs>
          <w:tab w:leader="none" w:pos="1700" w:val="left"/>
        </w:tabs>
        <w:rPr>
          <w:sz w:val="20"/>
          <w:szCs w:val="20"/>
          <w:color w:val="auto"/>
        </w:rPr>
      </w:pPr>
      <w:r>
        <w:rPr>
          <w:rFonts w:ascii="Arial" w:cs="Arial" w:eastAsia="Arial" w:hAnsi="Arial"/>
          <w:sz w:val="18"/>
          <w:szCs w:val="18"/>
          <w:color w:val="auto"/>
        </w:rPr>
        <w:t>Akil Marsh</w:t>
      </w:r>
      <w:r>
        <w:rPr>
          <w:sz w:val="20"/>
          <w:szCs w:val="20"/>
          <w:color w:val="auto"/>
        </w:rPr>
        <w:tab/>
      </w:r>
      <w:r>
        <w:rPr>
          <w:rFonts w:ascii="Arial" w:cs="Arial" w:eastAsia="Arial" w:hAnsi="Arial"/>
          <w:sz w:val="16"/>
          <w:szCs w:val="16"/>
          <w:color w:val="auto"/>
        </w:rPr>
        <w:t>Zadie Oleksiw</w:t>
      </w:r>
    </w:p>
    <w:p>
      <w:pPr>
        <w:spacing w:after="0" w:line="9" w:lineRule="exact"/>
        <w:rPr>
          <w:sz w:val="20"/>
          <w:szCs w:val="20"/>
          <w:color w:val="auto"/>
        </w:rPr>
      </w:pPr>
    </w:p>
    <w:p>
      <w:pPr>
        <w:ind w:left="180"/>
        <w:spacing w:after="0"/>
        <w:tabs>
          <w:tab w:leader="none" w:pos="3220" w:val="left"/>
        </w:tabs>
        <w:rPr>
          <w:sz w:val="20"/>
          <w:szCs w:val="20"/>
          <w:color w:val="auto"/>
        </w:rPr>
      </w:pPr>
      <w:r>
        <w:rPr>
          <w:rFonts w:ascii="Arial" w:cs="Arial" w:eastAsia="Arial" w:hAnsi="Arial"/>
          <w:sz w:val="18"/>
          <w:szCs w:val="18"/>
          <w:color w:val="auto"/>
        </w:rPr>
        <w:t>investor.relations@clearwayenergy.com</w:t>
      </w:r>
      <w:r>
        <w:rPr>
          <w:sz w:val="20"/>
          <w:szCs w:val="20"/>
          <w:color w:val="auto"/>
        </w:rPr>
        <w:tab/>
      </w:r>
      <w:r>
        <w:rPr>
          <w:rFonts w:ascii="Arial" w:cs="Arial" w:eastAsia="Arial" w:hAnsi="Arial"/>
          <w:sz w:val="16"/>
          <w:szCs w:val="16"/>
          <w:color w:val="auto"/>
        </w:rPr>
        <w:t>media@clearwayenergy.com</w:t>
      </w:r>
    </w:p>
    <w:p>
      <w:pPr>
        <w:spacing w:after="0" w:line="9" w:lineRule="exact"/>
        <w:rPr>
          <w:sz w:val="20"/>
          <w:szCs w:val="20"/>
          <w:color w:val="auto"/>
        </w:rPr>
      </w:pPr>
    </w:p>
    <w:p>
      <w:pPr>
        <w:ind w:left="180"/>
        <w:spacing w:after="0"/>
        <w:tabs>
          <w:tab w:leader="none" w:pos="1900" w:val="left"/>
        </w:tabs>
        <w:rPr>
          <w:sz w:val="20"/>
          <w:szCs w:val="20"/>
          <w:color w:val="auto"/>
        </w:rPr>
      </w:pPr>
      <w:r>
        <w:rPr>
          <w:rFonts w:ascii="Arial" w:cs="Arial" w:eastAsia="Arial" w:hAnsi="Arial"/>
          <w:sz w:val="18"/>
          <w:szCs w:val="18"/>
          <w:color w:val="auto"/>
        </w:rPr>
        <w:t>609-608-1500</w:t>
      </w:r>
      <w:r>
        <w:rPr>
          <w:sz w:val="20"/>
          <w:szCs w:val="20"/>
          <w:color w:val="auto"/>
        </w:rPr>
        <w:tab/>
      </w:r>
      <w:r>
        <w:rPr>
          <w:rFonts w:ascii="Arial" w:cs="Arial" w:eastAsia="Arial" w:hAnsi="Arial"/>
          <w:sz w:val="16"/>
          <w:szCs w:val="16"/>
          <w:color w:val="auto"/>
        </w:rPr>
        <w:t>202-836-5754</w:t>
      </w:r>
    </w:p>
    <w:p>
      <w:pPr>
        <w:spacing w:after="0" w:line="337" w:lineRule="exact"/>
        <w:rPr>
          <w:sz w:val="20"/>
          <w:szCs w:val="20"/>
          <w:color w:val="auto"/>
        </w:rPr>
      </w:pPr>
    </w:p>
    <w:p>
      <w:pPr>
        <w:jc w:val="right"/>
        <w:spacing w:after="0"/>
        <w:rPr>
          <w:sz w:val="20"/>
          <w:szCs w:val="20"/>
          <w:color w:val="auto"/>
        </w:rPr>
      </w:pPr>
      <w:r>
        <w:rPr>
          <w:rFonts w:ascii="Arial" w:cs="Arial" w:eastAsia="Arial" w:hAnsi="Arial"/>
          <w:sz w:val="16"/>
          <w:szCs w:val="16"/>
          <w:color w:val="auto"/>
        </w:rPr>
        <w:t>7</w:t>
      </w:r>
    </w:p>
    <w:p>
      <w:pPr>
        <w:sectPr>
          <w:pgSz w:w="11900" w:h="16838" w:orient="portrait"/>
          <w:cols w:equalWidth="0" w:num="1">
            <w:col w:w="11240"/>
          </w:cols>
          <w:pgMar w:left="320" w:top="881"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CLEARWAY ENERGY, INC.</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54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6"/>
          </w:tcPr>
          <w:p>
            <w:pPr>
              <w:jc w:val="right"/>
              <w:ind w:right="30"/>
              <w:spacing w:after="0"/>
              <w:rPr>
                <w:sz w:val="20"/>
                <w:szCs w:val="20"/>
                <w:color w:val="auto"/>
              </w:rPr>
            </w:pPr>
            <w:r>
              <w:rPr>
                <w:rFonts w:ascii="Arial" w:cs="Arial" w:eastAsia="Arial" w:hAnsi="Arial"/>
                <w:sz w:val="14"/>
                <w:szCs w:val="14"/>
                <w:b w:val="1"/>
                <w:bCs w:val="1"/>
                <w:color w:val="auto"/>
              </w:rPr>
              <w:t>Year ended December 31,</w:t>
            </w:r>
          </w:p>
        </w:tc>
        <w:tc>
          <w:tcPr>
            <w:tcW w:w="780" w:type="dxa"/>
            <w:vAlign w:val="bottom"/>
            <w:tcBorders>
              <w:bottom w:val="single" w:sz="8" w:color="auto"/>
            </w:tcBorders>
          </w:tcPr>
          <w:p>
            <w:pPr>
              <w:spacing w:after="0"/>
              <w:rPr>
                <w:sz w:val="16"/>
                <w:szCs w:val="16"/>
                <w:color w:val="auto"/>
              </w:rPr>
            </w:pPr>
          </w:p>
        </w:tc>
      </w:tr>
      <w:tr>
        <w:trPr>
          <w:trHeight w:val="149"/>
        </w:trPr>
        <w:tc>
          <w:tcPr>
            <w:tcW w:w="20" w:type="dxa"/>
            <w:vAlign w:val="bottom"/>
          </w:tcPr>
          <w:p>
            <w:pPr>
              <w:spacing w:after="0"/>
              <w:rPr>
                <w:sz w:val="12"/>
                <w:szCs w:val="12"/>
                <w:color w:val="auto"/>
              </w:rPr>
            </w:pPr>
          </w:p>
        </w:tc>
        <w:tc>
          <w:tcPr>
            <w:tcW w:w="78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(In millions, except per share amounts)</w:t>
            </w:r>
          </w:p>
        </w:tc>
        <w:tc>
          <w:tcPr>
            <w:tcW w:w="240" w:type="dxa"/>
            <w:vAlign w:val="bottom"/>
          </w:tcPr>
          <w:p>
            <w:pPr>
              <w:spacing w:after="0"/>
              <w:rPr>
                <w:sz w:val="12"/>
                <w:szCs w:val="12"/>
                <w:color w:val="auto"/>
              </w:rPr>
            </w:pPr>
          </w:p>
        </w:tc>
        <w:tc>
          <w:tcPr>
            <w:tcW w:w="800" w:type="dxa"/>
            <w:vAlign w:val="bottom"/>
          </w:tcPr>
          <w:p>
            <w:pPr>
              <w:jc w:val="right"/>
              <w:ind w:right="291"/>
              <w:spacing w:after="0" w:line="149" w:lineRule="exact"/>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ind w:right="291"/>
              <w:spacing w:after="0" w:line="149" w:lineRule="exact"/>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80" w:type="dxa"/>
            <w:vAlign w:val="bottom"/>
          </w:tcPr>
          <w:p>
            <w:pPr>
              <w:jc w:val="right"/>
              <w:ind w:right="291"/>
              <w:spacing w:after="0" w:line="149" w:lineRule="exact"/>
              <w:rPr>
                <w:sz w:val="20"/>
                <w:szCs w:val="20"/>
                <w:color w:val="auto"/>
              </w:rPr>
            </w:pPr>
            <w:r>
              <w:rPr>
                <w:rFonts w:ascii="Arial" w:cs="Arial" w:eastAsia="Arial" w:hAnsi="Arial"/>
                <w:sz w:val="14"/>
                <w:szCs w:val="14"/>
                <w:b w:val="1"/>
                <w:bCs w:val="1"/>
                <w:color w:val="auto"/>
              </w:rPr>
              <w:t>2019</w:t>
            </w: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2400" w:type="dxa"/>
            <w:vAlign w:val="bottom"/>
            <w:tcBorders>
              <w:top w:val="single" w:sz="8" w:color="auto"/>
              <w:bottom w:val="single" w:sz="8" w:color="CCEEFF"/>
            </w:tcBorders>
          </w:tcPr>
          <w:p>
            <w:pPr>
              <w:spacing w:after="0" w:line="20" w:lineRule="exact"/>
              <w:rPr>
                <w:sz w:val="1"/>
                <w:szCs w:val="1"/>
                <w:color w:val="auto"/>
              </w:rPr>
            </w:pPr>
          </w:p>
        </w:tc>
        <w:tc>
          <w:tcPr>
            <w:tcW w:w="54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210"/>
        </w:trPr>
        <w:tc>
          <w:tcPr>
            <w:tcW w:w="20" w:type="dxa"/>
            <w:vAlign w:val="bottom"/>
            <w:shd w:val="clear" w:color="auto" w:fill="CCEEFF"/>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Revenues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7860" w:type="dxa"/>
            <w:vAlign w:val="bottom"/>
            <w:tcBorders>
              <w:bottom w:val="single" w:sz="8" w:color="CCEEFF"/>
            </w:tcBorders>
            <w:gridSpan w:val="2"/>
          </w:tcPr>
          <w:p>
            <w:pPr>
              <w:ind w:left="200"/>
              <w:spacing w:after="0"/>
              <w:rPr>
                <w:sz w:val="20"/>
                <w:szCs w:val="20"/>
                <w:color w:val="auto"/>
              </w:rPr>
            </w:pPr>
            <w:r>
              <w:rPr>
                <w:rFonts w:ascii="Arial" w:cs="Arial" w:eastAsia="Arial" w:hAnsi="Arial"/>
                <w:sz w:val="18"/>
                <w:szCs w:val="18"/>
                <w:color w:val="auto"/>
              </w:rPr>
              <w:t>Total operating revenues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1,286</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1,199</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1,032</w:t>
            </w:r>
          </w:p>
        </w:tc>
      </w:tr>
      <w:tr>
        <w:trPr>
          <w:trHeight w:val="209"/>
        </w:trPr>
        <w:tc>
          <w:tcPr>
            <w:tcW w:w="20" w:type="dxa"/>
            <w:vAlign w:val="bottom"/>
            <w:shd w:val="clear" w:color="auto" w:fill="CCEEFF"/>
          </w:tcPr>
          <w:p>
            <w:pPr>
              <w:spacing w:after="0"/>
              <w:rPr>
                <w:sz w:val="18"/>
                <w:szCs w:val="18"/>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Costs and Expenses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19"/>
                <w:szCs w:val="19"/>
                <w:color w:val="auto"/>
              </w:rPr>
            </w:pPr>
          </w:p>
        </w:tc>
        <w:tc>
          <w:tcPr>
            <w:tcW w:w="7860" w:type="dxa"/>
            <w:vAlign w:val="bottom"/>
            <w:gridSpan w:val="2"/>
          </w:tcPr>
          <w:p>
            <w:pPr>
              <w:ind w:left="120"/>
              <w:spacing w:after="0"/>
              <w:rPr>
                <w:sz w:val="20"/>
                <w:szCs w:val="20"/>
                <w:color w:val="auto"/>
              </w:rPr>
            </w:pPr>
            <w:r>
              <w:rPr>
                <w:rFonts w:ascii="Arial" w:cs="Arial" w:eastAsia="Arial" w:hAnsi="Arial"/>
                <w:sz w:val="18"/>
                <w:szCs w:val="18"/>
                <w:color w:val="auto"/>
              </w:rPr>
              <w:t>Cost of operations, exclusive of depreciation, amortization and accretion shown separately below</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451</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366</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337</w:t>
            </w:r>
          </w:p>
        </w:tc>
      </w:tr>
      <w:tr>
        <w:trPr>
          <w:trHeight w:val="229"/>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Depreciation, amortization and accretion</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428</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401</w:t>
            </w:r>
          </w:p>
        </w:tc>
      </w:tr>
      <w:tr>
        <w:trPr>
          <w:trHeight w:val="229"/>
        </w:trPr>
        <w:tc>
          <w:tcPr>
            <w:tcW w:w="20" w:type="dxa"/>
            <w:vAlign w:val="bottom"/>
          </w:tcPr>
          <w:p>
            <w:pPr>
              <w:spacing w:after="0"/>
              <w:rPr>
                <w:sz w:val="19"/>
                <w:szCs w:val="19"/>
                <w:color w:val="auto"/>
              </w:rPr>
            </w:pPr>
          </w:p>
        </w:tc>
        <w:tc>
          <w:tcPr>
            <w:tcW w:w="7860" w:type="dxa"/>
            <w:vAlign w:val="bottom"/>
            <w:gridSpan w:val="2"/>
          </w:tcPr>
          <w:p>
            <w:pPr>
              <w:ind w:left="120"/>
              <w:spacing w:after="0"/>
              <w:rPr>
                <w:sz w:val="20"/>
                <w:szCs w:val="20"/>
                <w:color w:val="auto"/>
              </w:rPr>
            </w:pPr>
            <w:r>
              <w:rPr>
                <w:rFonts w:ascii="Arial" w:cs="Arial" w:eastAsia="Arial" w:hAnsi="Arial"/>
                <w:sz w:val="18"/>
                <w:szCs w:val="18"/>
                <w:color w:val="auto"/>
              </w:rPr>
              <w:t>Impairment losses</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30"/>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General and administrative</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r>
      <w:tr>
        <w:trPr>
          <w:trHeight w:val="229"/>
        </w:trPr>
        <w:tc>
          <w:tcPr>
            <w:tcW w:w="20" w:type="dxa"/>
            <w:vAlign w:val="bottom"/>
          </w:tcPr>
          <w:p>
            <w:pPr>
              <w:spacing w:after="0"/>
              <w:rPr>
                <w:sz w:val="19"/>
                <w:szCs w:val="19"/>
                <w:color w:val="auto"/>
              </w:rPr>
            </w:pPr>
          </w:p>
        </w:tc>
        <w:tc>
          <w:tcPr>
            <w:tcW w:w="7860" w:type="dxa"/>
            <w:vAlign w:val="bottom"/>
            <w:gridSpan w:val="2"/>
          </w:tcPr>
          <w:p>
            <w:pPr>
              <w:ind w:left="120"/>
              <w:spacing w:after="0"/>
              <w:rPr>
                <w:sz w:val="20"/>
                <w:szCs w:val="20"/>
                <w:color w:val="auto"/>
              </w:rPr>
            </w:pPr>
            <w:r>
              <w:rPr>
                <w:rFonts w:ascii="Arial" w:cs="Arial" w:eastAsia="Arial" w:hAnsi="Arial"/>
                <w:sz w:val="18"/>
                <w:szCs w:val="18"/>
                <w:color w:val="auto"/>
              </w:rPr>
              <w:t>Transaction and integration costs</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30"/>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Development costs</w:t>
            </w: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r>
      <w:tr>
        <w:trPr>
          <w:trHeight w:val="223"/>
        </w:trPr>
        <w:tc>
          <w:tcPr>
            <w:tcW w:w="20" w:type="dxa"/>
            <w:vAlign w:val="bottom"/>
            <w:tcBorders>
              <w:bottom w:val="single" w:sz="8" w:color="CCEEFF"/>
            </w:tcBorders>
          </w:tcPr>
          <w:p>
            <w:pPr>
              <w:spacing w:after="0"/>
              <w:rPr>
                <w:sz w:val="19"/>
                <w:szCs w:val="19"/>
                <w:color w:val="auto"/>
              </w:rPr>
            </w:pPr>
          </w:p>
        </w:tc>
        <w:tc>
          <w:tcPr>
            <w:tcW w:w="7860" w:type="dxa"/>
            <w:vAlign w:val="bottom"/>
            <w:tcBorders>
              <w:bottom w:val="single" w:sz="8" w:color="CCEEFF"/>
            </w:tcBorders>
            <w:gridSpan w:val="2"/>
          </w:tcPr>
          <w:p>
            <w:pPr>
              <w:ind w:left="200"/>
              <w:spacing w:after="0"/>
              <w:rPr>
                <w:sz w:val="20"/>
                <w:szCs w:val="20"/>
                <w:color w:val="auto"/>
              </w:rPr>
            </w:pPr>
            <w:r>
              <w:rPr>
                <w:rFonts w:ascii="Arial" w:cs="Arial" w:eastAsia="Arial" w:hAnsi="Arial"/>
                <w:sz w:val="18"/>
                <w:szCs w:val="18"/>
                <w:color w:val="auto"/>
              </w:rPr>
              <w:t>Total operating costs and expenses</w:t>
            </w: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1,019</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866</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808</w:t>
            </w:r>
          </w:p>
        </w:tc>
      </w:tr>
      <w:tr>
        <w:trPr>
          <w:trHeight w:val="223"/>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267</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224</w:t>
            </w:r>
          </w:p>
        </w:tc>
      </w:tr>
      <w:tr>
        <w:trPr>
          <w:trHeight w:val="209"/>
        </w:trPr>
        <w:tc>
          <w:tcPr>
            <w:tcW w:w="20" w:type="dxa"/>
            <w:vAlign w:val="bottom"/>
          </w:tcPr>
          <w:p>
            <w:pPr>
              <w:spacing w:after="0"/>
              <w:rPr>
                <w:sz w:val="18"/>
                <w:szCs w:val="18"/>
                <w:color w:val="auto"/>
              </w:rPr>
            </w:pPr>
          </w:p>
        </w:tc>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Other Income (Expense)</w:t>
            </w: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30"/>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Equity in earnings of unconsolidated affiliates</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w:t>
            </w:r>
          </w:p>
        </w:tc>
      </w:tr>
      <w:tr>
        <w:trPr>
          <w:trHeight w:val="229"/>
        </w:trPr>
        <w:tc>
          <w:tcPr>
            <w:tcW w:w="20" w:type="dxa"/>
            <w:vAlign w:val="bottom"/>
          </w:tcPr>
          <w:p>
            <w:pPr>
              <w:spacing w:after="0"/>
              <w:rPr>
                <w:sz w:val="19"/>
                <w:szCs w:val="19"/>
                <w:color w:val="auto"/>
              </w:rPr>
            </w:pPr>
          </w:p>
        </w:tc>
        <w:tc>
          <w:tcPr>
            <w:tcW w:w="7860" w:type="dxa"/>
            <w:vAlign w:val="bottom"/>
            <w:gridSpan w:val="2"/>
          </w:tcPr>
          <w:p>
            <w:pPr>
              <w:ind w:left="120"/>
              <w:spacing w:after="0"/>
              <w:rPr>
                <w:sz w:val="20"/>
                <w:szCs w:val="20"/>
                <w:color w:val="auto"/>
              </w:rPr>
            </w:pPr>
            <w:r>
              <w:rPr>
                <w:rFonts w:ascii="Arial" w:cs="Arial" w:eastAsia="Arial" w:hAnsi="Arial"/>
                <w:sz w:val="18"/>
                <w:szCs w:val="18"/>
                <w:color w:val="auto"/>
              </w:rPr>
              <w:t>Impairment loss on investment</w:t>
            </w:r>
          </w:p>
        </w:tc>
        <w:tc>
          <w:tcPr>
            <w:tcW w:w="240" w:type="dxa"/>
            <w:vAlign w:val="bottom"/>
          </w:tcPr>
          <w:p>
            <w:pPr>
              <w:spacing w:after="0"/>
              <w:rPr>
                <w:sz w:val="19"/>
                <w:szCs w:val="19"/>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Gain on sale of unconsolidated affiliate</w:t>
            </w:r>
          </w:p>
        </w:tc>
        <w:tc>
          <w:tcPr>
            <w:tcW w:w="24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19"/>
                <w:szCs w:val="19"/>
                <w:color w:val="auto"/>
              </w:rPr>
            </w:pPr>
          </w:p>
        </w:tc>
        <w:tc>
          <w:tcPr>
            <w:tcW w:w="7860" w:type="dxa"/>
            <w:vAlign w:val="bottom"/>
            <w:gridSpan w:val="2"/>
          </w:tcPr>
          <w:p>
            <w:pPr>
              <w:ind w:left="120"/>
              <w:spacing w:after="0"/>
              <w:rPr>
                <w:sz w:val="20"/>
                <w:szCs w:val="20"/>
                <w:color w:val="auto"/>
              </w:rPr>
            </w:pPr>
            <w:r>
              <w:rPr>
                <w:rFonts w:ascii="Arial" w:cs="Arial" w:eastAsia="Arial" w:hAnsi="Arial"/>
                <w:sz w:val="18"/>
                <w:szCs w:val="18"/>
                <w:color w:val="auto"/>
              </w:rPr>
              <w:t>Other income, net</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29"/>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Loss on debt extinguishment</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r>
      <w:tr>
        <w:trPr>
          <w:trHeight w:val="229"/>
        </w:trPr>
        <w:tc>
          <w:tcPr>
            <w:tcW w:w="20" w:type="dxa"/>
            <w:vAlign w:val="bottom"/>
            <w:tcBorders>
              <w:bottom w:val="single" w:sz="8" w:color="CCEEFF"/>
            </w:tcBorders>
          </w:tcPr>
          <w:p>
            <w:pPr>
              <w:spacing w:after="0"/>
              <w:rPr>
                <w:sz w:val="19"/>
                <w:szCs w:val="19"/>
                <w:color w:val="auto"/>
              </w:rPr>
            </w:pPr>
          </w:p>
        </w:tc>
        <w:tc>
          <w:tcPr>
            <w:tcW w:w="7860" w:type="dxa"/>
            <w:vAlign w:val="bottom"/>
            <w:tcBorders>
              <w:bottom w:val="single" w:sz="8" w:color="CCEEFF"/>
            </w:tcBorders>
            <w:gridSpan w:val="2"/>
          </w:tcPr>
          <w:p>
            <w:pPr>
              <w:ind w:left="120"/>
              <w:spacing w:after="0"/>
              <w:rPr>
                <w:sz w:val="20"/>
                <w:szCs w:val="20"/>
                <w:color w:val="auto"/>
              </w:rPr>
            </w:pPr>
            <w:r>
              <w:rPr>
                <w:rFonts w:ascii="Arial" w:cs="Arial" w:eastAsia="Arial" w:hAnsi="Arial"/>
                <w:sz w:val="18"/>
                <w:szCs w:val="18"/>
                <w:color w:val="auto"/>
              </w:rPr>
              <w:t>Interest expense</w:t>
            </w: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(312)</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(415)</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(404)</w:t>
            </w:r>
          </w:p>
        </w:tc>
      </w:tr>
      <w:tr>
        <w:trPr>
          <w:trHeight w:val="223"/>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Total other expense, net</w:t>
            </w: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(330)</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(387)</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w:t>
            </w:r>
          </w:p>
        </w:tc>
      </w:tr>
      <w:tr>
        <w:trPr>
          <w:trHeight w:val="223"/>
        </w:trPr>
        <w:tc>
          <w:tcPr>
            <w:tcW w:w="20" w:type="dxa"/>
            <w:vAlign w:val="bottom"/>
          </w:tcPr>
          <w:p>
            <w:pPr>
              <w:spacing w:after="0"/>
              <w:rPr>
                <w:sz w:val="19"/>
                <w:szCs w:val="19"/>
                <w:color w:val="auto"/>
              </w:rPr>
            </w:pPr>
          </w:p>
        </w:tc>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Loss Before Income Taxes</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(63)</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(104)</w:t>
            </w:r>
          </w:p>
        </w:tc>
      </w:tr>
      <w:tr>
        <w:trPr>
          <w:trHeight w:val="230"/>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Income tax expense (benefit)</w:t>
            </w: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r>
      <w:tr>
        <w:trPr>
          <w:trHeight w:val="223"/>
        </w:trPr>
        <w:tc>
          <w:tcPr>
            <w:tcW w:w="20" w:type="dxa"/>
            <w:vAlign w:val="bottom"/>
          </w:tcPr>
          <w:p>
            <w:pPr>
              <w:spacing w:after="0"/>
              <w:rPr>
                <w:sz w:val="19"/>
                <w:szCs w:val="19"/>
                <w:color w:val="auto"/>
              </w:rPr>
            </w:pPr>
          </w:p>
        </w:tc>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Net Loss</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(75)</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(62)</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30"/>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Less: Net loss attributable to noncontrolling interests</w:t>
            </w: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w:t>
            </w:r>
          </w:p>
        </w:tc>
      </w:tr>
      <w:tr>
        <w:trPr>
          <w:trHeight w:val="223"/>
        </w:trPr>
        <w:tc>
          <w:tcPr>
            <w:tcW w:w="20" w:type="dxa"/>
            <w:vAlign w:val="bottom"/>
          </w:tcPr>
          <w:p>
            <w:pPr>
              <w:spacing w:after="0"/>
              <w:rPr>
                <w:sz w:val="19"/>
                <w:szCs w:val="19"/>
                <w:color w:val="auto"/>
              </w:rPr>
            </w:pPr>
          </w:p>
        </w:tc>
        <w:tc>
          <w:tcPr>
            <w:tcW w:w="7860" w:type="dxa"/>
            <w:vAlign w:val="bottom"/>
            <w:gridSpan w:val="2"/>
          </w:tcPr>
          <w:p>
            <w:pPr>
              <w:spacing w:after="0"/>
              <w:rPr>
                <w:sz w:val="20"/>
                <w:szCs w:val="20"/>
                <w:color w:val="auto"/>
              </w:rPr>
            </w:pPr>
            <w:r>
              <w:rPr>
                <w:rFonts w:ascii="Arial" w:cs="Arial" w:eastAsia="Arial" w:hAnsi="Arial"/>
                <w:sz w:val="18"/>
                <w:szCs w:val="18"/>
                <w:b w:val="1"/>
                <w:bCs w:val="1"/>
                <w:color w:val="auto"/>
              </w:rPr>
              <w:t>Net Income (Loss) Attributable to Clearway Energy, Inc.</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9"/>
                <w:szCs w:val="19"/>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9"/>
                <w:szCs w:val="19"/>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w:t>
            </w: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2400" w:type="dxa"/>
            <w:vAlign w:val="bottom"/>
            <w:tcBorders>
              <w:bottom w:val="single" w:sz="8" w:color="CCEEFF"/>
            </w:tcBorders>
          </w:tcPr>
          <w:p>
            <w:pPr>
              <w:spacing w:after="0" w:line="20" w:lineRule="exact"/>
              <w:rPr>
                <w:sz w:val="1"/>
                <w:szCs w:val="1"/>
                <w:color w:val="auto"/>
              </w:rPr>
            </w:pPr>
          </w:p>
        </w:tc>
        <w:tc>
          <w:tcPr>
            <w:tcW w:w="54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143"/>
        </w:trPr>
        <w:tc>
          <w:tcPr>
            <w:tcW w:w="20" w:type="dxa"/>
            <w:vAlign w:val="bottom"/>
            <w:shd w:val="clear" w:color="auto" w:fill="CCEEFF"/>
          </w:tcPr>
          <w:p>
            <w:pPr>
              <w:spacing w:after="0"/>
              <w:rPr>
                <w:sz w:val="12"/>
                <w:szCs w:val="12"/>
                <w:color w:val="auto"/>
              </w:rPr>
            </w:pPr>
          </w:p>
        </w:tc>
        <w:tc>
          <w:tcPr>
            <w:tcW w:w="7860" w:type="dxa"/>
            <w:vAlign w:val="bottom"/>
            <w:gridSpan w:val="2"/>
            <w:shd w:val="clear" w:color="auto" w:fill="CCEEFF"/>
          </w:tcPr>
          <w:p>
            <w:pPr>
              <w:spacing w:after="0" w:line="142" w:lineRule="exact"/>
              <w:rPr>
                <w:sz w:val="20"/>
                <w:szCs w:val="20"/>
                <w:color w:val="auto"/>
              </w:rPr>
            </w:pPr>
            <w:r>
              <w:rPr>
                <w:rFonts w:ascii="Arial" w:cs="Arial" w:eastAsia="Arial" w:hAnsi="Arial"/>
                <w:sz w:val="16"/>
                <w:szCs w:val="16"/>
                <w:b w:val="1"/>
                <w:bCs w:val="1"/>
                <w:color w:val="auto"/>
              </w:rPr>
              <w:t>Earnings Per Share Attributable to Clearway Energy, Inc. Class A and Class C Common</w:t>
            </w:r>
          </w:p>
        </w:tc>
        <w:tc>
          <w:tcPr>
            <w:tcW w:w="2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r>
      <w:tr>
        <w:trPr>
          <w:trHeight w:val="230"/>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Stockholders</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r>
      <w:tr>
        <w:trPr>
          <w:trHeight w:val="229"/>
        </w:trPr>
        <w:tc>
          <w:tcPr>
            <w:tcW w:w="20" w:type="dxa"/>
            <w:vAlign w:val="bottom"/>
          </w:tcPr>
          <w:p>
            <w:pPr>
              <w:spacing w:after="0"/>
              <w:rPr>
                <w:sz w:val="19"/>
                <w:szCs w:val="19"/>
                <w:color w:val="auto"/>
              </w:rPr>
            </w:pPr>
          </w:p>
        </w:tc>
        <w:tc>
          <w:tcPr>
            <w:tcW w:w="7860" w:type="dxa"/>
            <w:vAlign w:val="bottom"/>
            <w:gridSpan w:val="2"/>
          </w:tcPr>
          <w:p>
            <w:pPr>
              <w:ind w:left="120"/>
              <w:spacing w:after="0"/>
              <w:rPr>
                <w:sz w:val="20"/>
                <w:szCs w:val="20"/>
                <w:color w:val="auto"/>
              </w:rPr>
            </w:pPr>
            <w:r>
              <w:rPr>
                <w:rFonts w:ascii="Arial" w:cs="Arial" w:eastAsia="Arial" w:hAnsi="Arial"/>
                <w:sz w:val="18"/>
                <w:szCs w:val="18"/>
                <w:color w:val="auto"/>
              </w:rPr>
              <w:t>Weighted average number of Class A common shares outstanding - basic and diluted</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30"/>
        </w:trPr>
        <w:tc>
          <w:tcPr>
            <w:tcW w:w="20" w:type="dxa"/>
            <w:vAlign w:val="bottom"/>
            <w:shd w:val="clear" w:color="auto" w:fill="CCEEFF"/>
          </w:tcPr>
          <w:p>
            <w:pPr>
              <w:spacing w:after="0"/>
              <w:rPr>
                <w:sz w:val="19"/>
                <w:szCs w:val="19"/>
                <w:color w:val="auto"/>
              </w:rPr>
            </w:pPr>
          </w:p>
        </w:tc>
        <w:tc>
          <w:tcPr>
            <w:tcW w:w="78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Weighted average number of Class C common shares outstanding - basic</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r>
      <w:tr>
        <w:trPr>
          <w:trHeight w:val="230"/>
        </w:trPr>
        <w:tc>
          <w:tcPr>
            <w:tcW w:w="20" w:type="dxa"/>
            <w:vAlign w:val="bottom"/>
          </w:tcPr>
          <w:p>
            <w:pPr>
              <w:spacing w:after="0"/>
              <w:rPr>
                <w:sz w:val="19"/>
                <w:szCs w:val="19"/>
                <w:color w:val="auto"/>
              </w:rPr>
            </w:pPr>
          </w:p>
        </w:tc>
        <w:tc>
          <w:tcPr>
            <w:tcW w:w="7860" w:type="dxa"/>
            <w:vAlign w:val="bottom"/>
            <w:gridSpan w:val="2"/>
          </w:tcPr>
          <w:p>
            <w:pPr>
              <w:ind w:left="120"/>
              <w:spacing w:after="0"/>
              <w:rPr>
                <w:sz w:val="20"/>
                <w:szCs w:val="20"/>
                <w:color w:val="auto"/>
              </w:rPr>
            </w:pPr>
            <w:r>
              <w:rPr>
                <w:rFonts w:ascii="Arial" w:cs="Arial" w:eastAsia="Arial" w:hAnsi="Arial"/>
                <w:sz w:val="18"/>
                <w:szCs w:val="18"/>
                <w:color w:val="auto"/>
              </w:rPr>
              <w:t>Weighted average number of Class C common shares outstanding - diluted</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82</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81</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28"/>
        </w:trPr>
        <w:tc>
          <w:tcPr>
            <w:tcW w:w="20" w:type="dxa"/>
            <w:vAlign w:val="bottom"/>
            <w:tcBorders>
              <w:bottom w:val="single" w:sz="8" w:color="CCEEFF"/>
            </w:tcBorders>
            <w:shd w:val="clear" w:color="auto" w:fill="CCEEFF"/>
          </w:tcPr>
          <w:p>
            <w:pPr>
              <w:spacing w:after="0"/>
              <w:rPr>
                <w:sz w:val="19"/>
                <w:szCs w:val="19"/>
                <w:color w:val="auto"/>
              </w:rPr>
            </w:pPr>
          </w:p>
        </w:tc>
        <w:tc>
          <w:tcPr>
            <w:tcW w:w="7860" w:type="dxa"/>
            <w:vAlign w:val="bottom"/>
            <w:tcBorders>
              <w:bottom w:val="single" w:sz="8" w:color="CCEEFF"/>
            </w:tcBorders>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w w:val="96"/>
              </w:rPr>
              <w:t>Earnings (Loss) per Weighted Average Class A and Class C Common Share - Basic and Diluted</w:t>
            </w:r>
          </w:p>
        </w:tc>
        <w:tc>
          <w:tcPr>
            <w:tcW w:w="240" w:type="dxa"/>
            <w:vAlign w:val="bottom"/>
            <w:tcBorders>
              <w:bottom w:val="single" w:sz="8" w:color="auto"/>
            </w:tcBorders>
            <w:shd w:val="clear" w:color="auto" w:fill="CCEEFF"/>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0.44</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50"/>
              <w:spacing w:after="0" w:line="202" w:lineRule="exact"/>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0.22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70"/>
              <w:spacing w:after="0" w:line="202" w:lineRule="exact"/>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(0.10)</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2400" w:type="dxa"/>
            <w:vAlign w:val="bottom"/>
            <w:tcBorders>
              <w:top w:val="single" w:sz="8" w:color="CCEEFF"/>
            </w:tcBorders>
          </w:tcPr>
          <w:p>
            <w:pPr>
              <w:spacing w:after="0" w:line="20" w:lineRule="exact"/>
              <w:rPr>
                <w:sz w:val="1"/>
                <w:szCs w:val="1"/>
                <w:color w:val="auto"/>
              </w:rPr>
            </w:pPr>
          </w:p>
        </w:tc>
        <w:tc>
          <w:tcPr>
            <w:tcW w:w="54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7860" w:type="dxa"/>
            <w:vAlign w:val="bottom"/>
            <w:gridSpan w:val="2"/>
          </w:tcPr>
          <w:p>
            <w:pPr>
              <w:spacing w:after="0" w:line="203" w:lineRule="exact"/>
              <w:rPr>
                <w:sz w:val="20"/>
                <w:szCs w:val="20"/>
                <w:color w:val="auto"/>
              </w:rPr>
            </w:pPr>
            <w:r>
              <w:rPr>
                <w:rFonts w:ascii="Arial" w:cs="Arial" w:eastAsia="Arial" w:hAnsi="Arial"/>
                <w:sz w:val="18"/>
                <w:szCs w:val="18"/>
                <w:b w:val="1"/>
                <w:bCs w:val="1"/>
                <w:color w:val="auto"/>
              </w:rPr>
              <w:t>Dividends Per Class A Common Share</w:t>
            </w:r>
          </w:p>
        </w:tc>
        <w:tc>
          <w:tcPr>
            <w:tcW w:w="240" w:type="dxa"/>
            <w:vAlign w:val="bottom"/>
            <w:tcBorders>
              <w:bottom w:val="single" w:sz="8" w:color="auto"/>
            </w:tcBorders>
          </w:tcPr>
          <w:p>
            <w:pPr>
              <w:jc w:val="right"/>
              <w:ind w:right="50"/>
              <w:spacing w:after="0" w:line="203" w:lineRule="exact"/>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1.33</w:t>
            </w:r>
          </w:p>
        </w:tc>
        <w:tc>
          <w:tcPr>
            <w:tcW w:w="100" w:type="dxa"/>
            <w:vAlign w:val="bottom"/>
          </w:tcPr>
          <w:p>
            <w:pPr>
              <w:spacing w:after="0"/>
              <w:rPr>
                <w:sz w:val="17"/>
                <w:szCs w:val="17"/>
                <w:color w:val="auto"/>
              </w:rPr>
            </w:pPr>
          </w:p>
        </w:tc>
        <w:tc>
          <w:tcPr>
            <w:tcW w:w="260" w:type="dxa"/>
            <w:vAlign w:val="bottom"/>
            <w:tcBorders>
              <w:bottom w:val="single" w:sz="8" w:color="auto"/>
            </w:tcBorders>
          </w:tcPr>
          <w:p>
            <w:pPr>
              <w:jc w:val="right"/>
              <w:ind w:right="50"/>
              <w:spacing w:after="0" w:line="203" w:lineRule="exact"/>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1.05</w:t>
            </w:r>
          </w:p>
        </w:tc>
        <w:tc>
          <w:tcPr>
            <w:tcW w:w="100" w:type="dxa"/>
            <w:vAlign w:val="bottom"/>
          </w:tcPr>
          <w:p>
            <w:pPr>
              <w:spacing w:after="0"/>
              <w:rPr>
                <w:sz w:val="17"/>
                <w:szCs w:val="17"/>
                <w:color w:val="auto"/>
              </w:rPr>
            </w:pPr>
          </w:p>
        </w:tc>
        <w:tc>
          <w:tcPr>
            <w:tcW w:w="280" w:type="dxa"/>
            <w:vAlign w:val="bottom"/>
            <w:tcBorders>
              <w:bottom w:val="single" w:sz="8" w:color="auto"/>
            </w:tcBorders>
          </w:tcPr>
          <w:p>
            <w:pPr>
              <w:jc w:val="right"/>
              <w:ind w:right="70"/>
              <w:spacing w:after="0" w:line="203" w:lineRule="exact"/>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0.8</w:t>
            </w: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2400" w:type="dxa"/>
            <w:vAlign w:val="bottom"/>
            <w:tcBorders>
              <w:bottom w:val="single" w:sz="8" w:color="CCEEFF"/>
            </w:tcBorders>
          </w:tcPr>
          <w:p>
            <w:pPr>
              <w:spacing w:after="0" w:line="20" w:lineRule="exact"/>
              <w:rPr>
                <w:sz w:val="1"/>
                <w:szCs w:val="1"/>
                <w:color w:val="auto"/>
              </w:rPr>
            </w:pPr>
          </w:p>
        </w:tc>
        <w:tc>
          <w:tcPr>
            <w:tcW w:w="54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249"/>
        </w:trPr>
        <w:tc>
          <w:tcPr>
            <w:tcW w:w="20" w:type="dxa"/>
            <w:vAlign w:val="bottom"/>
            <w:tcBorders>
              <w:bottom w:val="single" w:sz="8" w:color="CCEEFF"/>
            </w:tcBorders>
            <w:shd w:val="clear" w:color="auto" w:fill="CCEEFF"/>
          </w:tcPr>
          <w:p>
            <w:pPr>
              <w:spacing w:after="0"/>
              <w:rPr>
                <w:sz w:val="21"/>
                <w:szCs w:val="21"/>
                <w:color w:val="auto"/>
              </w:rPr>
            </w:pPr>
          </w:p>
        </w:tc>
        <w:tc>
          <w:tcPr>
            <w:tcW w:w="78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Dividends Per Class C Common Share</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2400" w:type="dxa"/>
            <w:vAlign w:val="bottom"/>
            <w:tcBorders>
              <w:top w:val="single" w:sz="8" w:color="CCEEFF"/>
            </w:tcBorders>
          </w:tcPr>
          <w:p>
            <w:pPr>
              <w:spacing w:after="0" w:line="20" w:lineRule="exact"/>
              <w:rPr>
                <w:sz w:val="1"/>
                <w:szCs w:val="1"/>
                <w:color w:val="auto"/>
              </w:rPr>
            </w:pPr>
          </w:p>
        </w:tc>
        <w:tc>
          <w:tcPr>
            <w:tcW w:w="54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918"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CLEARWAY ENERGY, INC.</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8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500" w:type="dxa"/>
            <w:vAlign w:val="bottom"/>
            <w:tcBorders>
              <w:bottom w:val="single" w:sz="8" w:color="auto"/>
            </w:tcBorders>
            <w:gridSpan w:val="6"/>
          </w:tcPr>
          <w:p>
            <w:pPr>
              <w:jc w:val="right"/>
              <w:ind w:right="130"/>
              <w:spacing w:after="0"/>
              <w:rPr>
                <w:sz w:val="20"/>
                <w:szCs w:val="20"/>
                <w:color w:val="auto"/>
              </w:rPr>
            </w:pPr>
            <w:r>
              <w:rPr>
                <w:rFonts w:ascii="Arial" w:cs="Arial" w:eastAsia="Arial" w:hAnsi="Arial"/>
                <w:sz w:val="14"/>
                <w:szCs w:val="14"/>
                <w:b w:val="1"/>
                <w:bCs w:val="1"/>
                <w:color w:val="auto"/>
              </w:rPr>
              <w:t>Year ended December 31,</w:t>
            </w:r>
          </w:p>
        </w:tc>
        <w:tc>
          <w:tcPr>
            <w:tcW w:w="800" w:type="dxa"/>
            <w:vAlign w:val="bottom"/>
            <w:tcBorders>
              <w:bottom w:val="single" w:sz="8" w:color="auto"/>
            </w:tcBorders>
          </w:tcPr>
          <w:p>
            <w:pPr>
              <w:spacing w:after="0"/>
              <w:rPr>
                <w:sz w:val="16"/>
                <w:szCs w:val="16"/>
                <w:color w:val="auto"/>
              </w:rPr>
            </w:pPr>
          </w:p>
        </w:tc>
      </w:tr>
      <w:tr>
        <w:trPr>
          <w:trHeight w:val="148"/>
        </w:trPr>
        <w:tc>
          <w:tcPr>
            <w:tcW w:w="76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(In millions)</w:t>
            </w:r>
          </w:p>
        </w:tc>
        <w:tc>
          <w:tcPr>
            <w:tcW w:w="300" w:type="dxa"/>
            <w:vAlign w:val="bottom"/>
          </w:tcPr>
          <w:p>
            <w:pPr>
              <w:spacing w:after="0"/>
              <w:rPr>
                <w:sz w:val="12"/>
                <w:szCs w:val="12"/>
                <w:color w:val="auto"/>
              </w:rPr>
            </w:pPr>
          </w:p>
        </w:tc>
        <w:tc>
          <w:tcPr>
            <w:tcW w:w="960" w:type="dxa"/>
            <w:vAlign w:val="bottom"/>
          </w:tcPr>
          <w:p>
            <w:pPr>
              <w:jc w:val="right"/>
              <w:ind w:right="395"/>
              <w:spacing w:after="0" w:line="149" w:lineRule="exact"/>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jc w:val="right"/>
              <w:ind w:right="313"/>
              <w:spacing w:after="0" w:line="149" w:lineRule="exact"/>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jc w:val="right"/>
              <w:ind w:right="293"/>
              <w:spacing w:after="0" w:line="149" w:lineRule="exact"/>
              <w:rPr>
                <w:sz w:val="20"/>
                <w:szCs w:val="20"/>
                <w:color w:val="auto"/>
              </w:rPr>
            </w:pPr>
            <w:r>
              <w:rPr>
                <w:rFonts w:ascii="Arial" w:cs="Arial" w:eastAsia="Arial" w:hAnsi="Arial"/>
                <w:sz w:val="14"/>
                <w:szCs w:val="14"/>
                <w:b w:val="1"/>
                <w:bCs w:val="1"/>
                <w:color w:val="auto"/>
              </w:rPr>
              <w:t>2019</w:t>
            </w:r>
          </w:p>
        </w:tc>
      </w:tr>
      <w:tr>
        <w:trPr>
          <w:trHeight w:val="21"/>
        </w:trPr>
        <w:tc>
          <w:tcPr>
            <w:tcW w:w="20" w:type="dxa"/>
            <w:vAlign w:val="bottom"/>
          </w:tcPr>
          <w:p>
            <w:pPr>
              <w:spacing w:after="0" w:line="20" w:lineRule="exact"/>
              <w:rPr>
                <w:sz w:val="1"/>
                <w:szCs w:val="1"/>
                <w:color w:val="auto"/>
              </w:rPr>
            </w:pPr>
          </w:p>
        </w:tc>
        <w:tc>
          <w:tcPr>
            <w:tcW w:w="760" w:type="dxa"/>
            <w:vAlign w:val="bottom"/>
            <w:tcBorders>
              <w:top w:val="single" w:sz="8" w:color="auto"/>
            </w:tcBorders>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229"/>
        </w:trPr>
        <w:tc>
          <w:tcPr>
            <w:tcW w:w="7600" w:type="dxa"/>
            <w:vAlign w:val="bottom"/>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Net Loss</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r>
      <w:tr>
        <w:trPr>
          <w:trHeight w:val="229"/>
        </w:trPr>
        <w:tc>
          <w:tcPr>
            <w:tcW w:w="7600" w:type="dxa"/>
            <w:vAlign w:val="bottom"/>
            <w:gridSpan w:val="3"/>
          </w:tcPr>
          <w:p>
            <w:pPr>
              <w:ind w:left="20"/>
              <w:spacing w:after="0"/>
              <w:rPr>
                <w:sz w:val="20"/>
                <w:szCs w:val="20"/>
                <w:color w:val="auto"/>
              </w:rPr>
            </w:pPr>
            <w:r>
              <w:rPr>
                <w:rFonts w:ascii="Arial" w:cs="Arial" w:eastAsia="Arial" w:hAnsi="Arial"/>
                <w:sz w:val="18"/>
                <w:szCs w:val="18"/>
                <w:b w:val="1"/>
                <w:bCs w:val="1"/>
                <w:color w:val="auto"/>
              </w:rPr>
              <w:t>Other Comprehensive Income, net of tax</w:t>
            </w:r>
          </w:p>
        </w:tc>
        <w:tc>
          <w:tcPr>
            <w:tcW w:w="3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30"/>
        </w:trPr>
        <w:tc>
          <w:tcPr>
            <w:tcW w:w="76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Unrealized gain on derivatives, net of income tax (expense) benefit of $(3), $— and $1</w:t>
            </w:r>
          </w:p>
        </w:tc>
        <w:tc>
          <w:tcPr>
            <w:tcW w:w="3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w:t>
            </w:r>
          </w:p>
        </w:tc>
      </w:tr>
      <w:tr>
        <w:trPr>
          <w:trHeight w:val="223"/>
        </w:trPr>
        <w:tc>
          <w:tcPr>
            <w:tcW w:w="20" w:type="dxa"/>
            <w:vAlign w:val="bottom"/>
            <w:tcBorders>
              <w:bottom w:val="single" w:sz="8" w:color="CCEEFF"/>
            </w:tcBorders>
          </w:tcPr>
          <w:p>
            <w:pPr>
              <w:spacing w:after="0"/>
              <w:rPr>
                <w:sz w:val="19"/>
                <w:szCs w:val="19"/>
                <w:color w:val="auto"/>
              </w:rPr>
            </w:pPr>
          </w:p>
        </w:tc>
        <w:tc>
          <w:tcPr>
            <w:tcW w:w="7580" w:type="dxa"/>
            <w:vAlign w:val="bottom"/>
            <w:tcBorders>
              <w:bottom w:val="single" w:sz="8" w:color="CCEEFF"/>
            </w:tcBorders>
            <w:gridSpan w:val="2"/>
          </w:tcPr>
          <w:p>
            <w:pPr>
              <w:ind w:left="320"/>
              <w:spacing w:after="0"/>
              <w:rPr>
                <w:sz w:val="20"/>
                <w:szCs w:val="20"/>
                <w:color w:val="auto"/>
              </w:rPr>
            </w:pPr>
            <w:r>
              <w:rPr>
                <w:rFonts w:ascii="Arial" w:cs="Arial" w:eastAsia="Arial" w:hAnsi="Arial"/>
                <w:sz w:val="18"/>
                <w:szCs w:val="18"/>
                <w:color w:val="auto"/>
              </w:rPr>
              <w:t>Other comprehensive income</w:t>
            </w: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1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r>
      <w:tr>
        <w:trPr>
          <w:trHeight w:val="223"/>
        </w:trPr>
        <w:tc>
          <w:tcPr>
            <w:tcW w:w="7600" w:type="dxa"/>
            <w:vAlign w:val="bottom"/>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Comprehensive Loss</w:t>
            </w:r>
          </w:p>
        </w:tc>
        <w:tc>
          <w:tcPr>
            <w:tcW w:w="3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20" w:type="dxa"/>
            <w:vAlign w:val="bottom"/>
            <w:tcBorders>
              <w:bottom w:val="single" w:sz="8" w:color="auto"/>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20" w:type="dxa"/>
            <w:vAlign w:val="bottom"/>
            <w:tcBorders>
              <w:bottom w:val="single" w:sz="8" w:color="auto"/>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w:t>
            </w:r>
          </w:p>
        </w:tc>
      </w:tr>
      <w:tr>
        <w:trPr>
          <w:trHeight w:val="223"/>
        </w:trPr>
        <w:tc>
          <w:tcPr>
            <w:tcW w:w="20" w:type="dxa"/>
            <w:vAlign w:val="bottom"/>
            <w:tcBorders>
              <w:bottom w:val="single" w:sz="8" w:color="CCEEFF"/>
            </w:tcBorders>
          </w:tcPr>
          <w:p>
            <w:pPr>
              <w:spacing w:after="0"/>
              <w:rPr>
                <w:sz w:val="19"/>
                <w:szCs w:val="19"/>
                <w:color w:val="auto"/>
              </w:rPr>
            </w:pPr>
          </w:p>
        </w:tc>
        <w:tc>
          <w:tcPr>
            <w:tcW w:w="7580" w:type="dxa"/>
            <w:vAlign w:val="bottom"/>
            <w:tcBorders>
              <w:bottom w:val="single" w:sz="8" w:color="CCEEFF"/>
            </w:tcBorders>
            <w:gridSpan w:val="2"/>
          </w:tcPr>
          <w:p>
            <w:pPr>
              <w:ind w:left="120"/>
              <w:spacing w:after="0"/>
              <w:rPr>
                <w:sz w:val="20"/>
                <w:szCs w:val="20"/>
                <w:color w:val="auto"/>
              </w:rPr>
            </w:pPr>
            <w:r>
              <w:rPr>
                <w:rFonts w:ascii="Arial" w:cs="Arial" w:eastAsia="Arial" w:hAnsi="Arial"/>
                <w:sz w:val="18"/>
                <w:szCs w:val="18"/>
                <w:color w:val="auto"/>
              </w:rPr>
              <w:t>Less: Comprehensive loss attributable to noncontrolling interests</w:t>
            </w: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w:t>
            </w:r>
          </w:p>
        </w:tc>
        <w:tc>
          <w:tcPr>
            <w:tcW w:w="1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w:t>
            </w:r>
          </w:p>
        </w:tc>
        <w:tc>
          <w:tcPr>
            <w:tcW w:w="1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w:t>
            </w:r>
          </w:p>
        </w:tc>
      </w:tr>
      <w:tr>
        <w:trPr>
          <w:trHeight w:val="248"/>
        </w:trPr>
        <w:tc>
          <w:tcPr>
            <w:tcW w:w="76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Comprehensive Income (Loss) Attributable to Clearway Energy, Inc.</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68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00"/>
          </w:cols>
          <w:pgMar w:left="340" w:top="891" w:right="359" w:bottom="1440" w:gutter="0" w:footer="0" w:header="0"/>
        </w:sectPr>
      </w:pPr>
    </w:p>
    <w:bookmarkStart w:id="12" w:name="page13"/>
    <w:bookmarkEnd w:id="12"/>
    <w:p>
      <w:pPr>
        <w:jc w:val="center"/>
        <w:ind w:right="20"/>
        <w:spacing w:after="0"/>
        <w:rPr>
          <w:sz w:val="20"/>
          <w:szCs w:val="20"/>
          <w:color w:val="auto"/>
        </w:rPr>
      </w:pPr>
      <w:r>
        <w:rPr>
          <w:rFonts w:ascii="Arial" w:cs="Arial" w:eastAsia="Arial" w:hAnsi="Arial"/>
          <w:sz w:val="16"/>
          <w:szCs w:val="16"/>
          <w:b w:val="1"/>
          <w:bCs w:val="1"/>
          <w:color w:val="auto"/>
        </w:rPr>
        <w:t>CLEARWAY ENERGY, INC.</w:t>
      </w:r>
    </w:p>
    <w:p>
      <w:pPr>
        <w:spacing w:after="0" w:line="59"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CONSOLIDATED BALANCE SHEETS</w:t>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60" w:type="dxa"/>
            <w:vAlign w:val="bottom"/>
            <w:gridSpan w:val="2"/>
          </w:tcPr>
          <w:p>
            <w:pPr>
              <w:spacing w:after="0"/>
              <w:rPr>
                <w:sz w:val="20"/>
                <w:szCs w:val="20"/>
                <w:color w:val="auto"/>
              </w:rPr>
            </w:pPr>
            <w:r>
              <w:rPr>
                <w:rFonts w:ascii="Arial" w:cs="Arial" w:eastAsia="Arial" w:hAnsi="Arial"/>
                <w:sz w:val="14"/>
                <w:szCs w:val="14"/>
                <w:b w:val="1"/>
                <w:bCs w:val="1"/>
                <w:color w:val="auto"/>
              </w:rPr>
              <w:t>(In millions, except shares)</w:t>
            </w:r>
          </w:p>
        </w:tc>
        <w:tc>
          <w:tcPr>
            <w:tcW w:w="160" w:type="dxa"/>
            <w:vAlign w:val="bottom"/>
          </w:tcPr>
          <w:p>
            <w:pPr>
              <w:spacing w:after="0"/>
              <w:rPr>
                <w:sz w:val="14"/>
                <w:szCs w:val="14"/>
                <w:color w:val="auto"/>
              </w:rPr>
            </w:pPr>
          </w:p>
        </w:tc>
        <w:tc>
          <w:tcPr>
            <w:tcW w:w="160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 2021</w:t>
            </w:r>
          </w:p>
        </w:tc>
        <w:tc>
          <w:tcPr>
            <w:tcW w:w="180" w:type="dxa"/>
            <w:vAlign w:val="bottom"/>
          </w:tcPr>
          <w:p>
            <w:pPr>
              <w:spacing w:after="0"/>
              <w:rPr>
                <w:sz w:val="14"/>
                <w:szCs w:val="14"/>
                <w:color w:val="auto"/>
              </w:rPr>
            </w:pPr>
          </w:p>
        </w:tc>
        <w:tc>
          <w:tcPr>
            <w:tcW w:w="1480" w:type="dxa"/>
            <w:vAlign w:val="bottom"/>
          </w:tcPr>
          <w:p>
            <w:pPr>
              <w:jc w:val="right"/>
              <w:ind w:right="151"/>
              <w:spacing w:after="0"/>
              <w:rPr>
                <w:sz w:val="20"/>
                <w:szCs w:val="20"/>
                <w:color w:val="auto"/>
              </w:rPr>
            </w:pPr>
            <w:r>
              <w:rPr>
                <w:rFonts w:ascii="Arial" w:cs="Arial" w:eastAsia="Arial" w:hAnsi="Arial"/>
                <w:sz w:val="14"/>
                <w:szCs w:val="14"/>
                <w:b w:val="1"/>
                <w:bCs w:val="1"/>
                <w:color w:val="auto"/>
                <w:w w:val="96"/>
              </w:rPr>
              <w:t>December 31, 2020</w:t>
            </w:r>
          </w:p>
        </w:tc>
        <w:tc>
          <w:tcPr>
            <w:tcW w:w="0" w:type="dxa"/>
            <w:vAlign w:val="bottom"/>
          </w:tcPr>
          <w:p>
            <w:pPr>
              <w:spacing w:after="0"/>
              <w:rPr>
                <w:sz w:val="1"/>
                <w:szCs w:val="1"/>
                <w:color w:val="auto"/>
              </w:rPr>
            </w:pPr>
          </w:p>
        </w:tc>
      </w:tr>
      <w:tr>
        <w:trPr>
          <w:trHeight w:val="21"/>
        </w:trPr>
        <w:tc>
          <w:tcPr>
            <w:tcW w:w="1640" w:type="dxa"/>
            <w:vAlign w:val="bottom"/>
            <w:tcBorders>
              <w:top w:val="single" w:sz="8" w:color="auto"/>
              <w:bottom w:val="single" w:sz="8" w:color="auto"/>
            </w:tcBorders>
            <w:vMerge w:val="restart"/>
          </w:tcPr>
          <w:p>
            <w:pPr>
              <w:spacing w:after="0" w:line="20" w:lineRule="exact"/>
              <w:rPr>
                <w:sz w:val="1"/>
                <w:szCs w:val="1"/>
                <w:color w:val="auto"/>
              </w:rPr>
            </w:pPr>
          </w:p>
        </w:tc>
        <w:tc>
          <w:tcPr>
            <w:tcW w:w="6120" w:type="dxa"/>
            <w:vAlign w:val="bottom"/>
            <w:vMerge w:val="restart"/>
          </w:tcPr>
          <w:p>
            <w:pPr>
              <w:jc w:val="center"/>
              <w:ind w:right="1570"/>
              <w:spacing w:after="0"/>
              <w:rPr>
                <w:sz w:val="20"/>
                <w:szCs w:val="20"/>
                <w:color w:val="auto"/>
              </w:rPr>
            </w:pPr>
            <w:r>
              <w:rPr>
                <w:rFonts w:ascii="Arial" w:cs="Arial" w:eastAsia="Arial" w:hAnsi="Arial"/>
                <w:sz w:val="18"/>
                <w:szCs w:val="18"/>
                <w:b w:val="1"/>
                <w:bCs w:val="1"/>
                <w:color w:val="auto"/>
                <w:w w:val="91"/>
              </w:rPr>
              <w:t>ASSETS</w:t>
            </w:r>
          </w:p>
        </w:tc>
        <w:tc>
          <w:tcPr>
            <w:tcW w:w="1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9"/>
        </w:trPr>
        <w:tc>
          <w:tcPr>
            <w:tcW w:w="1640" w:type="dxa"/>
            <w:vAlign w:val="bottom"/>
            <w:vMerge w:val="continue"/>
          </w:tcPr>
          <w:p>
            <w:pPr>
              <w:spacing w:after="0"/>
              <w:rPr>
                <w:sz w:val="18"/>
                <w:szCs w:val="18"/>
                <w:color w:val="auto"/>
              </w:rPr>
            </w:pPr>
          </w:p>
        </w:tc>
        <w:tc>
          <w:tcPr>
            <w:tcW w:w="612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3260" w:type="dxa"/>
            <w:vAlign w:val="bottom"/>
            <w:gridSpan w:val="4"/>
          </w:tcPr>
          <w:p>
            <w:pPr>
              <w:jc w:val="right"/>
              <w:ind w:right="1251"/>
              <w:spacing w:after="0"/>
              <w:rPr>
                <w:sz w:val="20"/>
                <w:szCs w:val="20"/>
                <w:color w:val="auto"/>
              </w:rPr>
            </w:pPr>
            <w:r>
              <w:rPr>
                <w:rFonts w:ascii="Arial" w:cs="Arial" w:eastAsia="Arial" w:hAnsi="Arial"/>
                <w:sz w:val="14"/>
                <w:szCs w:val="14"/>
                <w:b w:val="1"/>
                <w:bCs w:val="1"/>
                <w:color w:val="auto"/>
              </w:rPr>
              <w:t>(In millions)</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Current Assets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Cash and cash equivalents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179</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268</w:t>
            </w:r>
          </w:p>
        </w:tc>
        <w:tc>
          <w:tcPr>
            <w:tcW w:w="0" w:type="dxa"/>
            <w:vAlign w:val="bottom"/>
          </w:tcPr>
          <w:p>
            <w:pPr>
              <w:spacing w:after="0"/>
              <w:rPr>
                <w:sz w:val="1"/>
                <w:szCs w:val="1"/>
                <w:color w:val="auto"/>
              </w:rPr>
            </w:pPr>
          </w:p>
        </w:tc>
      </w:tr>
      <w:tr>
        <w:trPr>
          <w:trHeight w:val="229"/>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Restricted cash</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475</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w:t>
            </w:r>
          </w:p>
        </w:tc>
        <w:tc>
          <w:tcPr>
            <w:tcW w:w="0" w:type="dxa"/>
            <w:vAlign w:val="bottom"/>
          </w:tcPr>
          <w:p>
            <w:pPr>
              <w:spacing w:after="0"/>
              <w:rPr>
                <w:sz w:val="1"/>
                <w:szCs w:val="1"/>
                <w:color w:val="auto"/>
              </w:rPr>
            </w:pPr>
          </w:p>
        </w:tc>
      </w:tr>
      <w:tr>
        <w:trPr>
          <w:trHeight w:val="230"/>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Accounts receivable — trade</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144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143</w:t>
            </w:r>
          </w:p>
        </w:tc>
        <w:tc>
          <w:tcPr>
            <w:tcW w:w="0" w:type="dxa"/>
            <w:vAlign w:val="bottom"/>
          </w:tcPr>
          <w:p>
            <w:pPr>
              <w:spacing w:after="0"/>
              <w:rPr>
                <w:sz w:val="1"/>
                <w:szCs w:val="1"/>
                <w:color w:val="auto"/>
              </w:rPr>
            </w:pPr>
          </w:p>
        </w:tc>
      </w:tr>
      <w:tr>
        <w:trPr>
          <w:trHeight w:val="229"/>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Inventory</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30"/>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Current assets held-for-sale</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631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Prepayments and other current assets</w:t>
            </w:r>
          </w:p>
        </w:tc>
        <w:tc>
          <w:tcPr>
            <w:tcW w:w="16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23"/>
        </w:trPr>
        <w:tc>
          <w:tcPr>
            <w:tcW w:w="7760" w:type="dxa"/>
            <w:vAlign w:val="bottom"/>
            <w:gridSpan w:val="2"/>
          </w:tcPr>
          <w:p>
            <w:pPr>
              <w:ind w:left="340"/>
              <w:spacing w:after="0"/>
              <w:rPr>
                <w:sz w:val="20"/>
                <w:szCs w:val="20"/>
                <w:color w:val="auto"/>
              </w:rPr>
            </w:pPr>
            <w:r>
              <w:rPr>
                <w:rFonts w:ascii="Arial" w:cs="Arial" w:eastAsia="Arial" w:hAnsi="Arial"/>
                <w:sz w:val="16"/>
                <w:szCs w:val="16"/>
                <w:color w:val="auto"/>
              </w:rPr>
              <w:t>Total current assets</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1,531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708</w:t>
            </w:r>
          </w:p>
        </w:tc>
        <w:tc>
          <w:tcPr>
            <w:tcW w:w="0" w:type="dxa"/>
            <w:vAlign w:val="bottom"/>
          </w:tcPr>
          <w:p>
            <w:pPr>
              <w:spacing w:after="0"/>
              <w:rPr>
                <w:sz w:val="1"/>
                <w:szCs w:val="1"/>
                <w:color w:val="auto"/>
              </w:rPr>
            </w:pPr>
          </w:p>
        </w:tc>
      </w:tr>
      <w:tr>
        <w:trPr>
          <w:trHeight w:val="229"/>
        </w:trPr>
        <w:tc>
          <w:tcPr>
            <w:tcW w:w="77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Property, plant and equipment, net</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7,650</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7,217</w:t>
            </w:r>
          </w:p>
        </w:tc>
        <w:tc>
          <w:tcPr>
            <w:tcW w:w="0" w:type="dxa"/>
            <w:vAlign w:val="bottom"/>
          </w:tcPr>
          <w:p>
            <w:pPr>
              <w:spacing w:after="0"/>
              <w:rPr>
                <w:sz w:val="1"/>
                <w:szCs w:val="1"/>
                <w:color w:val="auto"/>
              </w:rPr>
            </w:pPr>
          </w:p>
        </w:tc>
      </w:tr>
      <w:tr>
        <w:trPr>
          <w:trHeight w:val="213"/>
        </w:trPr>
        <w:tc>
          <w:tcPr>
            <w:tcW w:w="7760" w:type="dxa"/>
            <w:vAlign w:val="bottom"/>
            <w:gridSpan w:val="2"/>
          </w:tcPr>
          <w:p>
            <w:pPr>
              <w:spacing w:after="0"/>
              <w:rPr>
                <w:sz w:val="20"/>
                <w:szCs w:val="20"/>
                <w:color w:val="auto"/>
              </w:rPr>
            </w:pPr>
            <w:r>
              <w:rPr>
                <w:rFonts w:ascii="Arial" w:cs="Arial" w:eastAsia="Arial" w:hAnsi="Arial"/>
                <w:sz w:val="16"/>
                <w:szCs w:val="16"/>
                <w:b w:val="1"/>
                <w:bCs w:val="1"/>
                <w:color w:val="auto"/>
              </w:rPr>
              <w:t>Other Assets</w:t>
            </w:r>
          </w:p>
        </w:tc>
        <w:tc>
          <w:tcPr>
            <w:tcW w:w="1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Equity investments in affiliates</w:t>
            </w:r>
          </w:p>
        </w:tc>
        <w:tc>
          <w:tcPr>
            <w:tcW w:w="160" w:type="dxa"/>
            <w:vAlign w:val="bottom"/>
            <w:shd w:val="clear" w:color="auto" w:fill="CCEEFF"/>
          </w:tcPr>
          <w:p>
            <w:pPr>
              <w:spacing w:after="0"/>
              <w:rPr>
                <w:sz w:val="20"/>
                <w:szCs w:val="20"/>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741</w:t>
            </w:r>
          </w:p>
        </w:tc>
        <w:tc>
          <w:tcPr>
            <w:tcW w:w="0" w:type="dxa"/>
            <w:vAlign w:val="bottom"/>
          </w:tcPr>
          <w:p>
            <w:pPr>
              <w:spacing w:after="0"/>
              <w:rPr>
                <w:sz w:val="1"/>
                <w:szCs w:val="1"/>
                <w:color w:val="auto"/>
              </w:rPr>
            </w:pPr>
          </w:p>
        </w:tc>
      </w:tr>
      <w:tr>
        <w:trPr>
          <w:trHeight w:val="213"/>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Intangible assets for power purchase agreements, net</w:t>
            </w:r>
          </w:p>
        </w:tc>
        <w:tc>
          <w:tcPr>
            <w:tcW w:w="16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2,419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1,230</w:t>
            </w:r>
          </w:p>
        </w:tc>
        <w:tc>
          <w:tcPr>
            <w:tcW w:w="0" w:type="dxa"/>
            <w:vAlign w:val="bottom"/>
          </w:tcPr>
          <w:p>
            <w:pPr>
              <w:spacing w:after="0"/>
              <w:rPr>
                <w:sz w:val="1"/>
                <w:szCs w:val="1"/>
                <w:color w:val="auto"/>
              </w:rPr>
            </w:pPr>
          </w:p>
        </w:tc>
      </w:tr>
      <w:tr>
        <w:trPr>
          <w:trHeight w:val="233"/>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Other intangible assets, net</w:t>
            </w:r>
          </w:p>
        </w:tc>
        <w:tc>
          <w:tcPr>
            <w:tcW w:w="160" w:type="dxa"/>
            <w:vAlign w:val="bottom"/>
            <w:shd w:val="clear" w:color="auto" w:fill="CCEEFF"/>
          </w:tcPr>
          <w:p>
            <w:pPr>
              <w:spacing w:after="0"/>
              <w:rPr>
                <w:sz w:val="20"/>
                <w:szCs w:val="20"/>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0" w:type="dxa"/>
            <w:vAlign w:val="bottom"/>
          </w:tcPr>
          <w:p>
            <w:pPr>
              <w:spacing w:after="0"/>
              <w:rPr>
                <w:sz w:val="1"/>
                <w:szCs w:val="1"/>
                <w:color w:val="auto"/>
              </w:rPr>
            </w:pPr>
          </w:p>
        </w:tc>
      </w:tr>
      <w:tr>
        <w:trPr>
          <w:trHeight w:val="229"/>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Deferred income taxes</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Derivative instruments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9"/>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Right-of-use assets, net</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550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337</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Other non-current assets</w:t>
            </w:r>
          </w:p>
        </w:tc>
        <w:tc>
          <w:tcPr>
            <w:tcW w:w="16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223"/>
        </w:trPr>
        <w:tc>
          <w:tcPr>
            <w:tcW w:w="7760" w:type="dxa"/>
            <w:vAlign w:val="bottom"/>
            <w:tcBorders>
              <w:bottom w:val="single" w:sz="8" w:color="CCEEFF"/>
            </w:tcBorders>
            <w:gridSpan w:val="2"/>
          </w:tcPr>
          <w:p>
            <w:pPr>
              <w:ind w:left="340"/>
              <w:spacing w:after="0"/>
              <w:rPr>
                <w:sz w:val="20"/>
                <w:szCs w:val="20"/>
                <w:color w:val="auto"/>
              </w:rPr>
            </w:pPr>
            <w:r>
              <w:rPr>
                <w:rFonts w:ascii="Arial" w:cs="Arial" w:eastAsia="Arial" w:hAnsi="Arial"/>
                <w:sz w:val="16"/>
                <w:szCs w:val="16"/>
                <w:color w:val="auto"/>
              </w:rPr>
              <w:t>Total other assets</w:t>
            </w:r>
          </w:p>
        </w:tc>
        <w:tc>
          <w:tcPr>
            <w:tcW w:w="1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3,632</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2,667</w:t>
            </w:r>
          </w:p>
        </w:tc>
        <w:tc>
          <w:tcPr>
            <w:tcW w:w="0" w:type="dxa"/>
            <w:vAlign w:val="bottom"/>
          </w:tcPr>
          <w:p>
            <w:pPr>
              <w:spacing w:after="0"/>
              <w:rPr>
                <w:sz w:val="1"/>
                <w:szCs w:val="1"/>
                <w:color w:val="auto"/>
              </w:rPr>
            </w:pPr>
          </w:p>
        </w:tc>
      </w:tr>
      <w:tr>
        <w:trPr>
          <w:trHeight w:val="248"/>
        </w:trPr>
        <w:tc>
          <w:tcPr>
            <w:tcW w:w="77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6"/>
                <w:szCs w:val="16"/>
                <w:b w:val="1"/>
                <w:bCs w:val="1"/>
                <w:color w:val="auto"/>
              </w:rPr>
              <w:t>Total Assets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12,813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10,592</w:t>
            </w:r>
          </w:p>
        </w:tc>
        <w:tc>
          <w:tcPr>
            <w:tcW w:w="0" w:type="dxa"/>
            <w:vAlign w:val="bottom"/>
          </w:tcPr>
          <w:p>
            <w:pPr>
              <w:spacing w:after="0"/>
              <w:rPr>
                <w:sz w:val="1"/>
                <w:szCs w:val="1"/>
                <w:color w:val="auto"/>
              </w:rPr>
            </w:pPr>
          </w:p>
        </w:tc>
      </w:tr>
      <w:tr>
        <w:trPr>
          <w:trHeight w:val="20"/>
        </w:trPr>
        <w:tc>
          <w:tcPr>
            <w:tcW w:w="1640" w:type="dxa"/>
            <w:vAlign w:val="bottom"/>
            <w:tcBorders>
              <w:top w:val="single" w:sz="8" w:color="CCEEFF"/>
              <w:bottom w:val="single" w:sz="8" w:color="CCEEFF"/>
            </w:tcBorders>
            <w:vMerge w:val="restart"/>
          </w:tcPr>
          <w:p>
            <w:pPr>
              <w:spacing w:after="0" w:line="20" w:lineRule="exact"/>
              <w:rPr>
                <w:sz w:val="1"/>
                <w:szCs w:val="1"/>
                <w:color w:val="auto"/>
              </w:rPr>
            </w:pPr>
          </w:p>
        </w:tc>
        <w:tc>
          <w:tcPr>
            <w:tcW w:w="6120" w:type="dxa"/>
            <w:vAlign w:val="bottom"/>
            <w:tcBorders>
              <w:top w:val="single" w:sz="8" w:color="CCEEFF"/>
              <w:bottom w:val="single" w:sz="8" w:color="CCEEFF"/>
            </w:tcBorders>
            <w:vMerge w:val="restart"/>
          </w:tcPr>
          <w:p>
            <w:pPr>
              <w:jc w:val="center"/>
              <w:ind w:right="1570"/>
              <w:spacing w:after="0"/>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1640" w:type="dxa"/>
            <w:vAlign w:val="bottom"/>
            <w:vMerge w:val="continue"/>
          </w:tcPr>
          <w:p>
            <w:pPr>
              <w:spacing w:after="0"/>
              <w:rPr>
                <w:sz w:val="15"/>
                <w:szCs w:val="15"/>
                <w:color w:val="auto"/>
              </w:rPr>
            </w:pPr>
          </w:p>
        </w:tc>
        <w:tc>
          <w:tcPr>
            <w:tcW w:w="612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Current Liabilities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Current portion of long-term debt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772</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384</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Accounts payable — trade</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30"/>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Accounts payable — affiliates</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Derivative instruments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30"/>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Accrued interest expense</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29"/>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Accrued expenses and other current liabilities</w:t>
            </w:r>
          </w:p>
        </w:tc>
        <w:tc>
          <w:tcPr>
            <w:tcW w:w="16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23"/>
        </w:trPr>
        <w:tc>
          <w:tcPr>
            <w:tcW w:w="7760" w:type="dxa"/>
            <w:vAlign w:val="bottom"/>
            <w:tcBorders>
              <w:bottom w:val="single" w:sz="8" w:color="CCEEFF"/>
            </w:tcBorders>
            <w:gridSpan w:val="2"/>
          </w:tcPr>
          <w:p>
            <w:pPr>
              <w:ind w:left="340"/>
              <w:spacing w:after="0"/>
              <w:rPr>
                <w:sz w:val="20"/>
                <w:szCs w:val="20"/>
                <w:color w:val="auto"/>
              </w:rPr>
            </w:pPr>
            <w:r>
              <w:rPr>
                <w:rFonts w:ascii="Arial" w:cs="Arial" w:eastAsia="Arial" w:hAnsi="Arial"/>
                <w:sz w:val="16"/>
                <w:szCs w:val="16"/>
                <w:color w:val="auto"/>
              </w:rPr>
              <w:t>Total current liabilities</w:t>
            </w:r>
          </w:p>
        </w:tc>
        <w:tc>
          <w:tcPr>
            <w:tcW w:w="1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1,631</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634</w:t>
            </w:r>
          </w:p>
        </w:tc>
        <w:tc>
          <w:tcPr>
            <w:tcW w:w="0" w:type="dxa"/>
            <w:vAlign w:val="bottom"/>
          </w:tcPr>
          <w:p>
            <w:pPr>
              <w:spacing w:after="0"/>
              <w:rPr>
                <w:sz w:val="1"/>
                <w:szCs w:val="1"/>
                <w:color w:val="auto"/>
              </w:rPr>
            </w:pPr>
          </w:p>
        </w:tc>
      </w:tr>
      <w:tr>
        <w:trPr>
          <w:trHeight w:val="223"/>
        </w:trPr>
        <w:tc>
          <w:tcPr>
            <w:tcW w:w="77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Other Liabilities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Long-term debt</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6,939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6,585</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Deferred income taxes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Derivative instruments</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196</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Long-term lease liabilities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561</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w:t>
            </w:r>
          </w:p>
        </w:tc>
        <w:tc>
          <w:tcPr>
            <w:tcW w:w="0" w:type="dxa"/>
            <w:vAlign w:val="bottom"/>
          </w:tcPr>
          <w:p>
            <w:pPr>
              <w:spacing w:after="0"/>
              <w:rPr>
                <w:sz w:val="1"/>
                <w:szCs w:val="1"/>
                <w:color w:val="auto"/>
              </w:rPr>
            </w:pPr>
          </w:p>
        </w:tc>
      </w:tr>
      <w:tr>
        <w:trPr>
          <w:trHeight w:val="229"/>
        </w:trPr>
        <w:tc>
          <w:tcPr>
            <w:tcW w:w="7760" w:type="dxa"/>
            <w:vAlign w:val="bottom"/>
            <w:tcBorders>
              <w:bottom w:val="single" w:sz="8" w:color="CCEEFF"/>
            </w:tcBorders>
            <w:gridSpan w:val="2"/>
          </w:tcPr>
          <w:p>
            <w:pPr>
              <w:ind w:left="120"/>
              <w:spacing w:after="0"/>
              <w:rPr>
                <w:sz w:val="20"/>
                <w:szCs w:val="20"/>
                <w:color w:val="auto"/>
              </w:rPr>
            </w:pPr>
            <w:r>
              <w:rPr>
                <w:rFonts w:ascii="Arial" w:cs="Arial" w:eastAsia="Arial" w:hAnsi="Arial"/>
                <w:sz w:val="16"/>
                <w:szCs w:val="16"/>
                <w:color w:val="auto"/>
              </w:rPr>
              <w:t>Other non-current liabilities</w:t>
            </w:r>
          </w:p>
        </w:tc>
        <w:tc>
          <w:tcPr>
            <w:tcW w:w="1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173</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w:t>
            </w:r>
          </w:p>
        </w:tc>
        <w:tc>
          <w:tcPr>
            <w:tcW w:w="0" w:type="dxa"/>
            <w:vAlign w:val="bottom"/>
          </w:tcPr>
          <w:p>
            <w:pPr>
              <w:spacing w:after="0"/>
              <w:rPr>
                <w:sz w:val="1"/>
                <w:szCs w:val="1"/>
                <w:color w:val="auto"/>
              </w:rPr>
            </w:pPr>
          </w:p>
        </w:tc>
      </w:tr>
      <w:tr>
        <w:trPr>
          <w:trHeight w:val="223"/>
        </w:trPr>
        <w:tc>
          <w:tcPr>
            <w:tcW w:w="7760" w:type="dxa"/>
            <w:vAlign w:val="bottom"/>
            <w:gridSpan w:val="2"/>
            <w:shd w:val="clear" w:color="auto" w:fill="CCEEFF"/>
          </w:tcPr>
          <w:p>
            <w:pPr>
              <w:ind w:left="340"/>
              <w:spacing w:after="0"/>
              <w:rPr>
                <w:sz w:val="20"/>
                <w:szCs w:val="20"/>
                <w:color w:val="auto"/>
              </w:rPr>
            </w:pPr>
            <w:r>
              <w:rPr>
                <w:rFonts w:ascii="Arial" w:cs="Arial" w:eastAsia="Arial" w:hAnsi="Arial"/>
                <w:sz w:val="16"/>
                <w:szCs w:val="16"/>
                <w:color w:val="auto"/>
              </w:rPr>
              <w:t>Total other liabilities</w:t>
            </w:r>
          </w:p>
        </w:tc>
        <w:tc>
          <w:tcPr>
            <w:tcW w:w="16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7,882</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7,243</w:t>
            </w:r>
          </w:p>
        </w:tc>
        <w:tc>
          <w:tcPr>
            <w:tcW w:w="0" w:type="dxa"/>
            <w:vAlign w:val="bottom"/>
          </w:tcPr>
          <w:p>
            <w:pPr>
              <w:spacing w:after="0"/>
              <w:rPr>
                <w:sz w:val="1"/>
                <w:szCs w:val="1"/>
                <w:color w:val="auto"/>
              </w:rPr>
            </w:pPr>
          </w:p>
        </w:tc>
      </w:tr>
      <w:tr>
        <w:trPr>
          <w:trHeight w:val="223"/>
        </w:trPr>
        <w:tc>
          <w:tcPr>
            <w:tcW w:w="776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b w:val="1"/>
                <w:bCs w:val="1"/>
                <w:color w:val="auto"/>
              </w:rPr>
              <w:t>Total Liabilities</w:t>
            </w:r>
          </w:p>
        </w:tc>
        <w:tc>
          <w:tcPr>
            <w:tcW w:w="1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9,513</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7,877</w:t>
            </w:r>
          </w:p>
        </w:tc>
        <w:tc>
          <w:tcPr>
            <w:tcW w:w="0" w:type="dxa"/>
            <w:vAlign w:val="bottom"/>
          </w:tcPr>
          <w:p>
            <w:pPr>
              <w:spacing w:after="0"/>
              <w:rPr>
                <w:sz w:val="1"/>
                <w:szCs w:val="1"/>
                <w:color w:val="auto"/>
              </w:rPr>
            </w:pPr>
          </w:p>
        </w:tc>
      </w:tr>
      <w:tr>
        <w:trPr>
          <w:trHeight w:val="196"/>
        </w:trPr>
        <w:tc>
          <w:tcPr>
            <w:tcW w:w="77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Commitments and Contingencies</w:t>
            </w:r>
          </w:p>
        </w:tc>
        <w:tc>
          <w:tcPr>
            <w:tcW w:w="16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7760" w:type="dxa"/>
            <w:vAlign w:val="bottom"/>
            <w:gridSpan w:val="2"/>
          </w:tcPr>
          <w:p>
            <w:pPr>
              <w:spacing w:after="0"/>
              <w:rPr>
                <w:sz w:val="20"/>
                <w:szCs w:val="20"/>
                <w:color w:val="auto"/>
              </w:rPr>
            </w:pPr>
            <w:r>
              <w:rPr>
                <w:rFonts w:ascii="Arial" w:cs="Arial" w:eastAsia="Arial" w:hAnsi="Arial"/>
                <w:sz w:val="16"/>
                <w:szCs w:val="16"/>
                <w:b w:val="1"/>
                <w:bCs w:val="1"/>
                <w:color w:val="auto"/>
              </w:rPr>
              <w:t>Stockholders' Equity</w:t>
            </w:r>
          </w:p>
        </w:tc>
        <w:tc>
          <w:tcPr>
            <w:tcW w:w="1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77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Preferred stock, $0.01 par value; 10,000,000 shares authorized; none issued</w:t>
            </w:r>
          </w:p>
        </w:tc>
        <w:tc>
          <w:tcPr>
            <w:tcW w:w="160" w:type="dxa"/>
            <w:vAlign w:val="bottom"/>
            <w:shd w:val="clear" w:color="auto" w:fill="CCEEFF"/>
          </w:tcPr>
          <w:p>
            <w:pPr>
              <w:spacing w:after="0"/>
              <w:rPr>
                <w:sz w:val="20"/>
                <w:szCs w:val="20"/>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66"/>
        </w:trPr>
        <w:tc>
          <w:tcPr>
            <w:tcW w:w="7760" w:type="dxa"/>
            <w:vAlign w:val="bottom"/>
            <w:gridSpan w:val="2"/>
          </w:tcPr>
          <w:p>
            <w:pPr>
              <w:spacing w:after="0" w:line="166" w:lineRule="exact"/>
              <w:rPr>
                <w:sz w:val="20"/>
                <w:szCs w:val="20"/>
                <w:color w:val="auto"/>
              </w:rPr>
            </w:pPr>
            <w:r>
              <w:rPr>
                <w:rFonts w:ascii="Arial" w:cs="Arial" w:eastAsia="Arial" w:hAnsi="Arial"/>
                <w:sz w:val="16"/>
                <w:szCs w:val="16"/>
                <w:color w:val="auto"/>
                <w:w w:val="95"/>
              </w:rPr>
              <w:t>Class A, Class B, Class C and Class D common stock, $0.01 par value; 3,000,000,000 shares authorized (Class A</w:t>
            </w:r>
          </w:p>
        </w:tc>
        <w:tc>
          <w:tcPr>
            <w:tcW w:w="1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7760" w:type="dxa"/>
            <w:vAlign w:val="bottom"/>
            <w:gridSpan w:val="2"/>
          </w:tcPr>
          <w:p>
            <w:pPr>
              <w:spacing w:after="0" w:line="162" w:lineRule="exact"/>
              <w:rPr>
                <w:sz w:val="20"/>
                <w:szCs w:val="20"/>
                <w:color w:val="auto"/>
              </w:rPr>
            </w:pPr>
            <w:r>
              <w:rPr>
                <w:rFonts w:ascii="Arial" w:cs="Arial" w:eastAsia="Arial" w:hAnsi="Arial"/>
                <w:sz w:val="16"/>
                <w:szCs w:val="16"/>
                <w:color w:val="auto"/>
                <w:w w:val="93"/>
              </w:rPr>
              <w:t>500,000,000, Class B 500,000,000, Class C 1,000,000,000, Class D 1,000,000,000); 201,856,166 shares issued and</w:t>
            </w:r>
          </w:p>
        </w:tc>
        <w:tc>
          <w:tcPr>
            <w:tcW w:w="1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7760" w:type="dxa"/>
            <w:vAlign w:val="bottom"/>
            <w:gridSpan w:val="2"/>
          </w:tcPr>
          <w:p>
            <w:pPr>
              <w:spacing w:after="0" w:line="162" w:lineRule="exact"/>
              <w:rPr>
                <w:sz w:val="20"/>
                <w:szCs w:val="20"/>
                <w:color w:val="auto"/>
              </w:rPr>
            </w:pPr>
            <w:r>
              <w:rPr>
                <w:rFonts w:ascii="Arial" w:cs="Arial" w:eastAsia="Arial" w:hAnsi="Arial"/>
                <w:sz w:val="16"/>
                <w:szCs w:val="16"/>
                <w:color w:val="auto"/>
                <w:w w:val="91"/>
              </w:rPr>
              <w:t>outstanding (Class A 34,599,645, Class B 42,738,750, Class C 81,779,021, Class D 42,738,750) at December 31, 2021</w:t>
            </w:r>
          </w:p>
        </w:tc>
        <w:tc>
          <w:tcPr>
            <w:tcW w:w="1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7760" w:type="dxa"/>
            <w:vAlign w:val="bottom"/>
            <w:gridSpan w:val="2"/>
          </w:tcPr>
          <w:p>
            <w:pPr>
              <w:spacing w:after="0" w:line="162" w:lineRule="exact"/>
              <w:rPr>
                <w:sz w:val="20"/>
                <w:szCs w:val="20"/>
                <w:color w:val="auto"/>
              </w:rPr>
            </w:pPr>
            <w:r>
              <w:rPr>
                <w:rFonts w:ascii="Arial" w:cs="Arial" w:eastAsia="Arial" w:hAnsi="Arial"/>
                <w:sz w:val="16"/>
                <w:szCs w:val="16"/>
                <w:color w:val="auto"/>
                <w:w w:val="90"/>
              </w:rPr>
              <w:t>and 201,635,990 shares issued and outstanding (Class A 34,599,645, Class B 42,738,750, Class C 81,558,845, Class D</w:t>
            </w:r>
          </w:p>
        </w:tc>
        <w:tc>
          <w:tcPr>
            <w:tcW w:w="160" w:type="dxa"/>
            <w:vAlign w:val="bottom"/>
          </w:tcPr>
          <w:p>
            <w:pPr>
              <w:spacing w:after="0"/>
              <w:rPr>
                <w:sz w:val="14"/>
                <w:szCs w:val="14"/>
                <w:color w:val="auto"/>
              </w:rPr>
            </w:pPr>
          </w:p>
        </w:tc>
        <w:tc>
          <w:tcPr>
            <w:tcW w:w="1500" w:type="dxa"/>
            <w:vAlign w:val="bottom"/>
            <w:vMerge w:val="restart"/>
          </w:tcPr>
          <w:p>
            <w:pPr>
              <w:jc w:val="right"/>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vMerge w:val="restart"/>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2"/>
        </w:trPr>
        <w:tc>
          <w:tcPr>
            <w:tcW w:w="7760" w:type="dxa"/>
            <w:vAlign w:val="bottom"/>
            <w:gridSpan w:val="2"/>
          </w:tcPr>
          <w:p>
            <w:pPr>
              <w:spacing w:after="0"/>
              <w:rPr>
                <w:sz w:val="20"/>
                <w:szCs w:val="20"/>
                <w:color w:val="auto"/>
              </w:rPr>
            </w:pPr>
            <w:r>
              <w:rPr>
                <w:rFonts w:ascii="Arial" w:cs="Arial" w:eastAsia="Arial" w:hAnsi="Arial"/>
                <w:sz w:val="16"/>
                <w:szCs w:val="16"/>
                <w:color w:val="auto"/>
              </w:rPr>
              <w:t>42,738,750) at December 31, 2020</w:t>
            </w:r>
          </w:p>
        </w:tc>
        <w:tc>
          <w:tcPr>
            <w:tcW w:w="160" w:type="dxa"/>
            <w:vAlign w:val="bottom"/>
          </w:tcPr>
          <w:p>
            <w:pPr>
              <w:spacing w:after="0"/>
              <w:rPr>
                <w:sz w:val="18"/>
                <w:szCs w:val="18"/>
                <w:color w:val="auto"/>
              </w:rPr>
            </w:pPr>
          </w:p>
        </w:tc>
        <w:tc>
          <w:tcPr>
            <w:tcW w:w="15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Additional paid-in capital</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1,922</w:t>
            </w:r>
          </w:p>
        </w:tc>
        <w:tc>
          <w:tcPr>
            <w:tcW w:w="0" w:type="dxa"/>
            <w:vAlign w:val="bottom"/>
          </w:tcPr>
          <w:p>
            <w:pPr>
              <w:spacing w:after="0"/>
              <w:rPr>
                <w:sz w:val="1"/>
                <w:szCs w:val="1"/>
                <w:color w:val="auto"/>
              </w:rPr>
            </w:pPr>
          </w:p>
        </w:tc>
      </w:tr>
      <w:tr>
        <w:trPr>
          <w:trHeight w:val="229"/>
        </w:trPr>
        <w:tc>
          <w:tcPr>
            <w:tcW w:w="7760" w:type="dxa"/>
            <w:vAlign w:val="bottom"/>
            <w:gridSpan w:val="2"/>
          </w:tcPr>
          <w:p>
            <w:pPr>
              <w:ind w:left="120"/>
              <w:spacing w:after="0"/>
              <w:rPr>
                <w:sz w:val="20"/>
                <w:szCs w:val="20"/>
                <w:color w:val="auto"/>
              </w:rPr>
            </w:pPr>
            <w:r>
              <w:rPr>
                <w:rFonts w:ascii="Arial" w:cs="Arial" w:eastAsia="Arial" w:hAnsi="Arial"/>
                <w:sz w:val="16"/>
                <w:szCs w:val="16"/>
                <w:color w:val="auto"/>
              </w:rPr>
              <w:t>Accumulated deficit</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30"/>
        </w:trPr>
        <w:tc>
          <w:tcPr>
            <w:tcW w:w="77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Accumulated other comprehensive loss</w:t>
            </w:r>
          </w:p>
        </w:tc>
        <w:tc>
          <w:tcPr>
            <w:tcW w:w="16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29"/>
        </w:trPr>
        <w:tc>
          <w:tcPr>
            <w:tcW w:w="7760" w:type="dxa"/>
            <w:vAlign w:val="bottom"/>
            <w:tcBorders>
              <w:bottom w:val="single" w:sz="8" w:color="CCEEFF"/>
            </w:tcBorders>
            <w:gridSpan w:val="2"/>
          </w:tcPr>
          <w:p>
            <w:pPr>
              <w:ind w:left="120"/>
              <w:spacing w:after="0"/>
              <w:rPr>
                <w:sz w:val="20"/>
                <w:szCs w:val="20"/>
                <w:color w:val="auto"/>
              </w:rPr>
            </w:pPr>
            <w:r>
              <w:rPr>
                <w:rFonts w:ascii="Arial" w:cs="Arial" w:eastAsia="Arial" w:hAnsi="Arial"/>
                <w:sz w:val="16"/>
                <w:szCs w:val="16"/>
                <w:color w:val="auto"/>
              </w:rPr>
              <w:t>Noncontrolling interest</w:t>
            </w:r>
          </w:p>
        </w:tc>
        <w:tc>
          <w:tcPr>
            <w:tcW w:w="1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1,466</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890</w:t>
            </w:r>
          </w:p>
        </w:tc>
        <w:tc>
          <w:tcPr>
            <w:tcW w:w="0" w:type="dxa"/>
            <w:vAlign w:val="bottom"/>
          </w:tcPr>
          <w:p>
            <w:pPr>
              <w:spacing w:after="0"/>
              <w:rPr>
                <w:sz w:val="1"/>
                <w:szCs w:val="1"/>
                <w:color w:val="auto"/>
              </w:rPr>
            </w:pPr>
          </w:p>
        </w:tc>
      </w:tr>
      <w:tr>
        <w:trPr>
          <w:trHeight w:val="223"/>
        </w:trPr>
        <w:tc>
          <w:tcPr>
            <w:tcW w:w="776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Total Stockholders' Equity</w:t>
            </w:r>
          </w:p>
        </w:tc>
        <w:tc>
          <w:tcPr>
            <w:tcW w:w="16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3,300</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2,715</w:t>
            </w:r>
          </w:p>
        </w:tc>
        <w:tc>
          <w:tcPr>
            <w:tcW w:w="0" w:type="dxa"/>
            <w:vAlign w:val="bottom"/>
          </w:tcPr>
          <w:p>
            <w:pPr>
              <w:spacing w:after="0"/>
              <w:rPr>
                <w:sz w:val="1"/>
                <w:szCs w:val="1"/>
                <w:color w:val="auto"/>
              </w:rPr>
            </w:pPr>
          </w:p>
        </w:tc>
      </w:tr>
      <w:tr>
        <w:trPr>
          <w:trHeight w:val="223"/>
        </w:trPr>
        <w:tc>
          <w:tcPr>
            <w:tcW w:w="7760" w:type="dxa"/>
            <w:vAlign w:val="bottom"/>
            <w:gridSpan w:val="2"/>
          </w:tcPr>
          <w:p>
            <w:pPr>
              <w:spacing w:after="0"/>
              <w:rPr>
                <w:sz w:val="20"/>
                <w:szCs w:val="20"/>
                <w:color w:val="auto"/>
              </w:rPr>
            </w:pPr>
            <w:r>
              <w:rPr>
                <w:rFonts w:ascii="Arial" w:cs="Arial" w:eastAsia="Arial" w:hAnsi="Arial"/>
                <w:sz w:val="16"/>
                <w:szCs w:val="16"/>
                <w:b w:val="1"/>
                <w:bCs w:val="1"/>
                <w:color w:val="auto"/>
              </w:rPr>
              <w:t>Total Liabilities and Stockholders' Equity</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12,813</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10,592</w:t>
            </w:r>
          </w:p>
        </w:tc>
        <w:tc>
          <w:tcPr>
            <w:tcW w:w="0" w:type="dxa"/>
            <w:vAlign w:val="bottom"/>
          </w:tcPr>
          <w:p>
            <w:pPr>
              <w:spacing w:after="0"/>
              <w:rPr>
                <w:sz w:val="1"/>
                <w:szCs w:val="1"/>
                <w:color w:val="auto"/>
              </w:rPr>
            </w:pPr>
          </w:p>
        </w:tc>
      </w:tr>
      <w:tr>
        <w:trPr>
          <w:trHeight w:val="20"/>
        </w:trPr>
        <w:tc>
          <w:tcPr>
            <w:tcW w:w="1640" w:type="dxa"/>
            <w:vAlign w:val="bottom"/>
          </w:tcPr>
          <w:p>
            <w:pPr>
              <w:spacing w:after="0" w:line="20" w:lineRule="exact"/>
              <w:rPr>
                <w:sz w:val="1"/>
                <w:szCs w:val="1"/>
                <w:color w:val="auto"/>
              </w:rPr>
            </w:pPr>
          </w:p>
        </w:tc>
        <w:tc>
          <w:tcPr>
            <w:tcW w:w="6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180"/>
          </w:cols>
          <w:pgMar w:left="360" w:top="531" w:right="359" w:bottom="1440" w:gutter="0" w:footer="0" w:header="0"/>
        </w:sect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180"/>
          </w:cols>
          <w:pgMar w:left="360" w:top="531" w:right="359" w:bottom="1440" w:gutter="0" w:footer="0" w:header="0"/>
          <w:type w:val="continuous"/>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CLEARWAY ENERGY, INC.</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50" w:lineRule="exact"/>
        <w:rPr>
          <w:sz w:val="20"/>
          <w:szCs w:val="20"/>
          <w:color w:val="auto"/>
        </w:rPr>
      </w:pPr>
    </w:p>
    <w:p>
      <w:pPr>
        <w:ind w:left="8600"/>
        <w:spacing w:after="0"/>
        <w:rPr>
          <w:sz w:val="20"/>
          <w:szCs w:val="20"/>
          <w:color w:val="auto"/>
        </w:rPr>
      </w:pPr>
      <w:r>
        <w:rPr>
          <w:rFonts w:ascii="Arial" w:cs="Arial" w:eastAsia="Arial" w:hAnsi="Arial"/>
          <w:sz w:val="18"/>
          <w:szCs w:val="18"/>
          <w:b w:val="1"/>
          <w:bCs w:val="1"/>
          <w:color w:val="auto"/>
        </w:rPr>
        <w:t>Year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79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83"/>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top w:val="single" w:sz="8" w:color="auto"/>
              <w:bottom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ind w:right="263"/>
              <w:spacing w:after="0"/>
              <w:rPr>
                <w:sz w:val="20"/>
                <w:szCs w:val="20"/>
                <w:color w:val="auto"/>
              </w:rPr>
            </w:pPr>
            <w:r>
              <w:rPr>
                <w:rFonts w:ascii="Arial" w:cs="Arial" w:eastAsia="Arial" w:hAnsi="Arial"/>
                <w:sz w:val="16"/>
                <w:szCs w:val="16"/>
                <w:b w:val="1"/>
                <w:bCs w:val="1"/>
                <w:color w:val="auto"/>
              </w:rPr>
              <w:t>2020</w:t>
            </w:r>
          </w:p>
        </w:tc>
        <w:tc>
          <w:tcPr>
            <w:tcW w:w="100" w:type="dxa"/>
            <w:vAlign w:val="bottom"/>
            <w:tcBorders>
              <w:top w:val="single" w:sz="8" w:color="auto"/>
              <w:bottom w:val="single" w:sz="8" w:color="auto"/>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ind w:right="243"/>
              <w:spacing w:after="0"/>
              <w:rPr>
                <w:sz w:val="20"/>
                <w:szCs w:val="20"/>
                <w:color w:val="auto"/>
              </w:rPr>
            </w:pPr>
            <w:r>
              <w:rPr>
                <w:rFonts w:ascii="Arial" w:cs="Arial" w:eastAsia="Arial" w:hAnsi="Arial"/>
                <w:sz w:val="16"/>
                <w:szCs w:val="16"/>
                <w:b w:val="1"/>
                <w:bCs w:val="1"/>
                <w:color w:val="auto"/>
              </w:rPr>
              <w:t>2019</w:t>
            </w:r>
          </w:p>
        </w:tc>
      </w:tr>
      <w:tr>
        <w:trPr>
          <w:trHeight w:val="194"/>
        </w:trPr>
        <w:tc>
          <w:tcPr>
            <w:tcW w:w="7960" w:type="dxa"/>
            <w:vAlign w:val="bottom"/>
          </w:tcPr>
          <w:p>
            <w:pPr>
              <w:ind w:left="20"/>
              <w:spacing w:after="0"/>
              <w:rPr>
                <w:sz w:val="20"/>
                <w:szCs w:val="20"/>
                <w:color w:val="auto"/>
              </w:rPr>
            </w:pPr>
            <w:r>
              <w:rPr>
                <w:rFonts w:ascii="Arial" w:cs="Arial" w:eastAsia="Arial" w:hAnsi="Arial"/>
                <w:sz w:val="15"/>
                <w:szCs w:val="15"/>
                <w:b w:val="1"/>
                <w:bCs w:val="1"/>
                <w:color w:val="auto"/>
              </w:rPr>
              <w:t>Cash Flows from Operating Activities</w:t>
            </w:r>
          </w:p>
        </w:tc>
        <w:tc>
          <w:tcPr>
            <w:tcW w:w="2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00" w:type="dxa"/>
            <w:vAlign w:val="bottom"/>
            <w:gridSpan w:val="3"/>
          </w:tcPr>
          <w:p>
            <w:pPr>
              <w:ind w:left="60"/>
              <w:spacing w:after="0"/>
              <w:rPr>
                <w:sz w:val="20"/>
                <w:szCs w:val="20"/>
                <w:color w:val="auto"/>
              </w:rPr>
            </w:pPr>
            <w:r>
              <w:rPr>
                <w:rFonts w:ascii="Arial" w:cs="Arial" w:eastAsia="Arial" w:hAnsi="Arial"/>
                <w:sz w:val="15"/>
                <w:szCs w:val="15"/>
                <w:b w:val="1"/>
                <w:bCs w:val="1"/>
                <w:color w:val="auto"/>
              </w:rPr>
              <w:t>(In millions)</w:t>
            </w: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r>
      <w:tr>
        <w:trPr>
          <w:trHeight w:val="205"/>
        </w:trPr>
        <w:tc>
          <w:tcPr>
            <w:tcW w:w="796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loss</w:t>
            </w:r>
          </w:p>
        </w:tc>
        <w:tc>
          <w:tcPr>
            <w:tcW w:w="220" w:type="dxa"/>
            <w:vAlign w:val="bottom"/>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(75)</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44"/>
              <w:spacing w:after="0"/>
              <w:rPr>
                <w:sz w:val="20"/>
                <w:szCs w:val="20"/>
                <w:color w:val="auto"/>
              </w:rPr>
            </w:pPr>
            <w:r>
              <w:rPr>
                <w:rFonts w:ascii="Arial" w:cs="Arial" w:eastAsia="Arial" w:hAnsi="Arial"/>
                <w:sz w:val="15"/>
                <w:szCs w:val="15"/>
                <w:color w:val="auto"/>
                <w:w w:val="95"/>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(96)</w:t>
            </w:r>
          </w:p>
        </w:tc>
      </w:tr>
      <w:tr>
        <w:trPr>
          <w:trHeight w:val="199"/>
        </w:trPr>
        <w:tc>
          <w:tcPr>
            <w:tcW w:w="7960" w:type="dxa"/>
            <w:vAlign w:val="bottom"/>
          </w:tcPr>
          <w:p>
            <w:pPr>
              <w:ind w:left="140"/>
              <w:spacing w:after="0"/>
              <w:rPr>
                <w:sz w:val="20"/>
                <w:szCs w:val="20"/>
                <w:color w:val="auto"/>
              </w:rPr>
            </w:pPr>
            <w:r>
              <w:rPr>
                <w:rFonts w:ascii="Arial" w:cs="Arial" w:eastAsia="Arial" w:hAnsi="Arial"/>
                <w:sz w:val="15"/>
                <w:szCs w:val="15"/>
                <w:color w:val="auto"/>
              </w:rPr>
              <w:t>Adjustments to reconcile net loss to net cash provided by operating activities:</w:t>
            </w: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06"/>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Equity in earnings of unconsolidated affiliates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(83)</w:t>
            </w:r>
          </w:p>
        </w:tc>
      </w:tr>
      <w:tr>
        <w:trPr>
          <w:trHeight w:val="199"/>
        </w:trPr>
        <w:tc>
          <w:tcPr>
            <w:tcW w:w="7960" w:type="dxa"/>
            <w:vAlign w:val="bottom"/>
          </w:tcPr>
          <w:p>
            <w:pPr>
              <w:ind w:left="340"/>
              <w:spacing w:after="0"/>
              <w:rPr>
                <w:sz w:val="20"/>
                <w:szCs w:val="20"/>
                <w:color w:val="auto"/>
              </w:rPr>
            </w:pPr>
            <w:r>
              <w:rPr>
                <w:rFonts w:ascii="Arial" w:cs="Arial" w:eastAsia="Arial" w:hAnsi="Arial"/>
                <w:sz w:val="15"/>
                <w:szCs w:val="15"/>
                <w:color w:val="auto"/>
              </w:rPr>
              <w:t>Distributions from unconsolidated affiliates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38</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61</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34</w:t>
            </w:r>
          </w:p>
        </w:tc>
      </w:tr>
      <w:tr>
        <w:trPr>
          <w:trHeight w:val="206"/>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Depreciation, amortization and accretion</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509</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428</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401</w:t>
            </w:r>
          </w:p>
        </w:tc>
      </w:tr>
      <w:tr>
        <w:trPr>
          <w:trHeight w:val="199"/>
        </w:trPr>
        <w:tc>
          <w:tcPr>
            <w:tcW w:w="7960" w:type="dxa"/>
            <w:vAlign w:val="bottom"/>
          </w:tcPr>
          <w:p>
            <w:pPr>
              <w:ind w:left="340"/>
              <w:spacing w:after="0"/>
              <w:rPr>
                <w:sz w:val="20"/>
                <w:szCs w:val="20"/>
                <w:color w:val="auto"/>
              </w:rPr>
            </w:pPr>
            <w:r>
              <w:rPr>
                <w:rFonts w:ascii="Arial" w:cs="Arial" w:eastAsia="Arial" w:hAnsi="Arial"/>
                <w:sz w:val="15"/>
                <w:szCs w:val="15"/>
                <w:color w:val="auto"/>
              </w:rPr>
              <w:t>Amortization of financing costs and debt discounts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14</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15</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17</w:t>
            </w:r>
          </w:p>
        </w:tc>
      </w:tr>
      <w:tr>
        <w:trPr>
          <w:trHeight w:val="206"/>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Amortization of intangibles and out-of-market contracts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146</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90</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71</w:t>
            </w:r>
          </w:p>
        </w:tc>
      </w:tr>
      <w:tr>
        <w:trPr>
          <w:trHeight w:val="199"/>
        </w:trPr>
        <w:tc>
          <w:tcPr>
            <w:tcW w:w="7960" w:type="dxa"/>
            <w:vAlign w:val="bottom"/>
          </w:tcPr>
          <w:p>
            <w:pPr>
              <w:ind w:left="340"/>
              <w:spacing w:after="0"/>
              <w:rPr>
                <w:sz w:val="20"/>
                <w:szCs w:val="20"/>
                <w:color w:val="auto"/>
              </w:rPr>
            </w:pPr>
            <w:r>
              <w:rPr>
                <w:rFonts w:ascii="Arial" w:cs="Arial" w:eastAsia="Arial" w:hAnsi="Arial"/>
                <w:sz w:val="15"/>
                <w:szCs w:val="15"/>
                <w:color w:val="auto"/>
              </w:rPr>
              <w:t>Loss on debt extinguishment</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53</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24</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16</w:t>
            </w:r>
          </w:p>
        </w:tc>
      </w:tr>
      <w:tr>
        <w:trPr>
          <w:trHeight w:val="206"/>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Reduction in carrying amount of right-of-use assets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4</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Gain on sale of unconsolidated affiliate</w:t>
            </w:r>
          </w:p>
        </w:tc>
        <w:tc>
          <w:tcPr>
            <w:tcW w:w="220" w:type="dxa"/>
            <w:vAlign w:val="bottom"/>
          </w:tcPr>
          <w:p>
            <w:pPr>
              <w:spacing w:after="0"/>
              <w:rPr>
                <w:sz w:val="17"/>
                <w:szCs w:val="17"/>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(49)</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Impairment losses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32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33</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Change in deferred income taxes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12</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(8)</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Changes in derivative instruments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44</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85</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Loss on disposal of asset components</w:t>
            </w:r>
          </w:p>
        </w:tc>
        <w:tc>
          <w:tcPr>
            <w:tcW w:w="220" w:type="dxa"/>
            <w:vAlign w:val="bottom"/>
          </w:tcPr>
          <w:p>
            <w:pPr>
              <w:spacing w:after="0"/>
              <w:rPr>
                <w:sz w:val="17"/>
                <w:szCs w:val="17"/>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tcPr>
          <w:p>
            <w:pPr>
              <w:spacing w:after="0"/>
              <w:rPr>
                <w:sz w:val="17"/>
                <w:szCs w:val="17"/>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3</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9</w:t>
            </w:r>
          </w:p>
        </w:tc>
      </w:tr>
      <w:tr>
        <w:trPr>
          <w:trHeight w:val="207"/>
        </w:trPr>
        <w:tc>
          <w:tcPr>
            <w:tcW w:w="7960" w:type="dxa"/>
            <w:vAlign w:val="bottom"/>
            <w:shd w:val="clear" w:color="auto" w:fill="CCEEFF"/>
          </w:tcPr>
          <w:p>
            <w:pPr>
              <w:ind w:left="120"/>
              <w:spacing w:after="0"/>
              <w:rPr>
                <w:sz w:val="20"/>
                <w:szCs w:val="20"/>
                <w:color w:val="auto"/>
              </w:rPr>
            </w:pPr>
            <w:r>
              <w:rPr>
                <w:rFonts w:ascii="Arial" w:cs="Arial" w:eastAsia="Arial" w:hAnsi="Arial"/>
                <w:sz w:val="15"/>
                <w:szCs w:val="15"/>
                <w:color w:val="auto"/>
              </w:rPr>
              <w:t>Cash provided (used) in changes in other working capital</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Changes in prepaid and accrued liabilities for tolling agreements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5</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1</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Changes in other working capital</w:t>
            </w:r>
          </w:p>
        </w:tc>
        <w:tc>
          <w:tcPr>
            <w:tcW w:w="22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(14)</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(45)</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(10)</w:t>
            </w:r>
          </w:p>
        </w:tc>
      </w:tr>
      <w:tr>
        <w:trPr>
          <w:trHeight w:val="192"/>
        </w:trPr>
        <w:tc>
          <w:tcPr>
            <w:tcW w:w="7960" w:type="dxa"/>
            <w:vAlign w:val="bottom"/>
            <w:tcBorders>
              <w:bottom w:val="single" w:sz="8" w:color="CCEEFF"/>
            </w:tcBorders>
          </w:tcPr>
          <w:p>
            <w:pPr>
              <w:ind w:left="20"/>
              <w:spacing w:after="0"/>
              <w:rPr>
                <w:sz w:val="20"/>
                <w:szCs w:val="20"/>
                <w:color w:val="auto"/>
              </w:rPr>
            </w:pPr>
            <w:r>
              <w:rPr>
                <w:rFonts w:ascii="Arial" w:cs="Arial" w:eastAsia="Arial" w:hAnsi="Arial"/>
                <w:sz w:val="15"/>
                <w:szCs w:val="15"/>
                <w:b w:val="1"/>
                <w:bCs w:val="1"/>
                <w:color w:val="auto"/>
              </w:rPr>
              <w:t>Net Cash Provided by Operating Activities</w:t>
            </w:r>
          </w:p>
        </w:tc>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701</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545</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477</w:t>
            </w:r>
          </w:p>
        </w:tc>
      </w:tr>
      <w:tr>
        <w:trPr>
          <w:trHeight w:val="187"/>
        </w:trPr>
        <w:tc>
          <w:tcPr>
            <w:tcW w:w="79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Cash Flows from Investing Activities</w:t>
            </w:r>
          </w:p>
        </w:tc>
        <w:tc>
          <w:tcPr>
            <w:tcW w:w="2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Acquisitions, net of cash acquired</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(533)</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(100)</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Partnership interest acquisition</w:t>
            </w:r>
          </w:p>
        </w:tc>
        <w:tc>
          <w:tcPr>
            <w:tcW w:w="2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w:t>
            </w:r>
          </w:p>
        </w:tc>
      </w:tr>
      <w:tr>
        <w:trPr>
          <w:trHeight w:val="199"/>
        </w:trPr>
        <w:tc>
          <w:tcPr>
            <w:tcW w:w="7960" w:type="dxa"/>
            <w:vAlign w:val="bottom"/>
          </w:tcPr>
          <w:p>
            <w:pPr>
              <w:ind w:left="340"/>
              <w:spacing w:after="0"/>
              <w:rPr>
                <w:sz w:val="20"/>
                <w:szCs w:val="20"/>
                <w:color w:val="auto"/>
              </w:rPr>
            </w:pPr>
            <w:r>
              <w:rPr>
                <w:rFonts w:ascii="Arial" w:cs="Arial" w:eastAsia="Arial" w:hAnsi="Arial"/>
                <w:sz w:val="15"/>
                <w:szCs w:val="15"/>
                <w:color w:val="auto"/>
              </w:rPr>
              <w:t>Acquisition of Drop Down Assets, net of cash acquired</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(229)</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(122)</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(161)</w:t>
            </w:r>
          </w:p>
        </w:tc>
      </w:tr>
      <w:tr>
        <w:trPr>
          <w:trHeight w:val="206"/>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Buyout of Wind TE Holdco noncontrolling interest</w:t>
            </w:r>
          </w:p>
        </w:tc>
        <w:tc>
          <w:tcPr>
            <w:tcW w:w="2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Capital expenditures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(151)</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(124)</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(228)</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Asset purchase from affiliate</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Return of investment from unconsolidated affiliates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47</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79</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56</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Investments in unconsolidated affiliates</w:t>
            </w:r>
          </w:p>
        </w:tc>
        <w:tc>
          <w:tcPr>
            <w:tcW w:w="2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Proceeds from sale of assets</w:t>
            </w:r>
          </w:p>
        </w:tc>
        <w:tc>
          <w:tcPr>
            <w:tcW w:w="220" w:type="dxa"/>
            <w:vAlign w:val="bottom"/>
          </w:tcPr>
          <w:p>
            <w:pPr>
              <w:spacing w:after="0"/>
              <w:rPr>
                <w:sz w:val="17"/>
                <w:szCs w:val="17"/>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tcPr>
          <w:p>
            <w:pPr>
              <w:spacing w:after="0"/>
              <w:rPr>
                <w:sz w:val="17"/>
                <w:szCs w:val="17"/>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90</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20</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Consolidation of DGPV Holdco 3 LLC</w:t>
            </w:r>
          </w:p>
        </w:tc>
        <w:tc>
          <w:tcPr>
            <w:tcW w:w="2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17</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960" w:type="dxa"/>
            <w:vAlign w:val="bottom"/>
            <w:tcBorders>
              <w:bottom w:val="single" w:sz="8" w:color="CCEEFF"/>
            </w:tcBorders>
          </w:tcPr>
          <w:p>
            <w:pPr>
              <w:ind w:left="340"/>
              <w:spacing w:after="0"/>
              <w:rPr>
                <w:sz w:val="20"/>
                <w:szCs w:val="20"/>
                <w:color w:val="auto"/>
              </w:rPr>
            </w:pPr>
            <w:r>
              <w:rPr>
                <w:rFonts w:ascii="Arial" w:cs="Arial" w:eastAsia="Arial" w:hAnsi="Arial"/>
                <w:sz w:val="15"/>
                <w:szCs w:val="15"/>
                <w:color w:val="auto"/>
              </w:rPr>
              <w:t>Other</w:t>
            </w:r>
          </w:p>
        </w:tc>
        <w:tc>
          <w:tcPr>
            <w:tcW w:w="2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22</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9</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6</w:t>
            </w:r>
          </w:p>
        </w:tc>
      </w:tr>
      <w:tr>
        <w:trPr>
          <w:trHeight w:val="200"/>
        </w:trPr>
        <w:tc>
          <w:tcPr>
            <w:tcW w:w="79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Net Cash Used in Investing Activities</w:t>
            </w:r>
          </w:p>
        </w:tc>
        <w:tc>
          <w:tcPr>
            <w:tcW w:w="22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(865)</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(62)</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(468)</w:t>
            </w:r>
          </w:p>
        </w:tc>
      </w:tr>
      <w:tr>
        <w:trPr>
          <w:trHeight w:val="180"/>
        </w:trPr>
        <w:tc>
          <w:tcPr>
            <w:tcW w:w="7960" w:type="dxa"/>
            <w:vAlign w:val="bottom"/>
          </w:tcPr>
          <w:p>
            <w:pPr>
              <w:ind w:left="20"/>
              <w:spacing w:after="0"/>
              <w:rPr>
                <w:sz w:val="20"/>
                <w:szCs w:val="20"/>
                <w:color w:val="auto"/>
              </w:rPr>
            </w:pPr>
            <w:r>
              <w:rPr>
                <w:rFonts w:ascii="Arial" w:cs="Arial" w:eastAsia="Arial" w:hAnsi="Arial"/>
                <w:sz w:val="15"/>
                <w:szCs w:val="15"/>
                <w:b w:val="1"/>
                <w:bCs w:val="1"/>
                <w:color w:val="auto"/>
              </w:rPr>
              <w:t>Cash Flows from Financing Activities</w:t>
            </w:r>
          </w:p>
        </w:tc>
        <w:tc>
          <w:tcPr>
            <w:tcW w:w="2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r>
      <w:tr>
        <w:trPr>
          <w:trHeight w:val="205"/>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Contributions from noncontrolling interests, net of distributions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967</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247</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174</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Buyout of Repowering Partnership II LLC noncontrolling interest</w:t>
            </w:r>
          </w:p>
        </w:tc>
        <w:tc>
          <w:tcPr>
            <w:tcW w:w="220" w:type="dxa"/>
            <w:vAlign w:val="bottom"/>
          </w:tcPr>
          <w:p>
            <w:pPr>
              <w:spacing w:after="0"/>
              <w:rPr>
                <w:sz w:val="17"/>
                <w:szCs w:val="17"/>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(70)</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Proceeds from the issuance of common stock</w:t>
            </w:r>
          </w:p>
        </w:tc>
        <w:tc>
          <w:tcPr>
            <w:tcW w:w="2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62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100</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Payments of dividends and distributions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(268)</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(211)</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(155)</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Proceeds from the revolving credit facility</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622</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265</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152</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Payments for the revolving credit facility</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(377)</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(265)</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(152)</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Proceeds from issuance of long-term debt</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1,728</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1,084</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1,215</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Payments of debt issuance costs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(20)</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(20)</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(25)</w:t>
            </w:r>
          </w:p>
        </w:tc>
      </w:tr>
      <w:tr>
        <w:trPr>
          <w:trHeight w:val="207"/>
        </w:trPr>
        <w:tc>
          <w:tcPr>
            <w:tcW w:w="7960" w:type="dxa"/>
            <w:vAlign w:val="bottom"/>
            <w:shd w:val="clear" w:color="auto" w:fill="CCEEFF"/>
          </w:tcPr>
          <w:p>
            <w:pPr>
              <w:ind w:left="340"/>
              <w:spacing w:after="0"/>
              <w:rPr>
                <w:sz w:val="20"/>
                <w:szCs w:val="20"/>
                <w:color w:val="auto"/>
              </w:rPr>
            </w:pPr>
            <w:r>
              <w:rPr>
                <w:rFonts w:ascii="Arial" w:cs="Arial" w:eastAsia="Arial" w:hAnsi="Arial"/>
                <w:sz w:val="15"/>
                <w:szCs w:val="15"/>
                <w:color w:val="auto"/>
              </w:rPr>
              <w:t>Payments for long-term debt</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(2,292)</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(1,527)</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(1,484)</w:t>
            </w:r>
          </w:p>
        </w:tc>
      </w:tr>
      <w:tr>
        <w:trPr>
          <w:trHeight w:val="198"/>
        </w:trPr>
        <w:tc>
          <w:tcPr>
            <w:tcW w:w="7960" w:type="dxa"/>
            <w:vAlign w:val="bottom"/>
          </w:tcPr>
          <w:p>
            <w:pPr>
              <w:ind w:left="340"/>
              <w:spacing w:after="0"/>
              <w:rPr>
                <w:sz w:val="20"/>
                <w:szCs w:val="20"/>
                <w:color w:val="auto"/>
              </w:rPr>
            </w:pPr>
            <w:r>
              <w:rPr>
                <w:rFonts w:ascii="Arial" w:cs="Arial" w:eastAsia="Arial" w:hAnsi="Arial"/>
                <w:sz w:val="15"/>
                <w:szCs w:val="15"/>
                <w:color w:val="auto"/>
              </w:rPr>
              <w:t>Other</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7</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0"/>
        </w:trPr>
        <w:tc>
          <w:tcPr>
            <w:tcW w:w="7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Net Cash Provided by (Used in) Financing Activities</w:t>
            </w: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367</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(435)</w:t>
            </w: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(175)</w:t>
            </w:r>
          </w:p>
        </w:tc>
      </w:tr>
      <w:tr>
        <w:trPr>
          <w:trHeight w:val="192"/>
        </w:trPr>
        <w:tc>
          <w:tcPr>
            <w:tcW w:w="7960" w:type="dxa"/>
            <w:vAlign w:val="bottom"/>
          </w:tcPr>
          <w:p>
            <w:pPr>
              <w:ind w:left="20"/>
              <w:spacing w:after="0"/>
              <w:rPr>
                <w:sz w:val="20"/>
                <w:szCs w:val="20"/>
                <w:color w:val="auto"/>
              </w:rPr>
            </w:pPr>
            <w:r>
              <w:rPr>
                <w:rFonts w:ascii="Arial" w:cs="Arial" w:eastAsia="Arial" w:hAnsi="Arial"/>
                <w:sz w:val="15"/>
                <w:szCs w:val="15"/>
                <w:b w:val="1"/>
                <w:bCs w:val="1"/>
                <w:color w:val="auto"/>
              </w:rPr>
              <w:t>Reclassification of Cash to Assets Held-for-Sale</w:t>
            </w:r>
          </w:p>
        </w:tc>
        <w:tc>
          <w:tcPr>
            <w:tcW w:w="22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(14)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5"/>
                <w:szCs w:val="15"/>
                <w:color w:val="auto"/>
              </w:rPr>
              <w:t>—</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0"/>
        </w:trPr>
        <w:tc>
          <w:tcPr>
            <w:tcW w:w="7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Net Increase (Decrease) in Cash, Cash Equivalents and Restricted Cash</w:t>
            </w:r>
          </w:p>
        </w:tc>
        <w:tc>
          <w:tcPr>
            <w:tcW w:w="22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189</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48</w:t>
            </w: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(166)</w:t>
            </w:r>
          </w:p>
        </w:tc>
      </w:tr>
      <w:tr>
        <w:trPr>
          <w:trHeight w:val="200"/>
        </w:trPr>
        <w:tc>
          <w:tcPr>
            <w:tcW w:w="7960" w:type="dxa"/>
            <w:vAlign w:val="bottom"/>
            <w:tcBorders>
              <w:bottom w:val="single" w:sz="8" w:color="CCEEFF"/>
            </w:tcBorders>
          </w:tcPr>
          <w:p>
            <w:pPr>
              <w:ind w:left="20"/>
              <w:spacing w:after="0"/>
              <w:rPr>
                <w:sz w:val="20"/>
                <w:szCs w:val="20"/>
                <w:color w:val="auto"/>
              </w:rPr>
            </w:pPr>
            <w:r>
              <w:rPr>
                <w:rFonts w:ascii="Arial" w:cs="Arial" w:eastAsia="Arial" w:hAnsi="Arial"/>
                <w:sz w:val="15"/>
                <w:szCs w:val="15"/>
                <w:b w:val="1"/>
                <w:bCs w:val="1"/>
                <w:color w:val="auto"/>
              </w:rPr>
              <w:t>Cash, Cash Equivalents and Restricted Cash at Beginning of Period</w:t>
            </w:r>
          </w:p>
        </w:tc>
        <w:tc>
          <w:tcPr>
            <w:tcW w:w="2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465</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417</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583</w:t>
            </w:r>
          </w:p>
        </w:tc>
      </w:tr>
      <w:tr>
        <w:trPr>
          <w:trHeight w:val="223"/>
        </w:trPr>
        <w:tc>
          <w:tcPr>
            <w:tcW w:w="7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Cash, Cash Equivalents and Restricted Cash at End of Period</w:t>
            </w:r>
          </w:p>
        </w:tc>
        <w:tc>
          <w:tcPr>
            <w:tcW w:w="220" w:type="dxa"/>
            <w:vAlign w:val="bottom"/>
            <w:tcBorders>
              <w:bottom w:val="single" w:sz="8" w:color="auto"/>
            </w:tcBorders>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654</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465</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4"/>
              <w:spacing w:after="0"/>
              <w:rPr>
                <w:sz w:val="20"/>
                <w:szCs w:val="20"/>
                <w:color w:val="auto"/>
              </w:rPr>
            </w:pPr>
            <w:r>
              <w:rPr>
                <w:rFonts w:ascii="Arial" w:cs="Arial" w:eastAsia="Arial" w:hAnsi="Arial"/>
                <w:sz w:val="15"/>
                <w:szCs w:val="15"/>
                <w:color w:val="auto"/>
                <w:w w:val="95"/>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417</w:t>
            </w:r>
          </w:p>
        </w:tc>
      </w:tr>
      <w:tr>
        <w:trPr>
          <w:trHeight w:val="21"/>
        </w:trPr>
        <w:tc>
          <w:tcPr>
            <w:tcW w:w="79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79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Supplemental Disclosures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199"/>
        </w:trPr>
        <w:tc>
          <w:tcPr>
            <w:tcW w:w="7960" w:type="dxa"/>
            <w:vAlign w:val="bottom"/>
          </w:tcPr>
          <w:p>
            <w:pPr>
              <w:ind w:left="220"/>
              <w:spacing w:after="0"/>
              <w:rPr>
                <w:sz w:val="20"/>
                <w:szCs w:val="20"/>
                <w:color w:val="auto"/>
              </w:rPr>
            </w:pPr>
            <w:r>
              <w:rPr>
                <w:rFonts w:ascii="Arial" w:cs="Arial" w:eastAsia="Arial" w:hAnsi="Arial"/>
                <w:sz w:val="15"/>
                <w:szCs w:val="15"/>
                <w:color w:val="auto"/>
              </w:rPr>
              <w:t>Interest paid, net of amount capitalized</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5"/>
                <w:szCs w:val="15"/>
                <w:color w:val="auto"/>
              </w:rPr>
              <w:t>(337)</w:t>
            </w:r>
          </w:p>
        </w:tc>
        <w:tc>
          <w:tcPr>
            <w:tcW w:w="120" w:type="dxa"/>
            <w:vAlign w:val="bottom"/>
          </w:tcPr>
          <w:p>
            <w:pPr>
              <w:spacing w:after="0"/>
              <w:rPr>
                <w:sz w:val="17"/>
                <w:szCs w:val="17"/>
                <w:color w:val="auto"/>
              </w:rPr>
            </w:pP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5"/>
                <w:szCs w:val="15"/>
                <w:color w:val="auto"/>
              </w:rPr>
              <w:t>(325)</w:t>
            </w:r>
          </w:p>
        </w:tc>
        <w:tc>
          <w:tcPr>
            <w:tcW w:w="100" w:type="dxa"/>
            <w:vAlign w:val="bottom"/>
          </w:tcPr>
          <w:p>
            <w:pPr>
              <w:spacing w:after="0"/>
              <w:rPr>
                <w:sz w:val="17"/>
                <w:szCs w:val="17"/>
                <w:color w:val="auto"/>
              </w:rPr>
            </w:pPr>
          </w:p>
        </w:tc>
        <w:tc>
          <w:tcPr>
            <w:tcW w:w="220" w:type="dxa"/>
            <w:vAlign w:val="bottom"/>
          </w:tcPr>
          <w:p>
            <w:pPr>
              <w:jc w:val="right"/>
              <w:ind w:right="44"/>
              <w:spacing w:after="0"/>
              <w:rPr>
                <w:sz w:val="20"/>
                <w:szCs w:val="20"/>
                <w:color w:val="auto"/>
              </w:rPr>
            </w:pPr>
            <w:r>
              <w:rPr>
                <w:rFonts w:ascii="Arial" w:cs="Arial" w:eastAsia="Arial" w:hAnsi="Arial"/>
                <w:sz w:val="15"/>
                <w:szCs w:val="15"/>
                <w:color w:val="auto"/>
                <w:w w:val="95"/>
              </w:rPr>
              <w:t>$</w:t>
            </w:r>
          </w:p>
        </w:tc>
        <w:tc>
          <w:tcPr>
            <w:tcW w:w="760" w:type="dxa"/>
            <w:vAlign w:val="bottom"/>
          </w:tcPr>
          <w:p>
            <w:pPr>
              <w:jc w:val="right"/>
              <w:spacing w:after="0"/>
              <w:rPr>
                <w:sz w:val="20"/>
                <w:szCs w:val="20"/>
                <w:color w:val="auto"/>
              </w:rPr>
            </w:pPr>
            <w:r>
              <w:rPr>
                <w:rFonts w:ascii="Arial" w:cs="Arial" w:eastAsia="Arial" w:hAnsi="Arial"/>
                <w:sz w:val="15"/>
                <w:szCs w:val="15"/>
                <w:color w:val="auto"/>
              </w:rPr>
              <w:t>(313)</w:t>
            </w:r>
          </w:p>
        </w:tc>
      </w:tr>
      <w:tr>
        <w:trPr>
          <w:trHeight w:val="206"/>
        </w:trPr>
        <w:tc>
          <w:tcPr>
            <w:tcW w:w="796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Non-cash investing and financing activities: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198"/>
        </w:trPr>
        <w:tc>
          <w:tcPr>
            <w:tcW w:w="7960" w:type="dxa"/>
            <w:vAlign w:val="bottom"/>
          </w:tcPr>
          <w:p>
            <w:pPr>
              <w:ind w:left="220"/>
              <w:spacing w:after="0"/>
              <w:rPr>
                <w:sz w:val="20"/>
                <w:szCs w:val="20"/>
                <w:color w:val="auto"/>
              </w:rPr>
            </w:pPr>
            <w:r>
              <w:rPr>
                <w:rFonts w:ascii="Arial" w:cs="Arial" w:eastAsia="Arial" w:hAnsi="Arial"/>
                <w:sz w:val="15"/>
                <w:szCs w:val="15"/>
                <w:color w:val="auto"/>
              </w:rPr>
              <w:t>Reductions to fixed assets for accrued capital expenditures</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(32)</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(2)</w:t>
            </w:r>
          </w:p>
        </w:tc>
      </w:tr>
      <w:tr>
        <w:trPr>
          <w:trHeight w:val="207"/>
        </w:trPr>
        <w:tc>
          <w:tcPr>
            <w:tcW w:w="7960" w:type="dxa"/>
            <w:vAlign w:val="bottom"/>
            <w:shd w:val="clear" w:color="auto" w:fill="CCEEFF"/>
          </w:tcPr>
          <w:p>
            <w:pPr>
              <w:ind w:left="220"/>
              <w:spacing w:after="0"/>
              <w:rPr>
                <w:sz w:val="20"/>
                <w:szCs w:val="20"/>
                <w:color w:val="auto"/>
              </w:rPr>
            </w:pPr>
            <w:r>
              <w:rPr>
                <w:rFonts w:ascii="Arial" w:cs="Arial" w:eastAsia="Arial" w:hAnsi="Arial"/>
                <w:sz w:val="15"/>
                <w:szCs w:val="15"/>
                <w:color w:val="auto"/>
              </w:rPr>
              <w:t>Non-cash adjustment for change in tax basis</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rPr>
              <w:t>21</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w:t>
            </w:r>
          </w:p>
        </w:tc>
      </w:tr>
      <w:tr>
        <w:trPr>
          <w:trHeight w:val="194"/>
        </w:trPr>
        <w:tc>
          <w:tcPr>
            <w:tcW w:w="7960" w:type="dxa"/>
            <w:vAlign w:val="bottom"/>
          </w:tcPr>
          <w:p>
            <w:pPr>
              <w:ind w:left="220"/>
              <w:spacing w:after="0"/>
              <w:rPr>
                <w:sz w:val="20"/>
                <w:szCs w:val="20"/>
                <w:color w:val="auto"/>
              </w:rPr>
            </w:pPr>
            <w:r>
              <w:rPr>
                <w:rFonts w:ascii="Arial" w:cs="Arial" w:eastAsia="Arial" w:hAnsi="Arial"/>
                <w:sz w:val="15"/>
                <w:szCs w:val="15"/>
                <w:color w:val="auto"/>
              </w:rPr>
              <w:t>Non-cash contributions from CEG, net of distributions</w:t>
            </w:r>
          </w:p>
        </w:tc>
        <w:tc>
          <w:tcPr>
            <w:tcW w:w="22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5"/>
                <w:szCs w:val="15"/>
                <w:color w:val="auto"/>
              </w:rPr>
              <w:t>31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0" w:type="dxa"/>
            <w:vAlign w:val="bottom"/>
          </w:tcPr>
          <w:p>
            <w:pPr>
              <w:jc w:val="right"/>
              <w:ind w:right="3"/>
              <w:spacing w:after="0"/>
              <w:rPr>
                <w:sz w:val="20"/>
                <w:szCs w:val="20"/>
                <w:color w:val="auto"/>
              </w:rPr>
            </w:pPr>
            <w:r>
              <w:rPr>
                <w:rFonts w:ascii="Arial" w:cs="Arial" w:eastAsia="Arial" w:hAnsi="Arial"/>
                <w:sz w:val="15"/>
                <w:szCs w:val="15"/>
                <w:color w:val="auto"/>
              </w:rPr>
              <w:t>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5"/>
                <w:szCs w:val="15"/>
                <w:color w:val="auto"/>
              </w:rPr>
              <w:t>36</w:t>
            </w:r>
          </w:p>
        </w:tc>
      </w:tr>
    </w:tbl>
    <w:p>
      <w:pPr>
        <w:spacing w:after="0" w:line="200" w:lineRule="exact"/>
        <w:rPr>
          <w:sz w:val="20"/>
          <w:szCs w:val="20"/>
          <w:color w:val="auto"/>
        </w:rPr>
      </w:pPr>
    </w:p>
    <w:p>
      <w:pPr>
        <w:sectPr>
          <w:pgSz w:w="11900" w:h="16838" w:orient="portrait"/>
          <w:cols w:equalWidth="0" w:num="1">
            <w:col w:w="11200"/>
          </w:cols>
          <w:pgMar w:left="340" w:top="918"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200"/>
          </w:cols>
          <w:pgMar w:left="340" w:top="918" w:right="359" w:bottom="1440" w:gutter="0" w:footer="0" w:header="0"/>
          <w:type w:val="continuous"/>
        </w:sectPr>
      </w:pPr>
    </w:p>
    <w:bookmarkStart w:id="14" w:name="page15"/>
    <w:bookmarkEnd w:id="14"/>
    <w:p>
      <w:pPr>
        <w:jc w:val="center"/>
        <w:ind w:right="20"/>
        <w:spacing w:after="0"/>
        <w:rPr>
          <w:sz w:val="20"/>
          <w:szCs w:val="20"/>
          <w:color w:val="auto"/>
        </w:rPr>
      </w:pPr>
      <w:r>
        <w:rPr>
          <w:rFonts w:ascii="Arial" w:cs="Arial" w:eastAsia="Arial" w:hAnsi="Arial"/>
          <w:sz w:val="18"/>
          <w:szCs w:val="18"/>
          <w:b w:val="1"/>
          <w:bCs w:val="1"/>
          <w:color w:val="auto"/>
        </w:rPr>
        <w:t>CLEARWAY ENERGY,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6"/>
              </w:rPr>
              <w:t>Additional</w:t>
            </w: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100" w:type="dxa"/>
            <w:vAlign w:val="bottom"/>
          </w:tcPr>
          <w:p>
            <w:pPr>
              <w:spacing w:after="0"/>
              <w:rPr>
                <w:sz w:val="14"/>
                <w:szCs w:val="14"/>
                <w:color w:val="auto"/>
              </w:rPr>
            </w:pPr>
          </w:p>
        </w:tc>
        <w:tc>
          <w:tcPr>
            <w:tcW w:w="9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Non-</w:t>
            </w:r>
          </w:p>
        </w:tc>
        <w:tc>
          <w:tcPr>
            <w:tcW w:w="80" w:type="dxa"/>
            <w:vAlign w:val="bottom"/>
          </w:tcPr>
          <w:p>
            <w:pPr>
              <w:spacing w:after="0"/>
              <w:rPr>
                <w:sz w:val="14"/>
                <w:szCs w:val="14"/>
                <w:color w:val="auto"/>
              </w:rPr>
            </w:pPr>
          </w:p>
        </w:tc>
        <w:tc>
          <w:tcPr>
            <w:tcW w:w="980" w:type="dxa"/>
            <w:vAlign w:val="bottom"/>
            <w:vMerge w:val="restart"/>
          </w:tcPr>
          <w:p>
            <w:pPr>
              <w:jc w:val="center"/>
              <w:ind w:right="36"/>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35"/>
        </w:trPr>
        <w:tc>
          <w:tcPr>
            <w:tcW w:w="3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Preferred</w:t>
            </w:r>
          </w:p>
        </w:tc>
        <w:tc>
          <w:tcPr>
            <w:tcW w:w="80" w:type="dxa"/>
            <w:vAlign w:val="bottom"/>
          </w:tcPr>
          <w:p>
            <w:pPr>
              <w:spacing w:after="0"/>
              <w:rPr>
                <w:sz w:val="11"/>
                <w:szCs w:val="11"/>
                <w:color w:val="auto"/>
              </w:rPr>
            </w:pPr>
          </w:p>
        </w:tc>
        <w:tc>
          <w:tcPr>
            <w:tcW w:w="7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Common</w:t>
            </w:r>
          </w:p>
        </w:tc>
        <w:tc>
          <w:tcPr>
            <w:tcW w:w="100" w:type="dxa"/>
            <w:vAlign w:val="bottom"/>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Accumulated</w:t>
            </w:r>
          </w:p>
        </w:tc>
        <w:tc>
          <w:tcPr>
            <w:tcW w:w="100" w:type="dxa"/>
            <w:vAlign w:val="bottom"/>
          </w:tcPr>
          <w:p>
            <w:pPr>
              <w:spacing w:after="0"/>
              <w:rPr>
                <w:sz w:val="11"/>
                <w:szCs w:val="11"/>
                <w:color w:val="auto"/>
              </w:rPr>
            </w:pPr>
          </w:p>
        </w:tc>
        <w:tc>
          <w:tcPr>
            <w:tcW w:w="122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7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 millions)</w:t>
            </w:r>
          </w:p>
        </w:tc>
        <w:tc>
          <w:tcPr>
            <w:tcW w:w="8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8"/>
              </w:rPr>
              <w:t>Paid-In</w:t>
            </w:r>
          </w:p>
        </w:tc>
        <w:tc>
          <w:tcPr>
            <w:tcW w:w="10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Comprehensive</w:t>
            </w:r>
          </w:p>
        </w:tc>
        <w:tc>
          <w:tcPr>
            <w:tcW w:w="100" w:type="dxa"/>
            <w:vAlign w:val="bottom"/>
          </w:tcPr>
          <w:p>
            <w:pPr>
              <w:spacing w:after="0"/>
              <w:rPr>
                <w:sz w:val="11"/>
                <w:szCs w:val="11"/>
                <w:color w:val="auto"/>
              </w:rPr>
            </w:pPr>
          </w:p>
        </w:tc>
        <w:tc>
          <w:tcPr>
            <w:tcW w:w="94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1"/>
              </w:rPr>
              <w:t>controlling</w:t>
            </w:r>
          </w:p>
        </w:tc>
        <w:tc>
          <w:tcPr>
            <w:tcW w:w="80" w:type="dxa"/>
            <w:vAlign w:val="bottom"/>
          </w:tcPr>
          <w:p>
            <w:pPr>
              <w:spacing w:after="0"/>
              <w:rPr>
                <w:sz w:val="11"/>
                <w:szCs w:val="11"/>
                <w:color w:val="auto"/>
              </w:rPr>
            </w:pPr>
          </w:p>
        </w:tc>
        <w:tc>
          <w:tcPr>
            <w:tcW w:w="980" w:type="dxa"/>
            <w:vAlign w:val="bottom"/>
          </w:tcPr>
          <w:p>
            <w:pPr>
              <w:jc w:val="center"/>
              <w:ind w:right="36"/>
              <w:spacing w:after="0" w:line="135" w:lineRule="exact"/>
              <w:rPr>
                <w:sz w:val="20"/>
                <w:szCs w:val="20"/>
                <w:color w:val="auto"/>
              </w:rPr>
            </w:pPr>
            <w:r>
              <w:rPr>
                <w:rFonts w:ascii="Arial" w:cs="Arial" w:eastAsia="Arial" w:hAnsi="Arial"/>
                <w:sz w:val="14"/>
                <w:szCs w:val="14"/>
                <w:b w:val="1"/>
                <w:bCs w:val="1"/>
                <w:color w:val="auto"/>
                <w:w w:val="91"/>
              </w:rPr>
              <w:t>Stockholders'</w:t>
            </w:r>
          </w:p>
        </w:tc>
        <w:tc>
          <w:tcPr>
            <w:tcW w:w="0" w:type="dxa"/>
            <w:vAlign w:val="bottom"/>
          </w:tcPr>
          <w:p>
            <w:pPr>
              <w:spacing w:after="0"/>
              <w:rPr>
                <w:sz w:val="1"/>
                <w:szCs w:val="1"/>
                <w:color w:val="auto"/>
              </w:rPr>
            </w:pPr>
          </w:p>
        </w:tc>
      </w:tr>
      <w:tr>
        <w:trPr>
          <w:trHeight w:val="186"/>
        </w:trPr>
        <w:tc>
          <w:tcPr>
            <w:tcW w:w="378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gridSpan w:val="2"/>
          </w:tcPr>
          <w:p>
            <w:pPr>
              <w:ind w:left="140"/>
              <w:spacing w:after="0"/>
              <w:rPr>
                <w:sz w:val="20"/>
                <w:szCs w:val="20"/>
                <w:color w:val="auto"/>
              </w:rPr>
            </w:pPr>
            <w:r>
              <w:rPr>
                <w:rFonts w:ascii="Arial" w:cs="Arial" w:eastAsia="Arial" w:hAnsi="Arial"/>
                <w:sz w:val="14"/>
                <w:szCs w:val="14"/>
                <w:b w:val="1"/>
                <w:bCs w:val="1"/>
                <w:color w:val="auto"/>
              </w:rPr>
              <w:t>Stock</w:t>
            </w:r>
          </w:p>
        </w:tc>
        <w:tc>
          <w:tcPr>
            <w:tcW w:w="80" w:type="dxa"/>
            <w:vAlign w:val="bottom"/>
          </w:tcPr>
          <w:p>
            <w:pPr>
              <w:spacing w:after="0"/>
              <w:rPr>
                <w:sz w:val="16"/>
                <w:szCs w:val="16"/>
                <w:color w:val="auto"/>
              </w:rPr>
            </w:pPr>
          </w:p>
        </w:tc>
        <w:tc>
          <w:tcPr>
            <w:tcW w:w="760" w:type="dxa"/>
            <w:vAlign w:val="bottom"/>
            <w:gridSpan w:val="2"/>
          </w:tcPr>
          <w:p>
            <w:pPr>
              <w:ind w:left="120"/>
              <w:spacing w:after="0"/>
              <w:rPr>
                <w:sz w:val="20"/>
                <w:szCs w:val="20"/>
                <w:color w:val="auto"/>
              </w:rPr>
            </w:pPr>
            <w:r>
              <w:rPr>
                <w:rFonts w:ascii="Arial" w:cs="Arial" w:eastAsia="Arial" w:hAnsi="Arial"/>
                <w:sz w:val="14"/>
                <w:szCs w:val="14"/>
                <w:b w:val="1"/>
                <w:bCs w:val="1"/>
                <w:color w:val="auto"/>
              </w:rPr>
              <w:t>Stock</w:t>
            </w:r>
          </w:p>
        </w:tc>
        <w:tc>
          <w:tcPr>
            <w:tcW w:w="100" w:type="dxa"/>
            <w:vAlign w:val="bottom"/>
          </w:tcPr>
          <w:p>
            <w:pPr>
              <w:spacing w:after="0"/>
              <w:rPr>
                <w:sz w:val="16"/>
                <w:szCs w:val="16"/>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Capital</w:t>
            </w:r>
          </w:p>
        </w:tc>
        <w:tc>
          <w:tcPr>
            <w:tcW w:w="100" w:type="dxa"/>
            <w:vAlign w:val="bottom"/>
          </w:tcPr>
          <w:p>
            <w:pPr>
              <w:spacing w:after="0"/>
              <w:rPr>
                <w:sz w:val="16"/>
                <w:szCs w:val="16"/>
                <w:color w:val="auto"/>
              </w:rPr>
            </w:pPr>
          </w:p>
        </w:tc>
        <w:tc>
          <w:tcPr>
            <w:tcW w:w="1080" w:type="dxa"/>
            <w:vAlign w:val="bottom"/>
            <w:gridSpan w:val="2"/>
          </w:tcPr>
          <w:p>
            <w:pPr>
              <w:ind w:left="220"/>
              <w:spacing w:after="0"/>
              <w:rPr>
                <w:sz w:val="20"/>
                <w:szCs w:val="20"/>
                <w:color w:val="auto"/>
              </w:rPr>
            </w:pPr>
            <w:r>
              <w:rPr>
                <w:rFonts w:ascii="Arial" w:cs="Arial" w:eastAsia="Arial" w:hAnsi="Arial"/>
                <w:sz w:val="14"/>
                <w:szCs w:val="14"/>
                <w:b w:val="1"/>
                <w:bCs w:val="1"/>
                <w:color w:val="auto"/>
              </w:rPr>
              <w:t>Deficit</w:t>
            </w:r>
          </w:p>
        </w:tc>
        <w:tc>
          <w:tcPr>
            <w:tcW w:w="100" w:type="dxa"/>
            <w:vAlign w:val="bottom"/>
          </w:tcPr>
          <w:p>
            <w:pPr>
              <w:spacing w:after="0"/>
              <w:rPr>
                <w:sz w:val="16"/>
                <w:szCs w:val="16"/>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Loss</w:t>
            </w:r>
          </w:p>
        </w:tc>
        <w:tc>
          <w:tcPr>
            <w:tcW w:w="100" w:type="dxa"/>
            <w:vAlign w:val="bottom"/>
          </w:tcPr>
          <w:p>
            <w:pPr>
              <w:spacing w:after="0"/>
              <w:rPr>
                <w:sz w:val="16"/>
                <w:szCs w:val="16"/>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Interest</w:t>
            </w:r>
          </w:p>
        </w:tc>
        <w:tc>
          <w:tcPr>
            <w:tcW w:w="80" w:type="dxa"/>
            <w:vAlign w:val="bottom"/>
          </w:tcPr>
          <w:p>
            <w:pPr>
              <w:spacing w:after="0"/>
              <w:rPr>
                <w:sz w:val="16"/>
                <w:szCs w:val="16"/>
                <w:color w:val="auto"/>
              </w:rPr>
            </w:pPr>
          </w:p>
        </w:tc>
        <w:tc>
          <w:tcPr>
            <w:tcW w:w="980" w:type="dxa"/>
            <w:vAlign w:val="bottom"/>
          </w:tcPr>
          <w:p>
            <w:pPr>
              <w:jc w:val="center"/>
              <w:ind w:right="36"/>
              <w:spacing w:after="0"/>
              <w:rPr>
                <w:sz w:val="20"/>
                <w:szCs w:val="20"/>
                <w:color w:val="auto"/>
              </w:rPr>
            </w:pPr>
            <w:r>
              <w:rPr>
                <w:rFonts w:ascii="Arial" w:cs="Arial" w:eastAsia="Arial" w:hAnsi="Arial"/>
                <w:sz w:val="14"/>
                <w:szCs w:val="14"/>
                <w:b w:val="1"/>
                <w:bCs w:val="1"/>
                <w:color w:val="auto"/>
                <w:w w:val="93"/>
              </w:rPr>
              <w:t>Equity</w:t>
            </w:r>
          </w:p>
        </w:tc>
        <w:tc>
          <w:tcPr>
            <w:tcW w:w="0" w:type="dxa"/>
            <w:vAlign w:val="bottom"/>
          </w:tcPr>
          <w:p>
            <w:pPr>
              <w:spacing w:after="0"/>
              <w:rPr>
                <w:sz w:val="1"/>
                <w:szCs w:val="1"/>
                <w:color w:val="auto"/>
              </w:rPr>
            </w:pPr>
          </w:p>
        </w:tc>
      </w:tr>
      <w:tr>
        <w:trPr>
          <w:trHeight w:val="169"/>
        </w:trPr>
        <w:tc>
          <w:tcPr>
            <w:tcW w:w="3780" w:type="dxa"/>
            <w:vAlign w:val="bottom"/>
          </w:tcPr>
          <w:p>
            <w:pPr>
              <w:ind w:left="100"/>
              <w:spacing w:after="0"/>
              <w:rPr>
                <w:sz w:val="20"/>
                <w:szCs w:val="20"/>
                <w:color w:val="auto"/>
              </w:rPr>
            </w:pPr>
            <w:r>
              <w:rPr>
                <w:rFonts w:ascii="Arial" w:cs="Arial" w:eastAsia="Arial" w:hAnsi="Arial"/>
                <w:sz w:val="14"/>
                <w:szCs w:val="14"/>
                <w:b w:val="1"/>
                <w:bCs w:val="1"/>
                <w:color w:val="auto"/>
              </w:rPr>
              <w:t>Balances at December 31, 2018</w:t>
            </w: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w:t>
            </w:r>
          </w:p>
        </w:tc>
        <w:tc>
          <w:tcPr>
            <w:tcW w:w="80" w:type="dxa"/>
            <w:vAlign w:val="bottom"/>
          </w:tcPr>
          <w:p>
            <w:pPr>
              <w:spacing w:after="0"/>
              <w:rPr>
                <w:sz w:val="14"/>
                <w:szCs w:val="14"/>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1,897</w:t>
            </w:r>
          </w:p>
        </w:tc>
        <w:tc>
          <w:tcPr>
            <w:tcW w:w="180" w:type="dxa"/>
            <w:vAlign w:val="bottom"/>
          </w:tcPr>
          <w:p>
            <w:pPr>
              <w:spacing w:after="0"/>
              <w:rPr>
                <w:sz w:val="14"/>
                <w:szCs w:val="14"/>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w w:val="82"/>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(58)</w:t>
            </w:r>
          </w:p>
        </w:tc>
        <w:tc>
          <w:tcPr>
            <w:tcW w:w="140" w:type="dxa"/>
            <w:vAlign w:val="bottom"/>
          </w:tcPr>
          <w:p>
            <w:pPr>
              <w:spacing w:after="0"/>
              <w:rPr>
                <w:sz w:val="14"/>
                <w:szCs w:val="14"/>
                <w:color w:val="auto"/>
              </w:rPr>
            </w:pPr>
          </w:p>
        </w:tc>
        <w:tc>
          <w:tcPr>
            <w:tcW w:w="100" w:type="dxa"/>
            <w:vAlign w:val="bottom"/>
            <w:tcBorders>
              <w:top w:val="single" w:sz="8" w:color="auto"/>
            </w:tcBorders>
          </w:tcPr>
          <w:p>
            <w:pPr>
              <w:spacing w:after="0"/>
              <w:rPr>
                <w:sz w:val="20"/>
                <w:szCs w:val="20"/>
                <w:color w:val="auto"/>
              </w:rPr>
            </w:pPr>
            <w:r>
              <w:rPr>
                <w:rFonts w:ascii="Arial" w:cs="Arial" w:eastAsia="Arial" w:hAnsi="Arial"/>
                <w:sz w:val="13"/>
                <w:szCs w:val="13"/>
                <w:color w:val="auto"/>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(18)</w:t>
            </w:r>
          </w:p>
        </w:tc>
        <w:tc>
          <w:tcPr>
            <w:tcW w:w="120" w:type="dxa"/>
            <w:vAlign w:val="bottom"/>
          </w:tcPr>
          <w:p>
            <w:pPr>
              <w:spacing w:after="0"/>
              <w:rPr>
                <w:sz w:val="14"/>
                <w:szCs w:val="14"/>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402</w:t>
            </w:r>
          </w:p>
        </w:tc>
        <w:tc>
          <w:tcPr>
            <w:tcW w:w="140" w:type="dxa"/>
            <w:vAlign w:val="bottom"/>
          </w:tcPr>
          <w:p>
            <w:pPr>
              <w:spacing w:after="0"/>
              <w:rPr>
                <w:sz w:val="14"/>
                <w:szCs w:val="14"/>
                <w:color w:val="auto"/>
              </w:rPr>
            </w:pPr>
          </w:p>
        </w:tc>
        <w:tc>
          <w:tcPr>
            <w:tcW w:w="80" w:type="dxa"/>
            <w:vAlign w:val="bottom"/>
            <w:tcBorders>
              <w:top w:val="single" w:sz="8" w:color="auto"/>
            </w:tcBorders>
          </w:tcPr>
          <w:p>
            <w:pPr>
              <w:spacing w:after="0"/>
              <w:rPr>
                <w:sz w:val="20"/>
                <w:szCs w:val="20"/>
                <w:color w:val="auto"/>
              </w:rPr>
            </w:pPr>
            <w:r>
              <w:rPr>
                <w:rFonts w:ascii="Arial" w:cs="Arial" w:eastAsia="Arial" w:hAnsi="Arial"/>
                <w:sz w:val="13"/>
                <w:szCs w:val="13"/>
                <w:color w:val="auto"/>
                <w:w w:val="82"/>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2,224</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loss</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(85)</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(96)</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Unrealized gain on derivatives, net of tax</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100" w:type="dxa"/>
            <w:vAlign w:val="bottom"/>
          </w:tcPr>
          <w:p>
            <w:pPr>
              <w:jc w:val="right"/>
              <w:ind w:right="16"/>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7</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Buyout of Wind TE Holdco non-controlling interest</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w:t>
            </w: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(19)</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Carlsbad Drop Down</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(35)</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(35)</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w w:val="94"/>
              </w:rPr>
              <w:t>Contributions from tax equity interests, net of distributions, cash</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242</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242</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Distributions to CEG, net of contributions, cash</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(68)</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(68)</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Cumulative effect of change in the accounting principle</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Contributions from CEG net of distributions, non-cash</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36</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36</w:t>
            </w:r>
          </w:p>
        </w:tc>
        <w:tc>
          <w:tcPr>
            <w:tcW w:w="0" w:type="dxa"/>
            <w:vAlign w:val="bottom"/>
          </w:tcPr>
          <w:p>
            <w:pPr>
              <w:spacing w:after="0"/>
              <w:rPr>
                <w:sz w:val="1"/>
                <w:szCs w:val="1"/>
                <w:color w:val="auto"/>
              </w:rPr>
            </w:pPr>
          </w:p>
        </w:tc>
      </w:tr>
      <w:tr>
        <w:trPr>
          <w:trHeight w:val="233"/>
        </w:trPr>
        <w:tc>
          <w:tcPr>
            <w:tcW w:w="3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Stock-based compensation</w:t>
            </w:r>
          </w:p>
        </w:tc>
        <w:tc>
          <w:tcPr>
            <w:tcW w:w="8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w:t>
            </w: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w:t>
            </w:r>
          </w:p>
        </w:tc>
        <w:tc>
          <w:tcPr>
            <w:tcW w:w="0" w:type="dxa"/>
            <w:vAlign w:val="bottom"/>
          </w:tcPr>
          <w:p>
            <w:pPr>
              <w:spacing w:after="0"/>
              <w:rPr>
                <w:sz w:val="1"/>
                <w:szCs w:val="1"/>
                <w:color w:val="auto"/>
              </w:rPr>
            </w:pPr>
          </w:p>
        </w:tc>
      </w:tr>
      <w:tr>
        <w:trPr>
          <w:trHeight w:val="191"/>
        </w:trPr>
        <w:tc>
          <w:tcPr>
            <w:tcW w:w="3780" w:type="dxa"/>
            <w:vAlign w:val="bottom"/>
          </w:tcPr>
          <w:p>
            <w:pPr>
              <w:ind w:left="20"/>
              <w:spacing w:after="0" w:line="191" w:lineRule="exact"/>
              <w:rPr>
                <w:sz w:val="20"/>
                <w:szCs w:val="20"/>
                <w:color w:val="auto"/>
              </w:rPr>
            </w:pPr>
            <w:r>
              <w:rPr>
                <w:rFonts w:ascii="Arial" w:cs="Arial" w:eastAsia="Arial" w:hAnsi="Arial"/>
                <w:sz w:val="18"/>
                <w:szCs w:val="18"/>
                <w:color w:val="auto"/>
                <w:w w:val="96"/>
              </w:rPr>
              <w:t>Proceeds from the issuance of Class C Common</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100</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100</w:t>
            </w:r>
          </w:p>
        </w:tc>
        <w:tc>
          <w:tcPr>
            <w:tcW w:w="0" w:type="dxa"/>
            <w:vAlign w:val="bottom"/>
          </w:tcPr>
          <w:p>
            <w:pPr>
              <w:spacing w:after="0"/>
              <w:rPr>
                <w:sz w:val="1"/>
                <w:szCs w:val="1"/>
                <w:color w:val="auto"/>
              </w:rPr>
            </w:pPr>
          </w:p>
        </w:tc>
      </w:tr>
      <w:tr>
        <w:trPr>
          <w:trHeight w:val="214"/>
        </w:trPr>
        <w:tc>
          <w:tcPr>
            <w:tcW w:w="3780" w:type="dxa"/>
            <w:vAlign w:val="bottom"/>
          </w:tcPr>
          <w:p>
            <w:pPr>
              <w:ind w:left="20"/>
              <w:spacing w:after="0"/>
              <w:rPr>
                <w:sz w:val="20"/>
                <w:szCs w:val="20"/>
                <w:color w:val="auto"/>
              </w:rPr>
            </w:pPr>
            <w:r>
              <w:rPr>
                <w:rFonts w:ascii="Arial" w:cs="Arial" w:eastAsia="Arial" w:hAnsi="Arial"/>
                <w:sz w:val="18"/>
                <w:szCs w:val="18"/>
                <w:color w:val="auto"/>
              </w:rPr>
              <w:t>Stock</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3780" w:type="dxa"/>
            <w:vAlign w:val="bottom"/>
            <w:shd w:val="clear" w:color="auto" w:fill="CCEEFF"/>
          </w:tcPr>
          <w:p>
            <w:pPr>
              <w:ind w:left="100"/>
              <w:spacing w:after="0"/>
              <w:rPr>
                <w:sz w:val="20"/>
                <w:szCs w:val="20"/>
                <w:color w:val="auto"/>
              </w:rPr>
            </w:pPr>
            <w:r>
              <w:rPr>
                <w:rFonts w:ascii="Arial" w:cs="Arial" w:eastAsia="Arial" w:hAnsi="Arial"/>
                <w:sz w:val="14"/>
                <w:szCs w:val="14"/>
                <w:color w:val="auto"/>
              </w:rPr>
              <w:t>Non-cash adjustment for change in tax basis</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w:t>
            </w: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w:t>
            </w:r>
          </w:p>
        </w:tc>
        <w:tc>
          <w:tcPr>
            <w:tcW w:w="0" w:type="dxa"/>
            <w:vAlign w:val="bottom"/>
          </w:tcPr>
          <w:p>
            <w:pPr>
              <w:spacing w:after="0"/>
              <w:rPr>
                <w:sz w:val="1"/>
                <w:szCs w:val="1"/>
                <w:color w:val="auto"/>
              </w:rPr>
            </w:pPr>
          </w:p>
        </w:tc>
      </w:tr>
      <w:tr>
        <w:trPr>
          <w:trHeight w:val="186"/>
        </w:trPr>
        <w:tc>
          <w:tcPr>
            <w:tcW w:w="3780" w:type="dxa"/>
            <w:vAlign w:val="bottom"/>
          </w:tcPr>
          <w:p>
            <w:pPr>
              <w:ind w:left="100"/>
              <w:spacing w:after="0"/>
              <w:rPr>
                <w:sz w:val="20"/>
                <w:szCs w:val="20"/>
                <w:color w:val="auto"/>
              </w:rPr>
            </w:pPr>
            <w:r>
              <w:rPr>
                <w:rFonts w:ascii="Arial" w:cs="Arial" w:eastAsia="Arial" w:hAnsi="Arial"/>
                <w:sz w:val="14"/>
                <w:szCs w:val="14"/>
                <w:color w:val="auto"/>
              </w:rPr>
              <w:t>Common stock dividends</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(87)</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(68)</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(155)</w:t>
            </w:r>
          </w:p>
        </w:tc>
        <w:tc>
          <w:tcPr>
            <w:tcW w:w="0" w:type="dxa"/>
            <w:vAlign w:val="bottom"/>
          </w:tcPr>
          <w:p>
            <w:pPr>
              <w:spacing w:after="0"/>
              <w:rPr>
                <w:sz w:val="1"/>
                <w:szCs w:val="1"/>
                <w:color w:val="auto"/>
              </w:rPr>
            </w:pPr>
          </w:p>
        </w:tc>
      </w:tr>
      <w:tr>
        <w:trPr>
          <w:trHeight w:val="172"/>
        </w:trPr>
        <w:tc>
          <w:tcPr>
            <w:tcW w:w="37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Balances at December 31, 2019</w:t>
            </w: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1,936</w:t>
            </w:r>
          </w:p>
        </w:tc>
        <w:tc>
          <w:tcPr>
            <w:tcW w:w="18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w w:val="82"/>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(72)</w:t>
            </w:r>
          </w:p>
        </w:tc>
        <w:tc>
          <w:tcPr>
            <w:tcW w:w="14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3"/>
                <w:szCs w:val="13"/>
                <w:color w:val="auto"/>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(15)</w:t>
            </w:r>
          </w:p>
        </w:tc>
        <w:tc>
          <w:tcPr>
            <w:tcW w:w="12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413</w:t>
            </w:r>
          </w:p>
        </w:tc>
        <w:tc>
          <w:tcPr>
            <w:tcW w:w="14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3"/>
                <w:szCs w:val="13"/>
                <w:color w:val="auto"/>
                <w:w w:val="82"/>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2,263</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Net income (loss)</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tcPr>
          <w:p>
            <w:pPr>
              <w:ind w:left="740"/>
              <w:spacing w:after="0"/>
              <w:rPr>
                <w:sz w:val="20"/>
                <w:szCs w:val="20"/>
                <w:color w:val="auto"/>
              </w:rPr>
            </w:pPr>
            <w:r>
              <w:rPr>
                <w:rFonts w:ascii="Arial" w:cs="Arial" w:eastAsia="Arial" w:hAnsi="Arial"/>
                <w:sz w:val="13"/>
                <w:szCs w:val="13"/>
                <w:color w:val="auto"/>
              </w:rPr>
              <w:t>25</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(87)</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(62)</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 on derivatives, net of tax</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6"/>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Contributions from CEG, non-cash</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6</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6</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Contributions from CEG, cash</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Distributions to noncontrolling interests, non-cash</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(2)</w:t>
            </w:r>
          </w:p>
        </w:tc>
        <w:tc>
          <w:tcPr>
            <w:tcW w:w="0" w:type="dxa"/>
            <w:vAlign w:val="bottom"/>
          </w:tcPr>
          <w:p>
            <w:pPr>
              <w:spacing w:after="0"/>
              <w:rPr>
                <w:sz w:val="1"/>
                <w:szCs w:val="1"/>
                <w:color w:val="auto"/>
              </w:rPr>
            </w:pPr>
          </w:p>
        </w:tc>
      </w:tr>
      <w:tr>
        <w:trPr>
          <w:trHeight w:val="138"/>
        </w:trPr>
        <w:tc>
          <w:tcPr>
            <w:tcW w:w="3780" w:type="dxa"/>
            <w:vAlign w:val="bottom"/>
            <w:shd w:val="clear" w:color="auto" w:fill="CCEEFF"/>
          </w:tcPr>
          <w:p>
            <w:pPr>
              <w:ind w:left="20"/>
              <w:spacing w:after="0" w:line="139" w:lineRule="exact"/>
              <w:rPr>
                <w:sz w:val="20"/>
                <w:szCs w:val="20"/>
                <w:color w:val="auto"/>
              </w:rPr>
            </w:pPr>
            <w:r>
              <w:rPr>
                <w:rFonts w:ascii="Arial" w:cs="Arial" w:eastAsia="Arial" w:hAnsi="Arial"/>
                <w:sz w:val="14"/>
                <w:szCs w:val="14"/>
                <w:color w:val="auto"/>
                <w:w w:val="96"/>
              </w:rPr>
              <w:t>Contributions from noncontrolling interests, net of distributions,</w:t>
            </w:r>
          </w:p>
        </w:tc>
        <w:tc>
          <w:tcPr>
            <w:tcW w:w="80" w:type="dxa"/>
            <w:vAlign w:val="bottom"/>
            <w:shd w:val="clear" w:color="auto" w:fill="CCEEFF"/>
          </w:tcPr>
          <w:p>
            <w:pPr>
              <w:spacing w:after="0"/>
              <w:rPr>
                <w:sz w:val="12"/>
                <w:szCs w:val="12"/>
                <w:color w:val="auto"/>
              </w:rPr>
            </w:pPr>
          </w:p>
        </w:tc>
        <w:tc>
          <w:tcPr>
            <w:tcW w:w="8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94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vMerge w:val="restart"/>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240</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240</w:t>
            </w:r>
          </w:p>
        </w:tc>
        <w:tc>
          <w:tcPr>
            <w:tcW w:w="0" w:type="dxa"/>
            <w:vAlign w:val="bottom"/>
          </w:tcPr>
          <w:p>
            <w:pPr>
              <w:spacing w:after="0"/>
              <w:rPr>
                <w:sz w:val="1"/>
                <w:szCs w:val="1"/>
                <w:color w:val="auto"/>
              </w:rPr>
            </w:pPr>
          </w:p>
        </w:tc>
      </w:tr>
      <w:tr>
        <w:trPr>
          <w:trHeight w:val="92"/>
        </w:trPr>
        <w:tc>
          <w:tcPr>
            <w:tcW w:w="378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cash</w:t>
            </w:r>
          </w:p>
        </w:tc>
        <w:tc>
          <w:tcPr>
            <w:tcW w:w="80" w:type="dxa"/>
            <w:vAlign w:val="bottom"/>
            <w:shd w:val="clear" w:color="auto" w:fill="CCEEFF"/>
          </w:tcPr>
          <w:p>
            <w:pPr>
              <w:spacing w:after="0"/>
              <w:rPr>
                <w:sz w:val="8"/>
                <w:szCs w:val="8"/>
                <w:color w:val="auto"/>
              </w:rPr>
            </w:pPr>
          </w:p>
        </w:tc>
        <w:tc>
          <w:tcPr>
            <w:tcW w:w="800" w:type="dxa"/>
            <w:vAlign w:val="bottom"/>
            <w:gridSpan w:val="2"/>
            <w:vMerge w:val="continue"/>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76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94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08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22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0" w:type="dxa"/>
            <w:vAlign w:val="bottom"/>
            <w:vMerge w:val="continue"/>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98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97"/>
        </w:trPr>
        <w:tc>
          <w:tcPr>
            <w:tcW w:w="3780" w:type="dxa"/>
            <w:vAlign w:val="bottom"/>
            <w:vMerge w:val="continue"/>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7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76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1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DGPV Drop Down and Consolidation</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(20)</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(20)</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Mesquite Star Drop Down and Consolidation</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361</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361</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Langford Drop Down</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76</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76</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Rosamond Central Drop Down</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Lighthouse Partnership Yield Protection Agreement</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(15)</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(15)</w:t>
            </w:r>
          </w:p>
        </w:tc>
        <w:tc>
          <w:tcPr>
            <w:tcW w:w="0" w:type="dxa"/>
            <w:vAlign w:val="bottom"/>
          </w:tcPr>
          <w:p>
            <w:pPr>
              <w:spacing w:after="0"/>
              <w:rPr>
                <w:sz w:val="1"/>
                <w:szCs w:val="1"/>
                <w:color w:val="auto"/>
              </w:rPr>
            </w:pPr>
          </w:p>
        </w:tc>
      </w:tr>
      <w:tr>
        <w:trPr>
          <w:trHeight w:val="138"/>
        </w:trPr>
        <w:tc>
          <w:tcPr>
            <w:tcW w:w="3780" w:type="dxa"/>
            <w:vAlign w:val="bottom"/>
            <w:shd w:val="clear" w:color="auto" w:fill="CCEEFF"/>
          </w:tcPr>
          <w:p>
            <w:pPr>
              <w:ind w:left="20"/>
              <w:spacing w:after="0" w:line="139" w:lineRule="exact"/>
              <w:rPr>
                <w:sz w:val="20"/>
                <w:szCs w:val="20"/>
                <w:color w:val="auto"/>
              </w:rPr>
            </w:pPr>
            <w:r>
              <w:rPr>
                <w:rFonts w:ascii="Arial" w:cs="Arial" w:eastAsia="Arial" w:hAnsi="Arial"/>
                <w:sz w:val="14"/>
                <w:szCs w:val="14"/>
                <w:color w:val="auto"/>
              </w:rPr>
              <w:t>Buyout of Repowering Partnership II LLC non-controlling</w:t>
            </w:r>
          </w:p>
        </w:tc>
        <w:tc>
          <w:tcPr>
            <w:tcW w:w="80" w:type="dxa"/>
            <w:vAlign w:val="bottom"/>
            <w:shd w:val="clear" w:color="auto" w:fill="CCEEFF"/>
          </w:tcPr>
          <w:p>
            <w:pPr>
              <w:spacing w:after="0"/>
              <w:rPr>
                <w:sz w:val="12"/>
                <w:szCs w:val="12"/>
                <w:color w:val="auto"/>
              </w:rPr>
            </w:pPr>
          </w:p>
        </w:tc>
        <w:tc>
          <w:tcPr>
            <w:tcW w:w="8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76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94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080" w:type="dxa"/>
            <w:vAlign w:val="bottom"/>
            <w:gridSpan w:val="2"/>
            <w:vMerge w:val="restart"/>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(70)</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(70)</w:t>
            </w:r>
          </w:p>
        </w:tc>
        <w:tc>
          <w:tcPr>
            <w:tcW w:w="0" w:type="dxa"/>
            <w:vAlign w:val="bottom"/>
          </w:tcPr>
          <w:p>
            <w:pPr>
              <w:spacing w:after="0"/>
              <w:rPr>
                <w:sz w:val="1"/>
                <w:szCs w:val="1"/>
                <w:color w:val="auto"/>
              </w:rPr>
            </w:pPr>
          </w:p>
        </w:tc>
      </w:tr>
      <w:tr>
        <w:trPr>
          <w:trHeight w:val="92"/>
        </w:trPr>
        <w:tc>
          <w:tcPr>
            <w:tcW w:w="378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interest</w:t>
            </w:r>
          </w:p>
        </w:tc>
        <w:tc>
          <w:tcPr>
            <w:tcW w:w="80" w:type="dxa"/>
            <w:vAlign w:val="bottom"/>
            <w:shd w:val="clear" w:color="auto" w:fill="CCEEFF"/>
          </w:tcPr>
          <w:p>
            <w:pPr>
              <w:spacing w:after="0"/>
              <w:rPr>
                <w:sz w:val="8"/>
                <w:szCs w:val="8"/>
                <w:color w:val="auto"/>
              </w:rPr>
            </w:pPr>
          </w:p>
        </w:tc>
        <w:tc>
          <w:tcPr>
            <w:tcW w:w="800" w:type="dxa"/>
            <w:vAlign w:val="bottom"/>
            <w:gridSpan w:val="2"/>
            <w:vMerge w:val="continue"/>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76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94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08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220" w:type="dxa"/>
            <w:vAlign w:val="bottom"/>
            <w:gridSpan w:val="2"/>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0" w:type="dxa"/>
            <w:vAlign w:val="bottom"/>
            <w:vMerge w:val="continue"/>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98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97"/>
        </w:trPr>
        <w:tc>
          <w:tcPr>
            <w:tcW w:w="3780" w:type="dxa"/>
            <w:vAlign w:val="bottom"/>
            <w:vMerge w:val="continue"/>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7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76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10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Stock-based compensation</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2</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2</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Non-cash adjustment for change in tax basis</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w:t>
            </w: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w:t>
            </w:r>
          </w:p>
        </w:tc>
        <w:tc>
          <w:tcPr>
            <w:tcW w:w="0" w:type="dxa"/>
            <w:vAlign w:val="bottom"/>
          </w:tcPr>
          <w:p>
            <w:pPr>
              <w:spacing w:after="0"/>
              <w:rPr>
                <w:sz w:val="1"/>
                <w:szCs w:val="1"/>
                <w:color w:val="auto"/>
              </w:rPr>
            </w:pPr>
          </w:p>
        </w:tc>
      </w:tr>
      <w:tr>
        <w:trPr>
          <w:trHeight w:val="135"/>
        </w:trPr>
        <w:tc>
          <w:tcPr>
            <w:tcW w:w="3780" w:type="dxa"/>
            <w:vAlign w:val="bottom"/>
          </w:tcPr>
          <w:p>
            <w:pPr>
              <w:ind w:left="20"/>
              <w:spacing w:after="0" w:line="135" w:lineRule="exact"/>
              <w:rPr>
                <w:sz w:val="20"/>
                <w:szCs w:val="20"/>
                <w:color w:val="auto"/>
              </w:rPr>
            </w:pPr>
            <w:r>
              <w:rPr>
                <w:rFonts w:ascii="Arial" w:cs="Arial" w:eastAsia="Arial" w:hAnsi="Arial"/>
                <w:sz w:val="14"/>
                <w:szCs w:val="14"/>
                <w:color w:val="auto"/>
              </w:rPr>
              <w:t>Net proceeds from the issuance of common stock under the</w:t>
            </w:r>
          </w:p>
        </w:tc>
        <w:tc>
          <w:tcPr>
            <w:tcW w:w="80" w:type="dxa"/>
            <w:vAlign w:val="bottom"/>
          </w:tcPr>
          <w:p>
            <w:pPr>
              <w:spacing w:after="0"/>
              <w:rPr>
                <w:sz w:val="11"/>
                <w:szCs w:val="11"/>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60" w:type="dxa"/>
            <w:vAlign w:val="bottom"/>
            <w:gridSpan w:val="2"/>
            <w:vMerge w:val="restart"/>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760" w:type="dxa"/>
            <w:vAlign w:val="bottom"/>
            <w:vMerge w:val="restart"/>
          </w:tcPr>
          <w:p>
            <w:pPr>
              <w:jc w:val="right"/>
              <w:spacing w:after="0"/>
              <w:rPr>
                <w:sz w:val="20"/>
                <w:szCs w:val="20"/>
                <w:color w:val="auto"/>
              </w:rPr>
            </w:pPr>
            <w:r>
              <w:rPr>
                <w:rFonts w:ascii="Arial" w:cs="Arial" w:eastAsia="Arial" w:hAnsi="Arial"/>
                <w:sz w:val="13"/>
                <w:szCs w:val="13"/>
                <w:color w:val="auto"/>
              </w:rPr>
              <w:t>62</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80" w:type="dxa"/>
            <w:vAlign w:val="bottom"/>
            <w:gridSpan w:val="2"/>
            <w:vMerge w:val="restart"/>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20" w:type="dxa"/>
            <w:vAlign w:val="bottom"/>
            <w:gridSpan w:val="2"/>
            <w:vMerge w:val="restart"/>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940" w:type="dxa"/>
            <w:vAlign w:val="bottom"/>
            <w:gridSpan w:val="2"/>
            <w:vMerge w:val="restart"/>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3"/>
                <w:szCs w:val="13"/>
                <w:color w:val="auto"/>
              </w:rPr>
              <w:t>62</w:t>
            </w:r>
          </w:p>
        </w:tc>
        <w:tc>
          <w:tcPr>
            <w:tcW w:w="0" w:type="dxa"/>
            <w:vAlign w:val="bottom"/>
          </w:tcPr>
          <w:p>
            <w:pPr>
              <w:spacing w:after="0"/>
              <w:rPr>
                <w:sz w:val="1"/>
                <w:szCs w:val="1"/>
                <w:color w:val="auto"/>
              </w:rPr>
            </w:pPr>
          </w:p>
        </w:tc>
      </w:tr>
      <w:tr>
        <w:trPr>
          <w:trHeight w:val="92"/>
        </w:trPr>
        <w:tc>
          <w:tcPr>
            <w:tcW w:w="3780" w:type="dxa"/>
            <w:vAlign w:val="bottom"/>
            <w:vMerge w:val="restart"/>
          </w:tcPr>
          <w:p>
            <w:pPr>
              <w:ind w:left="20"/>
              <w:spacing w:after="0"/>
              <w:rPr>
                <w:sz w:val="20"/>
                <w:szCs w:val="20"/>
                <w:color w:val="auto"/>
              </w:rPr>
            </w:pPr>
            <w:r>
              <w:rPr>
                <w:rFonts w:ascii="Arial" w:cs="Arial" w:eastAsia="Arial" w:hAnsi="Arial"/>
                <w:sz w:val="14"/>
                <w:szCs w:val="14"/>
                <w:color w:val="auto"/>
              </w:rPr>
              <w:t>ATM Programs</w:t>
            </w:r>
          </w:p>
        </w:tc>
        <w:tc>
          <w:tcPr>
            <w:tcW w:w="8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94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9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378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Common stock dividends and distributions to CEG</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(84)</w:t>
            </w: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(90)</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(211)</w:t>
            </w:r>
          </w:p>
        </w:tc>
        <w:tc>
          <w:tcPr>
            <w:tcW w:w="0" w:type="dxa"/>
            <w:vAlign w:val="bottom"/>
          </w:tcPr>
          <w:p>
            <w:pPr>
              <w:spacing w:after="0"/>
              <w:rPr>
                <w:sz w:val="1"/>
                <w:szCs w:val="1"/>
                <w:color w:val="auto"/>
              </w:rPr>
            </w:pPr>
          </w:p>
        </w:tc>
      </w:tr>
      <w:tr>
        <w:trPr>
          <w:trHeight w:val="166"/>
        </w:trPr>
        <w:tc>
          <w:tcPr>
            <w:tcW w:w="3780" w:type="dxa"/>
            <w:vAlign w:val="bottom"/>
          </w:tcPr>
          <w:p>
            <w:pPr>
              <w:ind w:left="20"/>
              <w:spacing w:after="0"/>
              <w:rPr>
                <w:sz w:val="20"/>
                <w:szCs w:val="20"/>
                <w:color w:val="auto"/>
              </w:rPr>
            </w:pPr>
            <w:r>
              <w:rPr>
                <w:rFonts w:ascii="Arial" w:cs="Arial" w:eastAsia="Arial" w:hAnsi="Arial"/>
                <w:sz w:val="14"/>
                <w:szCs w:val="14"/>
                <w:color w:val="auto"/>
              </w:rPr>
              <w:t>Balances at December 31, 2020</w:t>
            </w: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w:t>
            </w:r>
          </w:p>
        </w:tc>
        <w:tc>
          <w:tcPr>
            <w:tcW w:w="80" w:type="dxa"/>
            <w:vAlign w:val="bottom"/>
          </w:tcPr>
          <w:p>
            <w:pPr>
              <w:spacing w:after="0"/>
              <w:rPr>
                <w:sz w:val="14"/>
                <w:szCs w:val="14"/>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w w:val="82"/>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1,922</w:t>
            </w:r>
          </w:p>
        </w:tc>
        <w:tc>
          <w:tcPr>
            <w:tcW w:w="180" w:type="dxa"/>
            <w:vAlign w:val="bottom"/>
          </w:tcPr>
          <w:p>
            <w:pPr>
              <w:spacing w:after="0"/>
              <w:rPr>
                <w:sz w:val="14"/>
                <w:szCs w:val="14"/>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w w:val="82"/>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(84)</w:t>
            </w:r>
          </w:p>
        </w:tc>
        <w:tc>
          <w:tcPr>
            <w:tcW w:w="140" w:type="dxa"/>
            <w:vAlign w:val="bottom"/>
          </w:tcPr>
          <w:p>
            <w:pPr>
              <w:spacing w:after="0"/>
              <w:rPr>
                <w:sz w:val="14"/>
                <w:szCs w:val="14"/>
                <w:color w:val="auto"/>
              </w:rPr>
            </w:pPr>
          </w:p>
        </w:tc>
        <w:tc>
          <w:tcPr>
            <w:tcW w:w="100" w:type="dxa"/>
            <w:vAlign w:val="bottom"/>
            <w:tcBorders>
              <w:top w:val="single" w:sz="8" w:color="auto"/>
            </w:tcBorders>
          </w:tcPr>
          <w:p>
            <w:pPr>
              <w:spacing w:after="0"/>
              <w:rPr>
                <w:sz w:val="20"/>
                <w:szCs w:val="20"/>
                <w:color w:val="auto"/>
              </w:rPr>
            </w:pPr>
            <w:r>
              <w:rPr>
                <w:rFonts w:ascii="Arial" w:cs="Arial" w:eastAsia="Arial" w:hAnsi="Arial"/>
                <w:sz w:val="13"/>
                <w:szCs w:val="13"/>
                <w:color w:val="auto"/>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14"/>
                <w:szCs w:val="14"/>
                <w:color w:val="auto"/>
              </w:rPr>
            </w:pPr>
          </w:p>
        </w:tc>
        <w:tc>
          <w:tcPr>
            <w:tcW w:w="10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890</w:t>
            </w:r>
          </w:p>
        </w:tc>
        <w:tc>
          <w:tcPr>
            <w:tcW w:w="140" w:type="dxa"/>
            <w:vAlign w:val="bottom"/>
          </w:tcPr>
          <w:p>
            <w:pPr>
              <w:spacing w:after="0"/>
              <w:rPr>
                <w:sz w:val="14"/>
                <w:szCs w:val="14"/>
                <w:color w:val="auto"/>
              </w:rPr>
            </w:pPr>
          </w:p>
        </w:tc>
        <w:tc>
          <w:tcPr>
            <w:tcW w:w="80" w:type="dxa"/>
            <w:vAlign w:val="bottom"/>
            <w:tcBorders>
              <w:top w:val="single" w:sz="8" w:color="auto"/>
            </w:tcBorders>
          </w:tcPr>
          <w:p>
            <w:pPr>
              <w:spacing w:after="0"/>
              <w:rPr>
                <w:sz w:val="20"/>
                <w:szCs w:val="20"/>
                <w:color w:val="auto"/>
              </w:rPr>
            </w:pPr>
            <w:r>
              <w:rPr>
                <w:rFonts w:ascii="Arial" w:cs="Arial" w:eastAsia="Arial" w:hAnsi="Arial"/>
                <w:sz w:val="13"/>
                <w:szCs w:val="13"/>
                <w:color w:val="auto"/>
                <w:w w:val="82"/>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2,715</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ind w:left="740"/>
              <w:spacing w:after="0"/>
              <w:rPr>
                <w:sz w:val="20"/>
                <w:szCs w:val="20"/>
                <w:color w:val="auto"/>
              </w:rPr>
            </w:pPr>
            <w:r>
              <w:rPr>
                <w:rFonts w:ascii="Arial" w:cs="Arial" w:eastAsia="Arial" w:hAnsi="Arial"/>
                <w:sz w:val="13"/>
                <w:szCs w:val="13"/>
                <w:color w:val="auto"/>
              </w:rPr>
              <w:t>51</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(130)</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(79)</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Unrealized gain on derivatives, net of tax</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100" w:type="dxa"/>
            <w:vAlign w:val="bottom"/>
          </w:tcPr>
          <w:p>
            <w:pPr>
              <w:jc w:val="right"/>
              <w:ind w:right="16"/>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11</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19</w:t>
            </w:r>
          </w:p>
        </w:tc>
        <w:tc>
          <w:tcPr>
            <w:tcW w:w="0" w:type="dxa"/>
            <w:vAlign w:val="bottom"/>
          </w:tcPr>
          <w:p>
            <w:pPr>
              <w:spacing w:after="0"/>
              <w:rPr>
                <w:sz w:val="1"/>
                <w:szCs w:val="1"/>
                <w:color w:val="auto"/>
              </w:rPr>
            </w:pPr>
          </w:p>
        </w:tc>
      </w:tr>
      <w:tr>
        <w:trPr>
          <w:trHeight w:val="192"/>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Contributions from CEG, net of distributions, non-cash</w:t>
            </w:r>
          </w:p>
        </w:tc>
        <w:tc>
          <w:tcPr>
            <w:tcW w:w="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w:t>
            </w:r>
          </w:p>
        </w:tc>
        <w:tc>
          <w:tcPr>
            <w:tcW w:w="0" w:type="dxa"/>
            <w:vAlign w:val="bottom"/>
          </w:tcPr>
          <w:p>
            <w:pPr>
              <w:spacing w:after="0"/>
              <w:rPr>
                <w:sz w:val="1"/>
                <w:szCs w:val="1"/>
                <w:color w:val="auto"/>
              </w:rPr>
            </w:pPr>
          </w:p>
        </w:tc>
      </w:tr>
      <w:tr>
        <w:trPr>
          <w:trHeight w:val="186"/>
        </w:trPr>
        <w:tc>
          <w:tcPr>
            <w:tcW w:w="3780" w:type="dxa"/>
            <w:vAlign w:val="bottom"/>
          </w:tcPr>
          <w:p>
            <w:pPr>
              <w:ind w:left="20"/>
              <w:spacing w:after="0"/>
              <w:rPr>
                <w:sz w:val="20"/>
                <w:szCs w:val="20"/>
                <w:color w:val="auto"/>
              </w:rPr>
            </w:pPr>
            <w:r>
              <w:rPr>
                <w:rFonts w:ascii="Arial" w:cs="Arial" w:eastAsia="Arial" w:hAnsi="Arial"/>
                <w:sz w:val="14"/>
                <w:szCs w:val="14"/>
                <w:color w:val="auto"/>
              </w:rPr>
              <w:t>Contributions from CEG, net of distributions, cash</w:t>
            </w:r>
          </w:p>
        </w:tc>
        <w:tc>
          <w:tcPr>
            <w:tcW w:w="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296</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296</w:t>
            </w:r>
          </w:p>
        </w:tc>
        <w:tc>
          <w:tcPr>
            <w:tcW w:w="0" w:type="dxa"/>
            <w:vAlign w:val="bottom"/>
          </w:tcPr>
          <w:p>
            <w:pPr>
              <w:spacing w:after="0"/>
              <w:rPr>
                <w:sz w:val="1"/>
                <w:szCs w:val="1"/>
                <w:color w:val="auto"/>
              </w:rPr>
            </w:pPr>
          </w:p>
        </w:tc>
      </w:tr>
      <w:tr>
        <w:trPr>
          <w:trHeight w:val="138"/>
        </w:trPr>
        <w:tc>
          <w:tcPr>
            <w:tcW w:w="3780" w:type="dxa"/>
            <w:vAlign w:val="bottom"/>
            <w:shd w:val="clear" w:color="auto" w:fill="CCEEFF"/>
          </w:tcPr>
          <w:p>
            <w:pPr>
              <w:ind w:left="20"/>
              <w:spacing w:after="0" w:line="139" w:lineRule="exact"/>
              <w:rPr>
                <w:sz w:val="20"/>
                <w:szCs w:val="20"/>
                <w:color w:val="auto"/>
              </w:rPr>
            </w:pPr>
            <w:r>
              <w:rPr>
                <w:rFonts w:ascii="Arial" w:cs="Arial" w:eastAsia="Arial" w:hAnsi="Arial"/>
                <w:sz w:val="14"/>
                <w:szCs w:val="14"/>
                <w:color w:val="auto"/>
                <w:w w:val="96"/>
              </w:rPr>
              <w:t>Contributions from noncontrolling interests, net of distributions,</w:t>
            </w:r>
          </w:p>
        </w:tc>
        <w:tc>
          <w:tcPr>
            <w:tcW w:w="80" w:type="dxa"/>
            <w:vAlign w:val="bottom"/>
            <w:shd w:val="clear" w:color="auto" w:fill="CCEEFF"/>
          </w:tcPr>
          <w:p>
            <w:pPr>
              <w:spacing w:after="0"/>
              <w:rPr>
                <w:sz w:val="12"/>
                <w:szCs w:val="12"/>
                <w:color w:val="auto"/>
              </w:rPr>
            </w:pPr>
          </w:p>
        </w:tc>
        <w:tc>
          <w:tcPr>
            <w:tcW w:w="800" w:type="dxa"/>
            <w:vAlign w:val="bottom"/>
            <w:gridSpan w:val="2"/>
            <w:vMerge w:val="restart"/>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2"/>
                <w:szCs w:val="12"/>
                <w:color w:val="auto"/>
              </w:rPr>
            </w:pPr>
          </w:p>
        </w:tc>
        <w:tc>
          <w:tcPr>
            <w:tcW w:w="760" w:type="dxa"/>
            <w:vAlign w:val="bottom"/>
            <w:gridSpan w:val="2"/>
            <w:vMerge w:val="restart"/>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w:t>
            </w:r>
          </w:p>
        </w:tc>
        <w:tc>
          <w:tcPr>
            <w:tcW w:w="80" w:type="dxa"/>
            <w:vAlign w:val="bottom"/>
            <w:shd w:val="clear" w:color="auto" w:fill="CCEEFF"/>
          </w:tcPr>
          <w:p>
            <w:pPr>
              <w:spacing w:after="0"/>
              <w:rPr>
                <w:sz w:val="16"/>
                <w:szCs w:val="16"/>
                <w:color w:val="auto"/>
              </w:rPr>
            </w:pPr>
          </w:p>
        </w:tc>
        <w:tc>
          <w:tcPr>
            <w:tcW w:w="800" w:type="dxa"/>
            <w:vAlign w:val="bottom"/>
            <w:gridSpan w:val="2"/>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6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676</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676</w:t>
            </w:r>
          </w:p>
        </w:tc>
        <w:tc>
          <w:tcPr>
            <w:tcW w:w="0" w:type="dxa"/>
            <w:vAlign w:val="bottom"/>
          </w:tcPr>
          <w:p>
            <w:pPr>
              <w:spacing w:after="0"/>
              <w:rPr>
                <w:sz w:val="1"/>
                <w:szCs w:val="1"/>
                <w:color w:val="auto"/>
              </w:rPr>
            </w:pPr>
          </w:p>
        </w:tc>
      </w:tr>
      <w:tr>
        <w:trPr>
          <w:trHeight w:val="230"/>
        </w:trPr>
        <w:tc>
          <w:tcPr>
            <w:tcW w:w="3780" w:type="dxa"/>
            <w:vAlign w:val="bottom"/>
          </w:tcPr>
          <w:p>
            <w:pPr>
              <w:ind w:left="20"/>
              <w:spacing w:after="0"/>
              <w:rPr>
                <w:sz w:val="20"/>
                <w:szCs w:val="20"/>
                <w:color w:val="auto"/>
              </w:rPr>
            </w:pPr>
            <w:r>
              <w:rPr>
                <w:rFonts w:ascii="Arial" w:cs="Arial" w:eastAsia="Arial" w:hAnsi="Arial"/>
                <w:sz w:val="14"/>
                <w:szCs w:val="14"/>
                <w:color w:val="auto"/>
                <w:w w:val="94"/>
              </w:rPr>
              <w:t>Lighthouse Partnership Yield Protection Agreement Amendment</w:t>
            </w:r>
          </w:p>
        </w:tc>
        <w:tc>
          <w:tcPr>
            <w:tcW w:w="80" w:type="dxa"/>
            <w:vAlign w:val="bottom"/>
          </w:tcPr>
          <w:p>
            <w:pPr>
              <w:spacing w:after="0"/>
              <w:rPr>
                <w:sz w:val="19"/>
                <w:szCs w:val="19"/>
                <w:color w:val="auto"/>
              </w:rPr>
            </w:pPr>
          </w:p>
        </w:tc>
        <w:tc>
          <w:tcPr>
            <w:tcW w:w="8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76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15</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15</w:t>
            </w:r>
          </w:p>
        </w:tc>
        <w:tc>
          <w:tcPr>
            <w:tcW w:w="0" w:type="dxa"/>
            <w:vAlign w:val="bottom"/>
          </w:tcPr>
          <w:p>
            <w:pPr>
              <w:spacing w:after="0"/>
              <w:rPr>
                <w:sz w:val="1"/>
                <w:szCs w:val="1"/>
                <w:color w:val="auto"/>
              </w:rPr>
            </w:pPr>
          </w:p>
        </w:tc>
      </w:tr>
      <w:tr>
        <w:trPr>
          <w:trHeight w:val="230"/>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Agua Acquisition</w:t>
            </w:r>
          </w:p>
        </w:tc>
        <w:tc>
          <w:tcPr>
            <w:tcW w:w="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940" w:type="dxa"/>
            <w:vAlign w:val="bottom"/>
            <w:gridSpan w:val="2"/>
            <w:shd w:val="clear" w:color="auto" w:fill="CCEEFF"/>
          </w:tcPr>
          <w:p>
            <w:pPr>
              <w:ind w:left="560"/>
              <w:spacing w:after="0"/>
              <w:rPr>
                <w:sz w:val="20"/>
                <w:szCs w:val="20"/>
                <w:color w:val="auto"/>
              </w:rPr>
            </w:pPr>
            <w:r>
              <w:rPr>
                <w:rFonts w:ascii="Arial" w:cs="Arial" w:eastAsia="Arial" w:hAnsi="Arial"/>
                <w:sz w:val="13"/>
                <w:szCs w:val="13"/>
                <w:color w:val="auto"/>
              </w:rPr>
              <w:t>— —</w:t>
            </w:r>
          </w:p>
        </w:tc>
        <w:tc>
          <w:tcPr>
            <w:tcW w:w="1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16"/>
              <w:spacing w:after="0"/>
              <w:rPr>
                <w:sz w:val="20"/>
                <w:szCs w:val="20"/>
                <w:color w:val="auto"/>
              </w:rPr>
            </w:pPr>
            <w:r>
              <w:rPr>
                <w:rFonts w:ascii="Arial" w:cs="Arial" w:eastAsia="Arial" w:hAnsi="Arial"/>
                <w:sz w:val="14"/>
                <w:szCs w:val="14"/>
                <w:color w:val="auto"/>
              </w:rPr>
              <w:t>273</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273</w:t>
            </w:r>
          </w:p>
        </w:tc>
        <w:tc>
          <w:tcPr>
            <w:tcW w:w="0" w:type="dxa"/>
            <w:vAlign w:val="bottom"/>
          </w:tcPr>
          <w:p>
            <w:pPr>
              <w:spacing w:after="0"/>
              <w:rPr>
                <w:sz w:val="1"/>
                <w:szCs w:val="1"/>
                <w:color w:val="auto"/>
              </w:rPr>
            </w:pPr>
          </w:p>
        </w:tc>
      </w:tr>
      <w:tr>
        <w:trPr>
          <w:trHeight w:val="230"/>
        </w:trPr>
        <w:tc>
          <w:tcPr>
            <w:tcW w:w="3780" w:type="dxa"/>
            <w:vAlign w:val="bottom"/>
          </w:tcPr>
          <w:p>
            <w:pPr>
              <w:ind w:left="20"/>
              <w:spacing w:after="0"/>
              <w:rPr>
                <w:sz w:val="20"/>
                <w:szCs w:val="20"/>
                <w:color w:val="auto"/>
              </w:rPr>
            </w:pPr>
            <w:r>
              <w:rPr>
                <w:rFonts w:ascii="Arial" w:cs="Arial" w:eastAsia="Arial" w:hAnsi="Arial"/>
                <w:sz w:val="14"/>
                <w:szCs w:val="14"/>
                <w:color w:val="auto"/>
              </w:rPr>
              <w:t>Rattlesnake Drop Down</w:t>
            </w:r>
          </w:p>
        </w:tc>
        <w:tc>
          <w:tcPr>
            <w:tcW w:w="80" w:type="dxa"/>
            <w:vAlign w:val="bottom"/>
          </w:tcPr>
          <w:p>
            <w:pPr>
              <w:spacing w:after="0"/>
              <w:rPr>
                <w:sz w:val="19"/>
                <w:szCs w:val="19"/>
                <w:color w:val="auto"/>
              </w:rPr>
            </w:pPr>
          </w:p>
        </w:tc>
        <w:tc>
          <w:tcPr>
            <w:tcW w:w="8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76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(117)</w:t>
            </w:r>
          </w:p>
        </w:tc>
        <w:tc>
          <w:tcPr>
            <w:tcW w:w="0" w:type="dxa"/>
            <w:vAlign w:val="bottom"/>
          </w:tcPr>
          <w:p>
            <w:pPr>
              <w:spacing w:after="0"/>
              <w:rPr>
                <w:sz w:val="1"/>
                <w:szCs w:val="1"/>
                <w:color w:val="auto"/>
              </w:rPr>
            </w:pPr>
          </w:p>
        </w:tc>
      </w:tr>
      <w:tr>
        <w:trPr>
          <w:trHeight w:val="229"/>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Mesquite Sky Drop Down</w:t>
            </w:r>
          </w:p>
        </w:tc>
        <w:tc>
          <w:tcPr>
            <w:tcW w:w="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78</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(120)</w:t>
            </w:r>
          </w:p>
        </w:tc>
        <w:tc>
          <w:tcPr>
            <w:tcW w:w="0" w:type="dxa"/>
            <w:vAlign w:val="bottom"/>
          </w:tcPr>
          <w:p>
            <w:pPr>
              <w:spacing w:after="0"/>
              <w:rPr>
                <w:sz w:val="1"/>
                <w:szCs w:val="1"/>
                <w:color w:val="auto"/>
              </w:rPr>
            </w:pPr>
          </w:p>
        </w:tc>
      </w:tr>
      <w:tr>
        <w:trPr>
          <w:trHeight w:val="230"/>
        </w:trPr>
        <w:tc>
          <w:tcPr>
            <w:tcW w:w="3780" w:type="dxa"/>
            <w:vAlign w:val="bottom"/>
          </w:tcPr>
          <w:p>
            <w:pPr>
              <w:ind w:left="20"/>
              <w:spacing w:after="0"/>
              <w:rPr>
                <w:sz w:val="20"/>
                <w:szCs w:val="20"/>
                <w:color w:val="auto"/>
              </w:rPr>
            </w:pPr>
            <w:r>
              <w:rPr>
                <w:rFonts w:ascii="Arial" w:cs="Arial" w:eastAsia="Arial" w:hAnsi="Arial"/>
                <w:sz w:val="14"/>
                <w:szCs w:val="14"/>
                <w:color w:val="auto"/>
              </w:rPr>
              <w:t>Black Rock Drop Down</w:t>
            </w:r>
          </w:p>
        </w:tc>
        <w:tc>
          <w:tcPr>
            <w:tcW w:w="80" w:type="dxa"/>
            <w:vAlign w:val="bottom"/>
          </w:tcPr>
          <w:p>
            <w:pPr>
              <w:spacing w:after="0"/>
              <w:rPr>
                <w:sz w:val="19"/>
                <w:szCs w:val="19"/>
                <w:color w:val="auto"/>
              </w:rPr>
            </w:pPr>
          </w:p>
        </w:tc>
        <w:tc>
          <w:tcPr>
            <w:tcW w:w="8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76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16</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(153)</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(137)</w:t>
            </w:r>
          </w:p>
        </w:tc>
        <w:tc>
          <w:tcPr>
            <w:tcW w:w="0" w:type="dxa"/>
            <w:vAlign w:val="bottom"/>
          </w:tcPr>
          <w:p>
            <w:pPr>
              <w:spacing w:after="0"/>
              <w:rPr>
                <w:sz w:val="1"/>
                <w:szCs w:val="1"/>
                <w:color w:val="auto"/>
              </w:rPr>
            </w:pPr>
          </w:p>
        </w:tc>
      </w:tr>
      <w:tr>
        <w:trPr>
          <w:trHeight w:val="230"/>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Stock-based compensation</w:t>
            </w:r>
          </w:p>
        </w:tc>
        <w:tc>
          <w:tcPr>
            <w:tcW w:w="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w:t>
            </w:r>
          </w:p>
        </w:tc>
        <w:tc>
          <w:tcPr>
            <w:tcW w:w="0" w:type="dxa"/>
            <w:vAlign w:val="bottom"/>
          </w:tcPr>
          <w:p>
            <w:pPr>
              <w:spacing w:after="0"/>
              <w:rPr>
                <w:sz w:val="1"/>
                <w:szCs w:val="1"/>
                <w:color w:val="auto"/>
              </w:rPr>
            </w:pPr>
          </w:p>
        </w:tc>
      </w:tr>
      <w:tr>
        <w:trPr>
          <w:trHeight w:val="230"/>
        </w:trPr>
        <w:tc>
          <w:tcPr>
            <w:tcW w:w="3780" w:type="dxa"/>
            <w:vAlign w:val="bottom"/>
          </w:tcPr>
          <w:p>
            <w:pPr>
              <w:ind w:left="20"/>
              <w:spacing w:after="0"/>
              <w:rPr>
                <w:sz w:val="20"/>
                <w:szCs w:val="20"/>
                <w:color w:val="auto"/>
              </w:rPr>
            </w:pPr>
            <w:r>
              <w:rPr>
                <w:rFonts w:ascii="Arial" w:cs="Arial" w:eastAsia="Arial" w:hAnsi="Arial"/>
                <w:sz w:val="14"/>
                <w:szCs w:val="14"/>
                <w:color w:val="auto"/>
              </w:rPr>
              <w:t>Non-cash adjustment for change in tax basis</w:t>
            </w:r>
          </w:p>
        </w:tc>
        <w:tc>
          <w:tcPr>
            <w:tcW w:w="80" w:type="dxa"/>
            <w:vAlign w:val="bottom"/>
          </w:tcPr>
          <w:p>
            <w:pPr>
              <w:spacing w:after="0"/>
              <w:rPr>
                <w:sz w:val="19"/>
                <w:szCs w:val="19"/>
                <w:color w:val="auto"/>
              </w:rPr>
            </w:pPr>
          </w:p>
        </w:tc>
        <w:tc>
          <w:tcPr>
            <w:tcW w:w="80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76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(7)</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ind w:left="7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9"/>
                <w:szCs w:val="19"/>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(7)</w:t>
            </w:r>
          </w:p>
        </w:tc>
        <w:tc>
          <w:tcPr>
            <w:tcW w:w="0" w:type="dxa"/>
            <w:vAlign w:val="bottom"/>
          </w:tcPr>
          <w:p>
            <w:pPr>
              <w:spacing w:after="0"/>
              <w:rPr>
                <w:sz w:val="1"/>
                <w:szCs w:val="1"/>
                <w:color w:val="auto"/>
              </w:rPr>
            </w:pPr>
          </w:p>
        </w:tc>
      </w:tr>
      <w:tr>
        <w:trPr>
          <w:trHeight w:val="229"/>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Common stock dividends and distributions to CEG</w:t>
            </w:r>
          </w:p>
        </w:tc>
        <w:tc>
          <w:tcPr>
            <w:tcW w:w="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76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(155)</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(113)</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(268)</w:t>
            </w:r>
          </w:p>
        </w:tc>
        <w:tc>
          <w:tcPr>
            <w:tcW w:w="0" w:type="dxa"/>
            <w:vAlign w:val="bottom"/>
          </w:tcPr>
          <w:p>
            <w:pPr>
              <w:spacing w:after="0"/>
              <w:rPr>
                <w:sz w:val="1"/>
                <w:szCs w:val="1"/>
                <w:color w:val="auto"/>
              </w:rPr>
            </w:pPr>
          </w:p>
        </w:tc>
      </w:tr>
      <w:tr>
        <w:trPr>
          <w:trHeight w:val="183"/>
        </w:trPr>
        <w:tc>
          <w:tcPr>
            <w:tcW w:w="3780" w:type="dxa"/>
            <w:vAlign w:val="bottom"/>
          </w:tcPr>
          <w:p>
            <w:pPr>
              <w:ind w:left="20"/>
              <w:spacing w:after="0"/>
              <w:rPr>
                <w:sz w:val="20"/>
                <w:szCs w:val="20"/>
                <w:color w:val="auto"/>
              </w:rPr>
            </w:pPr>
            <w:r>
              <w:rPr>
                <w:rFonts w:ascii="Arial" w:cs="Arial" w:eastAsia="Arial" w:hAnsi="Arial"/>
                <w:sz w:val="14"/>
                <w:szCs w:val="14"/>
                <w:color w:val="auto"/>
              </w:rPr>
              <w:t>Balances at December 31, 2021</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4"/>
                <w:szCs w:val="14"/>
                <w:color w:val="auto"/>
              </w:rPr>
              <w:t>1</w:t>
            </w:r>
          </w:p>
        </w:tc>
        <w:tc>
          <w:tcPr>
            <w:tcW w:w="80" w:type="dxa"/>
            <w:vAlign w:val="bottom"/>
          </w:tcPr>
          <w:p>
            <w:pPr>
              <w:spacing w:after="0"/>
              <w:rPr>
                <w:sz w:val="15"/>
                <w:szCs w:val="15"/>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1,872</w:t>
            </w:r>
          </w:p>
        </w:tc>
        <w:tc>
          <w:tcPr>
            <w:tcW w:w="180" w:type="dxa"/>
            <w:vAlign w:val="bottom"/>
          </w:tcPr>
          <w:p>
            <w:pPr>
              <w:spacing w:after="0"/>
              <w:rPr>
                <w:sz w:val="15"/>
                <w:szCs w:val="15"/>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(33)</w:t>
            </w:r>
          </w:p>
        </w:tc>
        <w:tc>
          <w:tcPr>
            <w:tcW w:w="140" w:type="dxa"/>
            <w:vAlign w:val="bottom"/>
          </w:tcPr>
          <w:p>
            <w:pPr>
              <w:spacing w:after="0"/>
              <w:rPr>
                <w:sz w:val="15"/>
                <w:szCs w:val="15"/>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15"/>
                <w:szCs w:val="15"/>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4"/>
                <w:szCs w:val="14"/>
                <w:color w:val="auto"/>
              </w:rPr>
              <w:t>1,466</w:t>
            </w:r>
          </w:p>
        </w:tc>
        <w:tc>
          <w:tcPr>
            <w:tcW w:w="140" w:type="dxa"/>
            <w:vAlign w:val="bottom"/>
          </w:tcPr>
          <w:p>
            <w:pPr>
              <w:spacing w:after="0"/>
              <w:rPr>
                <w:sz w:val="15"/>
                <w:szCs w:val="15"/>
                <w:color w:val="auto"/>
              </w:rPr>
            </w:pPr>
          </w:p>
        </w:tc>
        <w:tc>
          <w:tcPr>
            <w:tcW w:w="8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4"/>
                <w:szCs w:val="14"/>
                <w:color w:val="auto"/>
              </w:rPr>
              <w:t>3,300</w:t>
            </w: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140"/>
          </w:cols>
          <w:pgMar w:left="380" w:top="769" w:right="379" w:bottom="1440" w:gutter="0" w:footer="0" w:header="0"/>
        </w:sectPr>
      </w:pPr>
    </w:p>
    <w:bookmarkStart w:id="15" w:name="page16"/>
    <w:bookmarkEnd w:id="15"/>
    <w:p>
      <w:pPr>
        <w:spacing w:after="0"/>
        <w:rPr>
          <w:sz w:val="20"/>
          <w:szCs w:val="20"/>
          <w:color w:val="auto"/>
        </w:rPr>
      </w:pPr>
      <w:r>
        <w:rPr>
          <w:rFonts w:ascii="Arial" w:cs="Arial" w:eastAsia="Arial" w:hAnsi="Arial"/>
          <w:sz w:val="20"/>
          <w:szCs w:val="20"/>
          <w:b w:val="1"/>
          <w:bCs w:val="1"/>
          <w:color w:val="auto"/>
        </w:rPr>
        <w:t>Appendix Table A-1: Three Months Ended December 31, 2021, Segment Adjusted EBITDA Reconciliation</w:t>
      </w:r>
    </w:p>
    <w:p>
      <w:pPr>
        <w:spacing w:after="0" w:line="22"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summarizes the calculation of Adjusted EBITDA and provides a reconciliation to Net Income/(Loss):</w:t>
      </w:r>
    </w:p>
    <w:p>
      <w:pPr>
        <w:spacing w:after="0" w:line="61"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4200" w:type="dxa"/>
            <w:vAlign w:val="bottom"/>
            <w:gridSpan w:val="2"/>
          </w:tcPr>
          <w:p>
            <w:pPr>
              <w:ind w:left="20"/>
              <w:spacing w:after="0"/>
              <w:rPr>
                <w:sz w:val="20"/>
                <w:szCs w:val="20"/>
                <w:color w:val="auto"/>
              </w:rPr>
            </w:pPr>
            <w:r>
              <w:rPr>
                <w:rFonts w:ascii="Arial" w:cs="Arial" w:eastAsia="Arial" w:hAnsi="Arial"/>
                <w:sz w:val="18"/>
                <w:szCs w:val="18"/>
                <w:i w:val="1"/>
                <w:iCs w:val="1"/>
                <w:color w:val="auto"/>
              </w:rPr>
              <w:t>($ in millions)</w:t>
            </w: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1"/>
              <w:spacing w:after="0"/>
              <w:rPr>
                <w:sz w:val="20"/>
                <w:szCs w:val="20"/>
                <w:color w:val="auto"/>
              </w:rPr>
            </w:pPr>
            <w:r>
              <w:rPr>
                <w:rFonts w:ascii="Arial" w:cs="Arial" w:eastAsia="Arial" w:hAnsi="Arial"/>
                <w:sz w:val="14"/>
                <w:szCs w:val="14"/>
                <w:b w:val="1"/>
                <w:bCs w:val="1"/>
                <w:color w:val="auto"/>
                <w:w w:val="96"/>
              </w:rPr>
              <w:t>Conventional</w:t>
            </w:r>
          </w:p>
        </w:tc>
        <w:tc>
          <w:tcPr>
            <w:tcW w:w="14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6"/>
              </w:rPr>
              <w:t>Renewables</w:t>
            </w:r>
          </w:p>
        </w:tc>
        <w:tc>
          <w:tcPr>
            <w:tcW w:w="140" w:type="dxa"/>
            <w:vAlign w:val="bottom"/>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Thermal</w:t>
            </w:r>
          </w:p>
        </w:tc>
        <w:tc>
          <w:tcPr>
            <w:tcW w:w="300" w:type="dxa"/>
            <w:vAlign w:val="bottom"/>
            <w:tcBorders>
              <w:top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Corporate</w:t>
            </w:r>
          </w:p>
        </w:tc>
        <w:tc>
          <w:tcPr>
            <w:tcW w:w="14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29"/>
        </w:trPr>
        <w:tc>
          <w:tcPr>
            <w:tcW w:w="40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Net Income (Loss)</w:t>
            </w:r>
          </w:p>
        </w:tc>
        <w:tc>
          <w:tcPr>
            <w:tcW w:w="12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w:t>
            </w:r>
          </w:p>
        </w:tc>
        <w:tc>
          <w:tcPr>
            <w:tcW w:w="14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w:t>
            </w:r>
          </w:p>
        </w:tc>
        <w:tc>
          <w:tcPr>
            <w:tcW w:w="140" w:type="dxa"/>
            <w:vAlign w:val="bottom"/>
            <w:tcBorders>
              <w:bottom w:val="single" w:sz="8" w:color="CCEEFF"/>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756"/>
              <w:spacing w:after="0"/>
              <w:rPr>
                <w:sz w:val="20"/>
                <w:szCs w:val="20"/>
                <w:color w:val="auto"/>
              </w:rPr>
            </w:pPr>
            <w:r>
              <w:rPr>
                <w:rFonts w:ascii="Arial" w:cs="Arial" w:eastAsia="Arial" w:hAnsi="Arial"/>
                <w:sz w:val="18"/>
                <w:szCs w:val="18"/>
                <w:color w:val="auto"/>
                <w:w w:val="7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w:t>
            </w:r>
          </w:p>
        </w:tc>
        <w:tc>
          <w:tcPr>
            <w:tcW w:w="140" w:type="dxa"/>
            <w:vAlign w:val="bottom"/>
            <w:tcBorders>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w:t>
            </w:r>
          </w:p>
        </w:tc>
        <w:tc>
          <w:tcPr>
            <w:tcW w:w="140" w:type="dxa"/>
            <w:vAlign w:val="bottom"/>
            <w:tcBorders>
              <w:bottom w:val="single" w:sz="8" w:color="CCEEFF"/>
            </w:tcBorders>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23"/>
        </w:trPr>
        <w:tc>
          <w:tcPr>
            <w:tcW w:w="4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Plus:</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Income Tax Expense</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22</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Interest Expense, net</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29"/>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Depreciation, Amortization, and ARO</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33</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88</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Contract Amortization</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Impairment Losses</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on Debt Extinguishment</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spacing w:after="0"/>
              <w:rPr>
                <w:sz w:val="19"/>
                <w:szCs w:val="19"/>
                <w:color w:val="auto"/>
              </w:rPr>
            </w:pPr>
          </w:p>
        </w:tc>
        <w:tc>
          <w:tcPr>
            <w:tcW w:w="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29"/>
        </w:trPr>
        <w:tc>
          <w:tcPr>
            <w:tcW w:w="4200" w:type="dxa"/>
            <w:vAlign w:val="bottom"/>
            <w:gridSpan w:val="2"/>
          </w:tcPr>
          <w:p>
            <w:pPr>
              <w:ind w:left="180"/>
              <w:spacing w:after="0"/>
              <w:rPr>
                <w:sz w:val="20"/>
                <w:szCs w:val="20"/>
                <w:color w:val="auto"/>
              </w:rPr>
            </w:pPr>
            <w:r>
              <w:rPr>
                <w:rFonts w:ascii="Arial" w:cs="Arial" w:eastAsia="Arial" w:hAnsi="Arial"/>
                <w:sz w:val="18"/>
                <w:szCs w:val="18"/>
                <w:color w:val="auto"/>
                <w:w w:val="98"/>
              </w:rPr>
              <w:t>Mark to Market (MtM) Losses on economic hedges</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Transaction and integration costs</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spacing w:after="0"/>
              <w:rPr>
                <w:sz w:val="19"/>
                <w:szCs w:val="19"/>
                <w:color w:val="auto"/>
              </w:rPr>
            </w:pPr>
          </w:p>
        </w:tc>
        <w:tc>
          <w:tcPr>
            <w:tcW w:w="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9"/>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Other non-recurring charges</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176"/>
        </w:trPr>
        <w:tc>
          <w:tcPr>
            <w:tcW w:w="4200" w:type="dxa"/>
            <w:vAlign w:val="bottom"/>
            <w:gridSpan w:val="2"/>
            <w:shd w:val="clear" w:color="auto" w:fill="CCEEFF"/>
          </w:tcPr>
          <w:p>
            <w:pPr>
              <w:ind w:left="180"/>
              <w:spacing w:after="0" w:line="176" w:lineRule="exact"/>
              <w:rPr>
                <w:sz w:val="20"/>
                <w:szCs w:val="20"/>
                <w:color w:val="auto"/>
              </w:rPr>
            </w:pPr>
            <w:r>
              <w:rPr>
                <w:rFonts w:ascii="Arial" w:cs="Arial" w:eastAsia="Arial" w:hAnsi="Arial"/>
                <w:sz w:val="18"/>
                <w:szCs w:val="18"/>
                <w:color w:val="auto"/>
              </w:rPr>
              <w:t>Adjustments to reflect CWEN’s pro-rata share of</w:t>
            </w:r>
          </w:p>
        </w:tc>
        <w:tc>
          <w:tcPr>
            <w:tcW w:w="16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4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5"/>
                <w:szCs w:val="15"/>
                <w:color w:val="auto"/>
              </w:rPr>
            </w:pPr>
          </w:p>
        </w:tc>
        <w:tc>
          <w:tcPr>
            <w:tcW w:w="11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5"/>
                <w:szCs w:val="15"/>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w w:val="99"/>
              </w:rPr>
              <w:t>Adjusted EBITDA from Unconsolidated Affiliates</w:t>
            </w:r>
          </w:p>
        </w:tc>
        <w:tc>
          <w:tcPr>
            <w:tcW w:w="160" w:type="dxa"/>
            <w:vAlign w:val="bottom"/>
            <w:shd w:val="clear" w:color="auto" w:fill="CCEEFF"/>
          </w:tcPr>
          <w:p>
            <w:pPr>
              <w:spacing w:after="0"/>
              <w:rPr>
                <w:sz w:val="19"/>
                <w:szCs w:val="19"/>
                <w:color w:val="auto"/>
              </w:rPr>
            </w:pPr>
          </w:p>
        </w:tc>
        <w:tc>
          <w:tcPr>
            <w:tcW w:w="1080" w:type="dxa"/>
            <w:vAlign w:val="bottom"/>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40" w:type="dxa"/>
            <w:vAlign w:val="bottom"/>
            <w:gridSpan w:val="2"/>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gridSpan w:val="2"/>
            <w:vMerge w:val="continue"/>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Non-Cash Equity Compensation</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48"/>
        </w:trPr>
        <w:tc>
          <w:tcPr>
            <w:tcW w:w="408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Adjusted EBITDA</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101</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142</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756"/>
              <w:spacing w:after="0"/>
              <w:rPr>
                <w:sz w:val="20"/>
                <w:szCs w:val="20"/>
                <w:color w:val="auto"/>
              </w:rPr>
            </w:pPr>
            <w:r>
              <w:rPr>
                <w:rFonts w:ascii="Arial" w:cs="Arial" w:eastAsia="Arial" w:hAnsi="Arial"/>
                <w:sz w:val="18"/>
                <w:szCs w:val="18"/>
                <w:b w:val="1"/>
                <w:bCs w:val="1"/>
                <w:color w:val="auto"/>
                <w:w w:val="79"/>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250</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Appendix Table A-2: Three Months Ended December 31, 2020, Segment Adjusted EBITDA Reconciliation</w:t>
      </w:r>
    </w:p>
    <w:p>
      <w:pPr>
        <w:spacing w:after="0" w:line="22"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summarizes the calculation of Adjusted EBITDA and provides a reconciliation to Net Income/(Loss):</w:t>
      </w:r>
    </w:p>
    <w:p>
      <w:pPr>
        <w:spacing w:after="0" w:line="61"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4200" w:type="dxa"/>
            <w:vAlign w:val="bottom"/>
            <w:gridSpan w:val="2"/>
          </w:tcPr>
          <w:p>
            <w:pPr>
              <w:ind w:left="20"/>
              <w:spacing w:after="0"/>
              <w:rPr>
                <w:sz w:val="20"/>
                <w:szCs w:val="20"/>
                <w:color w:val="auto"/>
              </w:rPr>
            </w:pPr>
            <w:r>
              <w:rPr>
                <w:rFonts w:ascii="Arial" w:cs="Arial" w:eastAsia="Arial" w:hAnsi="Arial"/>
                <w:sz w:val="18"/>
                <w:szCs w:val="18"/>
                <w:i w:val="1"/>
                <w:iCs w:val="1"/>
                <w:color w:val="auto"/>
              </w:rPr>
              <w:t>($ in millions)</w:t>
            </w: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1"/>
              <w:spacing w:after="0"/>
              <w:rPr>
                <w:sz w:val="20"/>
                <w:szCs w:val="20"/>
                <w:color w:val="auto"/>
              </w:rPr>
            </w:pPr>
            <w:r>
              <w:rPr>
                <w:rFonts w:ascii="Arial" w:cs="Arial" w:eastAsia="Arial" w:hAnsi="Arial"/>
                <w:sz w:val="14"/>
                <w:szCs w:val="14"/>
                <w:b w:val="1"/>
                <w:bCs w:val="1"/>
                <w:color w:val="auto"/>
                <w:w w:val="96"/>
              </w:rPr>
              <w:t>Conventional</w:t>
            </w:r>
          </w:p>
        </w:tc>
        <w:tc>
          <w:tcPr>
            <w:tcW w:w="14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6"/>
              </w:rPr>
              <w:t>Renewables</w:t>
            </w:r>
          </w:p>
        </w:tc>
        <w:tc>
          <w:tcPr>
            <w:tcW w:w="140" w:type="dxa"/>
            <w:vAlign w:val="bottom"/>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Thermal</w:t>
            </w:r>
          </w:p>
        </w:tc>
        <w:tc>
          <w:tcPr>
            <w:tcW w:w="300" w:type="dxa"/>
            <w:vAlign w:val="bottom"/>
            <w:tcBorders>
              <w:top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Corporate</w:t>
            </w:r>
          </w:p>
        </w:tc>
        <w:tc>
          <w:tcPr>
            <w:tcW w:w="14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30"/>
        </w:trPr>
        <w:tc>
          <w:tcPr>
            <w:tcW w:w="40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Net Income (Loss)</w:t>
            </w:r>
          </w:p>
        </w:tc>
        <w:tc>
          <w:tcPr>
            <w:tcW w:w="12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w:t>
            </w:r>
          </w:p>
        </w:tc>
        <w:tc>
          <w:tcPr>
            <w:tcW w:w="14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(83)</w:t>
            </w:r>
          </w:p>
        </w:tc>
        <w:tc>
          <w:tcPr>
            <w:tcW w:w="140" w:type="dxa"/>
            <w:vAlign w:val="bottom"/>
            <w:tcBorders>
              <w:bottom w:val="single" w:sz="8" w:color="CCEEFF"/>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756"/>
              <w:spacing w:after="0"/>
              <w:rPr>
                <w:sz w:val="20"/>
                <w:szCs w:val="20"/>
                <w:color w:val="auto"/>
              </w:rPr>
            </w:pPr>
            <w:r>
              <w:rPr>
                <w:rFonts w:ascii="Arial" w:cs="Arial" w:eastAsia="Arial" w:hAnsi="Arial"/>
                <w:sz w:val="18"/>
                <w:szCs w:val="18"/>
                <w:color w:val="auto"/>
                <w:w w:val="7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40" w:type="dxa"/>
            <w:vAlign w:val="bottom"/>
            <w:tcBorders>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140" w:type="dxa"/>
            <w:vAlign w:val="bottom"/>
            <w:tcBorders>
              <w:bottom w:val="single" w:sz="8" w:color="CCEEFF"/>
            </w:tcBorders>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23"/>
        </w:trPr>
        <w:tc>
          <w:tcPr>
            <w:tcW w:w="4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Plus:</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Income Tax Benefit</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Interest Expense, net</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Depreciation, Amortization, and ARO</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32</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82</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11</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125</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Contract Amortization</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175"/>
        </w:trPr>
        <w:tc>
          <w:tcPr>
            <w:tcW w:w="4200" w:type="dxa"/>
            <w:vAlign w:val="bottom"/>
            <w:gridSpan w:val="2"/>
          </w:tcPr>
          <w:p>
            <w:pPr>
              <w:ind w:left="180"/>
              <w:spacing w:after="0" w:line="176" w:lineRule="exact"/>
              <w:rPr>
                <w:sz w:val="20"/>
                <w:szCs w:val="20"/>
                <w:color w:val="auto"/>
              </w:rPr>
            </w:pPr>
            <w:r>
              <w:rPr>
                <w:rFonts w:ascii="Arial" w:cs="Arial" w:eastAsia="Arial" w:hAnsi="Arial"/>
                <w:sz w:val="18"/>
                <w:szCs w:val="18"/>
                <w:color w:val="auto"/>
              </w:rPr>
              <w:t>Impairment Losses and Impairment on Equity</w:t>
            </w:r>
          </w:p>
        </w:tc>
        <w:tc>
          <w:tcPr>
            <w:tcW w:w="160" w:type="dxa"/>
            <w:vAlign w:val="bottom"/>
          </w:tcPr>
          <w:p>
            <w:pPr>
              <w:spacing w:after="0"/>
              <w:rPr>
                <w:sz w:val="15"/>
                <w:szCs w:val="15"/>
                <w:color w:val="auto"/>
              </w:rPr>
            </w:pPr>
          </w:p>
        </w:tc>
        <w:tc>
          <w:tcPr>
            <w:tcW w:w="1220" w:type="dxa"/>
            <w:vAlign w:val="bottom"/>
            <w:gridSpan w:val="2"/>
            <w:vMerge w:val="restart"/>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5"/>
                <w:szCs w:val="15"/>
                <w:color w:val="auto"/>
              </w:rPr>
            </w:pPr>
          </w:p>
        </w:tc>
        <w:tc>
          <w:tcPr>
            <w:tcW w:w="1060" w:type="dxa"/>
            <w:vAlign w:val="bottom"/>
            <w:vMerge w:val="restart"/>
          </w:tcPr>
          <w:p>
            <w:pPr>
              <w:jc w:val="right"/>
              <w:spacing w:after="0"/>
              <w:rPr>
                <w:sz w:val="20"/>
                <w:szCs w:val="20"/>
                <w:color w:val="auto"/>
              </w:rPr>
            </w:pPr>
            <w:r>
              <w:rPr>
                <w:rFonts w:ascii="Arial" w:cs="Arial" w:eastAsia="Arial" w:hAnsi="Arial"/>
                <w:sz w:val="18"/>
                <w:szCs w:val="18"/>
                <w:color w:val="auto"/>
              </w:rPr>
              <w:t>32</w:t>
            </w:r>
          </w:p>
        </w:tc>
        <w:tc>
          <w:tcPr>
            <w:tcW w:w="1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440" w:type="dxa"/>
            <w:vAlign w:val="bottom"/>
            <w:gridSpan w:val="2"/>
            <w:vMerge w:val="restart"/>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5"/>
                <w:szCs w:val="15"/>
                <w:color w:val="auto"/>
              </w:rPr>
            </w:pPr>
          </w:p>
        </w:tc>
        <w:tc>
          <w:tcPr>
            <w:tcW w:w="118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5"/>
                <w:szCs w:val="15"/>
                <w:color w:val="auto"/>
              </w:rPr>
            </w:pPr>
          </w:p>
        </w:tc>
        <w:tc>
          <w:tcPr>
            <w:tcW w:w="960" w:type="dxa"/>
            <w:vAlign w:val="bottom"/>
            <w:vMerge w:val="restart"/>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30"/>
        </w:trPr>
        <w:tc>
          <w:tcPr>
            <w:tcW w:w="4200" w:type="dxa"/>
            <w:vAlign w:val="bottom"/>
            <w:gridSpan w:val="2"/>
          </w:tcPr>
          <w:p>
            <w:pPr>
              <w:ind w:left="360"/>
              <w:spacing w:after="0"/>
              <w:rPr>
                <w:sz w:val="20"/>
                <w:szCs w:val="20"/>
                <w:color w:val="auto"/>
              </w:rPr>
            </w:pPr>
            <w:r>
              <w:rPr>
                <w:rFonts w:ascii="Arial" w:cs="Arial" w:eastAsia="Arial" w:hAnsi="Arial"/>
                <w:sz w:val="18"/>
                <w:szCs w:val="18"/>
                <w:color w:val="auto"/>
              </w:rPr>
              <w:t>Investment</w:t>
            </w:r>
          </w:p>
        </w:tc>
        <w:tc>
          <w:tcPr>
            <w:tcW w:w="160" w:type="dxa"/>
            <w:vAlign w:val="bottom"/>
          </w:tcPr>
          <w:p>
            <w:pPr>
              <w:spacing w:after="0"/>
              <w:rPr>
                <w:sz w:val="19"/>
                <w:szCs w:val="19"/>
                <w:color w:val="auto"/>
              </w:rPr>
            </w:pPr>
          </w:p>
        </w:tc>
        <w:tc>
          <w:tcPr>
            <w:tcW w:w="122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4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on Debt Extinguishment</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w w:val="98"/>
              </w:rPr>
              <w:t>Mark to Market (MtM) Losses on economic hedges</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Transaction and integration costs</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spacing w:after="0"/>
              <w:rPr>
                <w:sz w:val="19"/>
                <w:szCs w:val="19"/>
                <w:color w:val="auto"/>
              </w:rPr>
            </w:pPr>
          </w:p>
        </w:tc>
        <w:tc>
          <w:tcPr>
            <w:tcW w:w="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Other non-recurring charges</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175"/>
        </w:trPr>
        <w:tc>
          <w:tcPr>
            <w:tcW w:w="4200" w:type="dxa"/>
            <w:vAlign w:val="bottom"/>
            <w:gridSpan w:val="2"/>
            <w:shd w:val="clear" w:color="auto" w:fill="CCEEFF"/>
          </w:tcPr>
          <w:p>
            <w:pPr>
              <w:ind w:left="180"/>
              <w:spacing w:after="0" w:line="176" w:lineRule="exact"/>
              <w:rPr>
                <w:sz w:val="20"/>
                <w:szCs w:val="20"/>
                <w:color w:val="auto"/>
              </w:rPr>
            </w:pPr>
            <w:r>
              <w:rPr>
                <w:rFonts w:ascii="Arial" w:cs="Arial" w:eastAsia="Arial" w:hAnsi="Arial"/>
                <w:sz w:val="18"/>
                <w:szCs w:val="18"/>
                <w:color w:val="auto"/>
              </w:rPr>
              <w:t>Adjustments to reflect CWEN’s pro-rata share of</w:t>
            </w:r>
          </w:p>
        </w:tc>
        <w:tc>
          <w:tcPr>
            <w:tcW w:w="16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4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5"/>
                <w:szCs w:val="15"/>
                <w:color w:val="auto"/>
              </w:rPr>
            </w:pPr>
          </w:p>
        </w:tc>
        <w:tc>
          <w:tcPr>
            <w:tcW w:w="11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5"/>
                <w:szCs w:val="15"/>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w w:val="99"/>
              </w:rPr>
              <w:t>Adjusted EBITDA from Unconsolidated Affiliates</w:t>
            </w:r>
          </w:p>
        </w:tc>
        <w:tc>
          <w:tcPr>
            <w:tcW w:w="160" w:type="dxa"/>
            <w:vAlign w:val="bottom"/>
            <w:shd w:val="clear" w:color="auto" w:fill="CCEEFF"/>
          </w:tcPr>
          <w:p>
            <w:pPr>
              <w:spacing w:after="0"/>
              <w:rPr>
                <w:sz w:val="19"/>
                <w:szCs w:val="19"/>
                <w:color w:val="auto"/>
              </w:rPr>
            </w:pPr>
          </w:p>
        </w:tc>
        <w:tc>
          <w:tcPr>
            <w:tcW w:w="1080" w:type="dxa"/>
            <w:vAlign w:val="bottom"/>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40" w:type="dxa"/>
            <w:vAlign w:val="bottom"/>
            <w:gridSpan w:val="2"/>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gridSpan w:val="2"/>
            <w:vMerge w:val="continue"/>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Non-Cash Equity Compensation</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9"/>
                <w:szCs w:val="19"/>
                <w:color w:val="auto"/>
              </w:rPr>
            </w:pPr>
          </w:p>
        </w:tc>
        <w:tc>
          <w:tcPr>
            <w:tcW w:w="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48"/>
        </w:trPr>
        <w:tc>
          <w:tcPr>
            <w:tcW w:w="408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Adjusted EBITDA</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99</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119</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756"/>
              <w:spacing w:after="0"/>
              <w:rPr>
                <w:sz w:val="20"/>
                <w:szCs w:val="20"/>
                <w:color w:val="auto"/>
              </w:rPr>
            </w:pPr>
            <w:r>
              <w:rPr>
                <w:rFonts w:ascii="Arial" w:cs="Arial" w:eastAsia="Arial" w:hAnsi="Arial"/>
                <w:sz w:val="18"/>
                <w:szCs w:val="18"/>
                <w:b w:val="1"/>
                <w:bCs w:val="1"/>
                <w:color w:val="auto"/>
                <w:w w:val="79"/>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229</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17"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240"/>
          </w:cols>
          <w:pgMar w:left="320" w:top="765" w:right="339" w:bottom="1440" w:gutter="0" w:footer="0" w:header="0"/>
        </w:sectPr>
      </w:pPr>
    </w:p>
    <w:bookmarkStart w:id="16" w:name="page17"/>
    <w:bookmarkEnd w:id="16"/>
    <w:p>
      <w:pPr>
        <w:spacing w:after="0"/>
        <w:rPr>
          <w:sz w:val="20"/>
          <w:szCs w:val="20"/>
          <w:color w:val="auto"/>
        </w:rPr>
      </w:pPr>
      <w:r>
        <w:rPr>
          <w:rFonts w:ascii="Arial" w:cs="Arial" w:eastAsia="Arial" w:hAnsi="Arial"/>
          <w:sz w:val="20"/>
          <w:szCs w:val="20"/>
          <w:b w:val="1"/>
          <w:bCs w:val="1"/>
          <w:color w:val="auto"/>
        </w:rPr>
        <w:t>Appendix Table A-3: Twelve Months Ended December 31, 2021, Segment Adjusted EBITDA Reconciliation</w:t>
      </w:r>
    </w:p>
    <w:p>
      <w:pPr>
        <w:spacing w:after="0" w:line="22"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summarizes the calculation of Adjusted EBITDA and provides a reconciliation to Net Income/(Loss):</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08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ind w:right="111"/>
              <w:spacing w:after="0"/>
              <w:rPr>
                <w:sz w:val="20"/>
                <w:szCs w:val="20"/>
                <w:color w:val="auto"/>
              </w:rPr>
            </w:pPr>
            <w:r>
              <w:rPr>
                <w:rFonts w:ascii="Arial" w:cs="Arial" w:eastAsia="Arial" w:hAnsi="Arial"/>
                <w:sz w:val="14"/>
                <w:szCs w:val="14"/>
                <w:b w:val="1"/>
                <w:bCs w:val="1"/>
                <w:color w:val="auto"/>
                <w:w w:val="96"/>
              </w:rPr>
              <w:t>Conventional</w:t>
            </w:r>
          </w:p>
        </w:tc>
        <w:tc>
          <w:tcPr>
            <w:tcW w:w="14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6"/>
              </w:rPr>
              <w:t>Renewables</w:t>
            </w:r>
          </w:p>
        </w:tc>
        <w:tc>
          <w:tcPr>
            <w:tcW w:w="140" w:type="dxa"/>
            <w:vAlign w:val="bottom"/>
            <w:tcBorders>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ind w:right="271"/>
              <w:spacing w:after="0"/>
              <w:rPr>
                <w:sz w:val="20"/>
                <w:szCs w:val="20"/>
                <w:color w:val="auto"/>
              </w:rPr>
            </w:pPr>
            <w:r>
              <w:rPr>
                <w:rFonts w:ascii="Arial" w:cs="Arial" w:eastAsia="Arial" w:hAnsi="Arial"/>
                <w:sz w:val="14"/>
                <w:szCs w:val="14"/>
                <w:b w:val="1"/>
                <w:bCs w:val="1"/>
                <w:color w:val="auto"/>
              </w:rPr>
              <w:t>Thermal</w:t>
            </w:r>
          </w:p>
        </w:tc>
        <w:tc>
          <w:tcPr>
            <w:tcW w:w="14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Corporate</w:t>
            </w:r>
          </w:p>
        </w:tc>
        <w:tc>
          <w:tcPr>
            <w:tcW w:w="14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23"/>
        </w:trPr>
        <w:tc>
          <w:tcPr>
            <w:tcW w:w="40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Plus:</w:t>
            </w:r>
          </w:p>
        </w:tc>
        <w:tc>
          <w:tcPr>
            <w:tcW w:w="1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Income Tax Expense</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29"/>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Interest Expense, net</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53</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142</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99</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312</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Depreciation, Amortization, and ARO</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354</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w:t>
            </w:r>
          </w:p>
        </w:tc>
        <w:tc>
          <w:tcPr>
            <w:tcW w:w="0" w:type="dxa"/>
            <w:vAlign w:val="bottom"/>
          </w:tcPr>
          <w:p>
            <w:pPr>
              <w:spacing w:after="0"/>
              <w:rPr>
                <w:sz w:val="1"/>
                <w:szCs w:val="1"/>
                <w:color w:val="auto"/>
              </w:rPr>
            </w:pPr>
          </w:p>
        </w:tc>
      </w:tr>
      <w:tr>
        <w:trPr>
          <w:trHeight w:val="229"/>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Contract Amortization</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23</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118</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144</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Impairment Losses</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Loss on Debt Extinguishment</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52</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7"/>
              </w:rPr>
              <w:t>Mark to Market (MtM) Losses on Economic Hedges</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Transaction and Integration costs</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Other Non-recurring Charges</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176"/>
        </w:trPr>
        <w:tc>
          <w:tcPr>
            <w:tcW w:w="4200" w:type="dxa"/>
            <w:vAlign w:val="bottom"/>
            <w:gridSpan w:val="2"/>
          </w:tcPr>
          <w:p>
            <w:pPr>
              <w:ind w:left="180"/>
              <w:spacing w:after="0" w:line="176" w:lineRule="exact"/>
              <w:rPr>
                <w:sz w:val="20"/>
                <w:szCs w:val="20"/>
                <w:color w:val="auto"/>
              </w:rPr>
            </w:pPr>
            <w:r>
              <w:rPr>
                <w:rFonts w:ascii="Arial" w:cs="Arial" w:eastAsia="Arial" w:hAnsi="Arial"/>
                <w:sz w:val="18"/>
                <w:szCs w:val="18"/>
                <w:color w:val="auto"/>
              </w:rPr>
              <w:t>Adjustments to reflect CWEN’s pro-rata share of</w:t>
            </w:r>
          </w:p>
        </w:tc>
        <w:tc>
          <w:tcPr>
            <w:tcW w:w="160" w:type="dxa"/>
            <w:vAlign w:val="bottom"/>
          </w:tcPr>
          <w:p>
            <w:pPr>
              <w:spacing w:after="0"/>
              <w:rPr>
                <w:sz w:val="15"/>
                <w:szCs w:val="15"/>
                <w:color w:val="auto"/>
              </w:rPr>
            </w:pPr>
          </w:p>
        </w:tc>
        <w:tc>
          <w:tcPr>
            <w:tcW w:w="1080" w:type="dxa"/>
            <w:vAlign w:val="bottom"/>
            <w:vMerge w:val="restart"/>
          </w:tcPr>
          <w:p>
            <w:pPr>
              <w:jc w:val="right"/>
              <w:spacing w:after="0"/>
              <w:rPr>
                <w:sz w:val="20"/>
                <w:szCs w:val="20"/>
                <w:color w:val="auto"/>
              </w:rPr>
            </w:pPr>
            <w:r>
              <w:rPr>
                <w:rFonts w:ascii="Arial" w:cs="Arial" w:eastAsia="Arial" w:hAnsi="Arial"/>
                <w:sz w:val="18"/>
                <w:szCs w:val="18"/>
                <w:color w:val="auto"/>
              </w:rPr>
              <w:t>13</w:t>
            </w: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vMerge w:val="restart"/>
          </w:tcPr>
          <w:p>
            <w:pPr>
              <w:jc w:val="right"/>
              <w:spacing w:after="0"/>
              <w:rPr>
                <w:sz w:val="20"/>
                <w:szCs w:val="20"/>
                <w:color w:val="auto"/>
              </w:rPr>
            </w:pPr>
            <w:r>
              <w:rPr>
                <w:rFonts w:ascii="Arial" w:cs="Arial" w:eastAsia="Arial" w:hAnsi="Arial"/>
                <w:sz w:val="18"/>
                <w:szCs w:val="18"/>
                <w:color w:val="auto"/>
              </w:rPr>
              <w:t>74</w:t>
            </w: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gridSpan w:val="2"/>
            <w:vMerge w:val="restart"/>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5"/>
                <w:szCs w:val="15"/>
                <w:color w:val="auto"/>
              </w:rPr>
            </w:pPr>
          </w:p>
        </w:tc>
        <w:tc>
          <w:tcPr>
            <w:tcW w:w="118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5"/>
                <w:szCs w:val="15"/>
                <w:color w:val="auto"/>
              </w:rPr>
            </w:pPr>
          </w:p>
        </w:tc>
        <w:tc>
          <w:tcPr>
            <w:tcW w:w="960" w:type="dxa"/>
            <w:vAlign w:val="bottom"/>
            <w:vMerge w:val="restart"/>
          </w:tcPr>
          <w:p>
            <w:pPr>
              <w:jc w:val="right"/>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29"/>
        </w:trPr>
        <w:tc>
          <w:tcPr>
            <w:tcW w:w="4200" w:type="dxa"/>
            <w:vAlign w:val="bottom"/>
            <w:gridSpan w:val="2"/>
          </w:tcPr>
          <w:p>
            <w:pPr>
              <w:ind w:left="360"/>
              <w:spacing w:after="0"/>
              <w:rPr>
                <w:sz w:val="20"/>
                <w:szCs w:val="20"/>
                <w:color w:val="auto"/>
              </w:rPr>
            </w:pPr>
            <w:r>
              <w:rPr>
                <w:rFonts w:ascii="Arial" w:cs="Arial" w:eastAsia="Arial" w:hAnsi="Arial"/>
                <w:sz w:val="18"/>
                <w:szCs w:val="18"/>
                <w:color w:val="auto"/>
                <w:w w:val="99"/>
              </w:rPr>
              <w:t>Adjusted EBITDA from Unconsolidated Affiliates</w:t>
            </w:r>
          </w:p>
        </w:tc>
        <w:tc>
          <w:tcPr>
            <w:tcW w:w="160" w:type="dxa"/>
            <w:vAlign w:val="bottom"/>
          </w:tcPr>
          <w:p>
            <w:pPr>
              <w:spacing w:after="0"/>
              <w:rPr>
                <w:sz w:val="19"/>
                <w:szCs w:val="19"/>
                <w:color w:val="auto"/>
              </w:rPr>
            </w:pPr>
          </w:p>
        </w:tc>
        <w:tc>
          <w:tcPr>
            <w:tcW w:w="108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Non-Cash Equity Compensation</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23"/>
        </w:trPr>
        <w:tc>
          <w:tcPr>
            <w:tcW w:w="40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Adjusted EBITDA</w:t>
            </w:r>
          </w:p>
        </w:tc>
        <w:tc>
          <w:tcPr>
            <w:tcW w:w="1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393</w:t>
            </w: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723</w:t>
            </w:r>
          </w:p>
        </w:tc>
        <w:tc>
          <w:tcPr>
            <w:tcW w:w="14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66</w:t>
            </w:r>
          </w:p>
        </w:tc>
        <w:tc>
          <w:tcPr>
            <w:tcW w:w="1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(32)</w:t>
            </w:r>
          </w:p>
        </w:tc>
        <w:tc>
          <w:tcPr>
            <w:tcW w:w="14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1,150</w:t>
            </w:r>
          </w:p>
        </w:tc>
        <w:tc>
          <w:tcPr>
            <w:tcW w:w="0" w:type="dxa"/>
            <w:vAlign w:val="bottom"/>
          </w:tcPr>
          <w:p>
            <w:pPr>
              <w:spacing w:after="0"/>
              <w:rPr>
                <w:sz w:val="1"/>
                <w:szCs w:val="1"/>
                <w:color w:val="auto"/>
              </w:rPr>
            </w:pPr>
          </w:p>
        </w:tc>
      </w:tr>
      <w:tr>
        <w:trPr>
          <w:trHeight w:val="21"/>
        </w:trPr>
        <w:tc>
          <w:tcPr>
            <w:tcW w:w="4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Appendix Table A-4: Twelve Months Ended December 31, 2020, Segment Adjusted EBITDA Reconciliation</w:t>
      </w:r>
    </w:p>
    <w:p>
      <w:pPr>
        <w:spacing w:after="0" w:line="22"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summarizes the calculation of Adjusted EBITDA and provides a reconciliation to Net Income/(Loss):</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408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ind w:right="111"/>
              <w:spacing w:after="0"/>
              <w:rPr>
                <w:sz w:val="20"/>
                <w:szCs w:val="20"/>
                <w:color w:val="auto"/>
              </w:rPr>
            </w:pPr>
            <w:r>
              <w:rPr>
                <w:rFonts w:ascii="Arial" w:cs="Arial" w:eastAsia="Arial" w:hAnsi="Arial"/>
                <w:sz w:val="14"/>
                <w:szCs w:val="14"/>
                <w:b w:val="1"/>
                <w:bCs w:val="1"/>
                <w:color w:val="auto"/>
                <w:w w:val="96"/>
              </w:rPr>
              <w:t>Conventional</w:t>
            </w:r>
          </w:p>
        </w:tc>
        <w:tc>
          <w:tcPr>
            <w:tcW w:w="14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6"/>
              </w:rPr>
              <w:t>Renewables</w:t>
            </w:r>
          </w:p>
        </w:tc>
        <w:tc>
          <w:tcPr>
            <w:tcW w:w="140" w:type="dxa"/>
            <w:vAlign w:val="bottom"/>
            <w:tcBorders>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ind w:right="271"/>
              <w:spacing w:after="0"/>
              <w:rPr>
                <w:sz w:val="20"/>
                <w:szCs w:val="20"/>
                <w:color w:val="auto"/>
              </w:rPr>
            </w:pPr>
            <w:r>
              <w:rPr>
                <w:rFonts w:ascii="Arial" w:cs="Arial" w:eastAsia="Arial" w:hAnsi="Arial"/>
                <w:sz w:val="14"/>
                <w:szCs w:val="14"/>
                <w:b w:val="1"/>
                <w:bCs w:val="1"/>
                <w:color w:val="auto"/>
              </w:rPr>
              <w:t>Thermal</w:t>
            </w:r>
          </w:p>
        </w:tc>
        <w:tc>
          <w:tcPr>
            <w:tcW w:w="14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Corporate</w:t>
            </w:r>
          </w:p>
        </w:tc>
        <w:tc>
          <w:tcPr>
            <w:tcW w:w="14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23"/>
        </w:trPr>
        <w:tc>
          <w:tcPr>
            <w:tcW w:w="40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Plus:</w:t>
            </w:r>
          </w:p>
        </w:tc>
        <w:tc>
          <w:tcPr>
            <w:tcW w:w="1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Income Tax Expense</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Interest Expense, net</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83</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215</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96</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413</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Depreciation, Amortization, and ARO</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w:t>
            </w: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428</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Contract Amortization</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24</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61</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175"/>
        </w:trPr>
        <w:tc>
          <w:tcPr>
            <w:tcW w:w="4200" w:type="dxa"/>
            <w:vAlign w:val="bottom"/>
            <w:gridSpan w:val="2"/>
            <w:shd w:val="clear" w:color="auto" w:fill="CCEEFF"/>
          </w:tcPr>
          <w:p>
            <w:pPr>
              <w:ind w:left="180"/>
              <w:spacing w:after="0" w:line="176" w:lineRule="exact"/>
              <w:rPr>
                <w:sz w:val="20"/>
                <w:szCs w:val="20"/>
                <w:color w:val="auto"/>
              </w:rPr>
            </w:pPr>
            <w:r>
              <w:rPr>
                <w:rFonts w:ascii="Arial" w:cs="Arial" w:eastAsia="Arial" w:hAnsi="Arial"/>
                <w:sz w:val="18"/>
                <w:szCs w:val="18"/>
                <w:color w:val="auto"/>
              </w:rPr>
              <w:t>Impairment Losses and Impairment on Equity</w:t>
            </w:r>
          </w:p>
        </w:tc>
        <w:tc>
          <w:tcPr>
            <w:tcW w:w="160" w:type="dxa"/>
            <w:vAlign w:val="bottom"/>
            <w:shd w:val="clear" w:color="auto" w:fill="CCEEFF"/>
          </w:tcPr>
          <w:p>
            <w:pPr>
              <w:spacing w:after="0"/>
              <w:rPr>
                <w:sz w:val="15"/>
                <w:szCs w:val="15"/>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5"/>
                <w:szCs w:val="15"/>
                <w:color w:val="auto"/>
              </w:rPr>
            </w:pPr>
          </w:p>
        </w:tc>
        <w:tc>
          <w:tcPr>
            <w:tcW w:w="11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5"/>
                <w:szCs w:val="15"/>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Investment</w:t>
            </w:r>
          </w:p>
        </w:tc>
        <w:tc>
          <w:tcPr>
            <w:tcW w:w="160" w:type="dxa"/>
            <w:vAlign w:val="bottom"/>
            <w:shd w:val="clear" w:color="auto" w:fill="CCEEFF"/>
          </w:tcPr>
          <w:p>
            <w:pPr>
              <w:spacing w:after="0"/>
              <w:rPr>
                <w:sz w:val="19"/>
                <w:szCs w:val="19"/>
                <w:color w:val="auto"/>
              </w:rPr>
            </w:pPr>
          </w:p>
        </w:tc>
        <w:tc>
          <w:tcPr>
            <w:tcW w:w="1220" w:type="dxa"/>
            <w:vAlign w:val="bottom"/>
            <w:gridSpan w:val="2"/>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gridSpan w:val="2"/>
            <w:vMerge w:val="continue"/>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Loss on Debt Extinguishment</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21</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Transaction and Integration costs</w:t>
            </w:r>
          </w:p>
        </w:tc>
        <w:tc>
          <w:tcPr>
            <w:tcW w:w="1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Other Non-recurring Charges</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(48)</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175"/>
        </w:trPr>
        <w:tc>
          <w:tcPr>
            <w:tcW w:w="4200" w:type="dxa"/>
            <w:vAlign w:val="bottom"/>
            <w:gridSpan w:val="2"/>
            <w:shd w:val="clear" w:color="auto" w:fill="CCEEFF"/>
          </w:tcPr>
          <w:p>
            <w:pPr>
              <w:ind w:left="180"/>
              <w:spacing w:after="0" w:line="176" w:lineRule="exact"/>
              <w:rPr>
                <w:sz w:val="20"/>
                <w:szCs w:val="20"/>
                <w:color w:val="auto"/>
              </w:rPr>
            </w:pPr>
            <w:r>
              <w:rPr>
                <w:rFonts w:ascii="Arial" w:cs="Arial" w:eastAsia="Arial" w:hAnsi="Arial"/>
                <w:sz w:val="18"/>
                <w:szCs w:val="18"/>
                <w:color w:val="auto"/>
              </w:rPr>
              <w:t>Adjustments to reflect CWEN’s pro-rata share of</w:t>
            </w:r>
          </w:p>
        </w:tc>
        <w:tc>
          <w:tcPr>
            <w:tcW w:w="160" w:type="dxa"/>
            <w:vAlign w:val="bottom"/>
            <w:shd w:val="clear" w:color="auto" w:fill="CCEEFF"/>
          </w:tcPr>
          <w:p>
            <w:pPr>
              <w:spacing w:after="0"/>
              <w:rPr>
                <w:sz w:val="15"/>
                <w:szCs w:val="15"/>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5"/>
                <w:szCs w:val="15"/>
                <w:color w:val="auto"/>
              </w:rPr>
            </w:pPr>
          </w:p>
        </w:tc>
        <w:tc>
          <w:tcPr>
            <w:tcW w:w="11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5"/>
                <w:szCs w:val="15"/>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0" w:type="dxa"/>
            <w:vAlign w:val="bottom"/>
          </w:tcPr>
          <w:p>
            <w:pPr>
              <w:spacing w:after="0"/>
              <w:rPr>
                <w:sz w:val="1"/>
                <w:szCs w:val="1"/>
                <w:color w:val="auto"/>
              </w:rPr>
            </w:pPr>
          </w:p>
        </w:tc>
      </w:tr>
      <w:tr>
        <w:trPr>
          <w:trHeight w:val="230"/>
        </w:trPr>
        <w:tc>
          <w:tcPr>
            <w:tcW w:w="42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w w:val="99"/>
              </w:rPr>
              <w:t>Adjusted EBITDA from Unconsolidated Affiliates</w:t>
            </w:r>
          </w:p>
        </w:tc>
        <w:tc>
          <w:tcPr>
            <w:tcW w:w="160" w:type="dxa"/>
            <w:vAlign w:val="bottom"/>
            <w:shd w:val="clear" w:color="auto" w:fill="CCEEFF"/>
          </w:tcPr>
          <w:p>
            <w:pPr>
              <w:spacing w:after="0"/>
              <w:rPr>
                <w:sz w:val="19"/>
                <w:szCs w:val="19"/>
                <w:color w:val="auto"/>
              </w:rPr>
            </w:pPr>
          </w:p>
        </w:tc>
        <w:tc>
          <w:tcPr>
            <w:tcW w:w="1080" w:type="dxa"/>
            <w:vAlign w:val="bottom"/>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vMerge w:val="continue"/>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40" w:type="dxa"/>
            <w:vAlign w:val="bottom"/>
            <w:gridSpan w:val="2"/>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gridSpan w:val="2"/>
            <w:vMerge w:val="continue"/>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00" w:type="dxa"/>
            <w:vAlign w:val="bottom"/>
            <w:gridSpan w:val="2"/>
          </w:tcPr>
          <w:p>
            <w:pPr>
              <w:ind w:left="180"/>
              <w:spacing w:after="0"/>
              <w:rPr>
                <w:sz w:val="20"/>
                <w:szCs w:val="20"/>
                <w:color w:val="auto"/>
              </w:rPr>
            </w:pPr>
            <w:r>
              <w:rPr>
                <w:rFonts w:ascii="Arial" w:cs="Arial" w:eastAsia="Arial" w:hAnsi="Arial"/>
                <w:sz w:val="18"/>
                <w:szCs w:val="18"/>
                <w:color w:val="auto"/>
              </w:rPr>
              <w:t>Non-Cash Equity Compensation</w:t>
            </w:r>
          </w:p>
        </w:tc>
        <w:tc>
          <w:tcPr>
            <w:tcW w:w="16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48"/>
        </w:trPr>
        <w:tc>
          <w:tcPr>
            <w:tcW w:w="408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Adjusted EBITDA</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392</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655</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1,082</w:t>
            </w:r>
          </w:p>
        </w:tc>
        <w:tc>
          <w:tcPr>
            <w:tcW w:w="0" w:type="dxa"/>
            <w:vAlign w:val="bottom"/>
          </w:tcPr>
          <w:p>
            <w:pPr>
              <w:spacing w:after="0"/>
              <w:rPr>
                <w:sz w:val="1"/>
                <w:szCs w:val="1"/>
                <w:color w:val="auto"/>
              </w:rPr>
            </w:pPr>
          </w:p>
        </w:tc>
      </w:tr>
      <w:tr>
        <w:trPr>
          <w:trHeight w:val="20"/>
        </w:trPr>
        <w:tc>
          <w:tcPr>
            <w:tcW w:w="4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03"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240"/>
          </w:cols>
          <w:pgMar w:left="320" w:top="765" w:right="339" w:bottom="1440" w:gutter="0" w:footer="0" w:header="0"/>
        </w:sectPr>
      </w:pPr>
    </w:p>
    <w:bookmarkStart w:id="17" w:name="page18"/>
    <w:bookmarkEnd w:id="17"/>
    <w:p>
      <w:pPr>
        <w:spacing w:after="0"/>
        <w:rPr>
          <w:sz w:val="20"/>
          <w:szCs w:val="20"/>
          <w:color w:val="auto"/>
        </w:rPr>
      </w:pPr>
      <w:r>
        <w:rPr>
          <w:rFonts w:ascii="Arial" w:cs="Arial" w:eastAsia="Arial" w:hAnsi="Arial"/>
          <w:sz w:val="20"/>
          <w:szCs w:val="20"/>
          <w:b w:val="1"/>
          <w:bCs w:val="1"/>
          <w:color w:val="auto"/>
        </w:rPr>
        <w:t>Appendix Table A-5: Cash Available for Distribution Reconciliation</w:t>
      </w:r>
    </w:p>
    <w:p>
      <w:pPr>
        <w:spacing w:after="0" w:line="22" w:lineRule="exact"/>
        <w:rPr>
          <w:sz w:val="20"/>
          <w:szCs w:val="20"/>
          <w:color w:val="auto"/>
        </w:rPr>
      </w:pPr>
    </w:p>
    <w:p>
      <w:pPr>
        <w:ind w:right="460"/>
        <w:spacing w:after="0" w:line="244" w:lineRule="auto"/>
        <w:rPr>
          <w:sz w:val="20"/>
          <w:szCs w:val="20"/>
          <w:color w:val="auto"/>
        </w:rPr>
      </w:pPr>
      <w:r>
        <w:rPr>
          <w:rFonts w:ascii="Arial" w:cs="Arial" w:eastAsia="Arial" w:hAnsi="Arial"/>
          <w:sz w:val="20"/>
          <w:szCs w:val="20"/>
          <w:color w:val="auto"/>
        </w:rPr>
        <w:t>The following table summarizes the calculation of Cash Available for Distribution and provides a reconciliation to Cash from Operating Activities:</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580" w:type="dxa"/>
            <w:vAlign w:val="bottom"/>
            <w:gridSpan w:val="5"/>
          </w:tcPr>
          <w:p>
            <w:pPr>
              <w:ind w:left="300"/>
              <w:spacing w:after="0"/>
              <w:rPr>
                <w:sz w:val="20"/>
                <w:szCs w:val="20"/>
                <w:color w:val="auto"/>
              </w:rPr>
            </w:pPr>
            <w:r>
              <w:rPr>
                <w:rFonts w:ascii="Arial" w:cs="Arial" w:eastAsia="Arial" w:hAnsi="Arial"/>
                <w:sz w:val="18"/>
                <w:szCs w:val="18"/>
                <w:b w:val="1"/>
                <w:bCs w:val="1"/>
                <w:color w:val="auto"/>
              </w:rPr>
              <w:t>Three Months Ended</w:t>
            </w:r>
          </w:p>
        </w:tc>
        <w:tc>
          <w:tcPr>
            <w:tcW w:w="160" w:type="dxa"/>
            <w:vAlign w:val="bottom"/>
          </w:tcPr>
          <w:p>
            <w:pPr>
              <w:spacing w:after="0"/>
              <w:rPr>
                <w:sz w:val="19"/>
                <w:szCs w:val="19"/>
                <w:color w:val="auto"/>
              </w:rPr>
            </w:pPr>
          </w:p>
        </w:tc>
        <w:tc>
          <w:tcPr>
            <w:tcW w:w="2180" w:type="dxa"/>
            <w:vAlign w:val="bottom"/>
            <w:gridSpan w:val="4"/>
          </w:tcPr>
          <w:p>
            <w:pPr>
              <w:jc w:val="right"/>
              <w:ind w:right="210"/>
              <w:spacing w:after="0"/>
              <w:rPr>
                <w:sz w:val="20"/>
                <w:szCs w:val="20"/>
                <w:color w:val="auto"/>
              </w:rPr>
            </w:pPr>
            <w:r>
              <w:rPr>
                <w:rFonts w:ascii="Arial" w:cs="Arial" w:eastAsia="Arial" w:hAnsi="Arial"/>
                <w:sz w:val="18"/>
                <w:szCs w:val="18"/>
                <w:b w:val="1"/>
                <w:bCs w:val="1"/>
                <w:color w:val="auto"/>
                <w:w w:val="98"/>
              </w:rPr>
              <w:t>Twelve Months Ended</w:t>
            </w:r>
          </w:p>
        </w:tc>
        <w:tc>
          <w:tcPr>
            <w:tcW w:w="0" w:type="dxa"/>
            <w:vAlign w:val="bottom"/>
          </w:tcPr>
          <w:p>
            <w:pPr>
              <w:spacing w:after="0"/>
              <w:rPr>
                <w:sz w:val="1"/>
                <w:szCs w:val="1"/>
                <w:color w:val="auto"/>
              </w:rPr>
            </w:pPr>
          </w:p>
        </w:tc>
      </w:tr>
      <w:tr>
        <w:trPr>
          <w:trHeight w:val="234"/>
        </w:trPr>
        <w:tc>
          <w:tcPr>
            <w:tcW w:w="5200" w:type="dxa"/>
            <w:vAlign w:val="bottom"/>
            <w:tcBorders>
              <w:bottom w:val="single" w:sz="8" w:color="auto"/>
            </w:tcBorders>
          </w:tcPr>
          <w:p>
            <w:pPr>
              <w:ind w:left="20"/>
              <w:spacing w:after="0"/>
              <w:rPr>
                <w:sz w:val="20"/>
                <w:szCs w:val="20"/>
                <w:color w:val="auto"/>
              </w:rPr>
            </w:pPr>
            <w:r>
              <w:rPr>
                <w:rFonts w:ascii="Arial" w:cs="Arial" w:eastAsia="Arial" w:hAnsi="Arial"/>
                <w:sz w:val="18"/>
                <w:szCs w:val="18"/>
                <w:i w:val="1"/>
                <w:iCs w:val="1"/>
                <w:color w:val="auto"/>
              </w:rPr>
              <w:t>($ in millions)</w:t>
            </w:r>
          </w:p>
        </w:tc>
        <w:tc>
          <w:tcPr>
            <w:tcW w:w="2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12/31/21</w:t>
            </w:r>
          </w:p>
        </w:tc>
        <w:tc>
          <w:tcPr>
            <w:tcW w:w="12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12/31/20</w:t>
            </w:r>
          </w:p>
        </w:tc>
        <w:tc>
          <w:tcPr>
            <w:tcW w:w="14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6"/>
              </w:rPr>
              <w:t>12/31/21</w:t>
            </w:r>
          </w:p>
        </w:tc>
        <w:tc>
          <w:tcPr>
            <w:tcW w:w="1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6"/>
              </w:rPr>
              <w:t>12/31/20</w:t>
            </w:r>
          </w:p>
        </w:tc>
        <w:tc>
          <w:tcPr>
            <w:tcW w:w="0" w:type="dxa"/>
            <w:vAlign w:val="bottom"/>
          </w:tcPr>
          <w:p>
            <w:pPr>
              <w:spacing w:after="0"/>
              <w:rPr>
                <w:sz w:val="1"/>
                <w:szCs w:val="1"/>
                <w:color w:val="auto"/>
              </w:rPr>
            </w:pPr>
          </w:p>
        </w:tc>
      </w:tr>
      <w:tr>
        <w:trPr>
          <w:trHeight w:val="223"/>
        </w:trPr>
        <w:tc>
          <w:tcPr>
            <w:tcW w:w="5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Adjusted EBITDA</w:t>
            </w:r>
          </w:p>
        </w:tc>
        <w:tc>
          <w:tcPr>
            <w:tcW w:w="2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250</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229</w:t>
            </w:r>
          </w:p>
        </w:tc>
        <w:tc>
          <w:tcPr>
            <w:tcW w:w="14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1,150</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1,082</w:t>
            </w:r>
          </w:p>
        </w:tc>
        <w:tc>
          <w:tcPr>
            <w:tcW w:w="0" w:type="dxa"/>
            <w:vAlign w:val="bottom"/>
          </w:tcPr>
          <w:p>
            <w:pPr>
              <w:spacing w:after="0"/>
              <w:rPr>
                <w:sz w:val="1"/>
                <w:szCs w:val="1"/>
                <w:color w:val="auto"/>
              </w:rPr>
            </w:pPr>
          </w:p>
        </w:tc>
      </w:tr>
      <w:tr>
        <w:trPr>
          <w:trHeight w:val="223"/>
        </w:trPr>
        <w:tc>
          <w:tcPr>
            <w:tcW w:w="5200" w:type="dxa"/>
            <w:vAlign w:val="bottom"/>
          </w:tcPr>
          <w:p>
            <w:pPr>
              <w:ind w:left="180"/>
              <w:spacing w:after="0"/>
              <w:rPr>
                <w:sz w:val="20"/>
                <w:szCs w:val="20"/>
                <w:color w:val="auto"/>
              </w:rPr>
            </w:pPr>
            <w:r>
              <w:rPr>
                <w:rFonts w:ascii="Arial" w:cs="Arial" w:eastAsia="Arial" w:hAnsi="Arial"/>
                <w:sz w:val="18"/>
                <w:szCs w:val="18"/>
                <w:color w:val="auto"/>
              </w:rPr>
              <w:t>Cash interest paid</w:t>
            </w:r>
          </w:p>
        </w:tc>
        <w:tc>
          <w:tcPr>
            <w:tcW w:w="2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(72)</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(87)</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(337)</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30"/>
        </w:trPr>
        <w:tc>
          <w:tcPr>
            <w:tcW w:w="520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7"/>
              </w:rPr>
              <w:t>Changes in prepaid and accrued liabilities for tolling agreements</w:t>
            </w:r>
          </w:p>
        </w:tc>
        <w:tc>
          <w:tcPr>
            <w:tcW w:w="2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9"/>
        </w:trPr>
        <w:tc>
          <w:tcPr>
            <w:tcW w:w="5200" w:type="dxa"/>
            <w:vAlign w:val="bottom"/>
          </w:tcPr>
          <w:p>
            <w:pPr>
              <w:ind w:left="180"/>
              <w:spacing w:after="0"/>
              <w:rPr>
                <w:sz w:val="20"/>
                <w:szCs w:val="20"/>
                <w:color w:val="auto"/>
              </w:rPr>
            </w:pPr>
            <w:r>
              <w:rPr>
                <w:rFonts w:ascii="Arial" w:cs="Arial" w:eastAsia="Arial" w:hAnsi="Arial"/>
                <w:sz w:val="18"/>
                <w:szCs w:val="18"/>
                <w:color w:val="auto"/>
              </w:rPr>
              <w:t>Adjustment to reflect sale-type lease</w:t>
            </w:r>
          </w:p>
        </w:tc>
        <w:tc>
          <w:tcPr>
            <w:tcW w:w="2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Pro-rata Adjusted EBITDA from unconsolidated affiliates</w:t>
            </w:r>
          </w:p>
        </w:tc>
        <w:tc>
          <w:tcPr>
            <w:tcW w:w="2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0" w:type="dxa"/>
            <w:vAlign w:val="bottom"/>
          </w:tcPr>
          <w:p>
            <w:pPr>
              <w:spacing w:after="0"/>
              <w:rPr>
                <w:sz w:val="1"/>
                <w:szCs w:val="1"/>
                <w:color w:val="auto"/>
              </w:rPr>
            </w:pPr>
          </w:p>
        </w:tc>
      </w:tr>
      <w:tr>
        <w:trPr>
          <w:trHeight w:val="230"/>
        </w:trPr>
        <w:tc>
          <w:tcPr>
            <w:tcW w:w="5200" w:type="dxa"/>
            <w:vAlign w:val="bottom"/>
          </w:tcPr>
          <w:p>
            <w:pPr>
              <w:ind w:left="180"/>
              <w:spacing w:after="0"/>
              <w:rPr>
                <w:sz w:val="20"/>
                <w:szCs w:val="20"/>
                <w:color w:val="auto"/>
              </w:rPr>
            </w:pPr>
            <w:r>
              <w:rPr>
                <w:rFonts w:ascii="Arial" w:cs="Arial" w:eastAsia="Arial" w:hAnsi="Arial"/>
                <w:sz w:val="18"/>
                <w:szCs w:val="18"/>
                <w:color w:val="auto"/>
              </w:rPr>
              <w:t>Distributions from unconsolidated affiliates</w:t>
            </w:r>
          </w:p>
        </w:tc>
        <w:tc>
          <w:tcPr>
            <w:tcW w:w="2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29"/>
        </w:trPr>
        <w:tc>
          <w:tcPr>
            <w:tcW w:w="520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8"/>
                <w:szCs w:val="18"/>
                <w:color w:val="auto"/>
              </w:rPr>
              <w:t>Changes in working capital and other</w:t>
            </w:r>
          </w:p>
        </w:tc>
        <w:tc>
          <w:tcPr>
            <w:tcW w:w="2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23"/>
        </w:trPr>
        <w:tc>
          <w:tcPr>
            <w:tcW w:w="520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Cash from Operating Activities</w:t>
            </w:r>
          </w:p>
        </w:tc>
        <w:tc>
          <w:tcPr>
            <w:tcW w:w="2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172</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104</w:t>
            </w:r>
          </w:p>
        </w:tc>
        <w:tc>
          <w:tcPr>
            <w:tcW w:w="14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701</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545</w:t>
            </w:r>
          </w:p>
        </w:tc>
        <w:tc>
          <w:tcPr>
            <w:tcW w:w="0" w:type="dxa"/>
            <w:vAlign w:val="bottom"/>
          </w:tcPr>
          <w:p>
            <w:pPr>
              <w:spacing w:after="0"/>
              <w:rPr>
                <w:sz w:val="1"/>
                <w:szCs w:val="1"/>
                <w:color w:val="auto"/>
              </w:rPr>
            </w:pPr>
          </w:p>
        </w:tc>
      </w:tr>
      <w:tr>
        <w:trPr>
          <w:trHeight w:val="223"/>
        </w:trPr>
        <w:tc>
          <w:tcPr>
            <w:tcW w:w="5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Changes in working capital and other</w:t>
            </w:r>
          </w:p>
        </w:tc>
        <w:tc>
          <w:tcPr>
            <w:tcW w:w="2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57"/>
        </w:trPr>
        <w:tc>
          <w:tcPr>
            <w:tcW w:w="5200" w:type="dxa"/>
            <w:vAlign w:val="bottom"/>
          </w:tcPr>
          <w:p>
            <w:pPr>
              <w:ind w:left="180"/>
              <w:spacing w:after="0" w:line="256" w:lineRule="exact"/>
              <w:rPr>
                <w:sz w:val="20"/>
                <w:szCs w:val="20"/>
                <w:color w:val="auto"/>
              </w:rPr>
            </w:pPr>
            <w:r>
              <w:rPr>
                <w:rFonts w:ascii="Arial" w:cs="Arial" w:eastAsia="Arial" w:hAnsi="Arial"/>
                <w:sz w:val="18"/>
                <w:szCs w:val="18"/>
                <w:color w:val="auto"/>
              </w:rPr>
              <w:t>Development Expenses</w:t>
            </w:r>
            <w:r>
              <w:rPr>
                <w:rFonts w:ascii="Arial" w:cs="Arial" w:eastAsia="Arial" w:hAnsi="Arial"/>
                <w:sz w:val="23"/>
                <w:szCs w:val="23"/>
                <w:color w:val="auto"/>
                <w:vertAlign w:val="superscript"/>
              </w:rPr>
              <w:t>4</w:t>
            </w:r>
          </w:p>
        </w:tc>
        <w:tc>
          <w:tcPr>
            <w:tcW w:w="26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29"/>
        </w:trPr>
        <w:tc>
          <w:tcPr>
            <w:tcW w:w="5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Return of investment from unconsolidated affiliates</w:t>
            </w:r>
          </w:p>
        </w:tc>
        <w:tc>
          <w:tcPr>
            <w:tcW w:w="2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57"/>
        </w:trPr>
        <w:tc>
          <w:tcPr>
            <w:tcW w:w="5200" w:type="dxa"/>
            <w:vAlign w:val="bottom"/>
          </w:tcPr>
          <w:p>
            <w:pPr>
              <w:ind w:left="180"/>
              <w:spacing w:after="0" w:line="256" w:lineRule="exact"/>
              <w:rPr>
                <w:sz w:val="20"/>
                <w:szCs w:val="20"/>
                <w:color w:val="auto"/>
              </w:rPr>
            </w:pPr>
            <w:r>
              <w:rPr>
                <w:rFonts w:ascii="Arial" w:cs="Arial" w:eastAsia="Arial" w:hAnsi="Arial"/>
                <w:sz w:val="18"/>
                <w:szCs w:val="18"/>
                <w:color w:val="auto"/>
              </w:rPr>
              <w:t>Net contributions (to)/from non-controlling interest</w:t>
            </w:r>
            <w:r>
              <w:rPr>
                <w:rFonts w:ascii="Arial" w:cs="Arial" w:eastAsia="Arial" w:hAnsi="Arial"/>
                <w:sz w:val="23"/>
                <w:szCs w:val="23"/>
                <w:color w:val="auto"/>
                <w:vertAlign w:val="superscript"/>
              </w:rPr>
              <w:t>5</w:t>
            </w:r>
          </w:p>
        </w:tc>
        <w:tc>
          <w:tcPr>
            <w:tcW w:w="26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0"/>
        </w:trPr>
        <w:tc>
          <w:tcPr>
            <w:tcW w:w="5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Maintenance capital expenditures</w:t>
            </w:r>
          </w:p>
        </w:tc>
        <w:tc>
          <w:tcPr>
            <w:tcW w:w="2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56"/>
        </w:trPr>
        <w:tc>
          <w:tcPr>
            <w:tcW w:w="5200" w:type="dxa"/>
            <w:vAlign w:val="bottom"/>
          </w:tcPr>
          <w:p>
            <w:pPr>
              <w:ind w:left="180"/>
              <w:spacing w:after="0" w:line="256" w:lineRule="exact"/>
              <w:rPr>
                <w:sz w:val="20"/>
                <w:szCs w:val="20"/>
                <w:color w:val="auto"/>
              </w:rPr>
            </w:pPr>
            <w:r>
              <w:rPr>
                <w:rFonts w:ascii="Arial" w:cs="Arial" w:eastAsia="Arial" w:hAnsi="Arial"/>
                <w:sz w:val="18"/>
                <w:szCs w:val="18"/>
                <w:color w:val="auto"/>
              </w:rPr>
              <w:t>Principal amortization of indebtedness</w:t>
            </w:r>
            <w:r>
              <w:rPr>
                <w:rFonts w:ascii="Arial" w:cs="Arial" w:eastAsia="Arial" w:hAnsi="Arial"/>
                <w:sz w:val="23"/>
                <w:szCs w:val="23"/>
                <w:color w:val="auto"/>
                <w:vertAlign w:val="superscript"/>
              </w:rPr>
              <w:t>6</w:t>
            </w:r>
          </w:p>
        </w:tc>
        <w:tc>
          <w:tcPr>
            <w:tcW w:w="26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(85)</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(414)</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(339)</w:t>
            </w:r>
          </w:p>
        </w:tc>
        <w:tc>
          <w:tcPr>
            <w:tcW w:w="0" w:type="dxa"/>
            <w:vAlign w:val="bottom"/>
          </w:tcPr>
          <w:p>
            <w:pPr>
              <w:spacing w:after="0"/>
              <w:rPr>
                <w:sz w:val="1"/>
                <w:szCs w:val="1"/>
                <w:color w:val="auto"/>
              </w:rPr>
            </w:pPr>
          </w:p>
        </w:tc>
      </w:tr>
      <w:tr>
        <w:trPr>
          <w:trHeight w:val="176"/>
        </w:trPr>
        <w:tc>
          <w:tcPr>
            <w:tcW w:w="5200" w:type="dxa"/>
            <w:vAlign w:val="bottom"/>
            <w:shd w:val="clear" w:color="auto" w:fill="CCEEFF"/>
          </w:tcPr>
          <w:p>
            <w:pPr>
              <w:ind w:left="180"/>
              <w:spacing w:after="0" w:line="176" w:lineRule="exact"/>
              <w:rPr>
                <w:sz w:val="20"/>
                <w:szCs w:val="20"/>
                <w:color w:val="auto"/>
              </w:rPr>
            </w:pPr>
            <w:r>
              <w:rPr>
                <w:rFonts w:ascii="Arial" w:cs="Arial" w:eastAsia="Arial" w:hAnsi="Arial"/>
                <w:sz w:val="18"/>
                <w:szCs w:val="18"/>
                <w:color w:val="auto"/>
              </w:rPr>
              <w:t>Adjustments to reflect CAFD generated by unconsolidated</w:t>
            </w:r>
          </w:p>
        </w:tc>
        <w:tc>
          <w:tcPr>
            <w:tcW w:w="26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5200" w:type="dxa"/>
            <w:vAlign w:val="bottom"/>
            <w:shd w:val="clear" w:color="auto" w:fill="CCEEFF"/>
          </w:tcPr>
          <w:p>
            <w:pPr>
              <w:ind w:left="180"/>
              <w:spacing w:after="0" w:line="176" w:lineRule="exact"/>
              <w:rPr>
                <w:sz w:val="20"/>
                <w:szCs w:val="20"/>
                <w:color w:val="auto"/>
              </w:rPr>
            </w:pPr>
            <w:r>
              <w:rPr>
                <w:rFonts w:ascii="Arial" w:cs="Arial" w:eastAsia="Arial" w:hAnsi="Arial"/>
                <w:sz w:val="18"/>
                <w:szCs w:val="18"/>
                <w:color w:val="auto"/>
                <w:w w:val="91"/>
              </w:rPr>
              <w:t>investments that are unable to distribute project dividends due to the</w:t>
            </w:r>
          </w:p>
        </w:tc>
        <w:tc>
          <w:tcPr>
            <w:tcW w:w="260" w:type="dxa"/>
            <w:vAlign w:val="bottom"/>
            <w:shd w:val="clear" w:color="auto" w:fill="CCEEFF"/>
          </w:tcPr>
          <w:p>
            <w:pPr>
              <w:spacing w:after="0"/>
              <w:rPr>
                <w:sz w:val="15"/>
                <w:szCs w:val="15"/>
                <w:color w:val="auto"/>
              </w:rPr>
            </w:pPr>
          </w:p>
        </w:tc>
        <w:tc>
          <w:tcPr>
            <w:tcW w:w="118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5"/>
                <w:szCs w:val="15"/>
                <w:color w:val="auto"/>
              </w:rPr>
            </w:pPr>
          </w:p>
        </w:tc>
        <w:tc>
          <w:tcPr>
            <w:tcW w:w="118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5"/>
                <w:szCs w:val="15"/>
                <w:color w:val="auto"/>
              </w:rPr>
            </w:pPr>
          </w:p>
        </w:tc>
        <w:tc>
          <w:tcPr>
            <w:tcW w:w="10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5"/>
                <w:szCs w:val="15"/>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30"/>
        </w:trPr>
        <w:tc>
          <w:tcPr>
            <w:tcW w:w="5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PG&amp;E bankruptcy</w:t>
            </w:r>
          </w:p>
        </w:tc>
        <w:tc>
          <w:tcPr>
            <w:tcW w:w="260" w:type="dxa"/>
            <w:vAlign w:val="bottom"/>
            <w:shd w:val="clear" w:color="auto" w:fill="CCEEFF"/>
          </w:tcPr>
          <w:p>
            <w:pPr>
              <w:spacing w:after="0"/>
              <w:rPr>
                <w:sz w:val="19"/>
                <w:szCs w:val="19"/>
                <w:color w:val="auto"/>
              </w:rPr>
            </w:pPr>
          </w:p>
        </w:tc>
        <w:tc>
          <w:tcPr>
            <w:tcW w:w="1180" w:type="dxa"/>
            <w:vAlign w:val="bottom"/>
            <w:gridSpan w:val="2"/>
            <w:vMerge w:val="continue"/>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80" w:type="dxa"/>
            <w:vAlign w:val="bottom"/>
            <w:gridSpan w:val="2"/>
            <w:vMerge w:val="continue"/>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Cash Available for Distribution</w:t>
            </w:r>
          </w:p>
        </w:tc>
        <w:tc>
          <w:tcPr>
            <w:tcW w:w="2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w:t>
            </w:r>
          </w:p>
        </w:tc>
        <w:tc>
          <w:tcPr>
            <w:tcW w:w="12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30</w:t>
            </w:r>
          </w:p>
        </w:tc>
        <w:tc>
          <w:tcPr>
            <w:tcW w:w="14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336</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295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316865</wp:posOffset>
            </wp:positionV>
            <wp:extent cx="171450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14500" cy="8255"/>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ind w:left="120" w:hanging="112"/>
        <w:spacing w:after="0"/>
        <w:tabs>
          <w:tab w:leader="none" w:pos="120" w:val="left"/>
        </w:tabs>
        <w:numPr>
          <w:ilvl w:val="0"/>
          <w:numId w:val="6"/>
        </w:numPr>
        <w:rPr>
          <w:rFonts w:ascii="Arial" w:cs="Arial" w:eastAsia="Arial" w:hAnsi="Arial"/>
          <w:sz w:val="23"/>
          <w:szCs w:val="23"/>
          <w:color w:val="auto"/>
          <w:vertAlign w:val="superscript"/>
        </w:rPr>
      </w:pPr>
      <w:r>
        <w:rPr>
          <w:rFonts w:ascii="Arial" w:cs="Arial" w:eastAsia="Arial" w:hAnsi="Arial"/>
          <w:sz w:val="14"/>
          <w:szCs w:val="14"/>
          <w:color w:val="auto"/>
        </w:rPr>
        <w:t>Primarily relates to Thermal Development Expenses</w:t>
      </w:r>
    </w:p>
    <w:p>
      <w:pPr>
        <w:spacing w:after="0" w:line="31" w:lineRule="exact"/>
        <w:rPr>
          <w:sz w:val="20"/>
          <w:szCs w:val="20"/>
          <w:color w:val="auto"/>
        </w:rPr>
      </w:pPr>
    </w:p>
    <w:p>
      <w:pPr>
        <w:ind w:right="40" w:firstLine="8"/>
        <w:spacing w:after="0" w:line="194" w:lineRule="auto"/>
        <w:tabs>
          <w:tab w:leader="none" w:pos="103" w:val="left"/>
        </w:tabs>
        <w:numPr>
          <w:ilvl w:val="0"/>
          <w:numId w:val="7"/>
        </w:numPr>
        <w:rPr>
          <w:rFonts w:ascii="Arial" w:cs="Arial" w:eastAsia="Arial" w:hAnsi="Arial"/>
          <w:sz w:val="23"/>
          <w:szCs w:val="23"/>
          <w:color w:val="auto"/>
          <w:vertAlign w:val="superscript"/>
        </w:rPr>
      </w:pPr>
      <w:r>
        <w:rPr>
          <w:rFonts w:ascii="Arial" w:cs="Arial" w:eastAsia="Arial" w:hAnsi="Arial"/>
          <w:sz w:val="14"/>
          <w:szCs w:val="14"/>
          <w:color w:val="auto"/>
        </w:rPr>
        <w:t>2021 excludes $672 million of contributions related to funding Mesquite Sky, Black Rock, Rattlesnake, and Pinnacle and $49 million of Hawaii refundable state tax credits; 2020 excludes $376 million of contributions relating to funding of Repowering 1.0, Langford, and Rosamond Central Partnerships</w:t>
      </w:r>
    </w:p>
    <w:p>
      <w:pPr>
        <w:ind w:right="120"/>
        <w:spacing w:after="0" w:line="206" w:lineRule="auto"/>
        <w:rPr>
          <w:rFonts w:ascii="Arial" w:cs="Arial" w:eastAsia="Arial" w:hAnsi="Arial"/>
          <w:sz w:val="23"/>
          <w:szCs w:val="23"/>
          <w:color w:val="auto"/>
          <w:vertAlign w:val="superscript"/>
        </w:rPr>
      </w:pPr>
      <w:r>
        <w:rPr>
          <w:rFonts w:ascii="Arial" w:cs="Arial" w:eastAsia="Arial" w:hAnsi="Arial"/>
          <w:sz w:val="23"/>
          <w:szCs w:val="23"/>
          <w:color w:val="auto"/>
          <w:vertAlign w:val="superscript"/>
        </w:rPr>
        <w:t>6</w:t>
      </w:r>
      <w:r>
        <w:rPr>
          <w:rFonts w:ascii="Arial" w:cs="Arial" w:eastAsia="Arial" w:hAnsi="Arial"/>
          <w:sz w:val="14"/>
          <w:szCs w:val="14"/>
          <w:color w:val="auto"/>
        </w:rPr>
        <w:t xml:space="preserve"> 2021 excludes $1,372 million total consideration for the redemption of Corporate Notes and revolver payments, $717 million in connection with Mesquite Sky, Black Rock, and Rattlesnake debt repaid at acquisition, and $169 million in connection with Pinnacle repowering; 2020 excludes $374 million for the refinancing of the DG Solar funds (DG-CS Master Borrower), $260 million for the repayment of construction financing in connection with the Repowering 1.0 Partnership, $247 million for the refinancing of Utah Solar Portfolio, $158 million for the refinancing of Alpine, Blythe, and Roadrunner (NIMH Solar), $135 million total consideration for the redemption of Corporate Notes, and $130 million for the repayment of construction financing in connection with Rosamond Central</w:t>
      </w:r>
    </w:p>
    <w:p>
      <w:pPr>
        <w:spacing w:after="0" w:line="194"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15</w:t>
      </w:r>
    </w:p>
    <w:p>
      <w:pPr>
        <w:sectPr>
          <w:pgSz w:w="11900" w:h="16838" w:orient="portrait"/>
          <w:cols w:equalWidth="0" w:num="1">
            <w:col w:w="11240"/>
          </w:cols>
          <w:pgMar w:left="320" w:top="1008" w:right="339" w:bottom="1440" w:gutter="0" w:footer="0" w:header="0"/>
        </w:sectPr>
      </w:pPr>
    </w:p>
    <w:bookmarkStart w:id="18" w:name="page19"/>
    <w:bookmarkEnd w:id="18"/>
    <w:p>
      <w:pPr>
        <w:ind w:right="3280"/>
        <w:spacing w:after="0" w:line="267" w:lineRule="auto"/>
        <w:rPr>
          <w:sz w:val="20"/>
          <w:szCs w:val="20"/>
          <w:color w:val="auto"/>
        </w:rPr>
      </w:pPr>
      <w:r>
        <w:rPr>
          <w:rFonts w:ascii="Arial" w:cs="Arial" w:eastAsia="Arial" w:hAnsi="Arial"/>
          <w:sz w:val="20"/>
          <w:szCs w:val="20"/>
          <w:b w:val="1"/>
          <w:bCs w:val="1"/>
          <w:color w:val="auto"/>
        </w:rPr>
        <w:t xml:space="preserve">Appendix Table A-6: Twelve Months Ended December 31, 2021, Sources and Uses of Liquidity </w:t>
      </w:r>
      <w:r>
        <w:rPr>
          <w:rFonts w:ascii="Arial" w:cs="Arial" w:eastAsia="Arial" w:hAnsi="Arial"/>
          <w:sz w:val="20"/>
          <w:szCs w:val="20"/>
          <w:color w:val="auto"/>
        </w:rPr>
        <w:t>The following table summarizes the sources and uses of liquidity in 2021:</w:t>
      </w:r>
    </w:p>
    <w:p>
      <w:pPr>
        <w:sectPr>
          <w:pgSz w:w="11900" w:h="16838" w:orient="portrait"/>
          <w:cols w:equalWidth="0" w:num="1">
            <w:col w:w="11240"/>
          </w:cols>
          <w:pgMar w:left="320" w:top="100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20"/>
        <w:spacing w:after="0"/>
        <w:rPr>
          <w:sz w:val="20"/>
          <w:szCs w:val="20"/>
          <w:color w:val="auto"/>
        </w:rPr>
      </w:pPr>
      <w:r>
        <w:rPr>
          <w:rFonts w:ascii="Arial" w:cs="Arial" w:eastAsia="Arial" w:hAnsi="Arial"/>
          <w:sz w:val="18"/>
          <w:szCs w:val="18"/>
          <w:i w:val="1"/>
          <w:iCs w:val="1"/>
          <w:color w:val="auto"/>
        </w:rPr>
        <w:t>($ 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4903470" cy="1454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903470" cy="145415"/>
                    </a:xfrm>
                    <a:prstGeom prst="rect">
                      <a:avLst/>
                    </a:prstGeom>
                    <a:noFill/>
                  </pic:spPr>
                </pic:pic>
              </a:graphicData>
            </a:graphic>
          </wp:anchor>
        </w:drawing>
      </w:r>
    </w:p>
    <w:p>
      <w:pPr>
        <w:spacing w:after="0" w:line="17"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Sources:</w:t>
      </w:r>
    </w:p>
    <w:p>
      <w:pPr>
        <w:spacing w:after="0" w:line="50"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Proceeds from issuance of long-term debt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4903470" cy="1454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903470" cy="145415"/>
                    </a:xfrm>
                    <a:prstGeom prst="rect">
                      <a:avLst/>
                    </a:prstGeom>
                    <a:noFill/>
                  </pic:spPr>
                </pic:pic>
              </a:graphicData>
            </a:graphic>
          </wp:anchor>
        </w:drawing>
      </w:r>
    </w:p>
    <w:p>
      <w:pPr>
        <w:spacing w:after="0" w:line="26" w:lineRule="exact"/>
        <w:rPr>
          <w:sz w:val="20"/>
          <w:szCs w:val="20"/>
          <w:color w:val="auto"/>
        </w:rPr>
      </w:pPr>
    </w:p>
    <w:p>
      <w:pPr>
        <w:ind w:left="180"/>
        <w:spacing w:after="0"/>
        <w:rPr>
          <w:sz w:val="20"/>
          <w:szCs w:val="20"/>
          <w:color w:val="auto"/>
        </w:rPr>
      </w:pPr>
      <w:r>
        <w:rPr>
          <w:rFonts w:ascii="Arial" w:cs="Arial" w:eastAsia="Arial" w:hAnsi="Arial"/>
          <w:sz w:val="15"/>
          <w:szCs w:val="15"/>
          <w:color w:val="auto"/>
        </w:rPr>
        <w:t>Contributions from noncontrolling interests, net of distributions</w:t>
      </w:r>
    </w:p>
    <w:p>
      <w:pPr>
        <w:spacing w:after="0" w:line="57" w:lineRule="exact"/>
        <w:rPr>
          <w:sz w:val="20"/>
          <w:szCs w:val="20"/>
          <w:color w:val="auto"/>
        </w:rPr>
      </w:pPr>
    </w:p>
    <w:p>
      <w:pPr>
        <w:ind w:left="180"/>
        <w:spacing w:after="0"/>
        <w:rPr>
          <w:sz w:val="20"/>
          <w:szCs w:val="20"/>
          <w:color w:val="auto"/>
        </w:rPr>
      </w:pPr>
      <w:r>
        <w:rPr>
          <w:rFonts w:ascii="Arial" w:cs="Arial" w:eastAsia="Arial" w:hAnsi="Arial"/>
          <w:sz w:val="16"/>
          <w:szCs w:val="16"/>
          <w:color w:val="auto"/>
        </w:rPr>
        <w:t>Net cash provided by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4903470" cy="146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903470" cy="146050"/>
                    </a:xfrm>
                    <a:prstGeom prst="rect">
                      <a:avLst/>
                    </a:prstGeom>
                    <a:noFill/>
                  </pic:spPr>
                </pic:pic>
              </a:graphicData>
            </a:graphic>
          </wp:anchor>
        </w:drawing>
      </w:r>
    </w:p>
    <w:p>
      <w:pPr>
        <w:spacing w:after="0" w:line="2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Proceeds from the revolving credit facility</w:t>
      </w:r>
    </w:p>
    <w:p>
      <w:pPr>
        <w:spacing w:after="0" w:line="4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Return of investment from unconsolidated affiliates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4903470" cy="1454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903470" cy="145415"/>
                    </a:xfrm>
                    <a:prstGeom prst="rect">
                      <a:avLst/>
                    </a:prstGeom>
                    <a:noFill/>
                  </pic:spPr>
                </pic:pic>
              </a:graphicData>
            </a:graphic>
          </wp:anchor>
        </w:drawing>
      </w:r>
    </w:p>
    <w:p>
      <w:pPr>
        <w:spacing w:after="0" w:line="238"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Uses: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4903470" cy="1454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903470" cy="145415"/>
                    </a:xfrm>
                    <a:prstGeom prst="rect">
                      <a:avLst/>
                    </a:prstGeom>
                    <a:noFill/>
                  </pic:spPr>
                </pic:pic>
              </a:graphicData>
            </a:graphic>
          </wp:anchor>
        </w:drawing>
      </w:r>
    </w:p>
    <w:p>
      <w:pPr>
        <w:spacing w:after="0" w:line="30"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Payments for long-term debt</w:t>
      </w:r>
    </w:p>
    <w:p>
      <w:pPr>
        <w:spacing w:after="0" w:line="4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Acquisitions, net of cash acquired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4903470" cy="146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903470" cy="146050"/>
                    </a:xfrm>
                    <a:prstGeom prst="rect">
                      <a:avLst/>
                    </a:prstGeom>
                    <a:noFill/>
                  </pic:spPr>
                </pic:pic>
              </a:graphicData>
            </a:graphic>
          </wp:anchor>
        </w:drawing>
      </w:r>
    </w:p>
    <w:p>
      <w:pPr>
        <w:spacing w:after="0" w:line="2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Payments for the revolving credit facility</w:t>
      </w:r>
    </w:p>
    <w:p>
      <w:pPr>
        <w:spacing w:after="0" w:line="4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Payments of dividends and distributions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4903470" cy="1460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903470" cy="146050"/>
                    </a:xfrm>
                    <a:prstGeom prst="rect">
                      <a:avLst/>
                    </a:prstGeom>
                    <a:noFill/>
                  </pic:spPr>
                </pic:pic>
              </a:graphicData>
            </a:graphic>
          </wp:anchor>
        </w:drawing>
      </w:r>
    </w:p>
    <w:p>
      <w:pPr>
        <w:spacing w:after="0" w:line="26" w:lineRule="exact"/>
        <w:rPr>
          <w:sz w:val="20"/>
          <w:szCs w:val="20"/>
          <w:color w:val="auto"/>
        </w:rPr>
      </w:pPr>
    </w:p>
    <w:p>
      <w:pPr>
        <w:ind w:left="180" w:right="1940"/>
        <w:spacing w:after="0" w:line="299" w:lineRule="auto"/>
        <w:rPr>
          <w:sz w:val="20"/>
          <w:szCs w:val="20"/>
          <w:color w:val="auto"/>
        </w:rPr>
      </w:pPr>
      <w:r>
        <w:rPr>
          <w:rFonts w:ascii="Arial" w:cs="Arial" w:eastAsia="Arial" w:hAnsi="Arial"/>
          <w:sz w:val="16"/>
          <w:szCs w:val="16"/>
          <w:color w:val="auto"/>
        </w:rPr>
        <w:t>Acquisition of Drop Down Assets, net of cash acquired Capital expenditures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4903470" cy="145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903470" cy="145415"/>
                    </a:xfrm>
                    <a:prstGeom prst="rect">
                      <a:avLst/>
                    </a:prstGeom>
                    <a:noFill/>
                  </pic:spPr>
                </pic:pic>
              </a:graphicData>
            </a:graphic>
          </wp:anchor>
        </w:drawing>
      </w:r>
    </w:p>
    <w:p>
      <w:pPr>
        <w:ind w:left="180"/>
        <w:spacing w:after="0"/>
        <w:rPr>
          <w:sz w:val="20"/>
          <w:szCs w:val="20"/>
          <w:color w:val="auto"/>
        </w:rPr>
      </w:pPr>
      <w:r>
        <w:rPr>
          <w:rFonts w:ascii="Arial" w:cs="Arial" w:eastAsia="Arial" w:hAnsi="Arial"/>
          <w:sz w:val="16"/>
          <w:szCs w:val="16"/>
          <w:color w:val="auto"/>
        </w:rPr>
        <w:t>Payments of debt issuance costs</w:t>
      </w:r>
    </w:p>
    <w:p>
      <w:pPr>
        <w:spacing w:after="0" w:line="4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Other net cash outflows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490347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90347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15" w:lineRule="exact"/>
        <w:rPr>
          <w:sz w:val="20"/>
          <w:szCs w:val="20"/>
          <w:color w:val="auto"/>
        </w:rPr>
      </w:pPr>
    </w:p>
    <w:p>
      <w:pPr>
        <w:jc w:val="center"/>
        <w:ind w:right="3640"/>
        <w:spacing w:after="0"/>
        <w:rPr>
          <w:sz w:val="20"/>
          <w:szCs w:val="20"/>
          <w:color w:val="auto"/>
        </w:rPr>
      </w:pPr>
      <w:r>
        <w:rPr>
          <w:rFonts w:ascii="Arial" w:cs="Arial" w:eastAsia="Arial" w:hAnsi="Arial"/>
          <w:sz w:val="16"/>
          <w:szCs w:val="16"/>
          <w:b w:val="1"/>
          <w:bCs w:val="1"/>
          <w:color w:val="auto"/>
        </w:rPr>
        <w:t>Twelve Months</w:t>
      </w:r>
    </w:p>
    <w:p>
      <w:pPr>
        <w:spacing w:after="0" w:line="12" w:lineRule="exact"/>
        <w:rPr>
          <w:sz w:val="20"/>
          <w:szCs w:val="20"/>
          <w:color w:val="auto"/>
        </w:rPr>
      </w:pPr>
    </w:p>
    <w:p>
      <w:pPr>
        <w:jc w:val="center"/>
        <w:ind w:right="3640"/>
        <w:spacing w:after="0"/>
        <w:rPr>
          <w:sz w:val="20"/>
          <w:szCs w:val="20"/>
          <w:color w:val="auto"/>
        </w:rPr>
      </w:pPr>
      <w:r>
        <w:rPr>
          <w:rFonts w:ascii="Arial" w:cs="Arial" w:eastAsia="Arial" w:hAnsi="Arial"/>
          <w:sz w:val="18"/>
          <w:szCs w:val="18"/>
          <w:b w:val="1"/>
          <w:bCs w:val="1"/>
          <w:color w:val="auto"/>
        </w:rPr>
        <w:t>Ended</w:t>
      </w:r>
    </w:p>
    <w:p>
      <w:pPr>
        <w:spacing w:after="0" w:line="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12/31/21</w:t>
      </w:r>
    </w:p>
    <w:p>
      <w:pPr>
        <w:spacing w:after="0" w:line="251" w:lineRule="exact"/>
        <w:rPr>
          <w:sz w:val="20"/>
          <w:szCs w:val="20"/>
          <w:color w:val="auto"/>
        </w:rPr>
      </w:pPr>
    </w:p>
    <w:p>
      <w:pPr>
        <w:jc w:val="right"/>
        <w:ind w:right="3580"/>
        <w:spacing w:after="0"/>
        <w:rPr>
          <w:sz w:val="20"/>
          <w:szCs w:val="20"/>
          <w:color w:val="auto"/>
        </w:rPr>
      </w:pPr>
      <w:r>
        <w:rPr>
          <w:rFonts w:ascii="Arial" w:cs="Arial" w:eastAsia="Arial" w:hAnsi="Arial"/>
          <w:sz w:val="18"/>
          <w:szCs w:val="18"/>
          <w:color w:val="auto"/>
        </w:rPr>
        <w:t>1,728</w:t>
      </w:r>
    </w:p>
    <w:p>
      <w:pPr>
        <w:spacing w:after="0" w:line="23" w:lineRule="exact"/>
        <w:rPr>
          <w:sz w:val="20"/>
          <w:szCs w:val="20"/>
          <w:color w:val="auto"/>
        </w:rPr>
      </w:pPr>
    </w:p>
    <w:p>
      <w:pPr>
        <w:jc w:val="right"/>
        <w:ind w:right="3580"/>
        <w:spacing w:after="0"/>
        <w:rPr>
          <w:sz w:val="20"/>
          <w:szCs w:val="20"/>
          <w:color w:val="auto"/>
        </w:rPr>
      </w:pPr>
      <w:r>
        <w:rPr>
          <w:rFonts w:ascii="Arial" w:cs="Arial" w:eastAsia="Arial" w:hAnsi="Arial"/>
          <w:sz w:val="18"/>
          <w:szCs w:val="18"/>
          <w:color w:val="auto"/>
        </w:rPr>
        <w:t>967</w:t>
      </w:r>
    </w:p>
    <w:p>
      <w:pPr>
        <w:spacing w:after="0" w:line="23" w:lineRule="exact"/>
        <w:rPr>
          <w:sz w:val="20"/>
          <w:szCs w:val="20"/>
          <w:color w:val="auto"/>
        </w:rPr>
      </w:pPr>
    </w:p>
    <w:p>
      <w:pPr>
        <w:jc w:val="right"/>
        <w:ind w:right="3580"/>
        <w:spacing w:after="0"/>
        <w:rPr>
          <w:sz w:val="20"/>
          <w:szCs w:val="20"/>
          <w:color w:val="auto"/>
        </w:rPr>
      </w:pPr>
      <w:r>
        <w:rPr>
          <w:rFonts w:ascii="Arial" w:cs="Arial" w:eastAsia="Arial" w:hAnsi="Arial"/>
          <w:sz w:val="18"/>
          <w:szCs w:val="18"/>
          <w:color w:val="auto"/>
        </w:rPr>
        <w:t>701</w:t>
      </w:r>
    </w:p>
    <w:p>
      <w:pPr>
        <w:spacing w:after="0" w:line="23" w:lineRule="exact"/>
        <w:rPr>
          <w:sz w:val="20"/>
          <w:szCs w:val="20"/>
          <w:color w:val="auto"/>
        </w:rPr>
      </w:pPr>
    </w:p>
    <w:p>
      <w:pPr>
        <w:jc w:val="right"/>
        <w:ind w:right="3580"/>
        <w:spacing w:after="0"/>
        <w:rPr>
          <w:sz w:val="20"/>
          <w:szCs w:val="20"/>
          <w:color w:val="auto"/>
        </w:rPr>
      </w:pPr>
      <w:r>
        <w:rPr>
          <w:rFonts w:ascii="Arial" w:cs="Arial" w:eastAsia="Arial" w:hAnsi="Arial"/>
          <w:sz w:val="18"/>
          <w:szCs w:val="18"/>
          <w:color w:val="auto"/>
        </w:rPr>
        <w:t>622</w:t>
      </w:r>
    </w:p>
    <w:p>
      <w:pPr>
        <w:spacing w:after="0" w:line="23" w:lineRule="exact"/>
        <w:rPr>
          <w:sz w:val="20"/>
          <w:szCs w:val="20"/>
          <w:color w:val="auto"/>
        </w:rPr>
      </w:pPr>
    </w:p>
    <w:p>
      <w:pPr>
        <w:jc w:val="right"/>
        <w:ind w:right="3580"/>
        <w:spacing w:after="0"/>
        <w:rPr>
          <w:sz w:val="20"/>
          <w:szCs w:val="20"/>
          <w:color w:val="auto"/>
        </w:rPr>
      </w:pPr>
      <w:r>
        <w:rPr>
          <w:rFonts w:ascii="Arial" w:cs="Arial" w:eastAsia="Arial" w:hAnsi="Arial"/>
          <w:sz w:val="18"/>
          <w:szCs w:val="18"/>
          <w:color w:val="auto"/>
        </w:rPr>
        <w:t>47</w:t>
      </w:r>
    </w:p>
    <w:p>
      <w:pPr>
        <w:spacing w:after="0" w:line="200" w:lineRule="exact"/>
        <w:rPr>
          <w:sz w:val="20"/>
          <w:szCs w:val="20"/>
          <w:color w:val="auto"/>
        </w:rPr>
      </w:pPr>
    </w:p>
    <w:p>
      <w:pPr>
        <w:spacing w:after="0" w:line="267"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(2,292)</w:t>
      </w:r>
    </w:p>
    <w:p>
      <w:pPr>
        <w:spacing w:after="0" w:line="23"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(533)</w:t>
      </w:r>
    </w:p>
    <w:p>
      <w:pPr>
        <w:spacing w:after="0" w:line="23"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(377)</w:t>
      </w:r>
    </w:p>
    <w:p>
      <w:pPr>
        <w:spacing w:after="0" w:line="23"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(268)</w:t>
      </w:r>
    </w:p>
    <w:p>
      <w:pPr>
        <w:spacing w:after="0" w:line="23"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(229)</w:t>
      </w:r>
    </w:p>
    <w:p>
      <w:pPr>
        <w:spacing w:after="0" w:line="23"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(151)</w:t>
      </w:r>
    </w:p>
    <w:p>
      <w:pPr>
        <w:spacing w:after="0" w:line="23"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(20)</w:t>
      </w:r>
    </w:p>
    <w:p>
      <w:pPr>
        <w:spacing w:after="0" w:line="23" w:lineRule="exact"/>
        <w:rPr>
          <w:sz w:val="20"/>
          <w:szCs w:val="20"/>
          <w:color w:val="auto"/>
        </w:rPr>
      </w:pPr>
    </w:p>
    <w:p>
      <w:pPr>
        <w:jc w:val="right"/>
        <w:ind w:right="3540"/>
        <w:spacing w:after="0"/>
        <w:rPr>
          <w:sz w:val="20"/>
          <w:szCs w:val="20"/>
          <w:color w:val="auto"/>
        </w:rPr>
      </w:pPr>
      <w:r>
        <w:rPr>
          <w:rFonts w:ascii="Arial" w:cs="Arial" w:eastAsia="Arial" w:hAnsi="Arial"/>
          <w:sz w:val="18"/>
          <w:szCs w:val="18"/>
          <w:color w:val="auto"/>
        </w:rPr>
        <w:t>(6)</w:t>
      </w:r>
    </w:p>
    <w:p>
      <w:pPr>
        <w:spacing w:after="0" w:line="200" w:lineRule="exact"/>
        <w:rPr>
          <w:sz w:val="20"/>
          <w:szCs w:val="20"/>
          <w:color w:val="auto"/>
        </w:rPr>
      </w:pPr>
    </w:p>
    <w:p>
      <w:pPr>
        <w:sectPr>
          <w:pgSz w:w="11900" w:h="16838" w:orient="portrait"/>
          <w:cols w:equalWidth="0" w:num="2">
            <w:col w:w="5720" w:space="720"/>
            <w:col w:w="4800"/>
          </w:cols>
          <w:pgMar w:left="320" w:top="1008" w:right="339" w:bottom="1440" w:gutter="0" w:footer="0" w:header="0"/>
          <w:type w:val="continuous"/>
        </w:sectPr>
      </w:pPr>
    </w:p>
    <w:p>
      <w:pPr>
        <w:spacing w:after="0" w:line="92" w:lineRule="exact"/>
        <w:rPr>
          <w:sz w:val="20"/>
          <w:szCs w:val="20"/>
          <w:color w:val="auto"/>
        </w:rPr>
      </w:pPr>
    </w:p>
    <w:p>
      <w:pPr>
        <w:ind w:left="20"/>
        <w:spacing w:after="0"/>
        <w:tabs>
          <w:tab w:leader="none" w:pos="6320" w:val="left"/>
          <w:tab w:leader="none" w:pos="7400" w:val="left"/>
        </w:tabs>
        <w:rPr>
          <w:sz w:val="20"/>
          <w:szCs w:val="20"/>
          <w:color w:val="auto"/>
        </w:rPr>
      </w:pPr>
      <w:r>
        <w:rPr>
          <w:rFonts w:ascii="Arial" w:cs="Arial" w:eastAsia="Arial" w:hAnsi="Arial"/>
          <w:sz w:val="16"/>
          <w:szCs w:val="16"/>
          <w:b w:val="1"/>
          <w:bCs w:val="1"/>
          <w:color w:val="auto"/>
        </w:rPr>
        <w:t>Change in total cash, cash equivalents, and restricted cash</w:t>
      </w:r>
      <w:r>
        <w:rPr>
          <w:sz w:val="20"/>
          <w:szCs w:val="20"/>
          <w:color w:val="auto"/>
        </w:rPr>
        <w:tab/>
      </w:r>
      <w:r>
        <w:rPr>
          <w:rFonts w:ascii="Arial" w:cs="Arial" w:eastAsia="Arial" w:hAnsi="Arial"/>
          <w:sz w:val="16"/>
          <w:szCs w:val="16"/>
          <w:b w:val="1"/>
          <w:bCs w:val="1"/>
          <w:color w:val="auto"/>
        </w:rPr>
        <w:t>$</w:t>
      </w:r>
      <w:r>
        <w:rPr>
          <w:sz w:val="20"/>
          <w:szCs w:val="20"/>
          <w:color w:val="auto"/>
        </w:rPr>
        <w:tab/>
      </w:r>
      <w:r>
        <w:rPr>
          <w:rFonts w:ascii="Arial" w:cs="Arial" w:eastAsia="Arial" w:hAnsi="Arial"/>
          <w:sz w:val="14"/>
          <w:szCs w:val="14"/>
          <w:b w:val="1"/>
          <w:bCs w:val="1"/>
          <w:color w:val="auto"/>
        </w:rPr>
        <w:t>189</w:t>
      </w:r>
    </w:p>
    <w:p>
      <w:pPr>
        <w:spacing w:after="0" w:line="200" w:lineRule="exact"/>
        <w:rPr>
          <w:sz w:val="20"/>
          <w:szCs w:val="20"/>
          <w:color w:val="auto"/>
        </w:rPr>
      </w:pPr>
    </w:p>
    <w:p>
      <w:pPr>
        <w:spacing w:after="0" w:line="376"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16</w:t>
      </w:r>
    </w:p>
    <w:p>
      <w:pPr>
        <w:sectPr>
          <w:pgSz w:w="11900" w:h="16838" w:orient="portrait"/>
          <w:cols w:equalWidth="0" w:num="1">
            <w:col w:w="11240"/>
          </w:cols>
          <w:pgMar w:left="320" w:top="1008" w:right="339" w:bottom="1440" w:gutter="0" w:footer="0" w:header="0"/>
          <w:type w:val="continuous"/>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Appendix Table A-7: Adjusted EBITDA and Cash Available for Distribution Guidance, Thermal Full Year, and Pro Forma Outlook</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240" w:type="dxa"/>
            <w:vAlign w:val="bottom"/>
            <w:gridSpan w:val="2"/>
            <w:vMerge w:val="restart"/>
          </w:tcPr>
          <w:p>
            <w:pPr>
              <w:ind w:left="20"/>
              <w:spacing w:after="0"/>
              <w:rPr>
                <w:sz w:val="20"/>
                <w:szCs w:val="20"/>
                <w:color w:val="auto"/>
              </w:rPr>
            </w:pPr>
            <w:r>
              <w:rPr>
                <w:rFonts w:ascii="Arial" w:cs="Arial" w:eastAsia="Arial" w:hAnsi="Arial"/>
                <w:sz w:val="18"/>
                <w:szCs w:val="18"/>
                <w:i w:val="1"/>
                <w:iCs w:val="1"/>
                <w:color w:val="auto"/>
              </w:rPr>
              <w:t>($ in millions)</w:t>
            </w:r>
          </w:p>
        </w:tc>
        <w:tc>
          <w:tcPr>
            <w:tcW w:w="1400" w:type="dxa"/>
            <w:vAlign w:val="bottom"/>
            <w:gridSpan w:val="3"/>
          </w:tcPr>
          <w:p>
            <w:pPr>
              <w:jc w:val="center"/>
              <w:ind w:right="160"/>
              <w:spacing w:after="0"/>
              <w:rPr>
                <w:sz w:val="20"/>
                <w:szCs w:val="20"/>
                <w:color w:val="auto"/>
              </w:rPr>
            </w:pPr>
            <w:r>
              <w:rPr>
                <w:rFonts w:ascii="Arial" w:cs="Arial" w:eastAsia="Arial" w:hAnsi="Arial"/>
                <w:sz w:val="18"/>
                <w:szCs w:val="18"/>
                <w:b w:val="1"/>
                <w:bCs w:val="1"/>
                <w:color w:val="auto"/>
                <w:w w:val="92"/>
              </w:rPr>
              <w:t>2022 Full Year</w:t>
            </w:r>
          </w:p>
        </w:tc>
        <w:tc>
          <w:tcPr>
            <w:tcW w:w="13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3"/>
              </w:rPr>
              <w:t>2022 Thermal</w:t>
            </w:r>
          </w:p>
        </w:tc>
        <w:tc>
          <w:tcPr>
            <w:tcW w:w="140" w:type="dxa"/>
            <w:vAlign w:val="bottom"/>
          </w:tcPr>
          <w:p>
            <w:pPr>
              <w:spacing w:after="0"/>
              <w:rPr>
                <w:sz w:val="17"/>
                <w:szCs w:val="17"/>
                <w:color w:val="auto"/>
              </w:rPr>
            </w:pPr>
          </w:p>
        </w:tc>
        <w:tc>
          <w:tcPr>
            <w:tcW w:w="1080" w:type="dxa"/>
            <w:vAlign w:val="bottom"/>
          </w:tcPr>
          <w:p>
            <w:pPr>
              <w:jc w:val="right"/>
              <w:ind w:right="99"/>
              <w:spacing w:after="0"/>
              <w:rPr>
                <w:sz w:val="20"/>
                <w:szCs w:val="20"/>
                <w:color w:val="auto"/>
              </w:rPr>
            </w:pPr>
            <w:r>
              <w:rPr>
                <w:rFonts w:ascii="Arial" w:cs="Arial" w:eastAsia="Arial" w:hAnsi="Arial"/>
                <w:sz w:val="18"/>
                <w:szCs w:val="18"/>
                <w:b w:val="1"/>
                <w:bCs w:val="1"/>
                <w:color w:val="auto"/>
                <w:w w:val="97"/>
              </w:rPr>
              <w:t>Pro Forma</w:t>
            </w:r>
          </w:p>
        </w:tc>
        <w:tc>
          <w:tcPr>
            <w:tcW w:w="0" w:type="dxa"/>
            <w:vAlign w:val="bottom"/>
          </w:tcPr>
          <w:p>
            <w:pPr>
              <w:spacing w:after="0"/>
              <w:rPr>
                <w:sz w:val="1"/>
                <w:szCs w:val="1"/>
                <w:color w:val="auto"/>
              </w:rPr>
            </w:pPr>
          </w:p>
        </w:tc>
      </w:tr>
      <w:tr>
        <w:trPr>
          <w:trHeight w:val="229"/>
        </w:trPr>
        <w:tc>
          <w:tcPr>
            <w:tcW w:w="524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Guidance</w:t>
            </w:r>
          </w:p>
        </w:tc>
        <w:tc>
          <w:tcPr>
            <w:tcW w:w="180" w:type="dxa"/>
            <w:vAlign w:val="bottom"/>
          </w:tcPr>
          <w:p>
            <w:pPr>
              <w:spacing w:after="0"/>
              <w:rPr>
                <w:sz w:val="19"/>
                <w:szCs w:val="19"/>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Full Year</w:t>
            </w:r>
          </w:p>
        </w:tc>
        <w:tc>
          <w:tcPr>
            <w:tcW w:w="1220" w:type="dxa"/>
            <w:vAlign w:val="bottom"/>
            <w:gridSpan w:val="2"/>
          </w:tcPr>
          <w:p>
            <w:pPr>
              <w:ind w:left="20"/>
              <w:spacing w:after="0"/>
              <w:rPr>
                <w:sz w:val="20"/>
                <w:szCs w:val="20"/>
                <w:color w:val="auto"/>
              </w:rPr>
            </w:pPr>
            <w:r>
              <w:rPr>
                <w:rFonts w:ascii="Arial" w:cs="Arial" w:eastAsia="Arial" w:hAnsi="Arial"/>
                <w:sz w:val="18"/>
                <w:szCs w:val="18"/>
                <w:b w:val="1"/>
                <w:bCs w:val="1"/>
                <w:color w:val="auto"/>
                <w:w w:val="95"/>
              </w:rPr>
              <w:t>CAFD Outlook</w:t>
            </w:r>
          </w:p>
        </w:tc>
        <w:tc>
          <w:tcPr>
            <w:tcW w:w="0" w:type="dxa"/>
            <w:vAlign w:val="bottom"/>
          </w:tcPr>
          <w:p>
            <w:pPr>
              <w:spacing w:after="0"/>
              <w:rPr>
                <w:sz w:val="1"/>
                <w:szCs w:val="1"/>
                <w:color w:val="auto"/>
              </w:rPr>
            </w:pPr>
          </w:p>
        </w:tc>
      </w:tr>
      <w:tr>
        <w:trPr>
          <w:trHeight w:val="223"/>
        </w:trPr>
        <w:tc>
          <w:tcPr>
            <w:tcW w:w="51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120</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15</w:t>
            </w: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75</w:t>
            </w:r>
          </w:p>
        </w:tc>
        <w:tc>
          <w:tcPr>
            <w:tcW w:w="0" w:type="dxa"/>
            <w:vAlign w:val="bottom"/>
          </w:tcPr>
          <w:p>
            <w:pPr>
              <w:spacing w:after="0"/>
              <w:rPr>
                <w:sz w:val="1"/>
                <w:szCs w:val="1"/>
                <w:color w:val="auto"/>
              </w:rPr>
            </w:pPr>
          </w:p>
        </w:tc>
      </w:tr>
      <w:tr>
        <w:trPr>
          <w:trHeight w:val="223"/>
        </w:trPr>
        <w:tc>
          <w:tcPr>
            <w:tcW w:w="5100" w:type="dxa"/>
            <w:vAlign w:val="bottom"/>
          </w:tcPr>
          <w:p>
            <w:pPr>
              <w:ind w:left="180"/>
              <w:spacing w:after="0"/>
              <w:rPr>
                <w:sz w:val="20"/>
                <w:szCs w:val="20"/>
                <w:color w:val="auto"/>
              </w:rPr>
            </w:pPr>
            <w:r>
              <w:rPr>
                <w:rFonts w:ascii="Arial" w:cs="Arial" w:eastAsia="Arial" w:hAnsi="Arial"/>
                <w:sz w:val="18"/>
                <w:szCs w:val="18"/>
                <w:color w:val="auto"/>
              </w:rPr>
              <w:t>Income Tax Expense</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20</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29"/>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Interest Expense, net</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460</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385</w:t>
            </w:r>
          </w:p>
        </w:tc>
        <w:tc>
          <w:tcPr>
            <w:tcW w:w="0" w:type="dxa"/>
            <w:vAlign w:val="bottom"/>
          </w:tcPr>
          <w:p>
            <w:pPr>
              <w:spacing w:after="0"/>
              <w:rPr>
                <w:sz w:val="1"/>
                <w:szCs w:val="1"/>
                <w:color w:val="auto"/>
              </w:rPr>
            </w:pPr>
          </w:p>
        </w:tc>
      </w:tr>
      <w:tr>
        <w:trPr>
          <w:trHeight w:val="230"/>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Depreciation, Amortization, and ARO Expense</w:t>
            </w: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605</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530</w:t>
            </w:r>
          </w:p>
        </w:tc>
        <w:tc>
          <w:tcPr>
            <w:tcW w:w="0" w:type="dxa"/>
            <w:vAlign w:val="bottom"/>
          </w:tcPr>
          <w:p>
            <w:pPr>
              <w:spacing w:after="0"/>
              <w:rPr>
                <w:sz w:val="1"/>
                <w:szCs w:val="1"/>
                <w:color w:val="auto"/>
              </w:rPr>
            </w:pPr>
          </w:p>
        </w:tc>
      </w:tr>
      <w:tr>
        <w:trPr>
          <w:trHeight w:val="175"/>
        </w:trPr>
        <w:tc>
          <w:tcPr>
            <w:tcW w:w="5240" w:type="dxa"/>
            <w:vAlign w:val="bottom"/>
            <w:gridSpan w:val="2"/>
            <w:shd w:val="clear" w:color="auto" w:fill="CCEEFF"/>
          </w:tcPr>
          <w:p>
            <w:pPr>
              <w:ind w:left="160"/>
              <w:spacing w:after="0" w:line="176" w:lineRule="exact"/>
              <w:rPr>
                <w:sz w:val="20"/>
                <w:szCs w:val="20"/>
                <w:color w:val="auto"/>
              </w:rPr>
            </w:pPr>
            <w:r>
              <w:rPr>
                <w:rFonts w:ascii="Arial" w:cs="Arial" w:eastAsia="Arial" w:hAnsi="Arial"/>
                <w:sz w:val="18"/>
                <w:szCs w:val="18"/>
                <w:color w:val="auto"/>
              </w:rPr>
              <w:t>Adjustment to reflect CWEN share of Adjusted EBITDA in</w:t>
            </w:r>
          </w:p>
        </w:tc>
        <w:tc>
          <w:tcPr>
            <w:tcW w:w="1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2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unconsolidated affiliates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w:t>
            </w:r>
          </w:p>
        </w:tc>
        <w:tc>
          <w:tcPr>
            <w:tcW w:w="0" w:type="dxa"/>
            <w:vAlign w:val="bottom"/>
          </w:tcPr>
          <w:p>
            <w:pPr>
              <w:spacing w:after="0"/>
              <w:rPr>
                <w:sz w:val="1"/>
                <w:szCs w:val="1"/>
                <w:color w:val="auto"/>
              </w:rPr>
            </w:pPr>
          </w:p>
        </w:tc>
      </w:tr>
      <w:tr>
        <w:trPr>
          <w:trHeight w:val="229"/>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Non-Cash Equity Compensation</w:t>
            </w: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23"/>
        </w:trPr>
        <w:tc>
          <w:tcPr>
            <w:tcW w:w="510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Adjusted EBITDA</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spacing w:after="0"/>
              <w:rPr>
                <w:sz w:val="19"/>
                <w:szCs w:val="19"/>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1,270</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spacing w:after="0"/>
              <w:rPr>
                <w:sz w:val="19"/>
                <w:szCs w:val="19"/>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65</w:t>
            </w: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spacing w:after="0"/>
              <w:rPr>
                <w:sz w:val="19"/>
                <w:szCs w:val="19"/>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1,055</w:t>
            </w:r>
          </w:p>
        </w:tc>
        <w:tc>
          <w:tcPr>
            <w:tcW w:w="0" w:type="dxa"/>
            <w:vAlign w:val="bottom"/>
          </w:tcPr>
          <w:p>
            <w:pPr>
              <w:spacing w:after="0"/>
              <w:rPr>
                <w:sz w:val="1"/>
                <w:szCs w:val="1"/>
                <w:color w:val="auto"/>
              </w:rPr>
            </w:pPr>
          </w:p>
        </w:tc>
      </w:tr>
      <w:tr>
        <w:trPr>
          <w:trHeight w:val="223"/>
        </w:trPr>
        <w:tc>
          <w:tcPr>
            <w:tcW w:w="5100" w:type="dxa"/>
            <w:vAlign w:val="bottom"/>
          </w:tcPr>
          <w:p>
            <w:pPr>
              <w:ind w:left="180"/>
              <w:spacing w:after="0"/>
              <w:rPr>
                <w:sz w:val="20"/>
                <w:szCs w:val="20"/>
                <w:color w:val="auto"/>
              </w:rPr>
            </w:pPr>
            <w:r>
              <w:rPr>
                <w:rFonts w:ascii="Arial" w:cs="Arial" w:eastAsia="Arial" w:hAnsi="Arial"/>
                <w:sz w:val="18"/>
                <w:szCs w:val="18"/>
                <w:color w:val="auto"/>
              </w:rPr>
              <w:t>Cash interest paid</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(333)</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(285)</w:t>
            </w:r>
          </w:p>
        </w:tc>
        <w:tc>
          <w:tcPr>
            <w:tcW w:w="0" w:type="dxa"/>
            <w:vAlign w:val="bottom"/>
          </w:tcPr>
          <w:p>
            <w:pPr>
              <w:spacing w:after="0"/>
              <w:rPr>
                <w:sz w:val="1"/>
                <w:szCs w:val="1"/>
                <w:color w:val="auto"/>
              </w:rPr>
            </w:pPr>
          </w:p>
        </w:tc>
      </w:tr>
      <w:tr>
        <w:trPr>
          <w:trHeight w:val="230"/>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8"/>
              </w:rPr>
              <w:t>Changes in prepaid and accrued liabilities for tolling agreements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57"/>
        </w:trPr>
        <w:tc>
          <w:tcPr>
            <w:tcW w:w="5240" w:type="dxa"/>
            <w:vAlign w:val="bottom"/>
            <w:gridSpan w:val="2"/>
          </w:tcPr>
          <w:p>
            <w:pPr>
              <w:ind w:left="160"/>
              <w:spacing w:after="0" w:line="256" w:lineRule="exact"/>
              <w:rPr>
                <w:sz w:val="20"/>
                <w:szCs w:val="20"/>
                <w:color w:val="auto"/>
              </w:rPr>
            </w:pPr>
            <w:r>
              <w:rPr>
                <w:rFonts w:ascii="Arial" w:cs="Arial" w:eastAsia="Arial" w:hAnsi="Arial"/>
                <w:sz w:val="18"/>
                <w:szCs w:val="18"/>
                <w:color w:val="auto"/>
              </w:rPr>
              <w:t>Adjustment to reflect sale-type lease</w:t>
            </w:r>
            <w:r>
              <w:rPr>
                <w:rFonts w:ascii="Arial" w:cs="Arial" w:eastAsia="Arial" w:hAnsi="Arial"/>
                <w:sz w:val="23"/>
                <w:szCs w:val="23"/>
                <w:color w:val="auto"/>
                <w:vertAlign w:val="superscript"/>
              </w:rPr>
              <w:t>7</w:t>
            </w:r>
          </w:p>
        </w:tc>
        <w:tc>
          <w:tcPr>
            <w:tcW w:w="1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w:t>
            </w: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29"/>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Pro-rata Adjusted EBITDA from unconsolidated affiliates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w:t>
            </w:r>
          </w:p>
        </w:tc>
        <w:tc>
          <w:tcPr>
            <w:tcW w:w="0" w:type="dxa"/>
            <w:vAlign w:val="bottom"/>
          </w:tcPr>
          <w:p>
            <w:pPr>
              <w:spacing w:after="0"/>
              <w:rPr>
                <w:sz w:val="1"/>
                <w:szCs w:val="1"/>
                <w:color w:val="auto"/>
              </w:rPr>
            </w:pPr>
          </w:p>
        </w:tc>
      </w:tr>
      <w:tr>
        <w:trPr>
          <w:trHeight w:val="257"/>
        </w:trPr>
        <w:tc>
          <w:tcPr>
            <w:tcW w:w="5240" w:type="dxa"/>
            <w:vAlign w:val="bottom"/>
            <w:gridSpan w:val="2"/>
          </w:tcPr>
          <w:p>
            <w:pPr>
              <w:ind w:left="180"/>
              <w:spacing w:after="0" w:line="256" w:lineRule="exact"/>
              <w:rPr>
                <w:sz w:val="20"/>
                <w:szCs w:val="20"/>
                <w:color w:val="auto"/>
              </w:rPr>
            </w:pPr>
            <w:r>
              <w:rPr>
                <w:rFonts w:ascii="Arial" w:cs="Arial" w:eastAsia="Arial" w:hAnsi="Arial"/>
                <w:sz w:val="18"/>
                <w:szCs w:val="18"/>
                <w:color w:val="auto"/>
              </w:rPr>
              <w:t>Cash distributions from unconsolidated affiliates</w:t>
            </w:r>
            <w:r>
              <w:rPr>
                <w:rFonts w:ascii="Arial" w:cs="Arial" w:eastAsia="Arial" w:hAnsi="Arial"/>
                <w:sz w:val="23"/>
                <w:szCs w:val="23"/>
                <w:color w:val="auto"/>
                <w:vertAlign w:val="superscript"/>
              </w:rPr>
              <w:t>8</w:t>
            </w:r>
          </w:p>
        </w:tc>
        <w:tc>
          <w:tcPr>
            <w:tcW w:w="1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45</w:t>
            </w: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48</w:t>
            </w:r>
          </w:p>
        </w:tc>
        <w:tc>
          <w:tcPr>
            <w:tcW w:w="0" w:type="dxa"/>
            <w:vAlign w:val="bottom"/>
          </w:tcPr>
          <w:p>
            <w:pPr>
              <w:spacing w:after="0"/>
              <w:rPr>
                <w:sz w:val="1"/>
                <w:szCs w:val="1"/>
                <w:color w:val="auto"/>
              </w:rPr>
            </w:pPr>
          </w:p>
        </w:tc>
      </w:tr>
      <w:tr>
        <w:trPr>
          <w:trHeight w:val="229"/>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Income Tax Payment</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b w:val="1"/>
                <w:bCs w:val="1"/>
                <w:color w:val="auto"/>
              </w:rPr>
              <w:t>—</w:t>
            </w: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3"/>
        </w:trPr>
        <w:tc>
          <w:tcPr>
            <w:tcW w:w="5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Cash from Operating Activities</w:t>
            </w:r>
          </w:p>
        </w:tc>
        <w:tc>
          <w:tcPr>
            <w:tcW w:w="14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914</w:t>
            </w:r>
          </w:p>
        </w:tc>
        <w:tc>
          <w:tcPr>
            <w:tcW w:w="14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48</w:t>
            </w:r>
          </w:p>
        </w:tc>
        <w:tc>
          <w:tcPr>
            <w:tcW w:w="120" w:type="dxa"/>
            <w:vAlign w:val="bottom"/>
            <w:tcBorders>
              <w:bottom w:val="single" w:sz="8" w:color="CCEEFF"/>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733</w:t>
            </w:r>
          </w:p>
        </w:tc>
        <w:tc>
          <w:tcPr>
            <w:tcW w:w="0" w:type="dxa"/>
            <w:vAlign w:val="bottom"/>
          </w:tcPr>
          <w:p>
            <w:pPr>
              <w:spacing w:after="0"/>
              <w:rPr>
                <w:sz w:val="1"/>
                <w:szCs w:val="1"/>
                <w:color w:val="auto"/>
              </w:rPr>
            </w:pPr>
          </w:p>
        </w:tc>
      </w:tr>
      <w:tr>
        <w:trPr>
          <w:trHeight w:val="250"/>
        </w:trPr>
        <w:tc>
          <w:tcPr>
            <w:tcW w:w="5100" w:type="dxa"/>
            <w:vAlign w:val="bottom"/>
            <w:shd w:val="clear" w:color="auto" w:fill="CCEEFF"/>
          </w:tcPr>
          <w:p>
            <w:pPr>
              <w:ind w:left="180"/>
              <w:spacing w:after="0" w:line="250" w:lineRule="exact"/>
              <w:rPr>
                <w:sz w:val="20"/>
                <w:szCs w:val="20"/>
                <w:color w:val="auto"/>
              </w:rPr>
            </w:pPr>
            <w:r>
              <w:rPr>
                <w:rFonts w:ascii="Arial" w:cs="Arial" w:eastAsia="Arial" w:hAnsi="Arial"/>
                <w:sz w:val="18"/>
                <w:szCs w:val="18"/>
                <w:color w:val="auto"/>
              </w:rPr>
              <w:t>Development Expense</w:t>
            </w:r>
            <w:r>
              <w:rPr>
                <w:rFonts w:ascii="Arial" w:cs="Arial" w:eastAsia="Arial" w:hAnsi="Arial"/>
                <w:sz w:val="23"/>
                <w:szCs w:val="23"/>
                <w:color w:val="auto"/>
                <w:vertAlign w:val="superscript"/>
              </w:rPr>
              <w:t>9</w:t>
            </w:r>
          </w:p>
        </w:tc>
        <w:tc>
          <w:tcPr>
            <w:tcW w:w="14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4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6"/>
        </w:trPr>
        <w:tc>
          <w:tcPr>
            <w:tcW w:w="5240" w:type="dxa"/>
            <w:vAlign w:val="bottom"/>
            <w:gridSpan w:val="2"/>
          </w:tcPr>
          <w:p>
            <w:pPr>
              <w:ind w:left="180"/>
              <w:spacing w:after="0" w:line="256" w:lineRule="exact"/>
              <w:rPr>
                <w:sz w:val="20"/>
                <w:szCs w:val="20"/>
                <w:color w:val="auto"/>
              </w:rPr>
            </w:pPr>
            <w:r>
              <w:rPr>
                <w:rFonts w:ascii="Arial" w:cs="Arial" w:eastAsia="Arial" w:hAnsi="Arial"/>
                <w:sz w:val="18"/>
                <w:szCs w:val="18"/>
                <w:color w:val="auto"/>
              </w:rPr>
              <w:t>Net distributions to non-controlling interest</w:t>
            </w:r>
            <w:r>
              <w:rPr>
                <w:rFonts w:ascii="Arial" w:cs="Arial" w:eastAsia="Arial" w:hAnsi="Arial"/>
                <w:sz w:val="23"/>
                <w:szCs w:val="23"/>
                <w:color w:val="auto"/>
                <w:vertAlign w:val="superscript"/>
              </w:rPr>
              <w:t>10</w:t>
            </w:r>
          </w:p>
        </w:tc>
        <w:tc>
          <w:tcPr>
            <w:tcW w:w="18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(64)</w:t>
            </w: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(67)</w:t>
            </w:r>
          </w:p>
        </w:tc>
        <w:tc>
          <w:tcPr>
            <w:tcW w:w="0" w:type="dxa"/>
            <w:vAlign w:val="bottom"/>
          </w:tcPr>
          <w:p>
            <w:pPr>
              <w:spacing w:after="0"/>
              <w:rPr>
                <w:sz w:val="1"/>
                <w:szCs w:val="1"/>
                <w:color w:val="auto"/>
              </w:rPr>
            </w:pPr>
          </w:p>
        </w:tc>
      </w:tr>
      <w:tr>
        <w:trPr>
          <w:trHeight w:val="230"/>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Maintenance capital expenditures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0" w:type="dxa"/>
            <w:vAlign w:val="bottom"/>
          </w:tcPr>
          <w:p>
            <w:pPr>
              <w:spacing w:after="0"/>
              <w:rPr>
                <w:sz w:val="1"/>
                <w:szCs w:val="1"/>
                <w:color w:val="auto"/>
              </w:rPr>
            </w:pPr>
          </w:p>
        </w:tc>
      </w:tr>
      <w:tr>
        <w:trPr>
          <w:trHeight w:val="229"/>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Principal amortization of indebtedness</w:t>
            </w: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(427)</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(261)</w:t>
            </w:r>
          </w:p>
        </w:tc>
        <w:tc>
          <w:tcPr>
            <w:tcW w:w="0" w:type="dxa"/>
            <w:vAlign w:val="bottom"/>
          </w:tcPr>
          <w:p>
            <w:pPr>
              <w:spacing w:after="0"/>
              <w:rPr>
                <w:sz w:val="1"/>
                <w:szCs w:val="1"/>
                <w:color w:val="auto"/>
              </w:rPr>
            </w:pPr>
          </w:p>
        </w:tc>
      </w:tr>
      <w:tr>
        <w:trPr>
          <w:trHeight w:val="223"/>
        </w:trPr>
        <w:tc>
          <w:tcPr>
            <w:tcW w:w="5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Cash Available for Distribution</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395</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40</w:t>
            </w: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385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Appendix Table A-8: Growth Investments 5 Year Average CAFD</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jc w:val="center"/>
              <w:ind w:right="96"/>
              <w:spacing w:after="0"/>
              <w:rPr>
                <w:sz w:val="20"/>
                <w:szCs w:val="20"/>
                <w:color w:val="auto"/>
              </w:rPr>
            </w:pPr>
            <w:r>
              <w:rPr>
                <w:rFonts w:ascii="Arial" w:cs="Arial" w:eastAsia="Arial" w:hAnsi="Arial"/>
                <w:sz w:val="18"/>
                <w:szCs w:val="18"/>
                <w:b w:val="1"/>
                <w:bCs w:val="1"/>
                <w:color w:val="auto"/>
                <w:w w:val="93"/>
              </w:rPr>
              <w:t>Utah Solar</w:t>
            </w:r>
          </w:p>
        </w:tc>
        <w:tc>
          <w:tcPr>
            <w:tcW w:w="0" w:type="dxa"/>
            <w:vAlign w:val="bottom"/>
          </w:tcPr>
          <w:p>
            <w:pPr>
              <w:spacing w:after="0"/>
              <w:rPr>
                <w:sz w:val="1"/>
                <w:szCs w:val="1"/>
                <w:color w:val="auto"/>
              </w:rPr>
            </w:pPr>
          </w:p>
        </w:tc>
      </w:tr>
      <w:tr>
        <w:trPr>
          <w:trHeight w:val="175"/>
        </w:trPr>
        <w:tc>
          <w:tcPr>
            <w:tcW w:w="45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00" w:type="dxa"/>
            <w:vAlign w:val="bottom"/>
          </w:tcPr>
          <w:p>
            <w:pPr>
              <w:jc w:val="center"/>
              <w:ind w:right="96"/>
              <w:spacing w:after="0" w:line="176" w:lineRule="exact"/>
              <w:rPr>
                <w:sz w:val="20"/>
                <w:szCs w:val="20"/>
                <w:color w:val="auto"/>
              </w:rPr>
            </w:pPr>
            <w:r>
              <w:rPr>
                <w:rFonts w:ascii="Arial" w:cs="Arial" w:eastAsia="Arial" w:hAnsi="Arial"/>
                <w:sz w:val="18"/>
                <w:szCs w:val="18"/>
                <w:b w:val="1"/>
                <w:bCs w:val="1"/>
                <w:color w:val="auto"/>
                <w:w w:val="91"/>
              </w:rPr>
              <w:t>Portfolio</w:t>
            </w:r>
          </w:p>
        </w:tc>
        <w:tc>
          <w:tcPr>
            <w:tcW w:w="0" w:type="dxa"/>
            <w:vAlign w:val="bottom"/>
          </w:tcPr>
          <w:p>
            <w:pPr>
              <w:spacing w:after="0"/>
              <w:rPr>
                <w:sz w:val="1"/>
                <w:szCs w:val="1"/>
                <w:color w:val="auto"/>
              </w:rPr>
            </w:pPr>
          </w:p>
        </w:tc>
      </w:tr>
      <w:tr>
        <w:trPr>
          <w:trHeight w:val="176"/>
        </w:trPr>
        <w:tc>
          <w:tcPr>
            <w:tcW w:w="4660" w:type="dxa"/>
            <w:vAlign w:val="bottom"/>
            <w:gridSpan w:val="2"/>
            <w:vMerge w:val="restart"/>
          </w:tcPr>
          <w:p>
            <w:pPr>
              <w:ind w:left="20"/>
              <w:spacing w:after="0"/>
              <w:rPr>
                <w:sz w:val="20"/>
                <w:szCs w:val="20"/>
                <w:color w:val="auto"/>
              </w:rPr>
            </w:pPr>
            <w:r>
              <w:rPr>
                <w:rFonts w:ascii="Arial" w:cs="Arial" w:eastAsia="Arial" w:hAnsi="Arial"/>
                <w:sz w:val="18"/>
                <w:szCs w:val="18"/>
                <w:i w:val="1"/>
                <w:iCs w:val="1"/>
                <w:color w:val="auto"/>
              </w:rPr>
              <w:t>($ in millions)</w:t>
            </w:r>
          </w:p>
        </w:tc>
        <w:tc>
          <w:tcPr>
            <w:tcW w:w="180" w:type="dxa"/>
            <w:vAlign w:val="bottom"/>
          </w:tcPr>
          <w:p>
            <w:pPr>
              <w:spacing w:after="0"/>
              <w:rPr>
                <w:sz w:val="15"/>
                <w:szCs w:val="15"/>
                <w:color w:val="auto"/>
              </w:rPr>
            </w:pPr>
          </w:p>
        </w:tc>
        <w:tc>
          <w:tcPr>
            <w:tcW w:w="1300" w:type="dxa"/>
            <w:vAlign w:val="bottom"/>
          </w:tcPr>
          <w:p>
            <w:pPr>
              <w:jc w:val="center"/>
              <w:ind w:right="96"/>
              <w:spacing w:after="0" w:line="176" w:lineRule="exact"/>
              <w:rPr>
                <w:sz w:val="20"/>
                <w:szCs w:val="20"/>
                <w:color w:val="auto"/>
              </w:rPr>
            </w:pPr>
            <w:r>
              <w:rPr>
                <w:rFonts w:ascii="Arial" w:cs="Arial" w:eastAsia="Arial" w:hAnsi="Arial"/>
                <w:sz w:val="18"/>
                <w:szCs w:val="18"/>
                <w:b w:val="1"/>
                <w:bCs w:val="1"/>
                <w:color w:val="auto"/>
                <w:w w:val="88"/>
              </w:rPr>
              <w:t>5 Year Ave. -</w:t>
            </w:r>
          </w:p>
        </w:tc>
        <w:tc>
          <w:tcPr>
            <w:tcW w:w="0" w:type="dxa"/>
            <w:vAlign w:val="bottom"/>
          </w:tcPr>
          <w:p>
            <w:pPr>
              <w:spacing w:after="0"/>
              <w:rPr>
                <w:sz w:val="1"/>
                <w:szCs w:val="1"/>
                <w:color w:val="auto"/>
              </w:rPr>
            </w:pPr>
          </w:p>
        </w:tc>
      </w:tr>
      <w:tr>
        <w:trPr>
          <w:trHeight w:val="229"/>
        </w:trPr>
        <w:tc>
          <w:tcPr>
            <w:tcW w:w="466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center"/>
              <w:ind w:right="76"/>
              <w:spacing w:after="0"/>
              <w:rPr>
                <w:sz w:val="20"/>
                <w:szCs w:val="20"/>
                <w:color w:val="auto"/>
              </w:rPr>
            </w:pPr>
            <w:r>
              <w:rPr>
                <w:rFonts w:ascii="Arial" w:cs="Arial" w:eastAsia="Arial" w:hAnsi="Arial"/>
                <w:sz w:val="18"/>
                <w:szCs w:val="18"/>
                <w:b w:val="1"/>
                <w:bCs w:val="1"/>
                <w:color w:val="auto"/>
                <w:w w:val="90"/>
              </w:rPr>
              <w:t>2022-2026</w:t>
            </w:r>
          </w:p>
        </w:tc>
        <w:tc>
          <w:tcPr>
            <w:tcW w:w="0" w:type="dxa"/>
            <w:vAlign w:val="bottom"/>
          </w:tcPr>
          <w:p>
            <w:pPr>
              <w:spacing w:after="0"/>
              <w:rPr>
                <w:sz w:val="1"/>
                <w:szCs w:val="1"/>
                <w:color w:val="auto"/>
              </w:rPr>
            </w:pPr>
          </w:p>
        </w:tc>
      </w:tr>
      <w:tr>
        <w:trPr>
          <w:trHeight w:val="223"/>
        </w:trPr>
        <w:tc>
          <w:tcPr>
            <w:tcW w:w="452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300" w:type="dxa"/>
            <w:vAlign w:val="bottom"/>
            <w:tcBorders>
              <w:top w:val="single" w:sz="8" w:color="auto"/>
              <w:bottom w:val="single" w:sz="8" w:color="auto"/>
            </w:tcBorders>
            <w:shd w:val="clear" w:color="auto" w:fill="CCEEFF"/>
          </w:tcPr>
          <w:p>
            <w:pPr>
              <w:jc w:val="center"/>
              <w:ind w:left="896"/>
              <w:spacing w:after="0"/>
              <w:rPr>
                <w:sz w:val="20"/>
                <w:szCs w:val="20"/>
                <w:color w:val="auto"/>
              </w:rPr>
            </w:pPr>
            <w:r>
              <w:rPr>
                <w:rFonts w:ascii="Arial" w:cs="Arial" w:eastAsia="Arial" w:hAnsi="Arial"/>
                <w:sz w:val="16"/>
                <w:szCs w:val="16"/>
                <w:b w:val="1"/>
                <w:bCs w:val="1"/>
                <w:color w:val="auto"/>
                <w:w w:val="89"/>
              </w:rPr>
              <w:t>14</w:t>
            </w:r>
          </w:p>
        </w:tc>
        <w:tc>
          <w:tcPr>
            <w:tcW w:w="0" w:type="dxa"/>
            <w:vAlign w:val="bottom"/>
          </w:tcPr>
          <w:p>
            <w:pPr>
              <w:spacing w:after="0"/>
              <w:rPr>
                <w:sz w:val="1"/>
                <w:szCs w:val="1"/>
                <w:color w:val="auto"/>
              </w:rPr>
            </w:pPr>
          </w:p>
        </w:tc>
      </w:tr>
      <w:tr>
        <w:trPr>
          <w:trHeight w:val="223"/>
        </w:trPr>
        <w:tc>
          <w:tcPr>
            <w:tcW w:w="4520" w:type="dxa"/>
            <w:vAlign w:val="bottom"/>
          </w:tcPr>
          <w:p>
            <w:pPr>
              <w:ind w:left="140"/>
              <w:spacing w:after="0"/>
              <w:rPr>
                <w:sz w:val="20"/>
                <w:szCs w:val="20"/>
                <w:color w:val="auto"/>
              </w:rPr>
            </w:pPr>
            <w:r>
              <w:rPr>
                <w:rFonts w:ascii="Arial" w:cs="Arial" w:eastAsia="Arial" w:hAnsi="Arial"/>
                <w:sz w:val="18"/>
                <w:szCs w:val="18"/>
                <w:color w:val="auto"/>
              </w:rPr>
              <w:t>Depreciation, Amortization, and ARO Expense</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center"/>
              <w:ind w:left="896"/>
              <w:spacing w:after="0"/>
              <w:rPr>
                <w:sz w:val="20"/>
                <w:szCs w:val="20"/>
                <w:color w:val="auto"/>
              </w:rPr>
            </w:pPr>
            <w:r>
              <w:rPr>
                <w:rFonts w:ascii="Arial" w:cs="Arial" w:eastAsia="Arial" w:hAnsi="Arial"/>
                <w:sz w:val="16"/>
                <w:szCs w:val="16"/>
                <w:color w:val="auto"/>
                <w:w w:val="89"/>
              </w:rPr>
              <w:t>32</w:t>
            </w:r>
          </w:p>
        </w:tc>
        <w:tc>
          <w:tcPr>
            <w:tcW w:w="0" w:type="dxa"/>
            <w:vAlign w:val="bottom"/>
          </w:tcPr>
          <w:p>
            <w:pPr>
              <w:spacing w:after="0"/>
              <w:rPr>
                <w:sz w:val="1"/>
                <w:szCs w:val="1"/>
                <w:color w:val="auto"/>
              </w:rPr>
            </w:pPr>
          </w:p>
        </w:tc>
      </w:tr>
      <w:tr>
        <w:trPr>
          <w:trHeight w:val="175"/>
        </w:trPr>
        <w:tc>
          <w:tcPr>
            <w:tcW w:w="4660" w:type="dxa"/>
            <w:vAlign w:val="bottom"/>
            <w:gridSpan w:val="2"/>
            <w:shd w:val="clear" w:color="auto" w:fill="CCEEFF"/>
          </w:tcPr>
          <w:p>
            <w:pPr>
              <w:ind w:left="140"/>
              <w:spacing w:after="0" w:line="176" w:lineRule="exact"/>
              <w:rPr>
                <w:sz w:val="20"/>
                <w:szCs w:val="20"/>
                <w:color w:val="auto"/>
              </w:rPr>
            </w:pPr>
            <w:r>
              <w:rPr>
                <w:rFonts w:ascii="Arial" w:cs="Arial" w:eastAsia="Arial" w:hAnsi="Arial"/>
                <w:sz w:val="18"/>
                <w:szCs w:val="18"/>
                <w:color w:val="auto"/>
                <w:w w:val="98"/>
              </w:rPr>
              <w:t>Adjustment to reflect CWEN share of Adjusted EBITDA in</w:t>
            </w:r>
          </w:p>
        </w:tc>
        <w:tc>
          <w:tcPr>
            <w:tcW w:w="18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6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unconsolidated affiliates</w:t>
            </w: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jc w:val="center"/>
              <w:ind w:left="896"/>
              <w:spacing w:after="0"/>
              <w:rPr>
                <w:sz w:val="20"/>
                <w:szCs w:val="20"/>
                <w:color w:val="auto"/>
              </w:rPr>
            </w:pPr>
            <w:r>
              <w:rPr>
                <w:rFonts w:ascii="Arial" w:cs="Arial" w:eastAsia="Arial" w:hAnsi="Arial"/>
                <w:sz w:val="16"/>
                <w:szCs w:val="16"/>
                <w:color w:val="auto"/>
                <w:w w:val="98"/>
              </w:rPr>
              <w:t>(16)</w:t>
            </w:r>
          </w:p>
        </w:tc>
        <w:tc>
          <w:tcPr>
            <w:tcW w:w="0" w:type="dxa"/>
            <w:vAlign w:val="bottom"/>
          </w:tcPr>
          <w:p>
            <w:pPr>
              <w:spacing w:after="0"/>
              <w:rPr>
                <w:sz w:val="1"/>
                <w:szCs w:val="1"/>
                <w:color w:val="auto"/>
              </w:rPr>
            </w:pPr>
          </w:p>
        </w:tc>
      </w:tr>
      <w:tr>
        <w:trPr>
          <w:trHeight w:val="223"/>
        </w:trPr>
        <w:tc>
          <w:tcPr>
            <w:tcW w:w="452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Adjusted EBITDA</w:t>
            </w:r>
          </w:p>
        </w:tc>
        <w:tc>
          <w:tcPr>
            <w:tcW w:w="14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300" w:type="dxa"/>
            <w:vAlign w:val="bottom"/>
            <w:tcBorders>
              <w:top w:val="single" w:sz="8" w:color="auto"/>
              <w:bottom w:val="single" w:sz="8" w:color="auto"/>
            </w:tcBorders>
          </w:tcPr>
          <w:p>
            <w:pPr>
              <w:jc w:val="center"/>
              <w:ind w:left="896"/>
              <w:spacing w:after="0"/>
              <w:rPr>
                <w:sz w:val="20"/>
                <w:szCs w:val="20"/>
                <w:color w:val="auto"/>
              </w:rPr>
            </w:pPr>
            <w:r>
              <w:rPr>
                <w:rFonts w:ascii="Arial" w:cs="Arial" w:eastAsia="Arial" w:hAnsi="Arial"/>
                <w:sz w:val="16"/>
                <w:szCs w:val="16"/>
                <w:b w:val="1"/>
                <w:bCs w:val="1"/>
                <w:color w:val="auto"/>
                <w:w w:val="89"/>
              </w:rPr>
              <w:t>30</w:t>
            </w:r>
          </w:p>
        </w:tc>
        <w:tc>
          <w:tcPr>
            <w:tcW w:w="0" w:type="dxa"/>
            <w:vAlign w:val="bottom"/>
          </w:tcPr>
          <w:p>
            <w:pPr>
              <w:spacing w:after="0"/>
              <w:rPr>
                <w:sz w:val="1"/>
                <w:szCs w:val="1"/>
                <w:color w:val="auto"/>
              </w:rPr>
            </w:pPr>
          </w:p>
        </w:tc>
      </w:tr>
      <w:tr>
        <w:trPr>
          <w:trHeight w:val="223"/>
        </w:trPr>
        <w:tc>
          <w:tcPr>
            <w:tcW w:w="452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7"/>
              </w:rPr>
              <w:t>Pro-rata Adjusted EBITDA from unconsolidated affiliates</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jc w:val="center"/>
              <w:ind w:left="896"/>
              <w:spacing w:after="0"/>
              <w:rPr>
                <w:sz w:val="20"/>
                <w:szCs w:val="20"/>
                <w:color w:val="auto"/>
              </w:rPr>
            </w:pPr>
            <w:r>
              <w:rPr>
                <w:rFonts w:ascii="Arial" w:cs="Arial" w:eastAsia="Arial" w:hAnsi="Arial"/>
                <w:sz w:val="16"/>
                <w:szCs w:val="16"/>
                <w:color w:val="auto"/>
                <w:w w:val="89"/>
              </w:rPr>
              <w:t>30</w:t>
            </w:r>
          </w:p>
        </w:tc>
        <w:tc>
          <w:tcPr>
            <w:tcW w:w="0" w:type="dxa"/>
            <w:vAlign w:val="bottom"/>
          </w:tcPr>
          <w:p>
            <w:pPr>
              <w:spacing w:after="0"/>
              <w:rPr>
                <w:sz w:val="1"/>
                <w:szCs w:val="1"/>
                <w:color w:val="auto"/>
              </w:rPr>
            </w:pPr>
          </w:p>
        </w:tc>
      </w:tr>
      <w:tr>
        <w:trPr>
          <w:trHeight w:val="230"/>
        </w:trPr>
        <w:tc>
          <w:tcPr>
            <w:tcW w:w="4660" w:type="dxa"/>
            <w:vAlign w:val="bottom"/>
            <w:gridSpan w:val="2"/>
          </w:tcPr>
          <w:p>
            <w:pPr>
              <w:ind w:left="180"/>
              <w:spacing w:after="0"/>
              <w:rPr>
                <w:sz w:val="20"/>
                <w:szCs w:val="20"/>
                <w:color w:val="auto"/>
              </w:rPr>
            </w:pPr>
            <w:r>
              <w:rPr>
                <w:rFonts w:ascii="Arial" w:cs="Arial" w:eastAsia="Arial" w:hAnsi="Arial"/>
                <w:sz w:val="18"/>
                <w:szCs w:val="18"/>
                <w:color w:val="auto"/>
              </w:rPr>
              <w:t>Cash distributions from unconsolidated affiliates</w:t>
            </w:r>
          </w:p>
        </w:tc>
        <w:tc>
          <w:tcPr>
            <w:tcW w:w="180" w:type="dxa"/>
            <w:vAlign w:val="bottom"/>
          </w:tcPr>
          <w:p>
            <w:pPr>
              <w:spacing w:after="0"/>
              <w:rPr>
                <w:sz w:val="19"/>
                <w:szCs w:val="19"/>
                <w:color w:val="auto"/>
              </w:rPr>
            </w:pPr>
          </w:p>
        </w:tc>
        <w:tc>
          <w:tcPr>
            <w:tcW w:w="1300" w:type="dxa"/>
            <w:vAlign w:val="bottom"/>
          </w:tcPr>
          <w:p>
            <w:pPr>
              <w:jc w:val="center"/>
              <w:ind w:left="896"/>
              <w:spacing w:after="0"/>
              <w:rPr>
                <w:sz w:val="20"/>
                <w:szCs w:val="20"/>
                <w:color w:val="auto"/>
              </w:rPr>
            </w:pPr>
            <w:r>
              <w:rPr>
                <w:rFonts w:ascii="Arial" w:cs="Arial" w:eastAsia="Arial" w:hAnsi="Arial"/>
                <w:sz w:val="16"/>
                <w:szCs w:val="16"/>
                <w:color w:val="auto"/>
                <w:w w:val="98"/>
              </w:rPr>
              <w:t>(30)</w:t>
            </w:r>
          </w:p>
        </w:tc>
        <w:tc>
          <w:tcPr>
            <w:tcW w:w="0" w:type="dxa"/>
            <w:vAlign w:val="bottom"/>
          </w:tcPr>
          <w:p>
            <w:pPr>
              <w:spacing w:after="0"/>
              <w:rPr>
                <w:sz w:val="1"/>
                <w:szCs w:val="1"/>
                <w:color w:val="auto"/>
              </w:rPr>
            </w:pPr>
          </w:p>
        </w:tc>
      </w:tr>
      <w:tr>
        <w:trPr>
          <w:trHeight w:val="223"/>
        </w:trPr>
        <w:tc>
          <w:tcPr>
            <w:tcW w:w="452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Cash from Operating Activities</w:t>
            </w:r>
          </w:p>
        </w:tc>
        <w:tc>
          <w:tcPr>
            <w:tcW w:w="14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300" w:type="dxa"/>
            <w:vAlign w:val="bottom"/>
            <w:tcBorders>
              <w:top w:val="single" w:sz="8" w:color="auto"/>
              <w:bottom w:val="single" w:sz="8" w:color="auto"/>
            </w:tcBorders>
          </w:tcPr>
          <w:p>
            <w:pPr>
              <w:jc w:val="center"/>
              <w:ind w:left="896"/>
              <w:spacing w:after="0"/>
              <w:rPr>
                <w:sz w:val="20"/>
                <w:szCs w:val="20"/>
                <w:color w:val="auto"/>
              </w:rPr>
            </w:pPr>
            <w:r>
              <w:rPr>
                <w:rFonts w:ascii="Arial" w:cs="Arial" w:eastAsia="Arial" w:hAnsi="Arial"/>
                <w:sz w:val="16"/>
                <w:szCs w:val="16"/>
                <w:b w:val="1"/>
                <w:bCs w:val="1"/>
                <w:color w:val="auto"/>
                <w:w w:val="89"/>
              </w:rPr>
              <w:t>30</w:t>
            </w:r>
          </w:p>
        </w:tc>
        <w:tc>
          <w:tcPr>
            <w:tcW w:w="0" w:type="dxa"/>
            <w:vAlign w:val="bottom"/>
          </w:tcPr>
          <w:p>
            <w:pPr>
              <w:spacing w:after="0"/>
              <w:rPr>
                <w:sz w:val="1"/>
                <w:szCs w:val="1"/>
                <w:color w:val="auto"/>
              </w:rPr>
            </w:pPr>
          </w:p>
        </w:tc>
      </w:tr>
      <w:tr>
        <w:trPr>
          <w:trHeight w:val="223"/>
        </w:trPr>
        <w:tc>
          <w:tcPr>
            <w:tcW w:w="45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Estimated Cash Available for Distribution</w:t>
            </w:r>
          </w:p>
        </w:tc>
        <w:tc>
          <w:tcPr>
            <w:tcW w:w="14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300" w:type="dxa"/>
            <w:vAlign w:val="bottom"/>
            <w:tcBorders>
              <w:bottom w:val="single" w:sz="8" w:color="auto"/>
            </w:tcBorders>
            <w:shd w:val="clear" w:color="auto" w:fill="CCEEFF"/>
          </w:tcPr>
          <w:p>
            <w:pPr>
              <w:jc w:val="center"/>
              <w:ind w:left="896"/>
              <w:spacing w:after="0"/>
              <w:rPr>
                <w:sz w:val="20"/>
                <w:szCs w:val="20"/>
                <w:color w:val="auto"/>
              </w:rPr>
            </w:pPr>
            <w:r>
              <w:rPr>
                <w:rFonts w:ascii="Arial" w:cs="Arial" w:eastAsia="Arial" w:hAnsi="Arial"/>
                <w:sz w:val="16"/>
                <w:szCs w:val="16"/>
                <w:b w:val="1"/>
                <w:bCs w:val="1"/>
                <w:color w:val="auto"/>
                <w:w w:val="89"/>
              </w:rPr>
              <w:t>30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325755</wp:posOffset>
            </wp:positionV>
            <wp:extent cx="17145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714500" cy="8890"/>
                    </a:xfrm>
                    <a:prstGeom prst="rect">
                      <a:avLst/>
                    </a:prstGeom>
                    <a:noFill/>
                  </pic:spPr>
                </pic:pic>
              </a:graphicData>
            </a:graphic>
          </wp:anchor>
        </w:drawing>
      </w:r>
    </w:p>
    <w:p>
      <w:pPr>
        <w:spacing w:after="0" w:line="200" w:lineRule="exact"/>
        <w:rPr>
          <w:sz w:val="20"/>
          <w:szCs w:val="20"/>
          <w:color w:val="auto"/>
        </w:rPr>
      </w:pPr>
    </w:p>
    <w:p>
      <w:pPr>
        <w:spacing w:after="0" w:line="329" w:lineRule="exact"/>
        <w:rPr>
          <w:sz w:val="20"/>
          <w:szCs w:val="20"/>
          <w:color w:val="auto"/>
        </w:rPr>
      </w:pPr>
    </w:p>
    <w:p>
      <w:pPr>
        <w:ind w:left="120" w:hanging="112"/>
        <w:spacing w:after="0"/>
        <w:tabs>
          <w:tab w:leader="none" w:pos="120" w:val="left"/>
        </w:tabs>
        <w:numPr>
          <w:ilvl w:val="0"/>
          <w:numId w:val="8"/>
        </w:numPr>
        <w:rPr>
          <w:rFonts w:ascii="Arial" w:cs="Arial" w:eastAsia="Arial" w:hAnsi="Arial"/>
          <w:sz w:val="23"/>
          <w:szCs w:val="23"/>
          <w:color w:val="auto"/>
          <w:vertAlign w:val="superscript"/>
        </w:rPr>
      </w:pPr>
      <w:r>
        <w:rPr>
          <w:rFonts w:ascii="Arial" w:cs="Arial" w:eastAsia="Arial" w:hAnsi="Arial"/>
          <w:sz w:val="14"/>
          <w:szCs w:val="14"/>
          <w:color w:val="auto"/>
        </w:rPr>
        <w:t>Adjustment to reflect cash generated from sales-type lease projects</w:t>
      </w:r>
    </w:p>
    <w:p>
      <w:pPr>
        <w:ind w:left="120" w:hanging="112"/>
        <w:spacing w:after="0" w:line="212" w:lineRule="auto"/>
        <w:tabs>
          <w:tab w:leader="none" w:pos="120" w:val="left"/>
        </w:tabs>
        <w:numPr>
          <w:ilvl w:val="0"/>
          <w:numId w:val="9"/>
        </w:numPr>
        <w:rPr>
          <w:rFonts w:ascii="Arial" w:cs="Arial" w:eastAsia="Arial" w:hAnsi="Arial"/>
          <w:sz w:val="21"/>
          <w:szCs w:val="21"/>
          <w:color w:val="auto"/>
          <w:vertAlign w:val="superscript"/>
        </w:rPr>
      </w:pPr>
      <w:r>
        <w:rPr>
          <w:rFonts w:ascii="Arial" w:cs="Arial" w:eastAsia="Arial" w:hAnsi="Arial"/>
          <w:sz w:val="13"/>
          <w:szCs w:val="13"/>
          <w:color w:val="auto"/>
        </w:rPr>
        <w:t>Distribution from unconsolidated affiliates can be classified as Return of Investment on Unconsolidated Affiliates when actuals are reported. This is below cash from operating activities</w:t>
      </w:r>
    </w:p>
    <w:p>
      <w:pPr>
        <w:spacing w:after="0" w:line="19" w:lineRule="exact"/>
        <w:rPr>
          <w:rFonts w:ascii="Arial" w:cs="Arial" w:eastAsia="Arial" w:hAnsi="Arial"/>
          <w:sz w:val="21"/>
          <w:szCs w:val="21"/>
          <w:color w:val="auto"/>
          <w:vertAlign w:val="superscript"/>
        </w:rPr>
      </w:pPr>
    </w:p>
    <w:p>
      <w:pPr>
        <w:spacing w:after="0" w:line="187" w:lineRule="auto"/>
        <w:rPr>
          <w:rFonts w:ascii="Arial" w:cs="Arial" w:eastAsia="Arial" w:hAnsi="Arial"/>
          <w:sz w:val="21"/>
          <w:szCs w:val="21"/>
          <w:color w:val="auto"/>
          <w:vertAlign w:val="superscript"/>
        </w:rPr>
      </w:pPr>
      <w:r>
        <w:rPr>
          <w:rFonts w:ascii="Arial" w:cs="Arial" w:eastAsia="Arial" w:hAnsi="Arial"/>
          <w:sz w:val="21"/>
          <w:szCs w:val="21"/>
          <w:color w:val="auto"/>
          <w:vertAlign w:val="superscript"/>
        </w:rPr>
        <w:t>9</w:t>
      </w:r>
      <w:r>
        <w:rPr>
          <w:rFonts w:ascii="Arial" w:cs="Arial" w:eastAsia="Arial" w:hAnsi="Arial"/>
          <w:sz w:val="13"/>
          <w:szCs w:val="13"/>
          <w:color w:val="auto"/>
        </w:rPr>
        <w:t xml:space="preserve"> Primarily relates to Thermal Development Expenses</w:t>
      </w:r>
    </w:p>
    <w:p>
      <w:pPr>
        <w:spacing w:after="0" w:line="227" w:lineRule="auto"/>
        <w:rPr>
          <w:rFonts w:ascii="Arial" w:cs="Arial" w:eastAsia="Arial" w:hAnsi="Arial"/>
          <w:sz w:val="21"/>
          <w:szCs w:val="21"/>
          <w:color w:val="auto"/>
          <w:vertAlign w:val="superscript"/>
        </w:rPr>
      </w:pPr>
      <w:r>
        <w:rPr>
          <w:rFonts w:ascii="Arial" w:cs="Arial" w:eastAsia="Arial" w:hAnsi="Arial"/>
          <w:sz w:val="23"/>
          <w:szCs w:val="23"/>
          <w:color w:val="auto"/>
          <w:vertAlign w:val="superscript"/>
        </w:rPr>
        <w:t>10</w:t>
      </w:r>
      <w:r>
        <w:rPr>
          <w:rFonts w:ascii="Arial" w:cs="Arial" w:eastAsia="Arial" w:hAnsi="Arial"/>
          <w:sz w:val="14"/>
          <w:szCs w:val="14"/>
          <w:color w:val="auto"/>
        </w:rPr>
        <w:t xml:space="preserve"> Includes tax equity proceeds and distributions to tax equity partners</w:t>
      </w:r>
    </w:p>
    <w:p>
      <w:pPr>
        <w:spacing w:after="0" w:line="125"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240"/>
          </w:cols>
          <w:pgMar w:left="320" w:top="765" w:right="339" w:bottom="1440" w:gutter="0" w:footer="0" w:header="0"/>
        </w:sectPr>
      </w:pPr>
    </w:p>
    <w:bookmarkStart w:id="20" w:name="page21"/>
    <w:bookmarkEnd w:id="20"/>
    <w:p>
      <w:pPr>
        <w:spacing w:after="0"/>
        <w:rPr>
          <w:sz w:val="20"/>
          <w:szCs w:val="20"/>
          <w:color w:val="auto"/>
        </w:rPr>
      </w:pPr>
      <w:r>
        <w:rPr>
          <w:rFonts w:ascii="Arial" w:cs="Arial" w:eastAsia="Arial" w:hAnsi="Arial"/>
          <w:sz w:val="20"/>
          <w:szCs w:val="20"/>
          <w:b w:val="1"/>
          <w:bCs w:val="1"/>
          <w:color w:val="auto"/>
        </w:rPr>
        <w:t>Non-GAAP Financial Information</w:t>
      </w: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EBITDA and Adjusted EBITDA</w:t>
      </w:r>
    </w:p>
    <w:p>
      <w:pPr>
        <w:spacing w:after="0" w:line="29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EBITDA, Adjusted EBITDA, and Cash Available for Distribution (CAFD) are non-GAAP financial measures. These measurements are not recognized in accordance with GAAP and should not be viewed as an alternative to GAAP measures of performance. The presentation of non-GAAP financial measures should not be construed as an inference that Clearway Energy’s future results will be unaffected by unusual or non-recurring items.</w:t>
      </w:r>
    </w:p>
    <w:p>
      <w:pPr>
        <w:spacing w:after="0" w:line="192"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EBITDA represents net income before interest (including loss on debt extinguishment), taxes, depreciation and amortization. EBITDA is presented because Clearway Energy considers it an important supplemental measure of its performance and believes debt and equity holders frequently use EBITDA to analyze operating performance and debt service capacity. EBITDA has limitations as an analytical tool, and you should not consider it in isolation, or as a substitute for analysis of our operating results as reported under GAAP. Some of these limitations are:</w:t>
      </w:r>
    </w:p>
    <w:p>
      <w:pPr>
        <w:spacing w:after="0" w:line="2" w:lineRule="exact"/>
        <w:rPr>
          <w:sz w:val="20"/>
          <w:szCs w:val="20"/>
          <w:color w:val="auto"/>
        </w:rPr>
      </w:pP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EBITDA does not reflect cash expenditures, or future requirements for capital expenditures, or contractual commitments;</w:t>
      </w:r>
    </w:p>
    <w:p>
      <w:pPr>
        <w:spacing w:after="0" w:line="9" w:lineRule="exact"/>
        <w:rPr>
          <w:rFonts w:ascii="Arial" w:cs="Arial" w:eastAsia="Arial" w:hAnsi="Arial"/>
          <w:sz w:val="18"/>
          <w:szCs w:val="18"/>
          <w:color w:val="auto"/>
        </w:rPr>
      </w:pPr>
    </w:p>
    <w:p>
      <w:pPr>
        <w:ind w:left="320" w:hanging="312"/>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EBITDA does not reflect changes in, or cash requirements for, working capital needs;</w:t>
      </w:r>
    </w:p>
    <w:p>
      <w:pPr>
        <w:spacing w:after="0" w:line="9" w:lineRule="exact"/>
        <w:rPr>
          <w:rFonts w:ascii="Arial" w:cs="Arial" w:eastAsia="Arial" w:hAnsi="Arial"/>
          <w:sz w:val="18"/>
          <w:szCs w:val="18"/>
          <w:color w:val="auto"/>
        </w:rPr>
      </w:pPr>
    </w:p>
    <w:p>
      <w:pPr>
        <w:ind w:left="340" w:right="20" w:hanging="332"/>
        <w:spacing w:after="0" w:line="250" w:lineRule="auto"/>
        <w:tabs>
          <w:tab w:leader="none" w:pos="335" w:val="left"/>
        </w:tabs>
        <w:numPr>
          <w:ilvl w:val="0"/>
          <w:numId w:val="10"/>
        </w:numPr>
        <w:rPr>
          <w:rFonts w:ascii="Arial" w:cs="Arial" w:eastAsia="Arial" w:hAnsi="Arial"/>
          <w:sz w:val="18"/>
          <w:szCs w:val="18"/>
          <w:color w:val="auto"/>
        </w:rPr>
      </w:pPr>
      <w:r>
        <w:rPr>
          <w:rFonts w:ascii="Arial" w:cs="Arial" w:eastAsia="Arial" w:hAnsi="Arial"/>
          <w:sz w:val="18"/>
          <w:szCs w:val="18"/>
          <w:color w:val="auto"/>
        </w:rPr>
        <w:t>EBITDA does not reflect the significant interest expense, or the cash requirements necessary to service interest or principal payments, on debt or cash income tax payments;</w:t>
      </w:r>
    </w:p>
    <w:p>
      <w:pPr>
        <w:ind w:left="340" w:hanging="332"/>
        <w:spacing w:after="0" w:line="250" w:lineRule="auto"/>
        <w:tabs>
          <w:tab w:leader="none" w:pos="335" w:val="left"/>
        </w:tabs>
        <w:numPr>
          <w:ilvl w:val="0"/>
          <w:numId w:val="10"/>
        </w:numPr>
        <w:rPr>
          <w:rFonts w:ascii="Arial" w:cs="Arial" w:eastAsia="Arial" w:hAnsi="Arial"/>
          <w:sz w:val="18"/>
          <w:szCs w:val="18"/>
          <w:color w:val="auto"/>
        </w:rPr>
      </w:pPr>
      <w:r>
        <w:rPr>
          <w:rFonts w:ascii="Arial" w:cs="Arial" w:eastAsia="Arial" w:hAnsi="Arial"/>
          <w:sz w:val="18"/>
          <w:szCs w:val="18"/>
          <w:color w:val="auto"/>
        </w:rPr>
        <w:t>Although depreciation and amortization are non-cash charges, the assets being depreciated and amortized will often have to be replaced in the future, and EBITDA does not reflect any cash requirements for such replacements; and</w:t>
      </w:r>
    </w:p>
    <w:p>
      <w:pPr>
        <w:ind w:left="320" w:hanging="312"/>
        <w:spacing w:after="0"/>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Other companies in this industry may calculate EBITDA differently than Clearway Energy does, limiting its usefulness as a comparative measure.</w:t>
      </w:r>
    </w:p>
    <w:p>
      <w:pPr>
        <w:spacing w:after="0" w:line="24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Because of these limitations, EBITDA should not be considered as a measure of discretionary cash available to use to invest in the growth of Clearway Energy’s business. Clearway Energy compensates for these limitations by relying primarily on our GAAP results and using EBITDA and Adjusted EBITDA only supplementally. See the statements of cash flow included in the financial statements that are a part of this news release.</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Adjusted EBITDA is presented as a further supplemental measure of operating performance. Adjusted EBITDA represents EBITDA adjusted for mark-to-market gains or losses, non-cash equity compensation expense, asset write offs and impairments; and factors which we do not consider indicative of future operating performance such as transition and integration related costs. The reader is encouraged to evaluate each adjustment and the reasons Clearway Energy considers it appropriate for supplemental analysis. As an analytical tool, Adjusted EBITDA is subject to all of the limitations applicable to EBITDA. In addition, in evaluating Adjusted EBITDA, the reader should be aware that in the future Clearway Energy may incur expenses similar to the adjustments in this news release.</w:t>
      </w:r>
    </w:p>
    <w:p>
      <w:pPr>
        <w:spacing w:after="0" w:line="21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Management believes Adjusted EBITDA is useful to investors and other users of our financial statements in evaluating our operating performance because it provides them with an additional tool to compare business performance across companies and across periods. This measure is widely used by investors to measure a company’s operating performance without regard to items such as interest expense, taxes, depreciation and amortization, which can vary substantially from company to company depending upon accounting methods and book value of assets, capital structure and the method by which assets were acquired.</w:t>
      </w:r>
    </w:p>
    <w:p>
      <w:pPr>
        <w:spacing w:after="0" w:line="21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Additionally, Management believes that investors commonly adjust EBITDA information to eliminate the effect of restructuring and other expenses, which vary widely from company to company and impair comparability. As we define it, Adjusted EBITDA represents EBITDA adjusted for the effects of impairment losses, gains or losses on sales, non-cash equity compensation expense, dispositions or retirements of assets, any mark-to-market gains or losses from accounting for derivatives, adjustments to exclude gains or losses on the repurchase, modification or extinguishment of debt, and any extraordinary, unusual or non-recurring items plus adjustments to reflect the Adjusted EBITDA from our unconsolidated investments. We adjust for these items in our Adjusted EBITDA as our management believes that these items would distort their ability to efficiently view and assess our core operating trends.</w:t>
      </w:r>
    </w:p>
    <w:p>
      <w:pPr>
        <w:spacing w:after="0" w:line="22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summary, our management uses Adjusted EBITDA as a measure of operating performance to assist in comparing performance from period to period on a consistent basis and to readily view operating trends, as a measure for planning and forecasting overall expectations and for evaluating actual results against such expectations, and in communications with our Board of Directors, shareholders, creditors, analysts and investors concerning our financial performance.</w:t>
      </w:r>
    </w:p>
    <w:p>
      <w:pPr>
        <w:spacing w:after="0" w:line="200" w:lineRule="exact"/>
        <w:rPr>
          <w:sz w:val="20"/>
          <w:szCs w:val="20"/>
          <w:color w:val="auto"/>
        </w:rPr>
      </w:pPr>
    </w:p>
    <w:p>
      <w:pPr>
        <w:spacing w:after="0" w:line="234"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240"/>
          </w:cols>
          <w:pgMar w:left="320" w:top="1305" w:right="3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i w:val="1"/>
          <w:iCs w:val="1"/>
          <w:color w:val="auto"/>
        </w:rPr>
        <w:t>Cash Available for Distribution</w:t>
      </w:r>
    </w:p>
    <w:p>
      <w:pPr>
        <w:spacing w:after="0" w:line="293"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 non-GAAP measure, Cash Available for Distribution is defined as of December 31, 2021 as Adjusted EBITDA plus cash distributions/return of investment from unconsolidated affiliates, adjustments to reflect CAFD generated by unconsolidated investments that were not able to distribute project dividends prior to PG&amp;E's emergence from bankruptcy on July 1, 2020 and subsequent release post-bankruptcy, cash receipts from notes receivable, cash distributions from noncontrolling interests, adjustments to reflect sales-type lease cash payments, less cash distributions to noncontrolling interests, maintenance capital expenditures, pro-rata Adjusted EBITDA from unconsolidated affiliates, cash interest paid, income taxes paid, principal amortization of indebtedness, changes in prepaid and accrued capacity payments, and adjusted for development expenses. Management believes CAFD is a relevant supplemental measure of the Company’s ability to earn and distribute cash returns to investors.</w:t>
      </w:r>
    </w:p>
    <w:p>
      <w:pPr>
        <w:spacing w:after="0" w:line="20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believe CAFD is useful to investors in evaluating our operating performance because securities analysts and other interested parties use such calculations as a measure of our ability to make quarterly distributions. In addition, CAFD is used by our management team for determining future acquisitions and managing our growth. The GAAP measure most directly comparable to CAFD is cash provided by operating activities.</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However, CAFD has limitations as an analytical tool because it does not include changes in operating assets and liabilities and excludes the effect of certain other cash flow items, all of which could have a material effect on our financial condition and results from operations. CAFD is a non-GAAP measure and should not be considered an alternative to cash provided by operating activities or any other performance or liquidity measure determined in accordance with GAAP, nor is it indicative of funds available to fund our cash needs. In addition, our calculations of CAFD are not necessarily comparable to CAFD as calculated by other companies. Investors should not rely on these measures as a substitute for any GAAP measure, including cash provided by operating activities.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19</w:t>
      </w:r>
    </w:p>
    <w:sectPr>
      <w:pgSz w:w="11900" w:h="16838" w:orient="portrait"/>
      <w:cols w:equalWidth="0" w:num="1">
        <w:col w:w="11240"/>
      </w:cols>
      <w:pgMar w:left="320" w:top="82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4"/>
      <w:numFmt w:val="bullet"/>
      <w:start w:val="1"/>
    </w:lvl>
  </w:abstractNum>
  <w:abstractNum w:abstractNumId="6">
    <w:nsid w:val="515F007C"/>
    <w:multiLevelType w:val="hybridMultilevel"/>
    <w:lvl w:ilvl="0">
      <w:lvlJc w:val="left"/>
      <w:lvlText w:val="5"/>
      <w:numFmt w:val="bullet"/>
      <w:start w:val="1"/>
    </w:lvl>
  </w:abstractNum>
  <w:abstractNum w:abstractNumId="7">
    <w:nsid w:val="5BD062C2"/>
    <w:multiLevelType w:val="hybridMultilevel"/>
    <w:lvl w:ilvl="0">
      <w:lvlJc w:val="left"/>
      <w:lvlText w:val="7"/>
      <w:numFmt w:val="bullet"/>
      <w:start w:val="1"/>
    </w:lvl>
  </w:abstractNum>
  <w:abstractNum w:abstractNumId="8">
    <w:nsid w:val="12200854"/>
    <w:multiLevelType w:val="hybridMultilevel"/>
    <w:lvl w:ilvl="0">
      <w:lvlJc w:val="left"/>
      <w:lvlText w:val="8"/>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2022-02-28T05:29:05Z</dcterms:created>
  <dcterms:modified xsi:type="dcterms:W3CDTF">2022-02-28T05:29:05Z</dcterms:modified>
</cp:coreProperties>
</file>