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28, 2022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3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right="2940" w:firstLine="48"/>
        <w:spacing w:after="0" w:line="2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8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7"/>
              </w:rPr>
              <w:t>CWEN.A</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4"/>
              </w:rPr>
              <w:t>CWEN</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12"/>
        <w:spacing w:after="0" w:line="279" w:lineRule="auto"/>
        <w:rPr>
          <w:sz w:val="20"/>
          <w:szCs w:val="20"/>
          <w:color w:val="auto"/>
        </w:rPr>
      </w:pPr>
      <w:r>
        <w:rPr>
          <w:rFonts w:ascii="Arial" w:cs="Arial" w:eastAsia="Arial" w:hAnsi="Arial"/>
          <w:sz w:val="17"/>
          <w:szCs w:val="17"/>
          <w:color w:val="auto"/>
        </w:rPr>
        <w:t xml:space="preserve">On February 28, 2022, Clearway Energy, Inc. issued a press release announcing its financial results for the year ended December 31, 2021. A copy of the press release is furnished as Exhibit 99.1 to this report on Form 8-K and is hereby incorporated by reference. </w:t>
      </w:r>
      <w:r>
        <w:rPr>
          <w:rFonts w:ascii="Arial" w:cs="Arial" w:eastAsia="Arial" w:hAnsi="Arial"/>
          <w:sz w:val="17"/>
          <w:szCs w:val="17"/>
          <w:color w:val="212529"/>
        </w:rPr>
        <w:t>In accordance with General Instruction</w:t>
      </w:r>
      <w:r>
        <w:rPr>
          <w:rFonts w:ascii="Arial" w:cs="Arial" w:eastAsia="Arial" w:hAnsi="Arial"/>
          <w:sz w:val="17"/>
          <w:szCs w:val="17"/>
          <w:color w:val="auto"/>
        </w:rPr>
        <w:t xml:space="preserve"> </w:t>
      </w:r>
      <w:r>
        <w:rPr>
          <w:rFonts w:ascii="Arial" w:cs="Arial" w:eastAsia="Arial" w:hAnsi="Arial"/>
          <w:sz w:val="17"/>
          <w:szCs w:val="17"/>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6" w:right="339" w:bottom="1440" w:gutter="0" w:footer="0" w:header="0"/>
        </w:sectPr>
      </w:pP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February 28, 2022</w:t>
        </w:r>
      </w:hyperlink>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22" w:lineRule="exact"/>
        <w:rPr>
          <w:sz w:val="20"/>
          <w:szCs w:val="20"/>
          <w:color w:val="auto"/>
        </w:rPr>
      </w:pPr>
    </w:p>
    <w:p>
      <w:pPr>
        <w:sectPr>
          <w:pgSz w:w="11900" w:h="16838" w:orient="portrait"/>
          <w:cols w:equalWidth="0" w:num="2">
            <w:col w:w="1740" w:space="720"/>
            <w:col w:w="878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222"/>
        </w:trPr>
        <w:tc>
          <w:tcPr>
            <w:tcW w:w="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Kevin P. Malcarney</w:t>
            </w:r>
          </w:p>
        </w:tc>
      </w:tr>
      <w:tr>
        <w:trPr>
          <w:trHeight w:val="230"/>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Full Year 2021 Financial Results</w:t>
      </w:r>
    </w:p>
    <w:p>
      <w:pPr>
        <w:spacing w:after="0" w:line="25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Full year financial performance ahead of guidance and in-line with sensitivities</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Funded approximately $820 million in new growth investments</w:t>
      </w:r>
    </w:p>
    <w:p>
      <w:pPr>
        <w:spacing w:after="0" w:line="9"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$1.3 billion in new corporate level capital through the issuance of Green Bonds; transactions provided for corporate interest savings and maturity extensions</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Sale of Clearway's Thermal Business remains on track to close in the first half of 2022</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Reaffirming 2022 financial guidance and pro forma CAFD outlook</w:t>
      </w:r>
    </w:p>
    <w:p>
      <w:pPr>
        <w:spacing w:after="0" w:line="1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Increased the quarterly dividend by 2% to $0.3468 per share in the first quarter of 2022, or $1.3872 per share annualized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28, 2022</w:t>
      </w:r>
      <w:r>
        <w:rPr>
          <w:rFonts w:ascii="Arial" w:cs="Arial" w:eastAsia="Arial" w:hAnsi="Arial"/>
          <w:sz w:val="18"/>
          <w:szCs w:val="18"/>
          <w:color w:val="auto"/>
        </w:rPr>
        <w:t>— Clearway Energy, Inc. (NYSE: CWEN, CWEN.A) today reported full year 2021 financial results,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$(75) million, Adjusted EBITDA of $1,150 million, Cash from Operating Activities of $701 million, and Cash Available for Distribution (CAFD) of $336 million.</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"2021 was a tremendous year for Clearway. Results for the full year were ahead of CAFD guidance, the Company closed on approximately $820 million in growth investments, the balance sheet was optimized through the issuance of $1.3 billion in new corporate bonds providing both interest savings and maturity extensions, with the earliest corporate maturity now in 2028, and we announced the agreement to sell the Thermal Business for $1.9 billion,” said Christopher Sotos, Clearway Energy, Inc.’s President and Chief Executive Officer. “As we look forward, and with the sale of the Thermal Business on track to close in the first half of 2022, Clearway’s prospects have never been brighter. With the estimated $1.35 billion in net proceeds from the Thermal transaction, including $750 million in capital remaining to be allocated to growth investments, we have unprecedented financial flexibility to execute upon our long-term growth objectives, including the ability to achieve the upper range of our 5% to 8% annual dividend growth objective through at least 2026. This includes the latest opportunity with our sponsor, where we are advancing the next drop-down transaction which will further increase our leading renewable energy position and is expected to result in an investment of at least $250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Table 1: Net Income/(Loss)</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2"/>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8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12/31/21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12/31/20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12/31/20</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Adjusted EBITDA</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12/31/21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12/31/20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12/31/20</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142</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7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44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12/31/20</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50"/>
        </w:trPr>
        <w:tc>
          <w:tcPr>
            <w:tcW w:w="432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fourth quarter of 2021, the Company reported Net Loss of $(56) million, Adjusted EBITDA of $250 million, Cash from Operating Activities of $172 million, and CAFD of $35 million. Net Loss decreased versus the fourth quarter of 2020 as the contribution from growth investments was partially offset by higher recorded non-cash income tax expense. Adjusted EBITDA results in the fourth quarter of 2021 were higher than the fourth quarter of 2020 primarily due to the contribution from growth investments. In the fourth quarter of 2021, CAFD results were higher than fourth quarter of 2020 primarily due to the timing of corporate level debt service from refinancing the 2025 Senior Notes, which was partially offset by timing of project level debt service and distributions from growth investments.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full year of 2021, the Company reported a Net Loss of $(75) million, Adjusted EBITDA of $1,150 million, Cash from Operating Activities of $701 million, and CAFD of $336 million. Net Loss increased versus 2020 primarily due to mark-to-market losses for economic hedging activities, offset in part by lower derivative interest expense due to non-cash changes in the fair value of interest rate swaps. Adjusted EBITDA results were higher than 2020 primarily due to the contribution of growth investments and higher renewable energy production at the Alta wind portfolio versus last year which was partially offset by the impact from the Texas winter event in February of 2021. For the full year, CAFD results were higher than 2020 primarily due to the contribution of growth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the Company has implemented measures and developed corporate and regional response plans to protect its employees and to maintain safe and reliable operations at its facilities. The Company does not currently anticipate any material impact to its financial conditions resulting from the pandemic, however it did see some degradation in volumetric sales on a weather normalized basis at certain Thermal locations during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Operational Performance</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2"/>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4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40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12/31/21</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12/31/21</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r>
      <w:tr>
        <w:trPr>
          <w:trHeight w:val="250"/>
        </w:trPr>
        <w:tc>
          <w:tcPr>
            <w:tcW w:w="406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98.5 %</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94.7 %</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r>
      <w:tr>
        <w:trPr>
          <w:trHeight w:val="256"/>
        </w:trPr>
        <w:tc>
          <w:tcPr>
            <w:tcW w:w="42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2,673</w:t>
            </w:r>
          </w:p>
        </w:tc>
        <w:tc>
          <w:tcPr>
            <w:tcW w:w="14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11,313</w:t>
            </w:r>
          </w:p>
        </w:tc>
        <w:tc>
          <w:tcPr>
            <w:tcW w:w="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7,460</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4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2021, availability at the Conventional segment was higher than the fourth quarter of 2020 primarily due to an outage at El Segundo in 2020. Generation in the Renewables segment during the fourth quarter of 2021 was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4" w:lineRule="exact"/>
        <w:rPr>
          <w:sz w:val="20"/>
          <w:szCs w:val="20"/>
          <w:color w:val="auto"/>
        </w:rPr>
      </w:pPr>
    </w:p>
    <w:p>
      <w:pPr>
        <w:ind w:right="180" w:firstLine="8"/>
        <w:spacing w:after="0" w:line="201"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adjustments to reflect CAFD generated by unconsolidated investments that were not able to distribute project dividends prior to PG&amp;E's emergence from bankruptcy on July 1, 2020 and subsequent release post-bankruptcy</w:t>
      </w:r>
    </w:p>
    <w:p>
      <w:pPr>
        <w:spacing w:after="0" w:line="1" w:lineRule="exact"/>
        <w:rPr>
          <w:rFonts w:ascii="Arial" w:cs="Arial" w:eastAsia="Arial" w:hAnsi="Arial"/>
          <w:sz w:val="23"/>
          <w:szCs w:val="23"/>
          <w:color w:val="auto"/>
          <w:vertAlign w:val="superscript"/>
        </w:rPr>
      </w:pPr>
    </w:p>
    <w:p>
      <w:pPr>
        <w:spacing w:after="0" w:line="188"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2</w:t>
      </w:r>
      <w:r>
        <w:rPr>
          <w:rFonts w:ascii="Arial" w:cs="Arial" w:eastAsia="Arial" w:hAnsi="Arial"/>
          <w:sz w:val="13"/>
          <w:szCs w:val="13"/>
          <w:color w:val="auto"/>
        </w:rPr>
        <w:t xml:space="preserve"> Excludes unconsolidated projects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 volumes do not include the MWh generated/sold by the Company's equity method investments</w:t>
      </w:r>
    </w:p>
    <w:p>
      <w:pPr>
        <w:spacing w:after="0" w:line="23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higher than the fourth quarter of 2020 primarily due to the contribution of growth investments. These growth investments included the acquisition of the 35% interest in Agua Caliente and the additional interest in the Distributed Generation partnerships where results for both are now consolidated due to the resulting change in ownership.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third-party equity investors, the Company recorded a reduction of approximately $50 million in revenue in the first quarter of 2021 to settle obligations for wind facilities during the extreme weather conditions. After factoring in third-party equity investor contributions, the cash impact to the Company during the first quarter of 2021 was approximately $25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Table 5: Liquidity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00" w:type="dxa"/>
            <w:vAlign w:val="bottom"/>
          </w:tcPr>
          <w:p>
            <w:pPr>
              <w:spacing w:after="0"/>
              <w:rPr>
                <w:sz w:val="22"/>
                <w:szCs w:val="22"/>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12/31/2021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12/31/2020</w:t>
            </w: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7000" w:type="dxa"/>
            <w:vAlign w:val="bottom"/>
            <w:gridSpan w:val="2"/>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liquidity as of December 31, 2021 was $821 million, which was $73 million lower than as of December 31, 2020, as the execution of growth investments and the redemption of the 5.75% Senior Notes due 2025 was partially offset by the issuance of the 3.75% Senior Notes due 2031 and higher restricted cash balances at project level subsidiaries, including projects which the Company now consolidates in its financial statements.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$475 million</w:t>
      </w:r>
      <w:r>
        <w:rPr>
          <w:rFonts w:ascii="Arial" w:cs="Arial" w:eastAsia="Arial" w:hAnsi="Arial"/>
          <w:sz w:val="18"/>
          <w:szCs w:val="18"/>
          <w:color w:val="231F20"/>
        </w:rPr>
        <w:t xml:space="preserve"> of restricted cash as of December 31, 2021.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December 31, 2021,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$246 million designated to fund operating expenses, approximately $34 million designated for current debt service payments, and $131 million of reserves for debt service, performance obligations and other items including capital expenditures. The remaining $64 million is held in distribution reserve accounts.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availability under the revolving credit facility, proceeds from asset dispositions, including the sale of the Thermal Business, and, subject to market conditions, new corporate debt and equity financings.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timing of growth investments and the expected closing date for the sale of the Thermal Business, the Company arranged the Bridge Loan Agreement to acquire the remaining 50% interest in the Utah Solar Portfolio as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Thermal Business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25, 2021, the Company announced that, through its subsidiary Clearway Energy Operating LLC, it had entered into a binding agreement to sell its Thermal Business to KKR for total consideration of $1.9 billion, subject to customary closing and working capital adjustments. Based on current estimates, the Company expects total net cash proceeds of approximately $1.35 billion as a result of the transaction. The estimated cash proceeds to the Company are after the assumption of project level debt, estimated taxes and other obligations owed, transaction expenses, and capital expenditures required to be funded pursuant to terms and conditions of the definitive agreement.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95"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Company's Thermal Business, commercially known as Clearway Community Energy, consists of thermal infrastructure assets that provide steam, hot water and/or chilled water, and in some instances electricity, to commercial businesses, universities, hospitals, and governmental customers across the United States. For 2022, Clearway estimates that the Thermal Business would contribute approximately $40 million in segment level CAFD on a full year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various customary closing conditions, approvals, and consents and is expected to close in the first half of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Rock Wind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29, 2021, the Company, through an indirect subsidiary, acquired from its sponsor a 50% interest in the Black Rock Wind Project, a 115 MW wind facility located in Grant and Mineral Counties, WV. The Company invested $60 million in net corporate capital for its interest in the project, of which $23 million was funded in February 2022 upon all turbines becoming operational. A majority of the project’s output is backed by contracts with investment-grade counterparties with a 15-year weighted average contract life.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Mesquite Sky Wind</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17, 2021, the Company, through an indirect subsidiary, acquired from its sponsor a 50% interest in the Mesquite Sky Wind Project, a 340 MW wind facility located in Callahan County, TX. The Company invested $61 million in net corporate capital for its interest in the project. A majority of the project’s output is backed by contracts with investment-grade counterparties with a 12-year weighted average contract life.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Remaining 50% Interest in the Utah Solar Portfolio</w:t>
      </w:r>
    </w:p>
    <w:p>
      <w:pPr>
        <w:spacing w:after="0" w:line="3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 2021, the Company acquired the remaining 50% equity interest in the Utah Solar Portfolio for $335 million before working capital and purchase price adjustments in the net amount of $5 million, representing total net consideration of $330 million. The Utah Solar Portfolio consists of seven utility-scale solar farms located in Utah representing 530 MW of capacity that achieved commercial operations in 2016. The assets within the portfolio sell power subject to 20-year PPAs with PacifiCorp that have approximately 15 years remaining under the agreements. The acquisition is expected to provide incremental annual asset CAFD on a five-year average basis of approximately $30 million beginning January 1, 2022. Following the close of the transaction, the Company now owns 100% of the membership interests in the Utah Solar Portfolio. The Company removed its equity method investment and consolidates its interests in the Utah Solar Portfolio within the Renewables segment from the date of the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Daggett 3 Solar</w:t>
      </w:r>
    </w:p>
    <w:p>
      <w:pPr>
        <w:spacing w:after="0" w:line="25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October 28, 2021, the Company, through an indirect subsidiary, entered into an agreement with its sponsor to acquire a 25% equity interest in the Daggett 3 solar project upon the project meeting certain milestones. Daggett 3 is a 300 MW solar generating facility under development with a combined 144 MW and 576 MWh battery energy storage system located in San Bernardino, California. The Company expects to invest approximately $21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subject to closing adjustments. Commercial operations of the facility and the Company's investment are expected to occur in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Pinnacle Wind Repowering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26, 2021, the Company, through an indirect subsidiary, entered into an amended partnership agreement with its sponsor to repower the Pinnacle Wind Project, a 54 MW wind facility located in Mineral County, WV. On December 14, 2021, the repowering project reached commercial operations and on December 15, 2021, the Company invested $64 million in corporate capital in the project, which was utilized along with tax equity proceeds, to repay outstanding balances of construction financing. The existing Pinnacle Wind power purchase agreements will continue to run through 2031.</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Financing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Amendment to Clearway Energy Operating LLC Revolving Credit Facility</w:t>
      </w:r>
    </w:p>
    <w:p>
      <w:pPr>
        <w:spacing w:after="0" w:line="252" w:lineRule="exact"/>
        <w:rPr>
          <w:sz w:val="20"/>
          <w:szCs w:val="20"/>
          <w:color w:val="auto"/>
        </w:rPr>
      </w:pPr>
    </w:p>
    <w:p>
      <w:pPr>
        <w:ind w:right="2260"/>
        <w:spacing w:after="0" w:line="291" w:lineRule="auto"/>
        <w:rPr>
          <w:sz w:val="20"/>
          <w:szCs w:val="20"/>
          <w:color w:val="auto"/>
        </w:rPr>
      </w:pPr>
      <w:r>
        <w:rPr>
          <w:rFonts w:ascii="Arial" w:cs="Arial" w:eastAsia="Arial" w:hAnsi="Arial"/>
          <w:sz w:val="16"/>
          <w:szCs w:val="16"/>
          <w:color w:val="auto"/>
        </w:rPr>
        <w:t>On November 30, 2021, Clearway Energy Operating LLC entered into the Sixth Amendment to the Amended and Restated Credit Agreement to provide for an increase of the maximum permitted borrower leverage ratio to 6.00 to 1.00, as defined in</w:t>
      </w:r>
    </w:p>
    <w:p>
      <w:pPr>
        <w:jc w:val="both"/>
        <w:spacing w:after="0" w:line="253" w:lineRule="auto"/>
        <w:rPr>
          <w:sz w:val="20"/>
          <w:szCs w:val="20"/>
          <w:color w:val="auto"/>
        </w:rPr>
      </w:pPr>
      <w:r>
        <w:rPr>
          <w:rFonts w:ascii="Arial" w:cs="Arial" w:eastAsia="Arial" w:hAnsi="Arial"/>
          <w:sz w:val="18"/>
          <w:szCs w:val="18"/>
          <w:color w:val="auto"/>
        </w:rPr>
        <w:t>the Amended and Restated Credit Agreement, commencing on November 30, 2021 and ending on the leverage period termination date, which is the earliest of (i) two business days following the closing of the sale of the Thermal Business, (ii) 120 days following the termination or expiration of the binding agreement entered into to sell the Thermal Business and (iii) the maturity date of the Bridge Loan Agreement. The Sixth Amendment also permits the incurrence of the term loan facility under the Bridge Loan Agreement, permits the incurrence of hedging obligations, permits the prepayment of indebtedness, and implements certain other technical modifications.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Agreement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30, 2021, Clearway Energy Operating LLC entered into a senior secured bridge credit agreement, or the Bridge Loan Agreement, that provides for a term loan facility with an aggregate principal amount of $335 million. The Bridge Loan Agreement will mature no later than November 29, 2022. The Company intends to use proceeds from the disposition of the Thermal Business to repay the outstanding principal. The borrowings under the Bridge Loan Facility were used to acquire the Utah Solar Portfolio on December 1, 2021, as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2032 Green Bond Senior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 owned current and future subsidiaries. The net proceeds from the 2032 Senior Notes were used to repurchase the $350 million in then outstanding 2026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2026 Senior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2021, the Company completed the repurchase of an aggregate principal amount of $123 million, or 35.3%, of the 2026 Senior Notes outstanding as part of the cash tender offer announced on September 24, 2021. On October 25, 2021, the Company exercised its right to optionally redeem the remaining principal amount of $227 million that were not validly tendered and purchased in the tender offer, pursuant to the terms of the indenture governing the 2026 Senior Notes. The 2026 Senior Notes repurchased and redeemed in October 2021 were effectuated at a premium of approximately 103% for total consideration of $359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17, 2022, Clearway Energy, Inc.’s Board of Directors declared a quarterly dividend on Class A and Class C common stock of $0.3468 per share payable on March 15, 2022, to stockholders of record as of March 1, 2022.</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2022, the Company anticipates that, due to the sale of the Thermal Business, it may have positive current year earnings and profits. As a result, a portion of any dividends paid to holders of Class A and Class C common stock in 2022 may be treated as taxable dividends for U.S. federal income tax purposes. Such portion of the dividends that could be treated as taxable will depend upon a number of factors, including, but not limited to, the closing of the Thermal business sale and amount of actual gain, overall business performance, and other business activity during the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1" w:right="3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distributions from unconsolidated affiliates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 and Pro Forma CAFD Outlook</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is reiterating its 2022 full year CAFD guidance of $395 million. The Company's 2022 financial guidance factors in the contribution of committed growth investments based on current expected closing timelines and assumes a full year contribution from the Thermal Business of approximately $40 million. 2022 CAFD guidance does not factor in the timing of when CAFD is realized from new growth investments pursuant to 5-year averages beyond 2022. The Company plans to update 2022 full year CAFD guidance after the Thermal Business transaction closes.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effects above, the timing of CAFD realization pursuant to 5-year averages, asset CAFD across all segments being materially in-line with current profiles, and the impact of the disposition of the Company's Thermal Platform, the Company is reiterating its pro forma CAFD outlook expectations of approximately $385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guidance and the pro forma CAFD outlook continue to be based on median renewable energy production estimates for the full year and do not factor in any additional CAFD related to the allocation of excess proceeds from the sale of the Thermal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28, 2022,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one of the largest renewable energy owners in the US with over 5,000 net MW of installed wind and solar generation projects. Clearway Energy’s over 9,000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pending disposition of its Thermal Business, the Company’s dividend expectations and its operations, its facilities and its financial results, impacts related to COVID-19 (including any variant of the virus) or any other pandemic, the benefits of the relationship with Global Infrastructure Partners and Global Infrastructure Partners' expertise, the Company’s future relationship and arrangements with Global Infrastructure Partners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52" w:lineRule="auto"/>
        <w:rPr>
          <w:sz w:val="20"/>
          <w:szCs w:val="20"/>
          <w:color w:val="auto"/>
        </w:rPr>
      </w:pPr>
      <w:r>
        <w:rPr>
          <w:rFonts w:ascii="Arial" w:cs="Arial" w:eastAsia="Arial" w:hAnsi="Arial"/>
          <w:sz w:val="16"/>
          <w:szCs w:val="16"/>
          <w:color w:val="auto"/>
        </w:rPr>
        <w:t>from those contemplated above include, among others, the Company's ability to maintain and grow its quarterly dividend, impacts related to COVID-19 (including any variant of the virus) or any other pandemic, risks relating to the Company's relationships with Global Infrastructure Partners and Clearway Energy Group, the failure to identify, execute or successfully implement acquisitions or dispositions (including receipt of third party consents and regulatory approvals), including the Company’s ability to complete the pending disposition of its Thermal Business, the Company's ability to acquire assets from Global Infrastructure Partners or Clearway Energy Group, the Company’s ability to raise additional capital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cyber terrorism and inadequate cybersecurity and the Company’s ability to borrow additional funds and access capital markets. Furthermore, any dividends are subject to available capital, market conditions, and compliance with associated laws and regulations.</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February 28, 2022,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8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2"/>
                <w:szCs w:val="12"/>
                <w:color w:val="auto"/>
              </w:rPr>
            </w:pPr>
          </w:p>
        </w:tc>
        <w:tc>
          <w:tcPr>
            <w:tcW w:w="80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Cost of operations, exclusive of depreciation, amortization and accretion shown separately below</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9"/>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Impairment loss on investment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8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 A and Class C Common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number of Class C common shares outstanding - basic</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Weighted average number of Class C common shares outstanding -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78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6"/>
              </w:rPr>
              <w:t>Earnings (Loss) per Weighted Average Class A and Class C Common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48"/>
        </w:trPr>
        <w:tc>
          <w:tcPr>
            <w:tcW w:w="7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960" w:type="dxa"/>
            <w:vAlign w:val="bottom"/>
          </w:tcPr>
          <w:p>
            <w:pPr>
              <w:jc w:val="right"/>
              <w:ind w:right="395"/>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6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on derivatives, net of income tax (expense) benefit of $(3), $— and $1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40" w:top="891" w:right="3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CLEARWAY ENERGY, INC.</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bottom w:val="single" w:sz="8" w:color="auto"/>
            </w:tcBorders>
            <w:vMerge w:val="restart"/>
          </w:tcPr>
          <w:p>
            <w:pPr>
              <w:spacing w:after="0" w:line="20" w:lineRule="exact"/>
              <w:rPr>
                <w:sz w:val="1"/>
                <w:szCs w:val="1"/>
                <w:color w:val="auto"/>
              </w:rPr>
            </w:pPr>
          </w:p>
        </w:tc>
        <w:tc>
          <w:tcPr>
            <w:tcW w:w="612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640" w:type="dxa"/>
            <w:vAlign w:val="bottom"/>
            <w:vMerge w:val="continue"/>
          </w:tcPr>
          <w:p>
            <w:pPr>
              <w:spacing w:after="0"/>
              <w:rPr>
                <w:sz w:val="18"/>
                <w:szCs w:val="18"/>
                <w:color w:val="auto"/>
              </w:rPr>
            </w:pPr>
          </w:p>
        </w:tc>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Current assets held-for-sale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76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3"/>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Intangible assets for power purchase agreements,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Right-of-use assets,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40" w:type="dxa"/>
            <w:vAlign w:val="bottom"/>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 — 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Accounts payable — affiliates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Accrued interest expense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Long-term lease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196"/>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760" w:type="dxa"/>
            <w:vAlign w:val="bottom"/>
            <w:gridSpan w:val="2"/>
          </w:tcPr>
          <w:p>
            <w:pPr>
              <w:spacing w:after="0" w:line="166" w:lineRule="exact"/>
              <w:rPr>
                <w:sz w:val="20"/>
                <w:szCs w:val="20"/>
                <w:color w:val="auto"/>
              </w:rPr>
            </w:pPr>
            <w:r>
              <w:rPr>
                <w:rFonts w:ascii="Arial" w:cs="Arial" w:eastAsia="Arial" w:hAnsi="Arial"/>
                <w:sz w:val="16"/>
                <w:szCs w:val="16"/>
                <w:color w:val="auto"/>
                <w:w w:val="95"/>
              </w:rPr>
              <w:t>Class A, Class B, Class C and Class D common stock, $0.01 par value; 3,000,000,000 shares authorized (Class A</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Arial" w:cs="Arial" w:eastAsia="Arial" w:hAnsi="Arial"/>
                <w:sz w:val="16"/>
                <w:szCs w:val="16"/>
                <w:color w:val="auto"/>
                <w:w w:val="93"/>
              </w:rPr>
              <w:t>500,000,000, Class B 500,000,000, Class C 1,000,000,000, Class D 1,000,000,000); 201,856,166 shares issued and</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Arial" w:cs="Arial" w:eastAsia="Arial" w:hAnsi="Arial"/>
                <w:sz w:val="16"/>
                <w:szCs w:val="16"/>
                <w:color w:val="auto"/>
                <w:w w:val="91"/>
              </w:rPr>
              <w:t>outstanding (Class A 34,599,645, Class B 42,738,750, Class C 81,779,021, Class D 42,738,750) at December 31, 2021</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spacing w:after="0" w:line="162" w:lineRule="exact"/>
              <w:rPr>
                <w:sz w:val="20"/>
                <w:szCs w:val="20"/>
                <w:color w:val="auto"/>
              </w:rPr>
            </w:pPr>
            <w:r>
              <w:rPr>
                <w:rFonts w:ascii="Arial" w:cs="Arial" w:eastAsia="Arial" w:hAnsi="Arial"/>
                <w:sz w:val="16"/>
                <w:szCs w:val="16"/>
                <w:color w:val="auto"/>
                <w:w w:val="90"/>
              </w:rPr>
              <w:t>and 201,635,990 shares issued and outstanding (Class A 34,599,645, Class B 42,738,750, Class C 81,558,845, Class D</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7760" w:type="dxa"/>
            <w:vAlign w:val="bottom"/>
            <w:gridSpan w:val="2"/>
          </w:tcPr>
          <w:p>
            <w:pPr>
              <w:spacing w:after="0"/>
              <w:rPr>
                <w:sz w:val="20"/>
                <w:szCs w:val="20"/>
                <w:color w:val="auto"/>
              </w:rPr>
            </w:pPr>
            <w:r>
              <w:rPr>
                <w:rFonts w:ascii="Arial" w:cs="Arial" w:eastAsia="Arial" w:hAnsi="Arial"/>
                <w:sz w:val="16"/>
                <w:szCs w:val="16"/>
                <w:color w:val="auto"/>
              </w:rPr>
              <w:t>42,738,750) at December 31, 2020</w:t>
            </w:r>
          </w:p>
        </w:tc>
        <w:tc>
          <w:tcPr>
            <w:tcW w:w="1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531" w:right="35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531"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2019</w:t>
            </w:r>
          </w:p>
        </w:tc>
      </w:tr>
      <w:tr>
        <w:trPr>
          <w:trHeight w:val="194"/>
        </w:trPr>
        <w:tc>
          <w:tcPr>
            <w:tcW w:w="79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60"/>
              <w:spacing w:after="0"/>
              <w:rPr>
                <w:sz w:val="20"/>
                <w:szCs w:val="20"/>
                <w:color w:val="auto"/>
              </w:rPr>
            </w:pPr>
            <w:r>
              <w:rPr>
                <w:rFonts w:ascii="Arial" w:cs="Arial" w:eastAsia="Arial" w:hAnsi="Arial"/>
                <w:sz w:val="15"/>
                <w:szCs w:val="15"/>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99"/>
        </w:trPr>
        <w:tc>
          <w:tcPr>
            <w:tcW w:w="7960" w:type="dxa"/>
            <w:vAlign w:val="bottom"/>
          </w:tcPr>
          <w:p>
            <w:pPr>
              <w:ind w:left="14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99"/>
        </w:trPr>
        <w:tc>
          <w:tcPr>
            <w:tcW w:w="7960" w:type="dxa"/>
            <w:vAlign w:val="bottom"/>
          </w:tcPr>
          <w:p>
            <w:pPr>
              <w:ind w:left="340"/>
              <w:spacing w:after="0"/>
              <w:rPr>
                <w:sz w:val="20"/>
                <w:szCs w:val="20"/>
                <w:color w:val="auto"/>
              </w:rPr>
            </w:pPr>
            <w:r>
              <w:rPr>
                <w:rFonts w:ascii="Arial" w:cs="Arial" w:eastAsia="Arial" w:hAnsi="Arial"/>
                <w:sz w:val="15"/>
                <w:szCs w:val="15"/>
                <w:color w:val="auto"/>
              </w:rPr>
              <w:t>Distributions from unconsolidated affiliates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Depreciation, amortization and accretion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r>
      <w:tr>
        <w:trPr>
          <w:trHeight w:val="199"/>
        </w:trPr>
        <w:tc>
          <w:tcPr>
            <w:tcW w:w="7960" w:type="dxa"/>
            <w:vAlign w:val="bottom"/>
          </w:tcPr>
          <w:p>
            <w:pPr>
              <w:ind w:left="340"/>
              <w:spacing w:after="0"/>
              <w:rPr>
                <w:sz w:val="20"/>
                <w:szCs w:val="20"/>
                <w:color w:val="auto"/>
              </w:rPr>
            </w:pPr>
            <w:r>
              <w:rPr>
                <w:rFonts w:ascii="Arial" w:cs="Arial" w:eastAsia="Arial" w:hAnsi="Arial"/>
                <w:sz w:val="15"/>
                <w:szCs w:val="15"/>
                <w:color w:val="auto"/>
              </w:rPr>
              <w:t>Amortization of financing costs and debt discounts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intangibles and out-of-market contracts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199"/>
        </w:trPr>
        <w:tc>
          <w:tcPr>
            <w:tcW w:w="7960" w:type="dxa"/>
            <w:vAlign w:val="bottom"/>
          </w:tcPr>
          <w:p>
            <w:pPr>
              <w:ind w:left="340"/>
              <w:spacing w:after="0"/>
              <w:rPr>
                <w:sz w:val="20"/>
                <w:szCs w:val="20"/>
                <w:color w:val="auto"/>
              </w:rPr>
            </w:pPr>
            <w:r>
              <w:rPr>
                <w:rFonts w:ascii="Arial" w:cs="Arial" w:eastAsia="Arial" w:hAnsi="Arial"/>
                <w:sz w:val="15"/>
                <w:szCs w:val="15"/>
                <w:color w:val="auto"/>
              </w:rPr>
              <w:t>Loss on debt extinguishment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Reduction in carrying amount of right-of-use 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Gain on sale of unconsolidated affiliate</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Impairment losses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Change in deferred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derivative instruments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Loss on disposal of asset components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07"/>
        </w:trPr>
        <w:tc>
          <w:tcPr>
            <w:tcW w:w="7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provided (used) in changes in other working capital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Changes in prepaid and accrued liabilities for tolling agreements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other working capital</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w:t>
            </w:r>
          </w:p>
        </w:tc>
      </w:tr>
      <w:tr>
        <w:trPr>
          <w:trHeight w:val="187"/>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Acquisitions, net of cash acquired</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Partnership interest acquisition</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7960" w:type="dxa"/>
            <w:vAlign w:val="bottom"/>
          </w:tcPr>
          <w:p>
            <w:pPr>
              <w:ind w:left="340"/>
              <w:spacing w:after="0"/>
              <w:rPr>
                <w:sz w:val="20"/>
                <w:szCs w:val="20"/>
                <w:color w:val="auto"/>
              </w:rPr>
            </w:pPr>
            <w:r>
              <w:rPr>
                <w:rFonts w:ascii="Arial" w:cs="Arial" w:eastAsia="Arial" w:hAnsi="Arial"/>
                <w:sz w:val="15"/>
                <w:szCs w:val="15"/>
                <w:color w:val="auto"/>
              </w:rPr>
              <w:t>Acquisition of Drop Down Assets, net of cash acquired</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Buyout of Wind TE Holdco noncontrolling interest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Capital expenditures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(228)</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Asset purchase from affiliate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Return of investment from unconsolidated affiliates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Investments in unconsolidated affiliates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Proceeds from sale of assets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Consolidation of DGPV Holdco 3 LLC</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200"/>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r>
      <w:tr>
        <w:trPr>
          <w:trHeight w:val="180"/>
        </w:trPr>
        <w:tc>
          <w:tcPr>
            <w:tcW w:w="79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5"/>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Contributions from noncontrolling interests, net of distributions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Buyout of Repowering Partnership II LLC noncontrolling interest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the issuance of common stock</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Payments of dividends and distributions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the revolving credit facility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Payments for the revolving credit facility</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issuance of long-term debt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Payments of debt issuance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79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Payments for long-term debt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w:t>
            </w:r>
          </w:p>
        </w:tc>
      </w:tr>
      <w:tr>
        <w:trPr>
          <w:trHeight w:val="198"/>
        </w:trPr>
        <w:tc>
          <w:tcPr>
            <w:tcW w:w="7960" w:type="dxa"/>
            <w:vAlign w:val="bottom"/>
          </w:tcPr>
          <w:p>
            <w:pPr>
              <w:ind w:left="34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92"/>
        </w:trPr>
        <w:tc>
          <w:tcPr>
            <w:tcW w:w="7960" w:type="dxa"/>
            <w:vAlign w:val="bottom"/>
          </w:tcPr>
          <w:p>
            <w:pPr>
              <w:ind w:left="20"/>
              <w:spacing w:after="0"/>
              <w:rPr>
                <w:sz w:val="20"/>
                <w:szCs w:val="20"/>
                <w:color w:val="auto"/>
              </w:rPr>
            </w:pPr>
            <w:r>
              <w:rPr>
                <w:rFonts w:ascii="Arial" w:cs="Arial" w:eastAsia="Arial" w:hAnsi="Arial"/>
                <w:sz w:val="15"/>
                <w:szCs w:val="15"/>
                <w:b w:val="1"/>
                <w:bCs w:val="1"/>
                <w:color w:val="auto"/>
              </w:rPr>
              <w:t>Reclassification of Cash to Assets Held-for-Sale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20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Cash, Cash Equivalents and Restricted Cash at Beginning of Period</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w:t>
            </w: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r>
      <w:tr>
        <w:trPr>
          <w:trHeight w:val="21"/>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9"/>
        </w:trPr>
        <w:tc>
          <w:tcPr>
            <w:tcW w:w="7960" w:type="dxa"/>
            <w:vAlign w:val="bottom"/>
          </w:tcPr>
          <w:p>
            <w:pPr>
              <w:ind w:left="220"/>
              <w:spacing w:after="0"/>
              <w:rPr>
                <w:sz w:val="20"/>
                <w:szCs w:val="20"/>
                <w:color w:val="auto"/>
              </w:rPr>
            </w:pPr>
            <w:r>
              <w:rPr>
                <w:rFonts w:ascii="Arial" w:cs="Arial" w:eastAsia="Arial" w:hAnsi="Arial"/>
                <w:sz w:val="15"/>
                <w:szCs w:val="15"/>
                <w:color w:val="auto"/>
              </w:rPr>
              <w:t>Interest paid, net of amount capitalized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(337)</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(325)</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(313)</w:t>
            </w:r>
          </w:p>
        </w:tc>
      </w:tr>
      <w:tr>
        <w:trPr>
          <w:trHeight w:val="206"/>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7960" w:type="dxa"/>
            <w:vAlign w:val="bottom"/>
          </w:tcPr>
          <w:p>
            <w:pPr>
              <w:ind w:left="220"/>
              <w:spacing w:after="0"/>
              <w:rPr>
                <w:sz w:val="20"/>
                <w:szCs w:val="20"/>
                <w:color w:val="auto"/>
              </w:rPr>
            </w:pPr>
            <w:r>
              <w:rPr>
                <w:rFonts w:ascii="Arial" w:cs="Arial" w:eastAsia="Arial" w:hAnsi="Arial"/>
                <w:sz w:val="15"/>
                <w:szCs w:val="15"/>
                <w:color w:val="auto"/>
              </w:rPr>
              <w:t>Reductions to fixed assets for accrued capital expenditures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79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Non-cash adjustment for change in tax basis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94"/>
        </w:trPr>
        <w:tc>
          <w:tcPr>
            <w:tcW w:w="7960" w:type="dxa"/>
            <w:vAlign w:val="bottom"/>
          </w:tcPr>
          <w:p>
            <w:pPr>
              <w:ind w:left="220"/>
              <w:spacing w:after="0"/>
              <w:rPr>
                <w:sz w:val="20"/>
                <w:szCs w:val="20"/>
                <w:color w:val="auto"/>
              </w:rPr>
            </w:pPr>
            <w:r>
              <w:rPr>
                <w:rFonts w:ascii="Arial" w:cs="Arial" w:eastAsia="Arial" w:hAnsi="Arial"/>
                <w:sz w:val="15"/>
                <w:szCs w:val="15"/>
                <w:color w:val="auto"/>
              </w:rPr>
              <w:t>Non-cash contributions from CEG, net of distributions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w:t>
            </w:r>
          </w:p>
        </w:tc>
      </w:tr>
    </w:tbl>
    <w:p>
      <w:pPr>
        <w:spacing w:after="0" w:line="200" w:lineRule="exact"/>
        <w:rPr>
          <w:sz w:val="20"/>
          <w:szCs w:val="20"/>
          <w:color w:val="auto"/>
        </w:rPr>
      </w:pPr>
    </w:p>
    <w:p>
      <w:pPr>
        <w:sectPr>
          <w:pgSz w:w="11900" w:h="16838" w:orient="portrait"/>
          <w:cols w:equalWidth="0" w:num="1">
            <w:col w:w="11200"/>
          </w:cols>
          <w:pgMar w:left="340" w:top="9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40" w:top="918" w:right="35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9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1"/>
                <w:szCs w:val="11"/>
                <w:color w:val="auto"/>
              </w:rPr>
            </w:pPr>
          </w:p>
        </w:tc>
        <w:tc>
          <w:tcPr>
            <w:tcW w:w="98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780" w:type="dxa"/>
            <w:vAlign w:val="bottom"/>
          </w:tcPr>
          <w:p>
            <w:pPr>
              <w:ind w:left="100"/>
              <w:spacing w:after="0"/>
              <w:rPr>
                <w:sz w:val="20"/>
                <w:szCs w:val="20"/>
                <w:color w:val="auto"/>
              </w:rPr>
            </w:pPr>
            <w:r>
              <w:rPr>
                <w:rFonts w:ascii="Arial" w:cs="Arial" w:eastAsia="Arial" w:hAnsi="Arial"/>
                <w:sz w:val="14"/>
                <w:szCs w:val="14"/>
                <w:b w:val="1"/>
                <w:bCs w:val="1"/>
                <w:color w:val="auto"/>
              </w:rPr>
              <w:t>Balances at December 31, 2018</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1,897</w:t>
            </w:r>
          </w:p>
        </w:tc>
        <w:tc>
          <w:tcPr>
            <w:tcW w:w="1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2,224</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Buyout of Wind TE Holdco non-controlling interest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Carlsbad Drop Down</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Contributions from tax equity interests, net of distributions, cash</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Distributions to CEG, net of contributions, cash</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the accounting principle</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line="191" w:lineRule="exact"/>
              <w:rPr>
                <w:sz w:val="20"/>
                <w:szCs w:val="20"/>
                <w:color w:val="auto"/>
              </w:rPr>
            </w:pPr>
            <w:r>
              <w:rPr>
                <w:rFonts w:ascii="Arial" w:cs="Arial" w:eastAsia="Arial" w:hAnsi="Arial"/>
                <w:sz w:val="18"/>
                <w:szCs w:val="18"/>
                <w:color w:val="auto"/>
                <w:w w:val="96"/>
              </w:rPr>
              <w:t>Proceeds from the issuance of Class C Common</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adjustment for change in tax basis</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6"/>
        </w:trPr>
        <w:tc>
          <w:tcPr>
            <w:tcW w:w="3780" w:type="dxa"/>
            <w:vAlign w:val="bottom"/>
          </w:tcPr>
          <w:p>
            <w:pPr>
              <w:ind w:left="100"/>
              <w:spacing w:after="0"/>
              <w:rPr>
                <w:sz w:val="20"/>
                <w:szCs w:val="20"/>
                <w:color w:val="auto"/>
              </w:rPr>
            </w:pPr>
            <w:r>
              <w:rPr>
                <w:rFonts w:ascii="Arial" w:cs="Arial" w:eastAsia="Arial" w:hAnsi="Arial"/>
                <w:sz w:val="14"/>
                <w:szCs w:val="14"/>
                <w:color w:val="auto"/>
              </w:rPr>
              <w:t>Common stock dividends</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1,936</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2,263</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tcPr>
          <w:p>
            <w:pPr>
              <w:ind w:left="74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Contributions from CEG, non-cash</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cash</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 non-cash</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Contributions from noncontrolling interests, net of distributions,</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92"/>
        </w:trPr>
        <w:tc>
          <w:tcPr>
            <w:tcW w:w="3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DGPV Drop Down and Consolidation</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Star Drop Down and Consolidation</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Langford Drop Down</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Rosamond Central Drop Down</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Lighthouse Partnership Yield Protection Agreement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Buyout of Repowering Partnership II LLC non-controlling</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92"/>
        </w:trPr>
        <w:tc>
          <w:tcPr>
            <w:tcW w:w="37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Arial" w:cs="Arial" w:eastAsia="Arial" w:hAnsi="Arial"/>
                <w:sz w:val="14"/>
                <w:szCs w:val="14"/>
                <w:color w:val="auto"/>
              </w:rPr>
              <w:t>Net proceeds from the issuance of common stock under the</w:t>
            </w:r>
          </w:p>
        </w:tc>
        <w:tc>
          <w:tcPr>
            <w:tcW w:w="8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92"/>
        </w:trPr>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ATM Programs</w:t>
            </w: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and distributions to CEG</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Arial" w:cs="Arial" w:eastAsia="Arial" w:hAnsi="Arial"/>
                <w:sz w:val="14"/>
                <w:szCs w:val="14"/>
                <w:color w:val="auto"/>
              </w:rPr>
              <w:t>Balances at December 31, 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1,922</w:t>
            </w:r>
          </w:p>
        </w:tc>
        <w:tc>
          <w:tcPr>
            <w:tcW w:w="1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890</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2,715</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cash</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Contributions from noncontrolling interests, net of distributions,</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color w:val="auto"/>
                <w:w w:val="94"/>
              </w:rPr>
              <w:t>Lighthouse Partnership Yield Protection Agreement Amendment</w:t>
            </w:r>
          </w:p>
        </w:tc>
        <w:tc>
          <w:tcPr>
            <w:tcW w:w="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Agua Acquisition</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273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color w:val="auto"/>
              </w:rPr>
              <w:t>Rattlesnake Drop Down</w:t>
            </w:r>
          </w:p>
        </w:tc>
        <w:tc>
          <w:tcPr>
            <w:tcW w:w="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Sky Drop Down</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color w:val="auto"/>
              </w:rPr>
              <w:t>Black Rock Drop Down</w:t>
            </w:r>
          </w:p>
        </w:tc>
        <w:tc>
          <w:tcPr>
            <w:tcW w:w="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and distributions to CEG</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Balances at December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1,466</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80" w:top="769" w:right="37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A-1: Three Months Ended December 31,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December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Impairment Losses and Impairment on Equity</w:t>
            </w:r>
          </w:p>
        </w:tc>
        <w:tc>
          <w:tcPr>
            <w:tcW w:w="16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Twelve Months Ended December 31,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Mark to Market (MtM) Losses on Economic Hedges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0" w:type="dxa"/>
            <w:vAlign w:val="bottom"/>
          </w:tcPr>
          <w:p>
            <w:pPr>
              <w:spacing w:after="0"/>
              <w:rPr>
                <w:sz w:val="1"/>
                <w:szCs w:val="1"/>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Twelve Months Ended December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Impairment Losses and Impairment on Equity</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1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8"/>
              </w:rPr>
              <w:t>Twelve Months Ended</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12/31/21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12/31/20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12/31/21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12/31/20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Changes in prepaid and accrued liabilities for tolling agreements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Adjustment to reflect sale-type lease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and 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working capital and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line="256"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4</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line="256" w:lineRule="exact"/>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5</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5200" w:type="dxa"/>
            <w:vAlign w:val="bottom"/>
          </w:tcPr>
          <w:p>
            <w:pPr>
              <w:ind w:left="180"/>
              <w:spacing w:after="0" w:line="256"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6</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CAFD generated by unconsolidated</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investments that are unable to distribute project dividends due to the</w:t>
            </w:r>
          </w:p>
        </w:tc>
        <w:tc>
          <w:tcPr>
            <w:tcW w:w="2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PG&amp;E bankruptcy</w:t>
            </w:r>
          </w:p>
        </w:tc>
        <w:tc>
          <w:tcPr>
            <w:tcW w:w="2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Primarily relates to Thermal Development Expenses</w:t>
      </w:r>
    </w:p>
    <w:p>
      <w:pPr>
        <w:spacing w:after="0" w:line="31" w:lineRule="exact"/>
        <w:rPr>
          <w:sz w:val="20"/>
          <w:szCs w:val="20"/>
          <w:color w:val="auto"/>
        </w:rPr>
      </w:pPr>
    </w:p>
    <w:p>
      <w:pPr>
        <w:ind w:right="40" w:firstLine="8"/>
        <w:spacing w:after="0" w:line="194" w:lineRule="auto"/>
        <w:tabs>
          <w:tab w:leader="none" w:pos="103"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2021 excludes $672 million of contributions related to funding Mesquite Sky, Black Rock, Rattlesnake, and Pinnacle and $49 million of Hawaii refundable state tax credits; 2020 excludes $376 million of contributions relating to funding of Repowering 1.0, Langford, and Rosamond Central Partnerships</w:t>
      </w:r>
    </w:p>
    <w:p>
      <w:pPr>
        <w:ind w:right="120"/>
        <w:spacing w:after="0" w:line="20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4"/>
          <w:szCs w:val="14"/>
          <w:color w:val="auto"/>
        </w:rPr>
        <w:t xml:space="preserve"> 2021 excludes $1,372 million total consideration for the redemption of Corporate Notes and revolver payments, $717 million in connection with Mesquite Sky, Black Rock, and Rattlesnake debt repaid at acquisition, and $169 million in connection with Pinnacle repowering; 2020 excludes $374 million for the refinancing of the DG Solar funds (DG-CS Master Borrower), $260 million for the repayment of construction financing in connection with the Repowering 1.0 Partnership, $247 million for the refinancing of Utah Solar Portfolio, $158 million for the refinancing of Alpine, Blythe, and Roadrunner (NIMH Solar), $135 million total consideration for the redemption of Corporate Notes, and $130 million for the repayment of construction financing in connection with Rosamond Central</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008" w:right="339" w:bottom="1440" w:gutter="0" w:footer="0" w:header="0"/>
        </w:sectPr>
      </w:pPr>
    </w:p>
    <w:bookmarkStart w:id="18" w:name="page19"/>
    <w:bookmarkEnd w:id="18"/>
    <w:p>
      <w:pPr>
        <w:ind w:right="3280"/>
        <w:spacing w:after="0" w:line="267" w:lineRule="auto"/>
        <w:rPr>
          <w:sz w:val="20"/>
          <w:szCs w:val="20"/>
          <w:color w:val="auto"/>
        </w:rPr>
      </w:pPr>
      <w:r>
        <w:rPr>
          <w:rFonts w:ascii="Arial" w:cs="Arial" w:eastAsia="Arial" w:hAnsi="Arial"/>
          <w:sz w:val="20"/>
          <w:szCs w:val="20"/>
          <w:b w:val="1"/>
          <w:bCs w:val="1"/>
          <w:color w:val="auto"/>
        </w:rPr>
        <w:t xml:space="preserve">Appendix Table A-6: Twelve Months Ended December 31, 2021, Sources and Uses of Liquidity </w:t>
      </w:r>
      <w:r>
        <w:rPr>
          <w:rFonts w:ascii="Arial" w:cs="Arial" w:eastAsia="Arial" w:hAnsi="Arial"/>
          <w:sz w:val="20"/>
          <w:szCs w:val="20"/>
          <w:color w:val="auto"/>
        </w:rPr>
        <w:t>The following table summarizes the sources and uses of liquidity in 2021:</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90347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Sources: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Contributions from noncontrolling interests, net of distributions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revolving credit facility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0347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for long-term debt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for the revolving credit facility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80" w:right="1940"/>
        <w:spacing w:after="0" w:line="299" w:lineRule="auto"/>
        <w:rPr>
          <w:sz w:val="20"/>
          <w:szCs w:val="20"/>
          <w:color w:val="auto"/>
        </w:rPr>
      </w:pPr>
      <w:r>
        <w:rPr>
          <w:rFonts w:ascii="Arial" w:cs="Arial" w:eastAsia="Arial" w:hAnsi="Arial"/>
          <w:sz w:val="16"/>
          <w:szCs w:val="16"/>
          <w:color w:val="auto"/>
        </w:rPr>
        <w:t>Acquisition of Drop Down Assets, net of cash acquired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90347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Payments of debt issuance costs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net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034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Twelve Months</w:t>
      </w:r>
    </w:p>
    <w:p>
      <w:pPr>
        <w:spacing w:after="0" w:line="12"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Ended</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12/31/21</w:t>
      </w:r>
    </w:p>
    <w:p>
      <w:pPr>
        <w:spacing w:after="0" w:line="251"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1,728</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967</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701</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622</w:t>
      </w:r>
    </w:p>
    <w:p>
      <w:pPr>
        <w:spacing w:after="0" w:line="23" w:lineRule="exact"/>
        <w:rPr>
          <w:sz w:val="20"/>
          <w:szCs w:val="20"/>
          <w:color w:val="auto"/>
        </w:rPr>
      </w:pPr>
    </w:p>
    <w:p>
      <w:pPr>
        <w:jc w:val="right"/>
        <w:ind w:right="3580"/>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67"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(2,292)</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(533)</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(377)</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(268)</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(229)</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(151)</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ind w:right="354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ectPr>
          <w:pgSz w:w="11900" w:h="16838" w:orient="portrait"/>
          <w:cols w:equalWidth="0" w:num="2">
            <w:col w:w="5720" w:space="720"/>
            <w:col w:w="4800"/>
          </w:cols>
          <w:pgMar w:left="320" w:top="1008" w:right="339" w:bottom="1440" w:gutter="0" w:footer="0" w:header="0"/>
          <w:type w:val="continuous"/>
        </w:sectPr>
      </w:pPr>
    </w:p>
    <w:p>
      <w:pPr>
        <w:spacing w:after="0" w:line="92" w:lineRule="exact"/>
        <w:rPr>
          <w:sz w:val="20"/>
          <w:szCs w:val="20"/>
          <w:color w:val="auto"/>
        </w:rPr>
      </w:pPr>
    </w:p>
    <w:p>
      <w:pPr>
        <w:ind w:left="20"/>
        <w:spacing w:after="0"/>
        <w:tabs>
          <w:tab w:leader="none" w:pos="6320" w:val="left"/>
          <w:tab w:leader="none" w:pos="7400" w:val="left"/>
        </w:tabs>
        <w:rPr>
          <w:sz w:val="20"/>
          <w:szCs w:val="20"/>
          <w:color w:val="auto"/>
        </w:rPr>
      </w:pPr>
      <w:r>
        <w:rPr>
          <w:rFonts w:ascii="Arial" w:cs="Arial" w:eastAsia="Arial" w:hAnsi="Arial"/>
          <w:sz w:val="16"/>
          <w:szCs w:val="16"/>
          <w:b w:val="1"/>
          <w:bCs w:val="1"/>
          <w:color w:val="auto"/>
        </w:rPr>
        <w:t>Change in total cash, cash equivalents, and restricted cash</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189</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00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Appendix Table A-7: Adjusted EBITDA and Cash Available for Distribution Guidance, Thermal Full Year, and Pro Forma Outlook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2022 Full Year</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2022 Thermal</w:t>
            </w:r>
          </w:p>
        </w:tc>
        <w:tc>
          <w:tcPr>
            <w:tcW w:w="14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29"/>
        </w:trPr>
        <w:tc>
          <w:tcPr>
            <w:tcW w:w="5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Guidance</w:t>
            </w:r>
          </w:p>
        </w:tc>
        <w:tc>
          <w:tcPr>
            <w:tcW w:w="18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Full Year</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CAFD Outlook</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1,055</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52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Adjustment to reflect sale-type lease</w:t>
            </w:r>
            <w:r>
              <w:rPr>
                <w:rFonts w:ascii="Arial" w:cs="Arial" w:eastAsia="Arial" w:hAnsi="Arial"/>
                <w:sz w:val="23"/>
                <w:szCs w:val="23"/>
                <w:color w:val="auto"/>
                <w:vertAlign w:val="superscript"/>
              </w:rPr>
              <w:t>7</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57"/>
        </w:trPr>
        <w:tc>
          <w:tcPr>
            <w:tcW w:w="52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8</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Payment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733</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2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Net distributions to non-controlling interest</w:t>
            </w:r>
            <w:r>
              <w:rPr>
                <w:rFonts w:ascii="Arial" w:cs="Arial" w:eastAsia="Arial" w:hAnsi="Arial"/>
                <w:sz w:val="23"/>
                <w:szCs w:val="23"/>
                <w:color w:val="auto"/>
                <w:vertAlign w:val="superscript"/>
              </w:rPr>
              <w:t>10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A-8: Growth Investments 5 Year Average CAFD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8"/>
                <w:szCs w:val="18"/>
                <w:b w:val="1"/>
                <w:bCs w:val="1"/>
                <w:color w:val="auto"/>
                <w:w w:val="93"/>
              </w:rPr>
              <w:t>Utah Solar</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6"/>
              <w:spacing w:after="0" w:line="176" w:lineRule="exact"/>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176"/>
        </w:trPr>
        <w:tc>
          <w:tcPr>
            <w:tcW w:w="46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15"/>
                <w:szCs w:val="15"/>
                <w:color w:val="auto"/>
              </w:rPr>
            </w:pPr>
          </w:p>
        </w:tc>
        <w:tc>
          <w:tcPr>
            <w:tcW w:w="1300" w:type="dxa"/>
            <w:vAlign w:val="bottom"/>
          </w:tcPr>
          <w:p>
            <w:pPr>
              <w:jc w:val="center"/>
              <w:ind w:right="96"/>
              <w:spacing w:after="0" w:line="176" w:lineRule="exact"/>
              <w:rPr>
                <w:sz w:val="20"/>
                <w:szCs w:val="20"/>
                <w:color w:val="auto"/>
              </w:rPr>
            </w:pPr>
            <w:r>
              <w:rPr>
                <w:rFonts w:ascii="Arial" w:cs="Arial" w:eastAsia="Arial" w:hAnsi="Arial"/>
                <w:sz w:val="18"/>
                <w:szCs w:val="18"/>
                <w:b w:val="1"/>
                <w:bCs w:val="1"/>
                <w:color w:val="auto"/>
                <w:w w:val="88"/>
              </w:rPr>
              <w:t>5 Year Ave. -</w:t>
            </w:r>
          </w:p>
        </w:tc>
        <w:tc>
          <w:tcPr>
            <w:tcW w:w="0" w:type="dxa"/>
            <w:vAlign w:val="bottom"/>
          </w:tcPr>
          <w:p>
            <w:pPr>
              <w:spacing w:after="0"/>
              <w:rPr>
                <w:sz w:val="1"/>
                <w:szCs w:val="1"/>
                <w:color w:val="auto"/>
              </w:rPr>
            </w:pPr>
          </w:p>
        </w:tc>
      </w:tr>
      <w:tr>
        <w:trPr>
          <w:trHeight w:val="229"/>
        </w:trPr>
        <w:tc>
          <w:tcPr>
            <w:tcW w:w="46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6"/>
              <w:spacing w:after="0"/>
              <w:rPr>
                <w:sz w:val="20"/>
                <w:szCs w:val="20"/>
                <w:color w:val="auto"/>
              </w:rPr>
            </w:pPr>
            <w:r>
              <w:rPr>
                <w:rFonts w:ascii="Arial" w:cs="Arial" w:eastAsia="Arial" w:hAnsi="Arial"/>
                <w:sz w:val="18"/>
                <w:szCs w:val="18"/>
                <w:b w:val="1"/>
                <w:bCs w:val="1"/>
                <w:color w:val="auto"/>
                <w:w w:val="90"/>
              </w:rPr>
              <w:t>2022-2026</w:t>
            </w:r>
          </w:p>
        </w:tc>
        <w:tc>
          <w:tcPr>
            <w:tcW w:w="0" w:type="dxa"/>
            <w:vAlign w:val="bottom"/>
          </w:tcPr>
          <w:p>
            <w:pPr>
              <w:spacing w:after="0"/>
              <w:rPr>
                <w:sz w:val="1"/>
                <w:szCs w:val="1"/>
                <w:color w:val="auto"/>
              </w:rPr>
            </w:pPr>
          </w:p>
        </w:tc>
      </w:tr>
      <w:tr>
        <w:trPr>
          <w:trHeight w:val="223"/>
        </w:trPr>
        <w:tc>
          <w:tcPr>
            <w:tcW w:w="4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shd w:val="clear" w:color="auto" w:fill="CCEEFF"/>
          </w:tcPr>
          <w:p>
            <w:pPr>
              <w:jc w:val="center"/>
              <w:ind w:left="896"/>
              <w:spacing w:after="0"/>
              <w:rPr>
                <w:sz w:val="20"/>
                <w:szCs w:val="20"/>
                <w:color w:val="auto"/>
              </w:rPr>
            </w:pPr>
            <w:r>
              <w:rPr>
                <w:rFonts w:ascii="Arial" w:cs="Arial" w:eastAsia="Arial" w:hAnsi="Arial"/>
                <w:sz w:val="16"/>
                <w:szCs w:val="16"/>
                <w:b w:val="1"/>
                <w:bCs w:val="1"/>
                <w:color w:val="auto"/>
                <w:w w:val="89"/>
              </w:rPr>
              <w:t>14</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Depreciation, Amortization, and ARO Expense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left="896"/>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175"/>
        </w:trPr>
        <w:tc>
          <w:tcPr>
            <w:tcW w:w="46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Adjustment to reflect CWEN share of Adjusted EBITDA in</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6"/>
              <w:spacing w:after="0"/>
              <w:rPr>
                <w:sz w:val="20"/>
                <w:szCs w:val="20"/>
                <w:color w:val="auto"/>
              </w:rPr>
            </w:pPr>
            <w:r>
              <w:rPr>
                <w:rFonts w:ascii="Arial" w:cs="Arial" w:eastAsia="Arial" w:hAnsi="Arial"/>
                <w:sz w:val="16"/>
                <w:szCs w:val="16"/>
                <w:color w:val="auto"/>
                <w:w w:val="98"/>
              </w:rPr>
              <w:t>(16)</w:t>
            </w:r>
          </w:p>
        </w:tc>
        <w:tc>
          <w:tcPr>
            <w:tcW w:w="0" w:type="dxa"/>
            <w:vAlign w:val="bottom"/>
          </w:tcPr>
          <w:p>
            <w:pPr>
              <w:spacing w:after="0"/>
              <w:rPr>
                <w:sz w:val="1"/>
                <w:szCs w:val="1"/>
                <w:color w:val="auto"/>
              </w:rPr>
            </w:pPr>
          </w:p>
        </w:tc>
      </w:tr>
      <w:tr>
        <w:trPr>
          <w:trHeight w:val="223"/>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896"/>
              <w:spacing w:after="0"/>
              <w:rPr>
                <w:sz w:val="20"/>
                <w:szCs w:val="20"/>
                <w:color w:val="auto"/>
              </w:rPr>
            </w:pPr>
            <w:r>
              <w:rPr>
                <w:rFonts w:ascii="Arial" w:cs="Arial" w:eastAsia="Arial" w:hAnsi="Arial"/>
                <w:sz w:val="16"/>
                <w:szCs w:val="16"/>
                <w:b w:val="1"/>
                <w:bCs w:val="1"/>
                <w:color w:val="auto"/>
                <w:w w:val="89"/>
              </w:rPr>
              <w:t>30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Pro-rata Adjusted EBITDA from unconsolidated affiliates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6"/>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Cash distributions from unconsolidated affiliates</w:t>
            </w:r>
          </w:p>
        </w:tc>
        <w:tc>
          <w:tcPr>
            <w:tcW w:w="180" w:type="dxa"/>
            <w:vAlign w:val="bottom"/>
          </w:tcPr>
          <w:p>
            <w:pPr>
              <w:spacing w:after="0"/>
              <w:rPr>
                <w:sz w:val="19"/>
                <w:szCs w:val="19"/>
                <w:color w:val="auto"/>
              </w:rPr>
            </w:pPr>
          </w:p>
        </w:tc>
        <w:tc>
          <w:tcPr>
            <w:tcW w:w="1300" w:type="dxa"/>
            <w:vAlign w:val="bottom"/>
          </w:tcPr>
          <w:p>
            <w:pPr>
              <w:jc w:val="center"/>
              <w:ind w:left="896"/>
              <w:spacing w:after="0"/>
              <w:rPr>
                <w:sz w:val="20"/>
                <w:szCs w:val="20"/>
                <w:color w:val="auto"/>
              </w:rPr>
            </w:pPr>
            <w:r>
              <w:rPr>
                <w:rFonts w:ascii="Arial" w:cs="Arial" w:eastAsia="Arial" w:hAnsi="Arial"/>
                <w:sz w:val="16"/>
                <w:szCs w:val="16"/>
                <w:color w:val="auto"/>
                <w:w w:val="98"/>
              </w:rPr>
              <w:t>(30)</w:t>
            </w:r>
          </w:p>
        </w:tc>
        <w:tc>
          <w:tcPr>
            <w:tcW w:w="0" w:type="dxa"/>
            <w:vAlign w:val="bottom"/>
          </w:tcPr>
          <w:p>
            <w:pPr>
              <w:spacing w:after="0"/>
              <w:rPr>
                <w:sz w:val="1"/>
                <w:szCs w:val="1"/>
                <w:color w:val="auto"/>
              </w:rPr>
            </w:pPr>
          </w:p>
        </w:tc>
      </w:tr>
      <w:tr>
        <w:trPr>
          <w:trHeight w:val="223"/>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896"/>
              <w:spacing w:after="0"/>
              <w:rPr>
                <w:sz w:val="20"/>
                <w:szCs w:val="20"/>
                <w:color w:val="auto"/>
              </w:rPr>
            </w:pPr>
            <w:r>
              <w:rPr>
                <w:rFonts w:ascii="Arial" w:cs="Arial" w:eastAsia="Arial" w:hAnsi="Arial"/>
                <w:sz w:val="16"/>
                <w:szCs w:val="16"/>
                <w:b w:val="1"/>
                <w:bCs w:val="1"/>
                <w:color w:val="auto"/>
                <w:w w:val="89"/>
              </w:rPr>
              <w:t>30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center"/>
              <w:ind w:left="896"/>
              <w:spacing w:after="0"/>
              <w:rPr>
                <w:sz w:val="20"/>
                <w:szCs w:val="20"/>
                <w:color w:val="auto"/>
              </w:rPr>
            </w:pPr>
            <w:r>
              <w:rPr>
                <w:rFonts w:ascii="Arial" w:cs="Arial" w:eastAsia="Arial" w:hAnsi="Arial"/>
                <w:sz w:val="16"/>
                <w:szCs w:val="16"/>
                <w:b w:val="1"/>
                <w:bCs w:val="1"/>
                <w:color w:val="auto"/>
                <w:w w:val="89"/>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Adjustment to reflect cash generated from sales-type lease projects</w:t>
      </w:r>
    </w:p>
    <w:p>
      <w:pPr>
        <w:ind w:left="120" w:hanging="112"/>
        <w:spacing w:after="0" w:line="212" w:lineRule="auto"/>
        <w:tabs>
          <w:tab w:leader="none" w:pos="12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19" w:lineRule="exact"/>
        <w:rPr>
          <w:rFonts w:ascii="Arial" w:cs="Arial" w:eastAsia="Arial" w:hAnsi="Arial"/>
          <w:sz w:val="21"/>
          <w:szCs w:val="21"/>
          <w:color w:val="auto"/>
          <w:vertAlign w:val="superscript"/>
        </w:rPr>
      </w:pP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9</w:t>
      </w:r>
      <w:r>
        <w:rPr>
          <w:rFonts w:ascii="Arial" w:cs="Arial" w:eastAsia="Arial" w:hAnsi="Arial"/>
          <w:sz w:val="13"/>
          <w:szCs w:val="13"/>
          <w:color w:val="auto"/>
        </w:rPr>
        <w:t xml:space="preserve"> Primarily relates to Thermal Development Expenses</w:t>
      </w:r>
    </w:p>
    <w:p>
      <w:pPr>
        <w:spacing w:after="0" w:line="227" w:lineRule="auto"/>
        <w:rPr>
          <w:rFonts w:ascii="Arial" w:cs="Arial" w:eastAsia="Arial" w:hAnsi="Arial"/>
          <w:sz w:val="21"/>
          <w:szCs w:val="21"/>
          <w:color w:val="auto"/>
          <w:vertAlign w:val="superscript"/>
        </w:rPr>
      </w:pPr>
      <w:r>
        <w:rPr>
          <w:rFonts w:ascii="Arial" w:cs="Arial" w:eastAsia="Arial" w:hAnsi="Arial"/>
          <w:sz w:val="23"/>
          <w:szCs w:val="23"/>
          <w:color w:val="auto"/>
          <w:vertAlign w:val="superscript"/>
        </w:rPr>
        <w:t>10</w:t>
      </w:r>
      <w:r>
        <w:rPr>
          <w:rFonts w:ascii="Arial" w:cs="Arial" w:eastAsia="Arial" w:hAnsi="Arial"/>
          <w:sz w:val="14"/>
          <w:szCs w:val="14"/>
          <w:color w:val="auto"/>
        </w:rPr>
        <w:t xml:space="preserve"> Includes tax equity proceeds and distributions to tax equity partners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non-GAAP measure, Cash Available for Distribution is defined as of December 31, 2021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7"/>
      <w:numFmt w:val="bullet"/>
      <w:start w:val="1"/>
    </w:lvl>
  </w:abstractNum>
  <w:abstractNum w:abstractNumId="8">
    <w:nsid w:val="12200854"/>
    <w:multiLevelType w:val="hybridMultilevel"/>
    <w:lvl w:ilvl="0">
      <w:lvlJc w:val="left"/>
      <w:lvlText w:val="8"/>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2022-02-28T05:29:05Z</dcterms:created>
  <dcterms:modified xsi:type="dcterms:W3CDTF">2022-02-28T05:29:05Z</dcterms:modified>
</cp:coreProperties>
</file>