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No.1)*</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NRG Yield, Inc.</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Class A Common Stock</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62942X306</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May 31, 2017</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p>
      <w:pPr>
        <w:ind w:left="1480" w:hanging="419"/>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Rule 13d-1(c)</w:t>
      </w:r>
    </w:p>
    <w:p>
      <w:pPr>
        <w:spacing w:after="0" w:line="201" w:lineRule="exact"/>
        <w:rPr>
          <w:sz w:val="24"/>
          <w:szCs w:val="24"/>
          <w:color w:val="auto"/>
        </w:rPr>
      </w:pPr>
    </w:p>
    <w:p>
      <w:pPr>
        <w:ind w:left="1480" w:hanging="419"/>
        <w:spacing w:after="0"/>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Rule 13d-1(d)</w:t>
      </w:r>
    </w:p>
    <w:p>
      <w:pPr>
        <w:spacing w:after="0" w:line="200" w:lineRule="exact"/>
        <w:rPr>
          <w:sz w:val="24"/>
          <w:szCs w:val="24"/>
          <w:color w:val="auto"/>
        </w:rPr>
      </w:pPr>
    </w:p>
    <w:p>
      <w:pPr>
        <w:spacing w:after="0" w:line="209"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62942X306</w:t>
      </w:r>
    </w:p>
    <w:p>
      <w:pPr>
        <w:spacing w:after="0" w:line="207" w:lineRule="exact"/>
        <w:rPr>
          <w:sz w:val="24"/>
          <w:szCs w:val="24"/>
          <w:color w:val="auto"/>
        </w:rPr>
      </w:pPr>
    </w:p>
    <w:p>
      <w:pPr>
        <w:ind w:left="2120" w:right="2419" w:hanging="427"/>
        <w:spacing w:after="0" w:line="235" w:lineRule="auto"/>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Salient MLP &amp; Energy Infrastructure Fund: 45-5216026</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120" w:right="3039" w:hanging="427"/>
        <w:spacing w:after="0" w:line="235" w:lineRule="auto"/>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2" w:lineRule="exact"/>
        <w:rPr>
          <w:rFonts w:ascii="Courier New" w:cs="Courier New" w:eastAsia="Courier New" w:hAnsi="Courier New"/>
          <w:sz w:val="18"/>
          <w:szCs w:val="18"/>
          <w:color w:val="auto"/>
        </w:rPr>
      </w:pPr>
    </w:p>
    <w:p>
      <w:pPr>
        <w:ind w:left="2640" w:hanging="525"/>
        <w:spacing w:after="0"/>
        <w:tabs>
          <w:tab w:leader="none" w:pos="26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2640" w:hanging="525"/>
        <w:spacing w:after="0"/>
        <w:tabs>
          <w:tab w:leader="none" w:pos="26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of each</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 Person:</w:t>
      </w:r>
      <w:r>
        <w:rPr>
          <w:rFonts w:ascii="Courier New" w:cs="Courier New" w:eastAsia="Courier New" w:hAnsi="Courier New"/>
          <w:sz w:val="16"/>
          <w:szCs w:val="16"/>
          <w:color w:val="auto"/>
        </w:rPr>
        <w:t>Delaware, U.S.A.</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c>
          <w:tcPr>
            <w:tcW w:w="1100" w:type="dxa"/>
            <w:vAlign w:val="bottom"/>
          </w:tcPr>
          <w:p>
            <w:pPr>
              <w:ind w:left="160"/>
              <w:spacing w:after="0"/>
              <w:rPr>
                <w:sz w:val="20"/>
                <w:szCs w:val="20"/>
                <w:color w:val="auto"/>
              </w:rPr>
            </w:pPr>
            <w:r>
              <w:rPr>
                <w:rFonts w:ascii="Courier New" w:cs="Courier New" w:eastAsia="Courier New" w:hAnsi="Courier New"/>
                <w:sz w:val="18"/>
                <w:szCs w:val="18"/>
                <w:color w:val="auto"/>
                <w:w w:val="94"/>
              </w:rPr>
              <w:t>1,543,952</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1,543,952</w:t>
            </w:r>
          </w:p>
        </w:tc>
      </w:tr>
    </w:tbl>
    <w:p>
      <w:pPr>
        <w:spacing w:after="0" w:line="201" w:lineRule="exact"/>
        <w:rPr>
          <w:sz w:val="20"/>
          <w:szCs w:val="20"/>
          <w:color w:val="auto"/>
        </w:rPr>
      </w:pPr>
    </w:p>
    <w:p>
      <w:pPr>
        <w:ind w:left="2120" w:hanging="427"/>
        <w:spacing w:after="0"/>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120" w:right="3579" w:hanging="427"/>
        <w:spacing w:after="0" w:line="235" w:lineRule="auto"/>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1,543,952</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2120" w:right="2939" w:hanging="532"/>
        <w:spacing w:after="0" w:line="235" w:lineRule="auto"/>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4.5%</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IV</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2120" w:hanging="1059"/>
        <w:spacing w:after="0"/>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NRG Yield, Inc.</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804 Carnegie Center</w:t>
      </w:r>
    </w:p>
    <w:p>
      <w:pPr>
        <w:ind w:left="2640"/>
        <w:spacing w:after="0" w:line="238" w:lineRule="auto"/>
        <w:rPr>
          <w:sz w:val="20"/>
          <w:szCs w:val="20"/>
          <w:color w:val="auto"/>
        </w:rPr>
      </w:pPr>
      <w:r>
        <w:rPr>
          <w:rFonts w:ascii="Courier New" w:cs="Courier New" w:eastAsia="Courier New" w:hAnsi="Courier New"/>
          <w:sz w:val="18"/>
          <w:szCs w:val="18"/>
          <w:color w:val="auto"/>
        </w:rPr>
        <w:t>Princeton, NJ 08540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2120" w:hanging="1059"/>
        <w:spacing w:after="0"/>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Salient MLP &amp; Energy Infrastructure Fund</w:t>
      </w:r>
    </w:p>
    <w:p>
      <w:pPr>
        <w:spacing w:after="0" w:line="200" w:lineRule="exact"/>
        <w:rPr>
          <w:sz w:val="20"/>
          <w:szCs w:val="20"/>
          <w:color w:val="auto"/>
        </w:rPr>
      </w:pPr>
    </w:p>
    <w:p>
      <w:pPr>
        <w:spacing w:after="0" w:line="209" w:lineRule="exact"/>
        <w:rPr>
          <w:sz w:val="20"/>
          <w:szCs w:val="20"/>
          <w:color w:val="auto"/>
        </w:rPr>
      </w:pPr>
    </w:p>
    <w:p>
      <w:pPr>
        <w:ind w:left="2120" w:hanging="1059"/>
        <w:spacing w:after="0"/>
        <w:tabs>
          <w:tab w:leader="none" w:pos="21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w:t>
      </w:r>
    </w:p>
    <w:p>
      <w:pPr>
        <w:spacing w:after="0" w:line="21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4265 San Felipe, 8th Floor</w:t>
      </w:r>
    </w:p>
    <w:p>
      <w:pPr>
        <w:ind w:left="2640"/>
        <w:spacing w:after="0" w:line="238" w:lineRule="auto"/>
        <w:rPr>
          <w:sz w:val="20"/>
          <w:szCs w:val="20"/>
          <w:color w:val="auto"/>
        </w:rPr>
      </w:pPr>
      <w:r>
        <w:rPr>
          <w:rFonts w:ascii="Courier New" w:cs="Courier New" w:eastAsia="Courier New" w:hAnsi="Courier New"/>
          <w:sz w:val="18"/>
          <w:szCs w:val="18"/>
          <w:color w:val="auto"/>
        </w:rPr>
        <w:t>Houston, Texas 77027</w:t>
      </w:r>
    </w:p>
    <w:p>
      <w:pPr>
        <w:spacing w:after="0" w:line="200" w:lineRule="exact"/>
        <w:rPr>
          <w:sz w:val="20"/>
          <w:szCs w:val="20"/>
          <w:color w:val="auto"/>
        </w:rPr>
      </w:pPr>
    </w:p>
    <w:p>
      <w:pPr>
        <w:spacing w:after="0" w:line="210" w:lineRule="exact"/>
        <w:rPr>
          <w:sz w:val="20"/>
          <w:szCs w:val="20"/>
          <w:color w:val="auto"/>
        </w:rPr>
      </w:pPr>
    </w:p>
    <w:p>
      <w:pPr>
        <w:ind w:left="2120" w:right="4199" w:hanging="1059"/>
        <w:spacing w:after="0" w:line="470" w:lineRule="auto"/>
        <w:tabs>
          <w:tab w:leader="none" w:pos="21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of each Reporting Person: Delaware, U.S.A.</w:t>
      </w:r>
    </w:p>
    <w:p>
      <w:pPr>
        <w:spacing w:after="0" w:line="214" w:lineRule="exact"/>
        <w:rPr>
          <w:rFonts w:ascii="Courier New" w:cs="Courier New" w:eastAsia="Courier New" w:hAnsi="Courier New"/>
          <w:sz w:val="18"/>
          <w:szCs w:val="18"/>
          <w:color w:val="auto"/>
        </w:rPr>
      </w:pPr>
    </w:p>
    <w:p>
      <w:pPr>
        <w:ind w:left="2120" w:right="5159" w:hanging="1059"/>
        <w:spacing w:after="0" w:line="558" w:lineRule="auto"/>
        <w:tabs>
          <w:tab w:leader="none" w:pos="21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Class A Common Stock</w:t>
      </w:r>
    </w:p>
    <w:p>
      <w:pPr>
        <w:spacing w:after="0" w:line="164" w:lineRule="exact"/>
        <w:rPr>
          <w:rFonts w:ascii="Courier New" w:cs="Courier New" w:eastAsia="Courier New" w:hAnsi="Courier New"/>
          <w:sz w:val="16"/>
          <w:szCs w:val="16"/>
          <w:color w:val="auto"/>
        </w:rPr>
      </w:pPr>
    </w:p>
    <w:p>
      <w:pPr>
        <w:ind w:left="2120" w:hanging="1059"/>
        <w:spacing w:after="0"/>
        <w:tabs>
          <w:tab w:leader="none" w:pos="21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62942X306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 240.13d-1(b) or</w:t>
      </w:r>
    </w:p>
    <w:p>
      <w:pPr>
        <w:ind w:left="10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120" w:right="2319" w:hanging="1059"/>
        <w:spacing w:after="0" w:line="235" w:lineRule="auto"/>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2120" w:right="3359" w:hanging="1059"/>
        <w:spacing w:after="0" w:line="235" w:lineRule="auto"/>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Act (15 U.S.C. 78c).</w:t>
      </w:r>
    </w:p>
    <w:p>
      <w:pPr>
        <w:spacing w:after="0" w:line="208"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company as defined in section 3(a)(19) of the Act</w:t>
      </w:r>
    </w:p>
    <w:p>
      <w:pPr>
        <w:sectPr>
          <w:pgSz w:w="11900" w:h="16838" w:orient="portrait"/>
          <w:cols w:equalWidth="0" w:num="1">
            <w:col w:w="10219"/>
          </w:cols>
          <w:pgMar w:left="240" w:top="339" w:right="1440" w:bottom="0" w:gutter="0" w:footer="0" w:header="0"/>
        </w:sectPr>
      </w:pPr>
    </w:p>
    <w:bookmarkStart w:id="2" w:name="page3"/>
    <w:bookmarkEnd w:id="2"/>
    <w:p>
      <w:pPr>
        <w:ind w:left="2120"/>
        <w:spacing w:after="0"/>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120" w:right="2619" w:hanging="1059"/>
        <w:spacing w:after="0" w:line="235" w:lineRule="auto"/>
        <w:tabs>
          <w:tab w:leader="none" w:pos="169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company registered under section 8 of the Investment Company Act of 1940 (15 U.S.C. 80a-8).</w:t>
      </w:r>
    </w:p>
    <w:p>
      <w:pPr>
        <w:spacing w:after="0" w:line="208" w:lineRule="exact"/>
        <w:rPr>
          <w:rFonts w:ascii="Courier New" w:cs="Courier New" w:eastAsia="Courier New" w:hAnsi="Courier New"/>
          <w:sz w:val="18"/>
          <w:szCs w:val="18"/>
          <w:color w:val="auto"/>
        </w:rPr>
      </w:pPr>
    </w:p>
    <w:p>
      <w:pPr>
        <w:ind w:left="2120" w:right="3899" w:hanging="1059"/>
        <w:spacing w:after="0" w:line="235" w:lineRule="auto"/>
        <w:tabs>
          <w:tab w:leader="none" w:pos="21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investment adviser in accordance with Sec. 240.13d-1 (b)(1)(ii)(E).</w:t>
      </w:r>
    </w:p>
    <w:p>
      <w:pPr>
        <w:spacing w:after="0" w:line="208" w:lineRule="exact"/>
        <w:rPr>
          <w:rFonts w:ascii="Courier New" w:cs="Courier New" w:eastAsia="Courier New" w:hAnsi="Courier New"/>
          <w:sz w:val="18"/>
          <w:szCs w:val="18"/>
          <w:color w:val="auto"/>
        </w:rPr>
      </w:pPr>
    </w:p>
    <w:p>
      <w:pPr>
        <w:ind w:left="2120" w:right="2099" w:hanging="1059"/>
        <w:spacing w:after="0" w:line="235" w:lineRule="auto"/>
        <w:tabs>
          <w:tab w:leader="none" w:pos="21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plant or endowment fund in accordance with Sec. 140.13d-1(b)(1)(ii)(F).</w:t>
      </w:r>
    </w:p>
    <w:p>
      <w:pPr>
        <w:spacing w:after="0" w:line="208" w:lineRule="exact"/>
        <w:rPr>
          <w:rFonts w:ascii="Courier New" w:cs="Courier New" w:eastAsia="Courier New" w:hAnsi="Courier New"/>
          <w:sz w:val="18"/>
          <w:szCs w:val="18"/>
          <w:color w:val="auto"/>
        </w:rPr>
      </w:pPr>
    </w:p>
    <w:p>
      <w:pPr>
        <w:ind w:left="2120" w:right="2199" w:hanging="1059"/>
        <w:spacing w:after="0" w:line="235" w:lineRule="auto"/>
        <w:tabs>
          <w:tab w:leader="none" w:pos="21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Sec. 240.13d-1(b)(1)(ii)(G).</w:t>
      </w:r>
    </w:p>
    <w:p>
      <w:pPr>
        <w:spacing w:after="0" w:line="208" w:lineRule="exact"/>
        <w:rPr>
          <w:rFonts w:ascii="Courier New" w:cs="Courier New" w:eastAsia="Courier New" w:hAnsi="Courier New"/>
          <w:sz w:val="18"/>
          <w:szCs w:val="18"/>
          <w:color w:val="auto"/>
        </w:rPr>
      </w:pPr>
    </w:p>
    <w:p>
      <w:pPr>
        <w:ind w:left="2120" w:right="2199" w:hanging="1059"/>
        <w:spacing w:after="0" w:line="235" w:lineRule="auto"/>
        <w:tabs>
          <w:tab w:leader="none" w:pos="21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120" w:right="1879" w:hanging="1059"/>
        <w:spacing w:after="0" w:line="236" w:lineRule="auto"/>
        <w:tabs>
          <w:tab w:leader="none" w:pos="21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Sec.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1700" w:hanging="639"/>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1,543,952</w:t>
      </w:r>
    </w:p>
    <w:p>
      <w:pPr>
        <w:spacing w:after="0" w:line="200" w:lineRule="exact"/>
        <w:rPr>
          <w:sz w:val="20"/>
          <w:szCs w:val="20"/>
          <w:color w:val="auto"/>
        </w:rPr>
      </w:pPr>
    </w:p>
    <w:p>
      <w:pPr>
        <w:spacing w:after="0" w:line="204"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3000" w:type="dxa"/>
            <w:vAlign w:val="bottom"/>
          </w:tcPr>
          <w:p>
            <w:pPr>
              <w:spacing w:after="0"/>
              <w:rPr>
                <w:sz w:val="20"/>
                <w:szCs w:val="20"/>
                <w:color w:val="auto"/>
              </w:rPr>
            </w:pPr>
            <w:r>
              <w:rPr>
                <w:rFonts w:ascii="Courier New" w:cs="Courier New" w:eastAsia="Courier New" w:hAnsi="Courier New"/>
                <w:sz w:val="18"/>
                <w:szCs w:val="18"/>
                <w:color w:val="auto"/>
              </w:rPr>
              <w:t>(b)   Percent of class: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4.5%</w:t>
            </w:r>
          </w:p>
        </w:tc>
      </w:tr>
    </w:tbl>
    <w:p>
      <w:pPr>
        <w:spacing w:after="0" w:line="201" w:lineRule="exact"/>
        <w:rPr>
          <w:sz w:val="20"/>
          <w:szCs w:val="20"/>
          <w:color w:val="auto"/>
        </w:rPr>
      </w:pPr>
    </w:p>
    <w:p>
      <w:pPr>
        <w:ind w:left="1700" w:hanging="639"/>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2740" w:right="3159" w:hanging="625"/>
        <w:spacing w:after="0" w:line="235" w:lineRule="auto"/>
        <w:tabs>
          <w:tab w:leader="none" w:pos="2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1,543,952</w:t>
      </w:r>
    </w:p>
    <w:p>
      <w:pPr>
        <w:spacing w:after="0" w:line="208" w:lineRule="exact"/>
        <w:rPr>
          <w:rFonts w:ascii="Courier New" w:cs="Courier New" w:eastAsia="Courier New" w:hAnsi="Courier New"/>
          <w:sz w:val="18"/>
          <w:szCs w:val="18"/>
          <w:color w:val="auto"/>
        </w:rPr>
      </w:pPr>
    </w:p>
    <w:p>
      <w:pPr>
        <w:ind w:left="2740" w:right="2939" w:hanging="730"/>
        <w:spacing w:after="0" w:line="235" w:lineRule="auto"/>
        <w:tabs>
          <w:tab w:leader="none" w:pos="2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8" w:lineRule="exact"/>
        <w:rPr>
          <w:rFonts w:ascii="Courier New" w:cs="Courier New" w:eastAsia="Courier New" w:hAnsi="Courier New"/>
          <w:sz w:val="18"/>
          <w:szCs w:val="18"/>
          <w:color w:val="auto"/>
        </w:rPr>
      </w:pPr>
    </w:p>
    <w:p>
      <w:pPr>
        <w:ind w:left="2740" w:right="2199" w:hanging="836"/>
        <w:spacing w:after="0" w:line="470" w:lineRule="auto"/>
        <w:tabs>
          <w:tab w:leader="none" w:pos="2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1,543,952</w:t>
      </w:r>
    </w:p>
    <w:p>
      <w:pPr>
        <w:spacing w:after="0" w:line="11" w:lineRule="exact"/>
        <w:rPr>
          <w:rFonts w:ascii="Courier New" w:cs="Courier New" w:eastAsia="Courier New" w:hAnsi="Courier New"/>
          <w:sz w:val="18"/>
          <w:szCs w:val="18"/>
          <w:color w:val="auto"/>
        </w:rPr>
      </w:pPr>
    </w:p>
    <w:p>
      <w:pPr>
        <w:ind w:left="2740" w:right="1999" w:hanging="730"/>
        <w:spacing w:after="0" w:line="470" w:lineRule="auto"/>
        <w:tabs>
          <w:tab w:leader="none" w:pos="2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480" w:right="1999" w:hanging="1479"/>
        <w:spacing w:after="0" w:line="235" w:lineRule="auto"/>
        <w:tabs>
          <w:tab w:leader="none" w:pos="1460" w:val="left"/>
        </w:tabs>
        <w:rPr>
          <w:sz w:val="20"/>
          <w:szCs w:val="20"/>
          <w:color w:val="auto"/>
        </w:rPr>
      </w:pPr>
      <w:r>
        <w:rPr>
          <w:rFonts w:ascii="Courier New" w:cs="Courier New" w:eastAsia="Courier New" w:hAnsi="Courier New"/>
          <w:sz w:val="18"/>
          <w:szCs w:val="18"/>
          <w:color w:val="auto"/>
        </w:rPr>
        <w:t>Instruction.</w:t>
        <w:tab/>
        <w:t>For computations regarding securities which represent a right to acquire an underlying security see Sec. 204.13d-3(d)(1).</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X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Instruction:</w:t>
      </w:r>
      <w:r>
        <w:rPr>
          <w:sz w:val="20"/>
          <w:szCs w:val="20"/>
          <w:color w:val="auto"/>
        </w:rPr>
        <w:tab/>
      </w:r>
      <w:r>
        <w:rPr>
          <w:rFonts w:ascii="Courier New" w:cs="Courier New" w:eastAsia="Courier New" w:hAnsi="Courier New"/>
          <w:sz w:val="16"/>
          <w:szCs w:val="16"/>
          <w:color w:val="auto"/>
        </w:rPr>
        <w:t>Dissolution of a group requires a response to this item.</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right="219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36" w:right="1440" w:bottom="132" w:gutter="0" w:footer="0" w:header="0"/>
        </w:sectPr>
      </w:pPr>
    </w:p>
    <w:bookmarkStart w:id="3" w:name="page4"/>
    <w:bookmarkEnd w:id="3"/>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w:t>
      </w:r>
    </w:p>
    <w:p>
      <w:pPr>
        <w:spacing w:after="0" w:line="6"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Salient Capital Advisors, LLC</w:t>
      </w:r>
    </w:p>
    <w:p>
      <w:pPr>
        <w:ind w:left="3580"/>
        <w:spacing w:after="0" w:line="238" w:lineRule="auto"/>
        <w:rPr>
          <w:sz w:val="20"/>
          <w:szCs w:val="20"/>
          <w:color w:val="auto"/>
        </w:rPr>
      </w:pPr>
      <w:r>
        <w:rPr>
          <w:rFonts w:ascii="Courier New" w:cs="Courier New" w:eastAsia="Courier New" w:hAnsi="Courier New"/>
          <w:sz w:val="18"/>
          <w:szCs w:val="18"/>
          <w:color w:val="auto"/>
        </w:rPr>
        <w:t>Date: June 8, 2017</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Paul A. Bachtold</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Paul A. Bachtold</w:t>
      </w:r>
    </w:p>
    <w:p>
      <w:pPr>
        <w:ind w:left="4120"/>
        <w:spacing w:after="0" w:line="237" w:lineRule="auto"/>
        <w:rPr>
          <w:sz w:val="20"/>
          <w:szCs w:val="20"/>
          <w:color w:val="auto"/>
        </w:rPr>
      </w:pPr>
      <w:r>
        <w:rPr>
          <w:rFonts w:ascii="Courier New" w:cs="Courier New" w:eastAsia="Courier New" w:hAnsi="Courier New"/>
          <w:sz w:val="18"/>
          <w:szCs w:val="18"/>
          <w:color w:val="auto"/>
        </w:rPr>
        <w:t>Chief Compliance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lvl w:ilvl="1">
      <w:lvlJc w:val="left"/>
      <w:lvlText w:val="(%2)"/>
      <w:numFmt w:val="lowerLetter"/>
      <w:start w:val="1"/>
    </w:lvl>
  </w:abstractNum>
  <w:abstractNum w:abstractNumId="3">
    <w:nsid w:val="7545E146"/>
    <w:multiLevelType w:val="hybridMultilevel"/>
    <w:lvl w:ilvl="0">
      <w:lvlJc w:val="left"/>
      <w:lvlText w:val="%1."/>
      <w:numFmt w:val="decimal"/>
      <w:start w:val="8"/>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3"/>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4"/>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2019-12-21T04:45:27Z</dcterms:created>
  <dcterms:modified xsi:type="dcterms:W3CDTF">2019-12-21T04:45:27Z</dcterms:modified>
</cp:coreProperties>
</file>