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860425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817880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89" w:lineRule="exact"/>
        <w:rPr>
          <w:sz w:val="24"/>
          <w:szCs w:val="24"/>
          <w:color w:val="auto"/>
        </w:rPr>
      </w:pPr>
    </w:p>
    <w:p>
      <w:pPr>
        <w:ind w:left="500" w:right="3900" w:hanging="242"/>
        <w:spacing w:after="0" w:line="423" w:lineRule="auto"/>
        <w:tabs>
          <w:tab w:leader="none" w:pos="63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107" w:lineRule="exact"/>
        <w:rPr>
          <w:rFonts w:ascii="MS PGothic" w:cs="MS PGothic" w:eastAsia="MS PGothic" w:hAnsi="MS PGothic"/>
          <w:sz w:val="18"/>
          <w:szCs w:val="18"/>
          <w:color w:val="auto"/>
        </w:rPr>
      </w:pPr>
    </w:p>
    <w:p>
      <w:pPr>
        <w:ind w:left="4160" w:right="3840" w:hanging="3869"/>
        <w:spacing w:after="0" w:line="573" w:lineRule="auto"/>
        <w:tabs>
          <w:tab w:leader="none" w:pos="675"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333-203369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Clearway Energy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4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32-0407370</w:t>
      </w:r>
    </w:p>
    <w:p>
      <w:pPr>
        <w:spacing w:after="0" w:line="90" w:lineRule="exact"/>
        <w:rPr>
          <w:sz w:val="24"/>
          <w:szCs w:val="24"/>
          <w:color w:val="auto"/>
        </w:rPr>
      </w:pPr>
    </w:p>
    <w:p>
      <w:pPr>
        <w:sectPr>
          <w:pgSz w:w="11900" w:h="16838" w:orient="portrait"/>
          <w:cols w:equalWidth="0" w:num="2">
            <w:col w:w="8000" w:space="720"/>
            <w:col w:w="2520"/>
          </w:cols>
          <w:pgMar w:left="320" w:top="1440" w:right="339" w:bottom="1440" w:gutter="0" w:footer="0" w:header="0"/>
          <w:type w:val="continuous"/>
        </w:sectPr>
      </w:pPr>
    </w:p>
    <w:p>
      <w:pPr>
        <w:jc w:val="center"/>
        <w:ind w:right="4000"/>
        <w:spacing w:after="0"/>
        <w:rPr>
          <w:sz w:val="20"/>
          <w:szCs w:val="20"/>
          <w:color w:val="auto"/>
        </w:rPr>
      </w:pPr>
      <w:r>
        <w:rPr>
          <w:rFonts w:ascii="Arial" w:cs="Arial" w:eastAsia="Arial" w:hAnsi="Arial"/>
          <w:sz w:val="18"/>
          <w:szCs w:val="18"/>
          <w:color w:val="auto"/>
        </w:rPr>
        <w:t>(State or other jurisdiction</w:t>
      </w:r>
    </w:p>
    <w:p>
      <w:pPr>
        <w:spacing w:after="0" w:line="23" w:lineRule="exact"/>
        <w:rPr>
          <w:sz w:val="24"/>
          <w:szCs w:val="24"/>
          <w:color w:val="auto"/>
        </w:rPr>
      </w:pPr>
    </w:p>
    <w:p>
      <w:pPr>
        <w:jc w:val="center"/>
        <w:ind w:right="400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760" w:space="720"/>
            <w:col w:w="2760"/>
          </w:cols>
          <w:pgMar w:left="320" w:top="1440" w:right="339" w:bottom="1440" w:gutter="0" w:footer="0" w:header="0"/>
          <w:type w:val="continuous"/>
        </w:sectPr>
      </w:pPr>
    </w:p>
    <w:p>
      <w:pPr>
        <w:spacing w:after="0" w:line="126" w:lineRule="exact"/>
        <w:rPr>
          <w:sz w:val="24"/>
          <w:szCs w:val="24"/>
          <w:color w:val="auto"/>
        </w:rPr>
      </w:pPr>
    </w:p>
    <w:p>
      <w:pPr>
        <w:ind w:left="700"/>
        <w:spacing w:after="0"/>
        <w:rPr>
          <w:sz w:val="20"/>
          <w:szCs w:val="20"/>
          <w:color w:val="auto"/>
        </w:rPr>
      </w:pPr>
      <w:r>
        <w:rPr>
          <w:rFonts w:ascii="Arial" w:cs="Arial" w:eastAsia="Arial" w:hAnsi="Arial"/>
          <w:sz w:val="16"/>
          <w:szCs w:val="16"/>
          <w:b w:val="1"/>
          <w:bCs w:val="1"/>
          <w:color w:val="auto"/>
        </w:rPr>
        <w:t>300 Carnegie Center, Suite 300</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Princeton</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08540</w:t>
      </w:r>
    </w:p>
    <w:p>
      <w:pPr>
        <w:spacing w:after="0" w:line="90" w:lineRule="exact"/>
        <w:rPr>
          <w:sz w:val="24"/>
          <w:szCs w:val="24"/>
          <w:color w:val="auto"/>
        </w:rPr>
      </w:pPr>
    </w:p>
    <w:p>
      <w:pPr>
        <w:sectPr>
          <w:pgSz w:w="11900" w:h="16838" w:orient="portrait"/>
          <w:cols w:equalWidth="0" w:num="4">
            <w:col w:w="3480" w:space="720"/>
            <w:col w:w="940" w:space="720"/>
            <w:col w:w="2340" w:space="720"/>
            <w:col w:w="2320"/>
          </w:cols>
          <w:pgMar w:left="320" w:top="1440" w:right="339" w:bottom="1440" w:gutter="0" w:footer="0" w:header="0"/>
          <w:type w:val="continuous"/>
        </w:sectPr>
      </w:pPr>
    </w:p>
    <w:p>
      <w:pPr>
        <w:ind w:left="21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040" w:space="720"/>
            <w:col w:w="2480"/>
          </w:cols>
          <w:pgMar w:left="320" w:top="1440" w:right="339" w:bottom="1440" w:gutter="0" w:footer="0" w:header="0"/>
          <w:type w:val="continuous"/>
        </w:sectPr>
      </w:pP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122" w:lineRule="exact"/>
        <w:rPr>
          <w:sz w:val="24"/>
          <w:szCs w:val="24"/>
          <w:color w:val="auto"/>
        </w:rPr>
      </w:pPr>
    </w:p>
    <w:p>
      <w:pPr>
        <w:jc w:val="both"/>
        <w:ind w:firstLine="283"/>
        <w:spacing w:after="0" w:line="253"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and not subject to the filing requirements of Section 13 or 15(d) of the Securities Exchange Act of 1934. Although not subject to these filing requirements, the registrant has filed all reports that would have been required to be filed by Section 13 or 15(d) of the Securities Exchange Act of 1934 during the preceding 12 months had the registrant been subject to such requirements.) </w:t>
      </w:r>
      <w:r>
        <w:rPr>
          <w:rFonts w:ascii="Arial" w:cs="Arial" w:eastAsia="Arial" w:hAnsi="Arial"/>
          <w:sz w:val="16"/>
          <w:szCs w:val="16"/>
          <w:b w:val="1"/>
          <w:bCs w:val="1"/>
          <w:color w:val="auto"/>
        </w:rPr>
        <w:t>Yes</w:t>
      </w:r>
      <w:r>
        <w:rPr>
          <w:rFonts w:ascii="Arial" w:cs="Arial" w:eastAsia="Arial" w:hAnsi="Arial"/>
          <w:sz w:val="16"/>
          <w:szCs w:val="16"/>
          <w:color w:val="auto"/>
        </w:rPr>
        <w:t xml:space="preserve"> o </w:t>
      </w:r>
      <w:r>
        <w:rPr>
          <w:rFonts w:ascii="Arial" w:cs="Arial" w:eastAsia="Arial" w:hAnsi="Arial"/>
          <w:sz w:val="16"/>
          <w:szCs w:val="16"/>
          <w:b w:val="1"/>
          <w:bCs w:val="1"/>
          <w:color w:val="auto"/>
        </w:rPr>
        <w:t>No</w:t>
      </w:r>
      <w:r>
        <w:rPr>
          <w:rFonts w:ascii="Arial" w:cs="Arial" w:eastAsia="Arial" w:hAnsi="Arial"/>
          <w:sz w:val="16"/>
          <w:szCs w:val="16"/>
          <w:color w:val="auto"/>
        </w:rPr>
        <w:t xml:space="preserve"> o</w:t>
      </w:r>
    </w:p>
    <w:p>
      <w:pPr>
        <w:spacing w:after="0" w:line="83" w:lineRule="exact"/>
        <w:rPr>
          <w:sz w:val="24"/>
          <w:szCs w:val="24"/>
          <w:color w:val="auto"/>
        </w:rPr>
      </w:pPr>
    </w:p>
    <w:p>
      <w:pPr>
        <w:jc w:val="both"/>
        <w:ind w:firstLine="283"/>
        <w:spacing w:after="0" w:line="310" w:lineRule="auto"/>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x </w:t>
      </w:r>
      <w:r>
        <w:rPr>
          <w:rFonts w:ascii="Arial" w:cs="Arial" w:eastAsia="Arial" w:hAnsi="Arial"/>
          <w:sz w:val="15"/>
          <w:szCs w:val="15"/>
          <w:b w:val="1"/>
          <w:bCs w:val="1"/>
          <w:color w:val="auto"/>
        </w:rPr>
        <w:t>No</w:t>
      </w:r>
      <w:r>
        <w:rPr>
          <w:rFonts w:ascii="Arial" w:cs="Arial" w:eastAsia="Arial" w:hAnsi="Arial"/>
          <w:sz w:val="15"/>
          <w:szCs w:val="15"/>
          <w:color w:val="auto"/>
        </w:rPr>
        <w:t xml:space="preserve"> o</w:t>
      </w:r>
    </w:p>
    <w:p>
      <w:pPr>
        <w:spacing w:after="0" w:line="40" w:lineRule="exact"/>
        <w:rPr>
          <w:sz w:val="24"/>
          <w:szCs w:val="24"/>
          <w:color w:val="auto"/>
        </w:rPr>
      </w:pPr>
    </w:p>
    <w:p>
      <w:pPr>
        <w:jc w:val="both"/>
        <w:ind w:firstLine="283"/>
        <w:spacing w:after="0" w:line="25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200" w:type="dxa"/>
        <w:tblCellMar>
          <w:top w:w="0" w:type="dxa"/>
          <w:left w:w="0" w:type="dxa"/>
          <w:bottom w:w="0" w:type="dxa"/>
          <w:right w:w="0" w:type="dxa"/>
        </w:tblCellMar>
      </w:tblP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14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pacing w:after="0" w:line="202"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4"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6" w:lineRule="exact"/>
        <w:rPr>
          <w:sz w:val="24"/>
          <w:szCs w:val="24"/>
          <w:color w:val="auto"/>
        </w:rPr>
      </w:pPr>
    </w:p>
    <w:p>
      <w:pPr>
        <w:ind w:left="5100"/>
        <w:spacing w:after="0" w:line="196" w:lineRule="exact"/>
        <w:tabs>
          <w:tab w:leader="none" w:pos="580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x</w:t>
      </w:r>
    </w:p>
    <w:p>
      <w:pPr>
        <w:spacing w:after="0" w:line="166" w:lineRule="exact"/>
        <w:rPr>
          <w:sz w:val="24"/>
          <w:szCs w:val="24"/>
          <w:color w:val="auto"/>
        </w:rPr>
      </w:pPr>
    </w:p>
    <w:p>
      <w:pPr>
        <w:ind w:firstLine="283"/>
        <w:spacing w:after="0" w:line="275" w:lineRule="auto"/>
        <w:rPr>
          <w:sz w:val="20"/>
          <w:szCs w:val="20"/>
          <w:color w:val="auto"/>
        </w:rPr>
      </w:pPr>
      <w:r>
        <w:rPr>
          <w:rFonts w:ascii="Arial" w:cs="Arial" w:eastAsia="Arial" w:hAnsi="Arial"/>
          <w:sz w:val="16"/>
          <w:szCs w:val="16"/>
          <w:color w:val="auto"/>
        </w:rPr>
        <w:t>As of April 30, 2020, there were 34,599,645 Class A units outstanding, 42,738,750 Class B units outstanding, 79,330,275 Class C units outstanding, and 42,738,750 Class D units outstanding. There is no public market for the registrant's outstanding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21590</wp:posOffset>
            </wp:positionV>
            <wp:extent cx="69265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-3810</wp:posOffset>
            </wp:positionV>
            <wp:extent cx="6926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b w:val="1"/>
                <w:bCs w:val="1"/>
                <w:color w:val="0000FF"/>
              </w:rPr>
              <w:t>CAUTIONARY STATEMENT REGARDING FORWARD LOOKING INFORMATION</w:t>
            </w:r>
          </w:p>
        </w:tc>
        <w:tc>
          <w:tcPr>
            <w:tcW w:w="3080" w:type="dxa"/>
            <w:vAlign w:val="bottom"/>
            <w:gridSpan w:val="4"/>
          </w:tcPr>
          <w:p>
            <w:pPr>
              <w:spacing w:after="0"/>
              <w:rPr>
                <w:sz w:val="17"/>
                <w:szCs w:val="17"/>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09"/>
        </w:trPr>
        <w:tc>
          <w:tcPr>
            <w:tcW w:w="9900" w:type="dxa"/>
            <w:vAlign w:val="bottom"/>
            <w:gridSpan w:val="20"/>
          </w:tcPr>
          <w:p>
            <w:pPr>
              <w:spacing w:after="0"/>
              <w:rPr>
                <w:sz w:val="20"/>
                <w:szCs w:val="20"/>
                <w:color w:val="auto"/>
              </w:rPr>
            </w:pPr>
            <w:r>
              <w:rPr>
                <w:rFonts w:ascii="Arial" w:cs="Arial" w:eastAsia="Arial" w:hAnsi="Arial"/>
                <w:sz w:val="18"/>
                <w:szCs w:val="18"/>
                <w:b w:val="1"/>
                <w:bCs w:val="1"/>
                <w:color w:val="0000FF"/>
              </w:rPr>
              <w:t>GLOSSARY OF TERMS</w:t>
            </w:r>
          </w:p>
        </w:tc>
        <w:tc>
          <w:tcPr>
            <w:tcW w:w="128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b w:val="1"/>
                <w:bCs w:val="1"/>
                <w:color w:val="0000FF"/>
              </w:rPr>
              <w:t>PART I — FINANCIAL INFORMATION</w:t>
            </w:r>
          </w:p>
        </w:tc>
        <w:tc>
          <w:tcPr>
            <w:tcW w:w="6640" w:type="dxa"/>
            <w:vAlign w:val="bottom"/>
            <w:gridSpan w:val="8"/>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0000FF"/>
              </w:rPr>
              <w:t>ITEM 1 — FINANCIAL STATEMENTS AND NOTES</w:t>
            </w:r>
          </w:p>
        </w:tc>
        <w:tc>
          <w:tcPr>
            <w:tcW w:w="128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0000FF"/>
              </w:rPr>
              <w:t>ITEM 2 — MANAGEMENT’S DISCUSSION AND ANALYSIS OF FINANCIAL CONDITION AND RESULTS OF</w:t>
            </w:r>
          </w:p>
        </w:tc>
        <w:tc>
          <w:tcPr>
            <w:tcW w:w="1280" w:type="dxa"/>
            <w:vAlign w:val="bottom"/>
            <w:vMerge w:val="restart"/>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39</w:t>
              </w:r>
            </w:hyperlink>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7560" w:type="dxa"/>
            <w:vAlign w:val="bottom"/>
            <w:tcBorders>
              <w:top w:val="single" w:sz="8" w:color="0000FF"/>
            </w:tcBorders>
            <w:gridSpan w:val="16"/>
          </w:tcPr>
          <w:p>
            <w:pPr>
              <w:spacing w:after="0" w:line="156" w:lineRule="exact"/>
              <w:rPr>
                <w:sz w:val="20"/>
                <w:szCs w:val="20"/>
                <w:color w:val="auto"/>
              </w:rPr>
            </w:pPr>
            <w:r>
              <w:rPr>
                <w:rFonts w:ascii="Arial" w:cs="Arial" w:eastAsia="Arial" w:hAnsi="Arial"/>
                <w:sz w:val="18"/>
                <w:szCs w:val="18"/>
                <w:color w:val="0000FF"/>
              </w:rPr>
              <w:t>OPERATIONS</w:t>
            </w:r>
          </w:p>
        </w:tc>
        <w:tc>
          <w:tcPr>
            <w:tcW w:w="10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0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8"/>
              </w:rPr>
              <w:t>ITEM 3 — QUANTITATIVE AND QUALITATIVE DISCLOSURES ABOUT MARKET RISK</w:t>
            </w:r>
          </w:p>
        </w:tc>
        <w:tc>
          <w:tcPr>
            <w:tcW w:w="2700" w:type="dxa"/>
            <w:vAlign w:val="bottom"/>
            <w:gridSpan w:val="2"/>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55</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34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5"/>
              </w:rPr>
              <w:t>ITEM 4 — CONTROLS AND PROCEDURES</w:t>
            </w:r>
          </w:p>
        </w:tc>
        <w:tc>
          <w:tcPr>
            <w:tcW w:w="6240" w:type="dxa"/>
            <w:vAlign w:val="bottom"/>
            <w:gridSpan w:val="6"/>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56</w:t>
              </w:r>
            </w:hyperlink>
          </w:p>
        </w:tc>
        <w:tc>
          <w:tcPr>
            <w:tcW w:w="0" w:type="dxa"/>
            <w:vAlign w:val="bottom"/>
          </w:tcPr>
          <w:p>
            <w:pPr>
              <w:spacing w:after="0"/>
              <w:rPr>
                <w:sz w:val="1"/>
                <w:szCs w:val="1"/>
                <w:color w:val="auto"/>
              </w:rPr>
            </w:pPr>
          </w:p>
        </w:tc>
      </w:tr>
      <w:tr>
        <w:trPr>
          <w:trHeight w:val="209"/>
        </w:trPr>
        <w:tc>
          <w:tcPr>
            <w:tcW w:w="29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b w:val="1"/>
                <w:bCs w:val="1"/>
                <w:color w:val="0000FF"/>
              </w:rPr>
              <w:t>PART II — OTHER INFORMATION</w:t>
            </w:r>
          </w:p>
        </w:tc>
        <w:tc>
          <w:tcPr>
            <w:tcW w:w="6940" w:type="dxa"/>
            <w:vAlign w:val="bottom"/>
            <w:gridSpan w:val="9"/>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57</w:t>
              </w:r>
            </w:hyperlink>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0000FF"/>
              </w:rPr>
              <w:t>ITEM 1 — LEGAL PROCEEDINGS</w:t>
            </w:r>
          </w:p>
        </w:tc>
        <w:tc>
          <w:tcPr>
            <w:tcW w:w="128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57</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22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6"/>
              </w:rPr>
              <w:t>ITEM 1A — RISK FACTORS</w:t>
            </w:r>
          </w:p>
        </w:tc>
        <w:tc>
          <w:tcPr>
            <w:tcW w:w="480" w:type="dxa"/>
            <w:vAlign w:val="bottom"/>
            <w:tcBorders>
              <w:top w:val="single" w:sz="8" w:color="0000FF"/>
            </w:tcBorders>
          </w:tcPr>
          <w:p>
            <w:pPr>
              <w:spacing w:after="0"/>
              <w:rPr>
                <w:sz w:val="18"/>
                <w:szCs w:val="18"/>
                <w:color w:val="auto"/>
              </w:rPr>
            </w:pPr>
          </w:p>
        </w:tc>
        <w:tc>
          <w:tcPr>
            <w:tcW w:w="6980" w:type="dxa"/>
            <w:vAlign w:val="bottom"/>
            <w:gridSpan w:val="11"/>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57</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Arial" w:cs="Arial" w:eastAsia="Arial" w:hAnsi="Arial"/>
                <w:sz w:val="18"/>
                <w:szCs w:val="18"/>
                <w:color w:val="0000FF"/>
              </w:rPr>
              <w:t>ITEM 2 — UNREGISTERED SALES OF EQUITY SECURITIES AND USE OF PROCEEDS</w:t>
            </w:r>
          </w:p>
        </w:tc>
        <w:tc>
          <w:tcPr>
            <w:tcW w:w="128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58</w:t>
              </w:r>
            </w:hyperlink>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9"/>
              </w:rPr>
              <w:t>ITEM 3</w:t>
            </w:r>
          </w:p>
        </w:tc>
        <w:tc>
          <w:tcPr>
            <w:tcW w:w="3460" w:type="dxa"/>
            <w:vAlign w:val="bottom"/>
            <w:tcBorders>
              <w:top w:val="single" w:sz="8" w:color="0000FF"/>
              <w:bottom w:val="single" w:sz="8" w:color="0000FF"/>
            </w:tcBorders>
            <w:gridSpan w:val="13"/>
          </w:tcPr>
          <w:p>
            <w:pPr>
              <w:ind w:left="20"/>
              <w:spacing w:after="0"/>
              <w:rPr>
                <w:sz w:val="20"/>
                <w:szCs w:val="20"/>
                <w:color w:val="auto"/>
              </w:rPr>
            </w:pPr>
            <w:r>
              <w:rPr>
                <w:rFonts w:ascii="Arial" w:cs="Arial" w:eastAsia="Arial" w:hAnsi="Arial"/>
                <w:sz w:val="18"/>
                <w:szCs w:val="18"/>
                <w:color w:val="0000FF"/>
                <w:w w:val="94"/>
              </w:rPr>
              <w:t>— DEFAULTS UPON SENIOR SECURITIES</w:t>
            </w:r>
          </w:p>
        </w:tc>
        <w:tc>
          <w:tcPr>
            <w:tcW w:w="2860" w:type="dxa"/>
            <w:vAlign w:val="bottom"/>
            <w:tcBorders>
              <w:top w:val="single" w:sz="8" w:color="0000FF"/>
            </w:tcBorders>
            <w:gridSpan w:val="2"/>
          </w:tcPr>
          <w:p>
            <w:pPr>
              <w:spacing w:after="0"/>
              <w:rPr>
                <w:sz w:val="18"/>
                <w:szCs w:val="18"/>
                <w:color w:val="auto"/>
              </w:rPr>
            </w:pPr>
          </w:p>
        </w:tc>
        <w:tc>
          <w:tcPr>
            <w:tcW w:w="2780" w:type="dxa"/>
            <w:vAlign w:val="bottom"/>
            <w:gridSpan w:val="3"/>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59</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4</w:t>
            </w:r>
          </w:p>
        </w:tc>
        <w:tc>
          <w:tcPr>
            <w:tcW w:w="2700" w:type="dxa"/>
            <w:vAlign w:val="bottom"/>
            <w:tcBorders>
              <w:bottom w:val="single" w:sz="8" w:color="0000FF"/>
            </w:tcBorders>
            <w:gridSpan w:val="11"/>
          </w:tcPr>
          <w:p>
            <w:pPr>
              <w:ind w:left="20"/>
              <w:spacing w:after="0"/>
              <w:rPr>
                <w:sz w:val="20"/>
                <w:szCs w:val="20"/>
                <w:color w:val="auto"/>
              </w:rPr>
            </w:pPr>
            <w:r>
              <w:rPr>
                <w:rFonts w:ascii="Arial" w:cs="Arial" w:eastAsia="Arial" w:hAnsi="Arial"/>
                <w:sz w:val="18"/>
                <w:szCs w:val="18"/>
                <w:color w:val="0000FF"/>
                <w:w w:val="95"/>
              </w:rPr>
              <w:t>— MINE SAFETY DISCLOSURES</w:t>
            </w:r>
          </w:p>
        </w:tc>
        <w:tc>
          <w:tcPr>
            <w:tcW w:w="6400" w:type="dxa"/>
            <w:vAlign w:val="bottom"/>
            <w:gridSpan w:val="7"/>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59</w:t>
              </w:r>
            </w:hyperlink>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5</w:t>
            </w:r>
          </w:p>
        </w:tc>
        <w:tc>
          <w:tcPr>
            <w:tcW w:w="2140" w:type="dxa"/>
            <w:vAlign w:val="bottom"/>
            <w:tcBorders>
              <w:bottom w:val="single" w:sz="8" w:color="0000FF"/>
            </w:tcBorders>
            <w:gridSpan w:val="8"/>
          </w:tcPr>
          <w:p>
            <w:pPr>
              <w:ind w:left="20"/>
              <w:spacing w:after="0"/>
              <w:rPr>
                <w:sz w:val="20"/>
                <w:szCs w:val="20"/>
                <w:color w:val="auto"/>
              </w:rPr>
            </w:pPr>
            <w:r>
              <w:rPr>
                <w:rFonts w:ascii="Arial" w:cs="Arial" w:eastAsia="Arial" w:hAnsi="Arial"/>
                <w:sz w:val="18"/>
                <w:szCs w:val="18"/>
                <w:color w:val="0000FF"/>
                <w:w w:val="96"/>
              </w:rPr>
              <w:t>— OTHER INFORMATION</w:t>
            </w:r>
          </w:p>
        </w:tc>
        <w:tc>
          <w:tcPr>
            <w:tcW w:w="6960" w:type="dxa"/>
            <w:vAlign w:val="bottom"/>
            <w:gridSpan w:val="10"/>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59</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6</w:t>
            </w:r>
          </w:p>
        </w:tc>
        <w:tc>
          <w:tcPr>
            <w:tcW w:w="1080" w:type="dxa"/>
            <w:vAlign w:val="bottom"/>
            <w:tcBorders>
              <w:bottom w:val="single" w:sz="8" w:color="0000FF"/>
            </w:tcBorders>
            <w:gridSpan w:val="3"/>
          </w:tcPr>
          <w:p>
            <w:pPr>
              <w:ind w:left="20"/>
              <w:spacing w:after="0"/>
              <w:rPr>
                <w:sz w:val="20"/>
                <w:szCs w:val="20"/>
                <w:color w:val="auto"/>
              </w:rPr>
            </w:pPr>
            <w:r>
              <w:rPr>
                <w:rFonts w:ascii="Arial" w:cs="Arial" w:eastAsia="Arial" w:hAnsi="Arial"/>
                <w:sz w:val="18"/>
                <w:szCs w:val="18"/>
                <w:color w:val="0000FF"/>
                <w:w w:val="98"/>
              </w:rPr>
              <w:t>— EXHIBITS</w:t>
            </w:r>
          </w:p>
        </w:tc>
        <w:tc>
          <w:tcPr>
            <w:tcW w:w="8020" w:type="dxa"/>
            <w:vAlign w:val="bottom"/>
            <w:gridSpan w:val="15"/>
          </w:tcPr>
          <w:p>
            <w:pPr>
              <w:spacing w:after="0"/>
              <w:rPr>
                <w:sz w:val="18"/>
                <w:szCs w:val="18"/>
                <w:color w:val="auto"/>
              </w:rPr>
            </w:pPr>
          </w:p>
        </w:tc>
        <w:tc>
          <w:tcPr>
            <w:tcW w:w="128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60</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9700" w:type="dxa"/>
            <w:vAlign w:val="bottom"/>
            <w:gridSpan w:val="19"/>
          </w:tcPr>
          <w:p>
            <w:pPr>
              <w:spacing w:after="0"/>
              <w:rPr>
                <w:sz w:val="20"/>
                <w:szCs w:val="20"/>
                <w:color w:val="auto"/>
              </w:rPr>
            </w:pPr>
            <w:r>
              <w:rPr>
                <w:rFonts w:ascii="Arial" w:cs="Arial" w:eastAsia="Arial" w:hAnsi="Arial"/>
                <w:sz w:val="18"/>
                <w:szCs w:val="18"/>
                <w:b w:val="1"/>
                <w:bCs w:val="1"/>
                <w:color w:val="0000FF"/>
              </w:rPr>
              <w:t>SIGNATURES</w:t>
            </w:r>
          </w:p>
        </w:tc>
        <w:tc>
          <w:tcPr>
            <w:tcW w:w="128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62</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1215"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Part II of this Quarterly Report on Form 10-Q and under Item 1A —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Part I of the Company's Annual Report on Form 10-K for the year ended December 31, 2019, as well as the following:</w:t>
      </w:r>
    </w:p>
    <w:p>
      <w:pPr>
        <w:spacing w:after="0" w:line="12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the PG&amp;E Bankruptcy;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the Company's relationships with GIP and CEG;</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the COVID-19 pandemic;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acquire assets from GIP or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86"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in the indentures governing the Senior Notes;</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8500" w:type="dxa"/>
            <w:vAlign w:val="bottom"/>
          </w:tcPr>
          <w:p>
            <w:pPr>
              <w:ind w:left="190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240" w:type="dxa"/>
            <w:vAlign w:val="bottom"/>
            <w:gridSpan w:val="2"/>
          </w:tcPr>
          <w:p>
            <w:pPr>
              <w:ind w:left="30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2019 Convertible Notes</w:t>
            </w:r>
          </w:p>
        </w:tc>
        <w:tc>
          <w:tcPr>
            <w:tcW w:w="8500" w:type="dxa"/>
            <w:vAlign w:val="bottom"/>
          </w:tcPr>
          <w:p>
            <w:pPr>
              <w:ind w:left="260"/>
              <w:spacing w:after="0"/>
              <w:rPr>
                <w:sz w:val="20"/>
                <w:szCs w:val="20"/>
                <w:color w:val="auto"/>
              </w:rPr>
            </w:pPr>
            <w:r>
              <w:rPr>
                <w:rFonts w:ascii="Arial" w:cs="Arial" w:eastAsia="Arial" w:hAnsi="Arial"/>
                <w:sz w:val="18"/>
                <w:szCs w:val="18"/>
                <w:color w:val="auto"/>
              </w:rPr>
              <w:t>$220 million aggregate principal amount of 3.50% convertible notes due 2019, issued</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2019 Form 10-K</w:t>
            </w:r>
          </w:p>
        </w:tc>
        <w:tc>
          <w:tcPr>
            <w:tcW w:w="8500" w:type="dxa"/>
            <w:vAlign w:val="bottom"/>
            <w:vMerge w:val="restart"/>
          </w:tcPr>
          <w:p>
            <w:pPr>
              <w:ind w:left="260"/>
              <w:spacing w:after="0"/>
              <w:rPr>
                <w:sz w:val="20"/>
                <w:szCs w:val="20"/>
                <w:color w:val="auto"/>
              </w:rPr>
            </w:pPr>
            <w:r>
              <w:rPr>
                <w:rFonts w:ascii="Arial" w:cs="Arial" w:eastAsia="Arial" w:hAnsi="Arial"/>
                <w:sz w:val="18"/>
                <w:szCs w:val="18"/>
                <w:color w:val="auto"/>
              </w:rPr>
              <w:t>Clearway Energy LLC's Annual Report on Form 10-K for the year ended December 31, 2019</w:t>
            </w: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740" w:type="dxa"/>
            <w:vAlign w:val="bottom"/>
          </w:tcPr>
          <w:p>
            <w:pPr>
              <w:ind w:left="20"/>
              <w:spacing w:after="0"/>
              <w:rPr>
                <w:sz w:val="20"/>
                <w:szCs w:val="20"/>
                <w:color w:val="auto"/>
              </w:rPr>
            </w:pPr>
            <w:r>
              <w:rPr>
                <w:rFonts w:ascii="Arial" w:cs="Arial" w:eastAsia="Arial" w:hAnsi="Arial"/>
                <w:sz w:val="18"/>
                <w:szCs w:val="18"/>
                <w:color w:val="auto"/>
              </w:rPr>
              <w:t>2020 Convertible Notes</w:t>
            </w:r>
          </w:p>
        </w:tc>
        <w:tc>
          <w:tcPr>
            <w:tcW w:w="8500" w:type="dxa"/>
            <w:vAlign w:val="bottom"/>
          </w:tcPr>
          <w:p>
            <w:pPr>
              <w:ind w:left="260"/>
              <w:spacing w:after="0"/>
              <w:rPr>
                <w:sz w:val="20"/>
                <w:szCs w:val="20"/>
                <w:color w:val="auto"/>
              </w:rPr>
            </w:pPr>
            <w:r>
              <w:rPr>
                <w:rFonts w:ascii="Arial" w:cs="Arial" w:eastAsia="Arial" w:hAnsi="Arial"/>
                <w:sz w:val="18"/>
                <w:szCs w:val="18"/>
                <w:color w:val="auto"/>
                <w:w w:val="94"/>
              </w:rPr>
              <w:t>$45 million aggregate principal amount of 3.25% convertible notes due 2020, issued by Clearway Energy, Inc.</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2024 Senior Notes</w:t>
            </w:r>
          </w:p>
        </w:tc>
        <w:tc>
          <w:tcPr>
            <w:tcW w:w="8500" w:type="dxa"/>
            <w:vAlign w:val="bottom"/>
          </w:tcPr>
          <w:p>
            <w:pPr>
              <w:ind w:left="260"/>
              <w:spacing w:after="0"/>
              <w:rPr>
                <w:sz w:val="20"/>
                <w:szCs w:val="20"/>
                <w:color w:val="auto"/>
              </w:rPr>
            </w:pPr>
            <w:r>
              <w:rPr>
                <w:rFonts w:ascii="Arial" w:cs="Arial" w:eastAsia="Arial" w:hAnsi="Arial"/>
                <w:sz w:val="18"/>
                <w:szCs w:val="18"/>
                <w:color w:val="auto"/>
                <w:w w:val="90"/>
              </w:rPr>
              <w:t>$500 million aggregate principal amount of 5.375% unsecured senior notes due 2024, issued by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2025 Senior Notes</w:t>
            </w:r>
          </w:p>
        </w:tc>
        <w:tc>
          <w:tcPr>
            <w:tcW w:w="8500" w:type="dxa"/>
            <w:vAlign w:val="bottom"/>
          </w:tcPr>
          <w:p>
            <w:pPr>
              <w:ind w:left="260"/>
              <w:spacing w:after="0"/>
              <w:rPr>
                <w:sz w:val="20"/>
                <w:szCs w:val="20"/>
                <w:color w:val="auto"/>
              </w:rPr>
            </w:pPr>
            <w:r>
              <w:rPr>
                <w:rFonts w:ascii="Arial" w:cs="Arial" w:eastAsia="Arial" w:hAnsi="Arial"/>
                <w:sz w:val="18"/>
                <w:szCs w:val="18"/>
                <w:color w:val="auto"/>
                <w:w w:val="90"/>
              </w:rPr>
              <w:t>$600 million aggregate principal amount of 5.750% unsecured senior notes due 2025, issued by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2026 Senior Notes</w:t>
            </w:r>
          </w:p>
        </w:tc>
        <w:tc>
          <w:tcPr>
            <w:tcW w:w="8500" w:type="dxa"/>
            <w:vAlign w:val="bottom"/>
          </w:tcPr>
          <w:p>
            <w:pPr>
              <w:ind w:left="260"/>
              <w:spacing w:after="0"/>
              <w:rPr>
                <w:sz w:val="20"/>
                <w:szCs w:val="20"/>
                <w:color w:val="auto"/>
              </w:rPr>
            </w:pPr>
            <w:r>
              <w:rPr>
                <w:rFonts w:ascii="Arial" w:cs="Arial" w:eastAsia="Arial" w:hAnsi="Arial"/>
                <w:sz w:val="18"/>
                <w:szCs w:val="18"/>
                <w:color w:val="auto"/>
                <w:w w:val="91"/>
              </w:rPr>
              <w:t>$350 million aggregate principal amount of 5.00% unsecured senior notes due 2026, issued by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2028 Senior Notes</w:t>
            </w:r>
          </w:p>
        </w:tc>
        <w:tc>
          <w:tcPr>
            <w:tcW w:w="8500" w:type="dxa"/>
            <w:vAlign w:val="bottom"/>
          </w:tcPr>
          <w:p>
            <w:pPr>
              <w:ind w:left="260"/>
              <w:spacing w:after="0"/>
              <w:rPr>
                <w:sz w:val="20"/>
                <w:szCs w:val="20"/>
                <w:color w:val="auto"/>
              </w:rPr>
            </w:pPr>
            <w:r>
              <w:rPr>
                <w:rFonts w:ascii="Arial" w:cs="Arial" w:eastAsia="Arial" w:hAnsi="Arial"/>
                <w:sz w:val="18"/>
                <w:szCs w:val="18"/>
                <w:color w:val="auto"/>
                <w:w w:val="91"/>
              </w:rPr>
              <w:t>$600 million aggregate principal amount of 4.75% unsecured senior notes due 2028, issued by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42"/>
        </w:trPr>
        <w:tc>
          <w:tcPr>
            <w:tcW w:w="27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8500" w:type="dxa"/>
            <w:vAlign w:val="bottom"/>
          </w:tcPr>
          <w:p>
            <w:pPr>
              <w:ind w:left="260"/>
              <w:spacing w:after="0"/>
              <w:rPr>
                <w:sz w:val="20"/>
                <w:szCs w:val="20"/>
                <w:color w:val="auto"/>
              </w:rPr>
            </w:pPr>
            <w:r>
              <w:rPr>
                <w:rFonts w:ascii="Arial" w:cs="Arial" w:eastAsia="Arial" w:hAnsi="Arial"/>
                <w:sz w:val="18"/>
                <w:szCs w:val="18"/>
                <w:color w:val="auto"/>
                <w:w w:val="91"/>
              </w:rPr>
              <w:t>A non-GAAP measure, represents earnings before interest, tax, depreciation and amortization adjusted for mark-</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3"/>
              </w:rPr>
              <w:t>to-market gains or losses, asset write offs and impairments; and factors which the Company does not consider</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indicative of future operating performance</w:t>
            </w:r>
          </w:p>
        </w:tc>
        <w:tc>
          <w:tcPr>
            <w:tcW w:w="0" w:type="dxa"/>
            <w:vAlign w:val="bottom"/>
          </w:tcPr>
          <w:p>
            <w:pPr>
              <w:spacing w:after="0"/>
              <w:rPr>
                <w:sz w:val="1"/>
                <w:szCs w:val="1"/>
                <w:color w:val="auto"/>
              </w:rPr>
            </w:pPr>
          </w:p>
        </w:tc>
      </w:tr>
      <w:tr>
        <w:trPr>
          <w:trHeight w:val="257"/>
        </w:trPr>
        <w:tc>
          <w:tcPr>
            <w:tcW w:w="2740" w:type="dxa"/>
            <w:vAlign w:val="bottom"/>
          </w:tcPr>
          <w:p>
            <w:pPr>
              <w:ind w:left="20"/>
              <w:spacing w:after="0"/>
              <w:rPr>
                <w:sz w:val="20"/>
                <w:szCs w:val="20"/>
                <w:color w:val="auto"/>
              </w:rPr>
            </w:pPr>
            <w:r>
              <w:rPr>
                <w:rFonts w:ascii="Arial" w:cs="Arial" w:eastAsia="Arial" w:hAnsi="Arial"/>
                <w:sz w:val="18"/>
                <w:szCs w:val="18"/>
                <w:color w:val="auto"/>
              </w:rPr>
              <w:t>AOCI</w:t>
            </w:r>
          </w:p>
        </w:tc>
        <w:tc>
          <w:tcPr>
            <w:tcW w:w="850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0" w:type="dxa"/>
            <w:vAlign w:val="bottom"/>
          </w:tcPr>
          <w:p>
            <w:pPr>
              <w:spacing w:after="0"/>
              <w:rPr>
                <w:sz w:val="1"/>
                <w:szCs w:val="1"/>
                <w:color w:val="auto"/>
              </w:rPr>
            </w:pPr>
          </w:p>
        </w:tc>
      </w:tr>
      <w:tr>
        <w:trPr>
          <w:trHeight w:val="391"/>
        </w:trPr>
        <w:tc>
          <w:tcPr>
            <w:tcW w:w="2740" w:type="dxa"/>
            <w:vAlign w:val="bottom"/>
          </w:tcPr>
          <w:p>
            <w:pPr>
              <w:ind w:left="20"/>
              <w:spacing w:after="0"/>
              <w:rPr>
                <w:sz w:val="20"/>
                <w:szCs w:val="20"/>
                <w:color w:val="auto"/>
              </w:rPr>
            </w:pPr>
            <w:r>
              <w:rPr>
                <w:rFonts w:ascii="Arial" w:cs="Arial" w:eastAsia="Arial" w:hAnsi="Arial"/>
                <w:sz w:val="18"/>
                <w:szCs w:val="18"/>
                <w:color w:val="auto"/>
              </w:rPr>
              <w:t>ASC</w:t>
            </w:r>
          </w:p>
        </w:tc>
        <w:tc>
          <w:tcPr>
            <w:tcW w:w="8500" w:type="dxa"/>
            <w:vAlign w:val="bottom"/>
          </w:tcPr>
          <w:p>
            <w:pPr>
              <w:ind w:left="26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ASU</w:t>
            </w:r>
          </w:p>
        </w:tc>
        <w:tc>
          <w:tcPr>
            <w:tcW w:w="8500" w:type="dxa"/>
            <w:vAlign w:val="bottom"/>
          </w:tcPr>
          <w:p>
            <w:pPr>
              <w:ind w:left="26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ATM Program</w:t>
            </w:r>
          </w:p>
        </w:tc>
        <w:tc>
          <w:tcPr>
            <w:tcW w:w="8500" w:type="dxa"/>
            <w:vAlign w:val="bottom"/>
          </w:tcPr>
          <w:p>
            <w:pPr>
              <w:ind w:left="260"/>
              <w:spacing w:after="0"/>
              <w:rPr>
                <w:sz w:val="20"/>
                <w:szCs w:val="20"/>
                <w:color w:val="auto"/>
              </w:rPr>
            </w:pPr>
            <w:r>
              <w:rPr>
                <w:rFonts w:ascii="Arial" w:cs="Arial" w:eastAsia="Arial" w:hAnsi="Arial"/>
                <w:sz w:val="18"/>
                <w:szCs w:val="18"/>
                <w:color w:val="auto"/>
              </w:rPr>
              <w:t>At-The-Market Equity Offering Program</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Bankruptcy Code</w:t>
            </w:r>
          </w:p>
        </w:tc>
        <w:tc>
          <w:tcPr>
            <w:tcW w:w="8500" w:type="dxa"/>
            <w:vAlign w:val="bottom"/>
          </w:tcPr>
          <w:p>
            <w:pPr>
              <w:ind w:left="260"/>
              <w:spacing w:after="0"/>
              <w:rPr>
                <w:sz w:val="20"/>
                <w:szCs w:val="20"/>
                <w:color w:val="auto"/>
              </w:rPr>
            </w:pPr>
            <w:r>
              <w:rPr>
                <w:rFonts w:ascii="Arial" w:cs="Arial" w:eastAsia="Arial" w:hAnsi="Arial"/>
                <w:sz w:val="18"/>
                <w:szCs w:val="18"/>
                <w:color w:val="auto"/>
              </w:rPr>
              <w:t>Title 11 of the U.S. Code</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Bankruptcy Court</w:t>
            </w:r>
          </w:p>
        </w:tc>
        <w:tc>
          <w:tcPr>
            <w:tcW w:w="8500" w:type="dxa"/>
            <w:vAlign w:val="bottom"/>
          </w:tcPr>
          <w:p>
            <w:pPr>
              <w:ind w:left="260"/>
              <w:spacing w:after="0"/>
              <w:rPr>
                <w:sz w:val="20"/>
                <w:szCs w:val="20"/>
                <w:color w:val="auto"/>
              </w:rPr>
            </w:pPr>
            <w:r>
              <w:rPr>
                <w:rFonts w:ascii="Arial" w:cs="Arial" w:eastAsia="Arial" w:hAnsi="Arial"/>
                <w:sz w:val="18"/>
                <w:szCs w:val="18"/>
                <w:color w:val="auto"/>
              </w:rPr>
              <w:t>U.S. Bankruptcy Court for the Northern District of California</w:t>
            </w:r>
          </w:p>
        </w:tc>
        <w:tc>
          <w:tcPr>
            <w:tcW w:w="0" w:type="dxa"/>
            <w:vAlign w:val="bottom"/>
          </w:tcPr>
          <w:p>
            <w:pPr>
              <w:spacing w:after="0"/>
              <w:rPr>
                <w:sz w:val="1"/>
                <w:szCs w:val="1"/>
                <w:color w:val="auto"/>
              </w:rPr>
            </w:pPr>
          </w:p>
        </w:tc>
      </w:tr>
      <w:tr>
        <w:trPr>
          <w:trHeight w:val="242"/>
        </w:trPr>
        <w:tc>
          <w:tcPr>
            <w:tcW w:w="2740" w:type="dxa"/>
            <w:vAlign w:val="bottom"/>
          </w:tcPr>
          <w:p>
            <w:pPr>
              <w:ind w:left="20"/>
              <w:spacing w:after="0"/>
              <w:rPr>
                <w:sz w:val="20"/>
                <w:szCs w:val="20"/>
                <w:color w:val="auto"/>
              </w:rPr>
            </w:pPr>
            <w:r>
              <w:rPr>
                <w:rFonts w:ascii="Arial" w:cs="Arial" w:eastAsia="Arial" w:hAnsi="Arial"/>
                <w:sz w:val="18"/>
                <w:szCs w:val="18"/>
                <w:color w:val="auto"/>
              </w:rPr>
              <w:t>CAFD</w:t>
            </w:r>
          </w:p>
        </w:tc>
        <w:tc>
          <w:tcPr>
            <w:tcW w:w="8500" w:type="dxa"/>
            <w:vAlign w:val="bottom"/>
          </w:tcPr>
          <w:p>
            <w:pPr>
              <w:ind w:left="260"/>
              <w:spacing w:after="0"/>
              <w:rPr>
                <w:sz w:val="20"/>
                <w:szCs w:val="20"/>
                <w:color w:val="auto"/>
              </w:rPr>
            </w:pPr>
            <w:r>
              <w:rPr>
                <w:rFonts w:ascii="Arial" w:cs="Arial" w:eastAsia="Arial" w:hAnsi="Arial"/>
                <w:sz w:val="18"/>
                <w:szCs w:val="18"/>
                <w:color w:val="auto"/>
                <w:w w:val="97"/>
              </w:rPr>
              <w:t>A non-GAAP measure, Cash Available for Distribution is Adjusted EBITDA plus cash distributions/return of</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1"/>
              </w:rPr>
              <w:t>investment from unconsolidated affiliates, adjustments to reflect CAFD generated by unconsolidated investments</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1"/>
              </w:rPr>
              <w:t>that are not able to distribute project dividends due to the PG&amp;E Bankruptcy, cash receipts from notes receivable,</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3"/>
              </w:rPr>
              <w:t>cash distributions from noncontrolling interests, less cash distributions to noncontrolling interests, maintenance</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3"/>
              </w:rPr>
              <w:t>capital expenditures, pro-rata Adjusted EBITDA from unconsolidated affiliates, cash interest paid, income taxes</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8500" w:type="dxa"/>
            <w:vAlign w:val="bottom"/>
          </w:tcPr>
          <w:p>
            <w:pPr>
              <w:ind w:left="260"/>
              <w:spacing w:after="0" w:line="202" w:lineRule="exact"/>
              <w:rPr>
                <w:sz w:val="20"/>
                <w:szCs w:val="20"/>
                <w:color w:val="auto"/>
              </w:rPr>
            </w:pPr>
            <w:r>
              <w:rPr>
                <w:rFonts w:ascii="Arial" w:cs="Arial" w:eastAsia="Arial" w:hAnsi="Arial"/>
                <w:sz w:val="18"/>
                <w:szCs w:val="18"/>
                <w:color w:val="auto"/>
                <w:w w:val="94"/>
              </w:rPr>
              <w:t>paid, principal amortization of indebtedness, Walnut Creek investment payments, and changes in prepaid and</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accrued capacity payments, and adjusted for development expenses</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CEG</w:t>
            </w:r>
          </w:p>
        </w:tc>
        <w:tc>
          <w:tcPr>
            <w:tcW w:w="8500" w:type="dxa"/>
            <w:vAlign w:val="bottom"/>
          </w:tcPr>
          <w:p>
            <w:pPr>
              <w:ind w:left="260"/>
              <w:spacing w:after="0"/>
              <w:rPr>
                <w:sz w:val="20"/>
                <w:szCs w:val="20"/>
                <w:color w:val="auto"/>
              </w:rPr>
            </w:pPr>
            <w:r>
              <w:rPr>
                <w:rFonts w:ascii="Arial" w:cs="Arial" w:eastAsia="Arial" w:hAnsi="Arial"/>
                <w:sz w:val="18"/>
                <w:szCs w:val="18"/>
                <w:color w:val="auto"/>
              </w:rPr>
              <w:t>Clearway Energy Group LLC (formerly Zephyr Renewables LLC)</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w w:val="98"/>
              </w:rPr>
              <w:t>CEG Master Services Agreements</w:t>
            </w:r>
          </w:p>
        </w:tc>
        <w:tc>
          <w:tcPr>
            <w:tcW w:w="8500" w:type="dxa"/>
            <w:vAlign w:val="bottom"/>
          </w:tcPr>
          <w:p>
            <w:pPr>
              <w:ind w:left="260"/>
              <w:spacing w:after="0"/>
              <w:rPr>
                <w:sz w:val="20"/>
                <w:szCs w:val="20"/>
                <w:color w:val="auto"/>
              </w:rPr>
            </w:pPr>
            <w:r>
              <w:rPr>
                <w:rFonts w:ascii="Arial" w:cs="Arial" w:eastAsia="Arial" w:hAnsi="Arial"/>
                <w:sz w:val="18"/>
                <w:szCs w:val="18"/>
                <w:color w:val="auto"/>
                <w:w w:val="93"/>
              </w:rPr>
              <w:t>Master Services Agreements entered into as of August 31, 2018 between the Company, Clearway Energy LLC</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and Clearway Energy Operating LLC, and CEG</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Clearway Energy LLC</w:t>
            </w:r>
          </w:p>
        </w:tc>
        <w:tc>
          <w:tcPr>
            <w:tcW w:w="8500" w:type="dxa"/>
            <w:vAlign w:val="bottom"/>
          </w:tcPr>
          <w:p>
            <w:pPr>
              <w:ind w:left="260"/>
              <w:spacing w:after="0"/>
              <w:rPr>
                <w:sz w:val="20"/>
                <w:szCs w:val="20"/>
                <w:color w:val="auto"/>
              </w:rPr>
            </w:pPr>
            <w:r>
              <w:rPr>
                <w:rFonts w:ascii="Arial" w:cs="Arial" w:eastAsia="Arial" w:hAnsi="Arial"/>
                <w:sz w:val="18"/>
                <w:szCs w:val="18"/>
                <w:color w:val="auto"/>
                <w:w w:val="91"/>
              </w:rPr>
              <w:t>The holding company through which the projects are owned by Clearway Energy Group LLC, the holder of Class</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B and Class D units, and Clearway Energy, Inc., the holder of the Class A and Class C units</w:t>
            </w:r>
          </w:p>
        </w:tc>
        <w:tc>
          <w:tcPr>
            <w:tcW w:w="0" w:type="dxa"/>
            <w:vAlign w:val="bottom"/>
          </w:tcPr>
          <w:p>
            <w:pPr>
              <w:spacing w:after="0"/>
              <w:rPr>
                <w:sz w:val="1"/>
                <w:szCs w:val="1"/>
                <w:color w:val="auto"/>
              </w:rPr>
            </w:pPr>
          </w:p>
        </w:tc>
      </w:tr>
      <w:tr>
        <w:trPr>
          <w:trHeight w:val="256"/>
        </w:trPr>
        <w:tc>
          <w:tcPr>
            <w:tcW w:w="2740" w:type="dxa"/>
            <w:vAlign w:val="bottom"/>
          </w:tcPr>
          <w:p>
            <w:pPr>
              <w:ind w:left="20"/>
              <w:spacing w:after="0"/>
              <w:rPr>
                <w:sz w:val="20"/>
                <w:szCs w:val="20"/>
                <w:color w:val="auto"/>
              </w:rPr>
            </w:pPr>
            <w:r>
              <w:rPr>
                <w:rFonts w:ascii="Arial" w:cs="Arial" w:eastAsia="Arial" w:hAnsi="Arial"/>
                <w:sz w:val="18"/>
                <w:szCs w:val="18"/>
                <w:color w:val="auto"/>
              </w:rPr>
              <w:t>Clearway Energy Group LLC</w:t>
            </w:r>
          </w:p>
        </w:tc>
        <w:tc>
          <w:tcPr>
            <w:tcW w:w="8500" w:type="dxa"/>
            <w:vAlign w:val="bottom"/>
          </w:tcPr>
          <w:p>
            <w:pPr>
              <w:ind w:left="260"/>
              <w:spacing w:after="0"/>
              <w:rPr>
                <w:sz w:val="20"/>
                <w:szCs w:val="20"/>
                <w:color w:val="auto"/>
              </w:rPr>
            </w:pPr>
            <w:r>
              <w:rPr>
                <w:rFonts w:ascii="Arial" w:cs="Arial" w:eastAsia="Arial" w:hAnsi="Arial"/>
                <w:sz w:val="18"/>
                <w:szCs w:val="18"/>
                <w:color w:val="auto"/>
                <w:w w:val="91"/>
              </w:rPr>
              <w:t>The holder of Clearway Energy, Inc.'s Class B and Class D common shares and Clearway Energy LLC's Class B</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and Class D units</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Clearway Energy Operating LLC</w:t>
            </w:r>
          </w:p>
        </w:tc>
        <w:tc>
          <w:tcPr>
            <w:tcW w:w="8500" w:type="dxa"/>
            <w:vAlign w:val="bottom"/>
          </w:tcPr>
          <w:p>
            <w:pPr>
              <w:ind w:left="260"/>
              <w:spacing w:after="0"/>
              <w:rPr>
                <w:sz w:val="20"/>
                <w:szCs w:val="20"/>
                <w:color w:val="auto"/>
              </w:rPr>
            </w:pPr>
            <w:r>
              <w:rPr>
                <w:rFonts w:ascii="Arial" w:cs="Arial" w:eastAsia="Arial" w:hAnsi="Arial"/>
                <w:sz w:val="18"/>
                <w:szCs w:val="18"/>
                <w:color w:val="auto"/>
              </w:rPr>
              <w:t>The holder of the project assets that are owned by Clearway Energy LLC</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COD</w:t>
            </w:r>
          </w:p>
        </w:tc>
        <w:tc>
          <w:tcPr>
            <w:tcW w:w="8500" w:type="dxa"/>
            <w:vAlign w:val="bottom"/>
          </w:tcPr>
          <w:p>
            <w:pPr>
              <w:ind w:left="260"/>
              <w:spacing w:after="0"/>
              <w:rPr>
                <w:sz w:val="20"/>
                <w:szCs w:val="20"/>
                <w:color w:val="auto"/>
              </w:rPr>
            </w:pPr>
            <w:r>
              <w:rPr>
                <w:rFonts w:ascii="Arial" w:cs="Arial" w:eastAsia="Arial" w:hAnsi="Arial"/>
                <w:sz w:val="18"/>
                <w:szCs w:val="18"/>
                <w:color w:val="auto"/>
              </w:rPr>
              <w:t>Commercial Operation Date</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Company</w:t>
            </w:r>
          </w:p>
        </w:tc>
        <w:tc>
          <w:tcPr>
            <w:tcW w:w="8500" w:type="dxa"/>
            <w:vAlign w:val="bottom"/>
          </w:tcPr>
          <w:p>
            <w:pPr>
              <w:ind w:left="260"/>
              <w:spacing w:after="0"/>
              <w:rPr>
                <w:sz w:val="20"/>
                <w:szCs w:val="20"/>
                <w:color w:val="auto"/>
              </w:rPr>
            </w:pPr>
            <w:r>
              <w:rPr>
                <w:rFonts w:ascii="Arial" w:cs="Arial" w:eastAsia="Arial" w:hAnsi="Arial"/>
                <w:sz w:val="18"/>
                <w:szCs w:val="18"/>
                <w:color w:val="auto"/>
              </w:rPr>
              <w:t>Clearway Energy LLC, together with its consolidated subsidiaries</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CVSR</w:t>
            </w:r>
          </w:p>
        </w:tc>
        <w:tc>
          <w:tcPr>
            <w:tcW w:w="8500" w:type="dxa"/>
            <w:vAlign w:val="bottom"/>
          </w:tcPr>
          <w:p>
            <w:pPr>
              <w:ind w:left="26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CVSR Holdco</w:t>
            </w:r>
          </w:p>
        </w:tc>
        <w:tc>
          <w:tcPr>
            <w:tcW w:w="8500" w:type="dxa"/>
            <w:vAlign w:val="bottom"/>
          </w:tcPr>
          <w:p>
            <w:pPr>
              <w:ind w:left="26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DGPV Holdco 1</w:t>
            </w:r>
          </w:p>
        </w:tc>
        <w:tc>
          <w:tcPr>
            <w:tcW w:w="8500" w:type="dxa"/>
            <w:vAlign w:val="bottom"/>
          </w:tcPr>
          <w:p>
            <w:pPr>
              <w:ind w:left="260"/>
              <w:spacing w:after="0"/>
              <w:rPr>
                <w:sz w:val="20"/>
                <w:szCs w:val="20"/>
                <w:color w:val="auto"/>
              </w:rPr>
            </w:pPr>
            <w:r>
              <w:rPr>
                <w:rFonts w:ascii="Arial" w:cs="Arial" w:eastAsia="Arial" w:hAnsi="Arial"/>
                <w:sz w:val="18"/>
                <w:szCs w:val="18"/>
                <w:color w:val="auto"/>
              </w:rPr>
              <w:t>DGPV Holdco 1 LLC</w:t>
            </w:r>
          </w:p>
        </w:tc>
        <w:tc>
          <w:tcPr>
            <w:tcW w:w="0" w:type="dxa"/>
            <w:vAlign w:val="bottom"/>
          </w:tcPr>
          <w:p>
            <w:pPr>
              <w:spacing w:after="0"/>
              <w:rPr>
                <w:sz w:val="1"/>
                <w:szCs w:val="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DGPV Holdco 2</w:t>
            </w:r>
          </w:p>
        </w:tc>
        <w:tc>
          <w:tcPr>
            <w:tcW w:w="8500" w:type="dxa"/>
            <w:vAlign w:val="bottom"/>
          </w:tcPr>
          <w:p>
            <w:pPr>
              <w:ind w:left="260"/>
              <w:spacing w:after="0"/>
              <w:rPr>
                <w:sz w:val="20"/>
                <w:szCs w:val="20"/>
                <w:color w:val="auto"/>
              </w:rPr>
            </w:pPr>
            <w:r>
              <w:rPr>
                <w:rFonts w:ascii="Arial" w:cs="Arial" w:eastAsia="Arial" w:hAnsi="Arial"/>
                <w:sz w:val="18"/>
                <w:szCs w:val="18"/>
                <w:color w:val="auto"/>
              </w:rPr>
              <w:t>DGPV Holdco 2 LLC</w:t>
            </w:r>
          </w:p>
        </w:tc>
        <w:tc>
          <w:tcPr>
            <w:tcW w:w="0" w:type="dxa"/>
            <w:vAlign w:val="bottom"/>
          </w:tcPr>
          <w:p>
            <w:pPr>
              <w:spacing w:after="0"/>
              <w:rPr>
                <w:sz w:val="1"/>
                <w:szCs w:val="1"/>
                <w:color w:val="auto"/>
              </w:rPr>
            </w:pPr>
          </w:p>
        </w:tc>
      </w:tr>
      <w:tr>
        <w:trPr>
          <w:trHeight w:val="904"/>
        </w:trPr>
        <w:tc>
          <w:tcPr>
            <w:tcW w:w="2740" w:type="dxa"/>
            <w:vAlign w:val="bottom"/>
          </w:tcPr>
          <w:p>
            <w:pPr>
              <w:spacing w:after="0"/>
              <w:rPr>
                <w:sz w:val="24"/>
                <w:szCs w:val="24"/>
                <w:color w:val="auto"/>
              </w:rPr>
            </w:pPr>
          </w:p>
        </w:tc>
        <w:tc>
          <w:tcPr>
            <w:tcW w:w="8500" w:type="dxa"/>
            <w:vAlign w:val="bottom"/>
          </w:tcPr>
          <w:p>
            <w:pPr>
              <w:ind w:left="28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5"/>
        </w:trPr>
        <w:tc>
          <w:tcPr>
            <w:tcW w:w="2740" w:type="dxa"/>
            <w:vAlign w:val="bottom"/>
            <w:tcBorders>
              <w:bottom w:val="single" w:sz="8" w:color="9A9A9A"/>
            </w:tcBorders>
          </w:tcPr>
          <w:p>
            <w:pPr>
              <w:spacing w:after="0"/>
              <w:rPr>
                <w:sz w:val="10"/>
                <w:szCs w:val="10"/>
                <w:color w:val="auto"/>
              </w:rPr>
            </w:pPr>
          </w:p>
        </w:tc>
        <w:tc>
          <w:tcPr>
            <w:tcW w:w="8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DGPV Holdco 3</w:t>
            </w:r>
          </w:p>
        </w:tc>
        <w:tc>
          <w:tcPr>
            <w:tcW w:w="8580" w:type="dxa"/>
            <w:vAlign w:val="bottom"/>
          </w:tcPr>
          <w:p>
            <w:pPr>
              <w:ind w:left="340"/>
              <w:spacing w:after="0"/>
              <w:rPr>
                <w:sz w:val="20"/>
                <w:szCs w:val="20"/>
                <w:color w:val="auto"/>
              </w:rPr>
            </w:pPr>
            <w:r>
              <w:rPr>
                <w:rFonts w:ascii="Arial" w:cs="Arial" w:eastAsia="Arial" w:hAnsi="Arial"/>
                <w:sz w:val="18"/>
                <w:szCs w:val="18"/>
                <w:color w:val="auto"/>
              </w:rPr>
              <w:t>DGPV Holdco 3 LLC</w:t>
            </w:r>
          </w:p>
        </w:tc>
        <w:tc>
          <w:tcPr>
            <w:tcW w:w="0" w:type="dxa"/>
            <w:vAlign w:val="bottom"/>
          </w:tcPr>
          <w:p>
            <w:pPr>
              <w:spacing w:after="0"/>
              <w:rPr>
                <w:sz w:val="1"/>
                <w:szCs w:val="1"/>
                <w:color w:val="auto"/>
              </w:rPr>
            </w:pPr>
          </w:p>
        </w:tc>
      </w:tr>
      <w:tr>
        <w:trPr>
          <w:trHeight w:val="256"/>
        </w:trPr>
        <w:tc>
          <w:tcPr>
            <w:tcW w:w="2660" w:type="dxa"/>
            <w:vAlign w:val="bottom"/>
          </w:tcPr>
          <w:p>
            <w:pPr>
              <w:ind w:left="20"/>
              <w:spacing w:after="0"/>
              <w:rPr>
                <w:sz w:val="20"/>
                <w:szCs w:val="20"/>
                <w:color w:val="auto"/>
              </w:rPr>
            </w:pPr>
            <w:r>
              <w:rPr>
                <w:rFonts w:ascii="Arial" w:cs="Arial" w:eastAsia="Arial" w:hAnsi="Arial"/>
                <w:sz w:val="18"/>
                <w:szCs w:val="18"/>
                <w:color w:val="auto"/>
              </w:rPr>
              <w:t>Distributed Solar</w:t>
            </w:r>
          </w:p>
        </w:tc>
        <w:tc>
          <w:tcPr>
            <w:tcW w:w="8580" w:type="dxa"/>
            <w:vAlign w:val="bottom"/>
          </w:tcPr>
          <w:p>
            <w:pPr>
              <w:ind w:left="340"/>
              <w:spacing w:after="0"/>
              <w:rPr>
                <w:sz w:val="20"/>
                <w:szCs w:val="20"/>
                <w:color w:val="auto"/>
              </w:rPr>
            </w:pPr>
            <w:r>
              <w:rPr>
                <w:rFonts w:ascii="Arial" w:cs="Arial" w:eastAsia="Arial" w:hAnsi="Arial"/>
                <w:sz w:val="18"/>
                <w:szCs w:val="18"/>
                <w:color w:val="auto"/>
                <w:w w:val="97"/>
              </w:rPr>
              <w:t>Solar power projects, typically less than 20 MW in size, that primarily sell power produced to customers for</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usage on site, or are interconnected to sell power into the local distribution grid</w:t>
            </w:r>
          </w:p>
        </w:tc>
        <w:tc>
          <w:tcPr>
            <w:tcW w:w="0" w:type="dxa"/>
            <w:vAlign w:val="bottom"/>
          </w:tcPr>
          <w:p>
            <w:pPr>
              <w:spacing w:after="0"/>
              <w:rPr>
                <w:sz w:val="1"/>
                <w:szCs w:val="1"/>
                <w:color w:val="auto"/>
              </w:rPr>
            </w:pPr>
          </w:p>
        </w:tc>
      </w:tr>
      <w:tr>
        <w:trPr>
          <w:trHeight w:val="256"/>
        </w:trPr>
        <w:tc>
          <w:tcPr>
            <w:tcW w:w="2660" w:type="dxa"/>
            <w:vAlign w:val="bottom"/>
          </w:tcPr>
          <w:p>
            <w:pPr>
              <w:ind w:left="20"/>
              <w:spacing w:after="0"/>
              <w:rPr>
                <w:sz w:val="20"/>
                <w:szCs w:val="20"/>
                <w:color w:val="auto"/>
              </w:rPr>
            </w:pPr>
            <w:r>
              <w:rPr>
                <w:rFonts w:ascii="Arial" w:cs="Arial" w:eastAsia="Arial" w:hAnsi="Arial"/>
                <w:sz w:val="18"/>
                <w:szCs w:val="18"/>
                <w:color w:val="auto"/>
              </w:rPr>
              <w:t>Drop Down Assets</w:t>
            </w:r>
          </w:p>
        </w:tc>
        <w:tc>
          <w:tcPr>
            <w:tcW w:w="8580" w:type="dxa"/>
            <w:vAlign w:val="bottom"/>
          </w:tcPr>
          <w:p>
            <w:pPr>
              <w:ind w:left="340"/>
              <w:spacing w:after="0"/>
              <w:rPr>
                <w:sz w:val="20"/>
                <w:szCs w:val="20"/>
                <w:color w:val="auto"/>
              </w:rPr>
            </w:pPr>
            <w:r>
              <w:rPr>
                <w:rFonts w:ascii="Arial" w:cs="Arial" w:eastAsia="Arial" w:hAnsi="Arial"/>
                <w:sz w:val="18"/>
                <w:szCs w:val="18"/>
                <w:color w:val="auto"/>
                <w:w w:val="94"/>
              </w:rPr>
              <w:t>Collectively, assets under common control acquired by the Company from NRG from January 1, 2014 through</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w w:val="95"/>
              </w:rPr>
              <w:t>the period ended August 31, 2018 and from CEG from August 31, 2018 through the period ending March 31,</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EBITDA</w:t>
            </w:r>
          </w:p>
        </w:tc>
        <w:tc>
          <w:tcPr>
            <w:tcW w:w="8580" w:type="dxa"/>
            <w:vAlign w:val="bottom"/>
          </w:tcPr>
          <w:p>
            <w:pPr>
              <w:ind w:left="340"/>
              <w:spacing w:after="0"/>
              <w:rPr>
                <w:sz w:val="20"/>
                <w:szCs w:val="20"/>
                <w:color w:val="auto"/>
              </w:rPr>
            </w:pPr>
            <w:r>
              <w:rPr>
                <w:rFonts w:ascii="Arial" w:cs="Arial" w:eastAsia="Arial" w:hAnsi="Arial"/>
                <w:sz w:val="18"/>
                <w:szCs w:val="18"/>
                <w:color w:val="auto"/>
              </w:rPr>
              <w:t>A non-GAAP measure, represents earnings before interest, tax, depreciation and amortization</w:t>
            </w:r>
          </w:p>
        </w:tc>
        <w:tc>
          <w:tcPr>
            <w:tcW w:w="0" w:type="dxa"/>
            <w:vAlign w:val="bottom"/>
          </w:tcPr>
          <w:p>
            <w:pPr>
              <w:spacing w:after="0"/>
              <w:rPr>
                <w:sz w:val="1"/>
                <w:szCs w:val="1"/>
                <w:color w:val="auto"/>
              </w:rPr>
            </w:pPr>
          </w:p>
        </w:tc>
      </w:tr>
      <w:tr>
        <w:trPr>
          <w:trHeight w:val="267"/>
        </w:trPr>
        <w:tc>
          <w:tcPr>
            <w:tcW w:w="2660" w:type="dxa"/>
            <w:vAlign w:val="bottom"/>
          </w:tcPr>
          <w:p>
            <w:pPr>
              <w:ind w:left="20"/>
              <w:spacing w:after="0"/>
              <w:rPr>
                <w:sz w:val="20"/>
                <w:szCs w:val="20"/>
                <w:color w:val="auto"/>
              </w:rPr>
            </w:pPr>
            <w:r>
              <w:rPr>
                <w:rFonts w:ascii="Arial" w:cs="Arial" w:eastAsia="Arial" w:hAnsi="Arial"/>
                <w:sz w:val="18"/>
                <w:szCs w:val="18"/>
                <w:color w:val="auto"/>
              </w:rPr>
              <w:t>Economic Gross Margin</w:t>
            </w:r>
          </w:p>
        </w:tc>
        <w:tc>
          <w:tcPr>
            <w:tcW w:w="8580" w:type="dxa"/>
            <w:vAlign w:val="bottom"/>
          </w:tcPr>
          <w:p>
            <w:pPr>
              <w:ind w:left="340"/>
              <w:spacing w:after="0"/>
              <w:rPr>
                <w:sz w:val="20"/>
                <w:szCs w:val="20"/>
                <w:color w:val="auto"/>
              </w:rPr>
            </w:pPr>
            <w:r>
              <w:rPr>
                <w:rFonts w:ascii="Arial" w:cs="Arial" w:eastAsia="Arial" w:hAnsi="Arial"/>
                <w:sz w:val="20"/>
                <w:szCs w:val="20"/>
                <w:color w:val="auto"/>
                <w:w w:val="92"/>
              </w:rPr>
              <w:t>A non-GAAP measure, energy and capacity revenue less cost of fuels. See Item 2 — Management's</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340"/>
              <w:spacing w:after="0"/>
              <w:rPr>
                <w:sz w:val="20"/>
                <w:szCs w:val="20"/>
                <w:color w:val="auto"/>
              </w:rPr>
            </w:pPr>
            <w:r>
              <w:rPr>
                <w:rFonts w:ascii="Arial" w:cs="Arial" w:eastAsia="Arial" w:hAnsi="Arial"/>
                <w:sz w:val="20"/>
                <w:szCs w:val="20"/>
                <w:color w:val="auto"/>
              </w:rPr>
              <w:t>Discussion and Analysis of Financial Condition and Results of Operations — Management's</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80" w:type="dxa"/>
            <w:vAlign w:val="bottom"/>
          </w:tcPr>
          <w:p>
            <w:pPr>
              <w:ind w:left="340"/>
              <w:spacing w:after="0" w:line="216" w:lineRule="exact"/>
              <w:rPr>
                <w:sz w:val="20"/>
                <w:szCs w:val="20"/>
                <w:color w:val="auto"/>
              </w:rPr>
            </w:pPr>
            <w:r>
              <w:rPr>
                <w:rFonts w:ascii="Arial" w:cs="Arial" w:eastAsia="Arial" w:hAnsi="Arial"/>
                <w:sz w:val="20"/>
                <w:szCs w:val="20"/>
                <w:color w:val="auto"/>
                <w:w w:val="89"/>
              </w:rPr>
              <w:t>discussion of the results of operations for the quarters ended March 31, 2020 and 2019 for a discussion</w:t>
            </w:r>
          </w:p>
        </w:tc>
        <w:tc>
          <w:tcPr>
            <w:tcW w:w="0" w:type="dxa"/>
            <w:vAlign w:val="bottom"/>
          </w:tcPr>
          <w:p>
            <w:pPr>
              <w:spacing w:after="0"/>
              <w:rPr>
                <w:sz w:val="1"/>
                <w:szCs w:val="1"/>
                <w:color w:val="auto"/>
              </w:rPr>
            </w:pPr>
          </w:p>
        </w:tc>
      </w:tr>
      <w:tr>
        <w:trPr>
          <w:trHeight w:val="250"/>
        </w:trPr>
        <w:tc>
          <w:tcPr>
            <w:tcW w:w="2660" w:type="dxa"/>
            <w:vAlign w:val="bottom"/>
          </w:tcPr>
          <w:p>
            <w:pPr>
              <w:spacing w:after="0"/>
              <w:rPr>
                <w:sz w:val="21"/>
                <w:szCs w:val="21"/>
                <w:color w:val="auto"/>
              </w:rPr>
            </w:pPr>
          </w:p>
        </w:tc>
        <w:tc>
          <w:tcPr>
            <w:tcW w:w="8580" w:type="dxa"/>
            <w:vAlign w:val="bottom"/>
          </w:tcPr>
          <w:p>
            <w:pPr>
              <w:ind w:left="340"/>
              <w:spacing w:after="0"/>
              <w:rPr>
                <w:sz w:val="20"/>
                <w:szCs w:val="20"/>
                <w:color w:val="auto"/>
              </w:rPr>
            </w:pPr>
            <w:r>
              <w:rPr>
                <w:rFonts w:ascii="Arial" w:cs="Arial" w:eastAsia="Arial" w:hAnsi="Arial"/>
                <w:sz w:val="20"/>
                <w:szCs w:val="20"/>
                <w:color w:val="auto"/>
              </w:rPr>
              <w:t>of this measure.</w:t>
            </w:r>
          </w:p>
        </w:tc>
        <w:tc>
          <w:tcPr>
            <w:tcW w:w="0" w:type="dxa"/>
            <w:vAlign w:val="bottom"/>
          </w:tcPr>
          <w:p>
            <w:pPr>
              <w:spacing w:after="0"/>
              <w:rPr>
                <w:sz w:val="1"/>
                <w:szCs w:val="1"/>
                <w:color w:val="auto"/>
              </w:rPr>
            </w:pPr>
          </w:p>
        </w:tc>
      </w:tr>
      <w:tr>
        <w:trPr>
          <w:trHeight w:val="252"/>
        </w:trPr>
        <w:tc>
          <w:tcPr>
            <w:tcW w:w="2660" w:type="dxa"/>
            <w:vAlign w:val="bottom"/>
          </w:tcPr>
          <w:p>
            <w:pPr>
              <w:ind w:left="20"/>
              <w:spacing w:after="0"/>
              <w:rPr>
                <w:sz w:val="20"/>
                <w:szCs w:val="20"/>
                <w:color w:val="auto"/>
              </w:rPr>
            </w:pPr>
            <w:r>
              <w:rPr>
                <w:rFonts w:ascii="Arial" w:cs="Arial" w:eastAsia="Arial" w:hAnsi="Arial"/>
                <w:sz w:val="18"/>
                <w:szCs w:val="18"/>
                <w:color w:val="auto"/>
              </w:rPr>
              <w:t>ECP</w:t>
            </w:r>
          </w:p>
        </w:tc>
        <w:tc>
          <w:tcPr>
            <w:tcW w:w="8580" w:type="dxa"/>
            <w:vAlign w:val="bottom"/>
          </w:tcPr>
          <w:p>
            <w:pPr>
              <w:ind w:left="340"/>
              <w:spacing w:after="0"/>
              <w:rPr>
                <w:sz w:val="20"/>
                <w:szCs w:val="20"/>
                <w:color w:val="auto"/>
              </w:rPr>
            </w:pPr>
            <w:r>
              <w:rPr>
                <w:rFonts w:ascii="Arial" w:cs="Arial" w:eastAsia="Arial" w:hAnsi="Arial"/>
                <w:sz w:val="18"/>
                <w:szCs w:val="18"/>
                <w:color w:val="auto"/>
              </w:rPr>
              <w:t>Energy Center Pittsburgh LLC, a subsidiary of the Company</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EPA</w:t>
            </w:r>
          </w:p>
        </w:tc>
        <w:tc>
          <w:tcPr>
            <w:tcW w:w="8580" w:type="dxa"/>
            <w:vAlign w:val="bottom"/>
          </w:tcPr>
          <w:p>
            <w:pPr>
              <w:ind w:left="340"/>
              <w:spacing w:after="0"/>
              <w:rPr>
                <w:sz w:val="20"/>
                <w:szCs w:val="20"/>
                <w:color w:val="auto"/>
              </w:rPr>
            </w:pPr>
            <w:r>
              <w:rPr>
                <w:rFonts w:ascii="Arial" w:cs="Arial" w:eastAsia="Arial" w:hAnsi="Arial"/>
                <w:sz w:val="18"/>
                <w:szCs w:val="18"/>
                <w:color w:val="auto"/>
              </w:rPr>
              <w:t>U.S. Environmental Protection Agency</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8580" w:type="dxa"/>
            <w:vAlign w:val="bottom"/>
          </w:tcPr>
          <w:p>
            <w:pPr>
              <w:ind w:left="34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FASB</w:t>
            </w:r>
          </w:p>
        </w:tc>
        <w:tc>
          <w:tcPr>
            <w:tcW w:w="8580" w:type="dxa"/>
            <w:vAlign w:val="bottom"/>
          </w:tcPr>
          <w:p>
            <w:pPr>
              <w:ind w:left="34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GAAP</w:t>
            </w:r>
          </w:p>
        </w:tc>
        <w:tc>
          <w:tcPr>
            <w:tcW w:w="8580" w:type="dxa"/>
            <w:vAlign w:val="bottom"/>
          </w:tcPr>
          <w:p>
            <w:pPr>
              <w:ind w:left="34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GenConn</w:t>
            </w:r>
          </w:p>
        </w:tc>
        <w:tc>
          <w:tcPr>
            <w:tcW w:w="8580" w:type="dxa"/>
            <w:vAlign w:val="bottom"/>
          </w:tcPr>
          <w:p>
            <w:pPr>
              <w:ind w:left="34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GIP</w:t>
            </w:r>
          </w:p>
        </w:tc>
        <w:tc>
          <w:tcPr>
            <w:tcW w:w="8580" w:type="dxa"/>
            <w:vAlign w:val="bottom"/>
            <w:vMerge w:val="restart"/>
          </w:tcPr>
          <w:p>
            <w:pPr>
              <w:ind w:left="340"/>
              <w:spacing w:after="0"/>
              <w:rPr>
                <w:sz w:val="20"/>
                <w:szCs w:val="20"/>
                <w:color w:val="auto"/>
              </w:rPr>
            </w:pPr>
            <w:r>
              <w:rPr>
                <w:rFonts w:ascii="Arial" w:cs="Arial" w:eastAsia="Arial" w:hAnsi="Arial"/>
                <w:sz w:val="18"/>
                <w:szCs w:val="18"/>
                <w:color w:val="auto"/>
                <w:w w:val="94"/>
              </w:rPr>
              <w:t>Collectively, Global Infrastructure Partners III-C Intermediate AIV 3, L.P., Global Infrastructure Partners III-A/B</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8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660" w:type="dxa"/>
            <w:vAlign w:val="bottom"/>
          </w:tcPr>
          <w:p>
            <w:pPr>
              <w:spacing w:after="0"/>
              <w:rPr>
                <w:sz w:val="15"/>
                <w:szCs w:val="15"/>
                <w:color w:val="auto"/>
              </w:rPr>
            </w:pPr>
          </w:p>
        </w:tc>
        <w:tc>
          <w:tcPr>
            <w:tcW w:w="8580" w:type="dxa"/>
            <w:vAlign w:val="bottom"/>
          </w:tcPr>
          <w:p>
            <w:pPr>
              <w:ind w:left="340"/>
              <w:spacing w:after="0" w:line="176" w:lineRule="exact"/>
              <w:rPr>
                <w:sz w:val="20"/>
                <w:szCs w:val="20"/>
                <w:color w:val="auto"/>
              </w:rPr>
            </w:pPr>
            <w:r>
              <w:rPr>
                <w:rFonts w:ascii="Arial" w:cs="Arial" w:eastAsia="Arial" w:hAnsi="Arial"/>
                <w:sz w:val="18"/>
                <w:szCs w:val="18"/>
                <w:color w:val="auto"/>
                <w:w w:val="95"/>
              </w:rPr>
              <w:t>AIV 3, L.P., Global Infrastructure Partners III-C Intermediate AIV 2, L.P., Global Infrastructure Partners III-C2</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Intermediate AIV, L.P. and GIP III Zephyr Friends &amp; Family, LLC.</w:t>
            </w:r>
          </w:p>
        </w:tc>
        <w:tc>
          <w:tcPr>
            <w:tcW w:w="0" w:type="dxa"/>
            <w:vAlign w:val="bottom"/>
          </w:tcPr>
          <w:p>
            <w:pPr>
              <w:spacing w:after="0"/>
              <w:rPr>
                <w:sz w:val="1"/>
                <w:szCs w:val="1"/>
                <w:color w:val="auto"/>
              </w:rPr>
            </w:pPr>
          </w:p>
        </w:tc>
      </w:tr>
      <w:tr>
        <w:trPr>
          <w:trHeight w:val="323"/>
        </w:trPr>
        <w:tc>
          <w:tcPr>
            <w:tcW w:w="2660" w:type="dxa"/>
            <w:vAlign w:val="bottom"/>
          </w:tcPr>
          <w:p>
            <w:pPr>
              <w:ind w:left="20"/>
              <w:spacing w:after="0"/>
              <w:rPr>
                <w:sz w:val="20"/>
                <w:szCs w:val="20"/>
                <w:color w:val="auto"/>
              </w:rPr>
            </w:pPr>
            <w:r>
              <w:rPr>
                <w:rFonts w:ascii="Arial" w:cs="Arial" w:eastAsia="Arial" w:hAnsi="Arial"/>
                <w:sz w:val="18"/>
                <w:szCs w:val="18"/>
                <w:color w:val="auto"/>
              </w:rPr>
              <w:t>GIP Transaction</w:t>
            </w:r>
          </w:p>
        </w:tc>
        <w:tc>
          <w:tcPr>
            <w:tcW w:w="8580" w:type="dxa"/>
            <w:vAlign w:val="bottom"/>
            <w:vMerge w:val="restart"/>
          </w:tcPr>
          <w:p>
            <w:pPr>
              <w:ind w:left="340"/>
              <w:spacing w:after="0"/>
              <w:rPr>
                <w:sz w:val="20"/>
                <w:szCs w:val="20"/>
                <w:color w:val="auto"/>
              </w:rPr>
            </w:pPr>
            <w:r>
              <w:rPr>
                <w:rFonts w:ascii="Arial" w:cs="Arial" w:eastAsia="Arial" w:hAnsi="Arial"/>
                <w:sz w:val="18"/>
                <w:szCs w:val="18"/>
                <w:color w:val="auto"/>
                <w:w w:val="92"/>
              </w:rPr>
              <w:t>On August 31, 2018, NRG transferred its full ownership interest in the Company to Clearway Energy Group LLC</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8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660" w:type="dxa"/>
            <w:vAlign w:val="bottom"/>
          </w:tcPr>
          <w:p>
            <w:pPr>
              <w:spacing w:after="0"/>
              <w:rPr>
                <w:sz w:val="15"/>
                <w:szCs w:val="15"/>
                <w:color w:val="auto"/>
              </w:rPr>
            </w:pPr>
          </w:p>
        </w:tc>
        <w:tc>
          <w:tcPr>
            <w:tcW w:w="8580" w:type="dxa"/>
            <w:vAlign w:val="bottom"/>
          </w:tcPr>
          <w:p>
            <w:pPr>
              <w:ind w:left="340"/>
              <w:spacing w:after="0" w:line="176" w:lineRule="exact"/>
              <w:rPr>
                <w:sz w:val="20"/>
                <w:szCs w:val="20"/>
                <w:color w:val="auto"/>
              </w:rPr>
            </w:pPr>
            <w:r>
              <w:rPr>
                <w:rFonts w:ascii="Arial" w:cs="Arial" w:eastAsia="Arial" w:hAnsi="Arial"/>
                <w:sz w:val="18"/>
                <w:szCs w:val="18"/>
                <w:color w:val="auto"/>
                <w:w w:val="94"/>
              </w:rPr>
              <w:t>and subsequently sold 100% of its interests in Clearway Energy Group LLC, which includes NRG's renewable</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340"/>
              <w:spacing w:after="0" w:line="176" w:lineRule="exact"/>
              <w:rPr>
                <w:sz w:val="20"/>
                <w:szCs w:val="20"/>
                <w:color w:val="auto"/>
              </w:rPr>
            </w:pPr>
            <w:r>
              <w:rPr>
                <w:rFonts w:ascii="Arial" w:cs="Arial" w:eastAsia="Arial" w:hAnsi="Arial"/>
                <w:sz w:val="18"/>
                <w:szCs w:val="18"/>
                <w:color w:val="auto"/>
                <w:w w:val="91"/>
              </w:rPr>
              <w:t>energy development and operations platform, to an affiliate of GIP. GIP, NRG and the Company also entered into</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8580" w:type="dxa"/>
            <w:vAlign w:val="bottom"/>
          </w:tcPr>
          <w:p>
            <w:pPr>
              <w:ind w:left="340"/>
              <w:spacing w:after="0" w:line="176" w:lineRule="exact"/>
              <w:rPr>
                <w:sz w:val="20"/>
                <w:szCs w:val="20"/>
                <w:color w:val="auto"/>
              </w:rPr>
            </w:pPr>
            <w:r>
              <w:rPr>
                <w:rFonts w:ascii="Arial" w:cs="Arial" w:eastAsia="Arial" w:hAnsi="Arial"/>
                <w:sz w:val="18"/>
                <w:szCs w:val="18"/>
                <w:color w:val="auto"/>
                <w:w w:val="93"/>
              </w:rPr>
              <w:t>a consent and indemnity agreement in connection with the purchase and sale agreement, which was signed on</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February 6, 2018</w:t>
            </w:r>
          </w:p>
        </w:tc>
        <w:tc>
          <w:tcPr>
            <w:tcW w:w="0" w:type="dxa"/>
            <w:vAlign w:val="bottom"/>
          </w:tcPr>
          <w:p>
            <w:pPr>
              <w:spacing w:after="0"/>
              <w:rPr>
                <w:sz w:val="1"/>
                <w:szCs w:val="1"/>
                <w:color w:val="auto"/>
              </w:rPr>
            </w:pPr>
          </w:p>
        </w:tc>
      </w:tr>
      <w:tr>
        <w:trPr>
          <w:trHeight w:val="323"/>
        </w:trPr>
        <w:tc>
          <w:tcPr>
            <w:tcW w:w="2660" w:type="dxa"/>
            <w:vAlign w:val="bottom"/>
          </w:tcPr>
          <w:p>
            <w:pPr>
              <w:ind w:left="20"/>
              <w:spacing w:after="0"/>
              <w:rPr>
                <w:sz w:val="20"/>
                <w:szCs w:val="20"/>
                <w:color w:val="auto"/>
              </w:rPr>
            </w:pPr>
            <w:r>
              <w:rPr>
                <w:rFonts w:ascii="Arial" w:cs="Arial" w:eastAsia="Arial" w:hAnsi="Arial"/>
                <w:sz w:val="18"/>
                <w:szCs w:val="18"/>
                <w:color w:val="auto"/>
              </w:rPr>
              <w:t>HLBV</w:t>
            </w:r>
          </w:p>
        </w:tc>
        <w:tc>
          <w:tcPr>
            <w:tcW w:w="8580" w:type="dxa"/>
            <w:vAlign w:val="bottom"/>
          </w:tcPr>
          <w:p>
            <w:pPr>
              <w:ind w:left="34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LIBOR</w:t>
            </w:r>
          </w:p>
        </w:tc>
        <w:tc>
          <w:tcPr>
            <w:tcW w:w="8580" w:type="dxa"/>
            <w:vAlign w:val="bottom"/>
          </w:tcPr>
          <w:p>
            <w:pPr>
              <w:ind w:left="34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56"/>
        </w:trPr>
        <w:tc>
          <w:tcPr>
            <w:tcW w:w="2660" w:type="dxa"/>
            <w:vAlign w:val="bottom"/>
          </w:tcPr>
          <w:p>
            <w:pPr>
              <w:ind w:left="20"/>
              <w:spacing w:after="0"/>
              <w:rPr>
                <w:sz w:val="20"/>
                <w:szCs w:val="20"/>
                <w:color w:val="auto"/>
              </w:rPr>
            </w:pPr>
            <w:r>
              <w:rPr>
                <w:rFonts w:ascii="Arial" w:cs="Arial" w:eastAsia="Arial" w:hAnsi="Arial"/>
                <w:sz w:val="18"/>
                <w:szCs w:val="18"/>
                <w:color w:val="auto"/>
              </w:rPr>
              <w:t>March 2017 Drop Down Assets</w:t>
            </w:r>
          </w:p>
        </w:tc>
        <w:tc>
          <w:tcPr>
            <w:tcW w:w="8580" w:type="dxa"/>
            <w:vAlign w:val="bottom"/>
          </w:tcPr>
          <w:p>
            <w:pPr>
              <w:ind w:left="340"/>
              <w:spacing w:after="0"/>
              <w:rPr>
                <w:sz w:val="20"/>
                <w:szCs w:val="20"/>
                <w:color w:val="auto"/>
              </w:rPr>
            </w:pPr>
            <w:r>
              <w:rPr>
                <w:rFonts w:ascii="Arial" w:cs="Arial" w:eastAsia="Arial" w:hAnsi="Arial"/>
                <w:sz w:val="18"/>
                <w:szCs w:val="18"/>
                <w:color w:val="auto"/>
                <w:w w:val="95"/>
              </w:rPr>
              <w:t>(i) Agua Caliente Borrower 2 LLC, which owns a 16% interest (approximately 31% of NRG's 51% interest) in</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w w:val="95"/>
              </w:rPr>
              <w:t>the Agua Caliente solar farm and (ii) NRG's 100% ownership in the Class A equity interests in the Utah Solar</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Portfolio (defined below), both acquired by the Company on March 27, 2017</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MMBtu</w:t>
            </w:r>
          </w:p>
        </w:tc>
        <w:tc>
          <w:tcPr>
            <w:tcW w:w="8580" w:type="dxa"/>
            <w:vAlign w:val="bottom"/>
          </w:tcPr>
          <w:p>
            <w:pPr>
              <w:ind w:left="34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MW</w:t>
            </w:r>
          </w:p>
        </w:tc>
        <w:tc>
          <w:tcPr>
            <w:tcW w:w="8580" w:type="dxa"/>
            <w:vAlign w:val="bottom"/>
          </w:tcPr>
          <w:p>
            <w:pPr>
              <w:ind w:left="340"/>
              <w:spacing w:after="0"/>
              <w:rPr>
                <w:sz w:val="20"/>
                <w:szCs w:val="20"/>
                <w:color w:val="auto"/>
              </w:rPr>
            </w:pPr>
            <w:r>
              <w:rPr>
                <w:rFonts w:ascii="Arial" w:cs="Arial" w:eastAsia="Arial" w:hAnsi="Arial"/>
                <w:sz w:val="18"/>
                <w:szCs w:val="18"/>
                <w:color w:val="auto"/>
              </w:rPr>
              <w:t>Megawatts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MWh</w:t>
            </w:r>
          </w:p>
        </w:tc>
        <w:tc>
          <w:tcPr>
            <w:tcW w:w="8580" w:type="dxa"/>
            <w:vAlign w:val="bottom"/>
          </w:tcPr>
          <w:p>
            <w:pPr>
              <w:ind w:left="34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MWt</w:t>
            </w:r>
          </w:p>
        </w:tc>
        <w:tc>
          <w:tcPr>
            <w:tcW w:w="8580" w:type="dxa"/>
            <w:vAlign w:val="bottom"/>
          </w:tcPr>
          <w:p>
            <w:pPr>
              <w:ind w:left="34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Net Exposure</w:t>
            </w:r>
          </w:p>
        </w:tc>
        <w:tc>
          <w:tcPr>
            <w:tcW w:w="8580" w:type="dxa"/>
            <w:vAlign w:val="bottom"/>
          </w:tcPr>
          <w:p>
            <w:pPr>
              <w:ind w:left="340"/>
              <w:spacing w:after="0"/>
              <w:rPr>
                <w:sz w:val="20"/>
                <w:szCs w:val="20"/>
                <w:color w:val="auto"/>
              </w:rPr>
            </w:pPr>
            <w:r>
              <w:rPr>
                <w:rFonts w:ascii="Arial" w:cs="Arial" w:eastAsia="Arial" w:hAnsi="Arial"/>
                <w:sz w:val="18"/>
                <w:szCs w:val="18"/>
                <w:color w:val="auto"/>
              </w:rPr>
              <w:t>Counterparty credit exposure to Clearway Energy, Inc. net of collateral</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NOLs</w:t>
            </w:r>
          </w:p>
        </w:tc>
        <w:tc>
          <w:tcPr>
            <w:tcW w:w="8580" w:type="dxa"/>
            <w:vAlign w:val="bottom"/>
          </w:tcPr>
          <w:p>
            <w:pPr>
              <w:ind w:left="340"/>
              <w:spacing w:after="0"/>
              <w:rPr>
                <w:sz w:val="20"/>
                <w:szCs w:val="20"/>
                <w:color w:val="auto"/>
              </w:rPr>
            </w:pPr>
            <w:r>
              <w:rPr>
                <w:rFonts w:ascii="Arial" w:cs="Arial" w:eastAsia="Arial" w:hAnsi="Arial"/>
                <w:sz w:val="18"/>
                <w:szCs w:val="18"/>
                <w:color w:val="auto"/>
              </w:rPr>
              <w:t>Net Operating Losses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NPPD</w:t>
            </w:r>
          </w:p>
        </w:tc>
        <w:tc>
          <w:tcPr>
            <w:tcW w:w="8580" w:type="dxa"/>
            <w:vAlign w:val="bottom"/>
          </w:tcPr>
          <w:p>
            <w:pPr>
              <w:ind w:left="340"/>
              <w:spacing w:after="0"/>
              <w:rPr>
                <w:sz w:val="20"/>
                <w:szCs w:val="20"/>
                <w:color w:val="auto"/>
              </w:rPr>
            </w:pPr>
            <w:r>
              <w:rPr>
                <w:rFonts w:ascii="Arial" w:cs="Arial" w:eastAsia="Arial" w:hAnsi="Arial"/>
                <w:sz w:val="18"/>
                <w:szCs w:val="18"/>
                <w:color w:val="auto"/>
              </w:rPr>
              <w:t>Nebraska Public Power District</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NRG</w:t>
            </w:r>
          </w:p>
        </w:tc>
        <w:tc>
          <w:tcPr>
            <w:tcW w:w="8580" w:type="dxa"/>
            <w:vAlign w:val="bottom"/>
          </w:tcPr>
          <w:p>
            <w:pPr>
              <w:ind w:left="340"/>
              <w:spacing w:after="0"/>
              <w:rPr>
                <w:sz w:val="20"/>
                <w:szCs w:val="20"/>
                <w:color w:val="auto"/>
              </w:rPr>
            </w:pPr>
            <w:r>
              <w:rPr>
                <w:rFonts w:ascii="Arial" w:cs="Arial" w:eastAsia="Arial" w:hAnsi="Arial"/>
                <w:sz w:val="18"/>
                <w:szCs w:val="18"/>
                <w:color w:val="auto"/>
              </w:rPr>
              <w:t>NRG Energy, Inc.</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NRG TSA</w:t>
            </w:r>
          </w:p>
        </w:tc>
        <w:tc>
          <w:tcPr>
            <w:tcW w:w="8580" w:type="dxa"/>
            <w:vAlign w:val="bottom"/>
          </w:tcPr>
          <w:p>
            <w:pPr>
              <w:ind w:left="340"/>
              <w:spacing w:after="0"/>
              <w:rPr>
                <w:sz w:val="20"/>
                <w:szCs w:val="20"/>
                <w:color w:val="auto"/>
              </w:rPr>
            </w:pPr>
            <w:r>
              <w:rPr>
                <w:rFonts w:ascii="Arial" w:cs="Arial" w:eastAsia="Arial" w:hAnsi="Arial"/>
                <w:sz w:val="18"/>
                <w:szCs w:val="18"/>
                <w:color w:val="auto"/>
              </w:rPr>
              <w:t>Transition Services Agreement dated as of August 31, 2018 by and between NRG and the Company</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OCL</w:t>
            </w:r>
          </w:p>
        </w:tc>
        <w:tc>
          <w:tcPr>
            <w:tcW w:w="8580" w:type="dxa"/>
            <w:vAlign w:val="bottom"/>
          </w:tcPr>
          <w:p>
            <w:pPr>
              <w:ind w:left="340"/>
              <w:spacing w:after="0"/>
              <w:rPr>
                <w:sz w:val="20"/>
                <w:szCs w:val="20"/>
                <w:color w:val="auto"/>
              </w:rPr>
            </w:pPr>
            <w:r>
              <w:rPr>
                <w:rFonts w:ascii="Arial" w:cs="Arial" w:eastAsia="Arial" w:hAnsi="Arial"/>
                <w:sz w:val="18"/>
                <w:szCs w:val="18"/>
                <w:color w:val="auto"/>
              </w:rPr>
              <w:t>Other comprehensive loss</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O&amp;M</w:t>
            </w:r>
          </w:p>
        </w:tc>
        <w:tc>
          <w:tcPr>
            <w:tcW w:w="8580" w:type="dxa"/>
            <w:vAlign w:val="bottom"/>
          </w:tcPr>
          <w:p>
            <w:pPr>
              <w:ind w:left="340"/>
              <w:spacing w:after="0"/>
              <w:rPr>
                <w:sz w:val="20"/>
                <w:szCs w:val="20"/>
                <w:color w:val="auto"/>
              </w:rPr>
            </w:pPr>
            <w:r>
              <w:rPr>
                <w:rFonts w:ascii="Arial" w:cs="Arial" w:eastAsia="Arial" w:hAnsi="Arial"/>
                <w:sz w:val="18"/>
                <w:szCs w:val="18"/>
                <w:color w:val="auto"/>
              </w:rPr>
              <w:t>Operation and Maintenance</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PG&amp;E</w:t>
            </w:r>
          </w:p>
        </w:tc>
        <w:tc>
          <w:tcPr>
            <w:tcW w:w="8580" w:type="dxa"/>
            <w:vAlign w:val="bottom"/>
          </w:tcPr>
          <w:p>
            <w:pPr>
              <w:ind w:left="340"/>
              <w:spacing w:after="0"/>
              <w:rPr>
                <w:sz w:val="20"/>
                <w:szCs w:val="20"/>
                <w:color w:val="auto"/>
              </w:rPr>
            </w:pPr>
            <w:r>
              <w:rPr>
                <w:rFonts w:ascii="Arial" w:cs="Arial" w:eastAsia="Arial" w:hAnsi="Arial"/>
                <w:sz w:val="18"/>
                <w:szCs w:val="18"/>
                <w:color w:val="auto"/>
              </w:rPr>
              <w:t>Pacific Gas and Electric Company</w:t>
            </w:r>
          </w:p>
        </w:tc>
        <w:tc>
          <w:tcPr>
            <w:tcW w:w="0" w:type="dxa"/>
            <w:vAlign w:val="bottom"/>
          </w:tcPr>
          <w:p>
            <w:pPr>
              <w:spacing w:after="0"/>
              <w:rPr>
                <w:sz w:val="1"/>
                <w:szCs w:val="1"/>
                <w:color w:val="auto"/>
              </w:rPr>
            </w:pPr>
          </w:p>
        </w:tc>
      </w:tr>
      <w:tr>
        <w:trPr>
          <w:trHeight w:val="256"/>
        </w:trPr>
        <w:tc>
          <w:tcPr>
            <w:tcW w:w="2660" w:type="dxa"/>
            <w:vAlign w:val="bottom"/>
          </w:tcPr>
          <w:p>
            <w:pPr>
              <w:ind w:left="20"/>
              <w:spacing w:after="0"/>
              <w:rPr>
                <w:sz w:val="20"/>
                <w:szCs w:val="20"/>
                <w:color w:val="auto"/>
              </w:rPr>
            </w:pPr>
            <w:r>
              <w:rPr>
                <w:rFonts w:ascii="Arial" w:cs="Arial" w:eastAsia="Arial" w:hAnsi="Arial"/>
                <w:sz w:val="18"/>
                <w:szCs w:val="18"/>
                <w:color w:val="auto"/>
              </w:rPr>
              <w:t>PG&amp;E Bankruptcy</w:t>
            </w:r>
          </w:p>
        </w:tc>
        <w:tc>
          <w:tcPr>
            <w:tcW w:w="8580" w:type="dxa"/>
            <w:vAlign w:val="bottom"/>
          </w:tcPr>
          <w:p>
            <w:pPr>
              <w:ind w:left="340"/>
              <w:spacing w:after="0"/>
              <w:rPr>
                <w:sz w:val="20"/>
                <w:szCs w:val="20"/>
                <w:color w:val="auto"/>
              </w:rPr>
            </w:pPr>
            <w:r>
              <w:rPr>
                <w:rFonts w:ascii="Arial" w:cs="Arial" w:eastAsia="Arial" w:hAnsi="Arial"/>
                <w:sz w:val="18"/>
                <w:szCs w:val="18"/>
                <w:color w:val="auto"/>
                <w:w w:val="96"/>
              </w:rPr>
              <w:t>On January 29, 2019, PG&amp;E Corporation and Pacific Gas and Electric Company filed voluntary petitions for</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relief under the Bankruptcy Code in the Bankruptcy Court</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PPA</w:t>
            </w:r>
          </w:p>
        </w:tc>
        <w:tc>
          <w:tcPr>
            <w:tcW w:w="8580" w:type="dxa"/>
            <w:vAlign w:val="bottom"/>
          </w:tcPr>
          <w:p>
            <w:pPr>
              <w:ind w:left="34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RENOM</w:t>
            </w:r>
          </w:p>
        </w:tc>
        <w:tc>
          <w:tcPr>
            <w:tcW w:w="8580" w:type="dxa"/>
            <w:vAlign w:val="bottom"/>
          </w:tcPr>
          <w:p>
            <w:pPr>
              <w:ind w:left="340"/>
              <w:spacing w:after="0"/>
              <w:rPr>
                <w:sz w:val="20"/>
                <w:szCs w:val="20"/>
                <w:color w:val="auto"/>
              </w:rPr>
            </w:pPr>
            <w:r>
              <w:rPr>
                <w:rFonts w:ascii="Arial" w:cs="Arial" w:eastAsia="Arial" w:hAnsi="Arial"/>
                <w:sz w:val="18"/>
                <w:szCs w:val="18"/>
                <w:color w:val="auto"/>
              </w:rPr>
              <w:t>Clearway Renewable Operation &amp; Maintenance LLC</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RPV Holdco</w:t>
            </w:r>
          </w:p>
        </w:tc>
        <w:tc>
          <w:tcPr>
            <w:tcW w:w="8580" w:type="dxa"/>
            <w:vAlign w:val="bottom"/>
          </w:tcPr>
          <w:p>
            <w:pPr>
              <w:ind w:left="340"/>
              <w:spacing w:after="0"/>
              <w:rPr>
                <w:sz w:val="20"/>
                <w:szCs w:val="20"/>
                <w:color w:val="auto"/>
              </w:rPr>
            </w:pPr>
            <w:r>
              <w:rPr>
                <w:rFonts w:ascii="Arial" w:cs="Arial" w:eastAsia="Arial" w:hAnsi="Arial"/>
                <w:sz w:val="18"/>
                <w:szCs w:val="18"/>
                <w:color w:val="auto"/>
              </w:rPr>
              <w:t>RPV Holdco 1 LLC</w:t>
            </w: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RTO</w:t>
            </w:r>
          </w:p>
        </w:tc>
        <w:tc>
          <w:tcPr>
            <w:tcW w:w="8580" w:type="dxa"/>
            <w:vAlign w:val="bottom"/>
          </w:tcPr>
          <w:p>
            <w:pPr>
              <w:ind w:left="340"/>
              <w:spacing w:after="0"/>
              <w:rPr>
                <w:sz w:val="20"/>
                <w:szCs w:val="20"/>
                <w:color w:val="auto"/>
              </w:rPr>
            </w:pPr>
            <w:r>
              <w:rPr>
                <w:rFonts w:ascii="Arial" w:cs="Arial" w:eastAsia="Arial" w:hAnsi="Arial"/>
                <w:sz w:val="18"/>
                <w:szCs w:val="18"/>
                <w:color w:val="auto"/>
              </w:rPr>
              <w:t>Regional Transmission Organization</w:t>
            </w:r>
          </w:p>
        </w:tc>
        <w:tc>
          <w:tcPr>
            <w:tcW w:w="0" w:type="dxa"/>
            <w:vAlign w:val="bottom"/>
          </w:tcPr>
          <w:p>
            <w:pPr>
              <w:spacing w:after="0"/>
              <w:rPr>
                <w:sz w:val="1"/>
                <w:szCs w:val="1"/>
                <w:color w:val="auto"/>
              </w:rPr>
            </w:pPr>
          </w:p>
        </w:tc>
      </w:tr>
      <w:tr>
        <w:trPr>
          <w:trHeight w:val="904"/>
        </w:trPr>
        <w:tc>
          <w:tcPr>
            <w:tcW w:w="2660" w:type="dxa"/>
            <w:vAlign w:val="bottom"/>
          </w:tcPr>
          <w:p>
            <w:pPr>
              <w:spacing w:after="0"/>
              <w:rPr>
                <w:sz w:val="24"/>
                <w:szCs w:val="24"/>
                <w:color w:val="auto"/>
              </w:rPr>
            </w:pPr>
          </w:p>
        </w:tc>
        <w:tc>
          <w:tcPr>
            <w:tcW w:w="8580" w:type="dxa"/>
            <w:vAlign w:val="bottom"/>
          </w:tcPr>
          <w:p>
            <w:pPr>
              <w:ind w:left="29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5"/>
        </w:trPr>
        <w:tc>
          <w:tcPr>
            <w:tcW w:w="2660" w:type="dxa"/>
            <w:vAlign w:val="bottom"/>
            <w:tcBorders>
              <w:bottom w:val="single" w:sz="8" w:color="9A9A9A"/>
            </w:tcBorders>
          </w:tcPr>
          <w:p>
            <w:pPr>
              <w:spacing w:after="0"/>
              <w:rPr>
                <w:sz w:val="10"/>
                <w:szCs w:val="10"/>
                <w:color w:val="auto"/>
              </w:rPr>
            </w:pPr>
          </w:p>
        </w:tc>
        <w:tc>
          <w:tcPr>
            <w:tcW w:w="8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Securities and Exchange Commission</w:t>
      </w:r>
    </w:p>
    <w:p>
      <w:pPr>
        <w:spacing w:after="0" w:line="86" w:lineRule="exact"/>
        <w:rPr>
          <w:sz w:val="20"/>
          <w:szCs w:val="20"/>
          <w:color w:val="auto"/>
        </w:rPr>
      </w:pPr>
    </w:p>
    <w:p>
      <w:pPr>
        <w:sectPr>
          <w:pgSz w:w="11900" w:h="16838" w:orient="portrait"/>
          <w:cols w:equalWidth="0" w:num="2">
            <w:col w:w="2260" w:space="720"/>
            <w:col w:w="8060"/>
          </w:cols>
          <w:pgMar w:left="340" w:top="949" w:right="519" w:bottom="1440" w:gutter="0" w:footer="0" w:header="0"/>
        </w:sectPr>
      </w:pPr>
    </w:p>
    <w:p>
      <w:pPr>
        <w:spacing w:after="0"/>
        <w:rPr>
          <w:sz w:val="20"/>
          <w:szCs w:val="20"/>
          <w:color w:val="auto"/>
        </w:rPr>
      </w:pPr>
      <w:r>
        <w:rPr>
          <w:rFonts w:ascii="Arial" w:cs="Arial" w:eastAsia="Arial" w:hAnsi="Arial"/>
          <w:sz w:val="16"/>
          <w:szCs w:val="16"/>
          <w:color w:val="auto"/>
        </w:rPr>
        <w:t>Senior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Collectively, the 2024 Senior Notes, the 2025 Senior Notes, the 2026 Senior Notes and the 2028 Senior Notes</w:t>
      </w:r>
    </w:p>
    <w:p>
      <w:pPr>
        <w:spacing w:after="0" w:line="86"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3"/>
          <w:szCs w:val="13"/>
          <w:color w:val="auto"/>
        </w:rPr>
        <w:t>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Solar Power Partners</w:t>
      </w:r>
    </w:p>
    <w:p>
      <w:pPr>
        <w:spacing w:after="0" w:line="98"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7"/>
          <w:szCs w:val="17"/>
          <w:color w:val="auto"/>
        </w:rPr>
        <w:t>Tax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Tax Cuts and Jobs Act of 2017</w:t>
      </w:r>
    </w:p>
    <w:p>
      <w:pPr>
        <w:spacing w:after="0" w:line="86"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6"/>
          <w:szCs w:val="16"/>
          <w:color w:val="auto"/>
        </w:rPr>
        <w:t>Thermal Business</w:t>
      </w:r>
    </w:p>
    <w:p>
      <w:pPr>
        <w:spacing w:after="0" w:line="20" w:lineRule="exact"/>
        <w:rPr>
          <w:sz w:val="20"/>
          <w:szCs w:val="20"/>
          <w:color w:val="auto"/>
        </w:rPr>
      </w:pPr>
      <w:r>
        <w:rPr>
          <w:sz w:val="20"/>
          <w:szCs w:val="20"/>
          <w:color w:val="auto"/>
        </w:rPr>
        <w:br w:type="column"/>
      </w:r>
    </w:p>
    <w:p>
      <w:pPr>
        <w:ind w:right="140"/>
        <w:spacing w:after="0" w:line="263" w:lineRule="auto"/>
        <w:rPr>
          <w:sz w:val="20"/>
          <w:szCs w:val="20"/>
          <w:color w:val="auto"/>
        </w:rPr>
      </w:pPr>
      <w:r>
        <w:rPr>
          <w:rFonts w:ascii="Arial" w:cs="Arial" w:eastAsia="Arial" w:hAnsi="Arial"/>
          <w:sz w:val="18"/>
          <w:szCs w:val="18"/>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22"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7"/>
          <w:szCs w:val="17"/>
          <w:color w:val="auto"/>
        </w:rPr>
        <w:t>TSA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Transition Services Agreement</w:t>
      </w:r>
    </w:p>
    <w:p>
      <w:pPr>
        <w:spacing w:after="0" w:line="86"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6"/>
          <w:szCs w:val="16"/>
          <w:color w:val="auto"/>
        </w:rPr>
        <w:t>UPMC Thermal Project</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7"/>
          <w:szCs w:val="17"/>
          <w:color w:val="auto"/>
        </w:rPr>
        <w:t>The University of Pittsburgh Medical Center Thermal Project, a 73 MWt district energy system that allows ECP to provide steam, chilled water and 7.5 MW of emergency backup power service to UPMC</w:t>
      </w:r>
    </w:p>
    <w:p>
      <w:pPr>
        <w:spacing w:after="0" w:line="1"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86"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6"/>
          <w:szCs w:val="16"/>
          <w:color w:val="auto"/>
        </w:rPr>
        <w:t>Utah Solar Portfolio</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Collection consists of Four Brothers Solar, LLC, Granite Mountain Holdings, LLC, and Iron Springs Holdings, LLC, which are equity investments owned by Four Brothers Capital, LLC, Granite Mountain Capital, LLC, and Iron Springs Capital, LLC, respectively, and are part of the March 2017 Drop Down Assets acquisition that closed on March 27, 2017</w:t>
      </w:r>
    </w:p>
    <w:p>
      <w:pPr>
        <w:spacing w:after="0" w:line="25"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7"/>
          <w:szCs w:val="17"/>
          <w:color w:val="auto"/>
        </w:rPr>
        <w:t>Utility Scale Solar</w:t>
      </w:r>
    </w:p>
    <w:p>
      <w:pPr>
        <w:spacing w:after="0" w:line="20" w:lineRule="exact"/>
        <w:rPr>
          <w:sz w:val="20"/>
          <w:szCs w:val="20"/>
          <w:color w:val="auto"/>
        </w:rPr>
      </w:pPr>
      <w:r>
        <w:rPr>
          <w:sz w:val="20"/>
          <w:szCs w:val="20"/>
          <w:color w:val="auto"/>
        </w:rPr>
        <w:br w:type="column"/>
      </w:r>
    </w:p>
    <w:p>
      <w:pPr>
        <w:ind w:right="460"/>
        <w:spacing w:after="0" w:line="298" w:lineRule="auto"/>
        <w:rPr>
          <w:sz w:val="20"/>
          <w:szCs w:val="20"/>
          <w:color w:val="auto"/>
        </w:rPr>
      </w:pPr>
      <w:r>
        <w:rPr>
          <w:rFonts w:ascii="Arial" w:cs="Arial" w:eastAsia="Arial" w:hAnsi="Arial"/>
          <w:sz w:val="17"/>
          <w:szCs w:val="17"/>
          <w:color w:val="auto"/>
        </w:rPr>
        <w:t>Solar power projects, typically 20 MW or greater in size (on an alternating current, or AC, basis), that are interconnected into the transmission or distribution grid to sell power at a wholesale level</w:t>
      </w:r>
    </w:p>
    <w:p>
      <w:pPr>
        <w:spacing w:after="0" w:line="1"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6"/>
          <w:szCs w:val="16"/>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86"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rPr>
          <w:sz w:val="20"/>
          <w:szCs w:val="20"/>
          <w:color w:val="auto"/>
        </w:rPr>
      </w:pPr>
      <w:r>
        <w:rPr>
          <w:rFonts w:ascii="Arial" w:cs="Arial" w:eastAsia="Arial" w:hAnsi="Arial"/>
          <w:sz w:val="17"/>
          <w:szCs w:val="17"/>
          <w:color w:val="auto"/>
        </w:rPr>
        <w:t>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Wind TE Holdco LLC, an 814 net MW portfolio of twelve wind projects</w:t>
      </w:r>
    </w:p>
    <w:p>
      <w:pPr>
        <w:spacing w:after="0" w:line="211" w:lineRule="exact"/>
        <w:rPr>
          <w:sz w:val="20"/>
          <w:szCs w:val="20"/>
          <w:color w:val="auto"/>
        </w:rPr>
      </w:pPr>
    </w:p>
    <w:p>
      <w:pPr>
        <w:sectPr>
          <w:pgSz w:w="11900" w:h="16838" w:orient="portrait"/>
          <w:cols w:equalWidth="0" w:num="2">
            <w:col w:w="2260" w:space="720"/>
            <w:col w:w="8060"/>
          </w:cols>
          <w:pgMar w:left="340" w:top="949"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40" w:top="949" w:right="51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162"/>
        </w:trPr>
        <w:tc>
          <w:tcPr>
            <w:tcW w:w="20" w:type="dxa"/>
            <w:vAlign w:val="bottom"/>
          </w:tcPr>
          <w:p>
            <w:pPr>
              <w:spacing w:after="0"/>
              <w:rPr>
                <w:sz w:val="14"/>
                <w:szCs w:val="14"/>
                <w:color w:val="auto"/>
              </w:rPr>
            </w:pPr>
          </w:p>
        </w:tc>
        <w:tc>
          <w:tcPr>
            <w:tcW w:w="84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8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Revenues</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8440" w:type="dxa"/>
            <w:vAlign w:val="bottom"/>
            <w:gridSpan w:val="2"/>
          </w:tcPr>
          <w:p>
            <w:pPr>
              <w:ind w:left="200"/>
              <w:spacing w:after="0"/>
              <w:rPr>
                <w:sz w:val="20"/>
                <w:szCs w:val="20"/>
                <w:color w:val="auto"/>
              </w:rPr>
            </w:pPr>
            <w:r>
              <w:rPr>
                <w:rFonts w:ascii="Arial" w:cs="Arial" w:eastAsia="Arial" w:hAnsi="Arial"/>
                <w:sz w:val="17"/>
                <w:szCs w:val="17"/>
                <w:color w:val="auto"/>
              </w:rPr>
              <w:t>Total operating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217</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8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Costs and Expenses</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8440" w:type="dxa"/>
            <w:vAlign w:val="bottom"/>
            <w:gridSpan w:val="2"/>
          </w:tcPr>
          <w:p>
            <w:pPr>
              <w:ind w:left="100"/>
              <w:spacing w:after="0"/>
              <w:rPr>
                <w:sz w:val="20"/>
                <w:szCs w:val="20"/>
                <w:color w:val="auto"/>
              </w:rPr>
            </w:pPr>
            <w:r>
              <w:rPr>
                <w:rFonts w:ascii="Arial" w:cs="Arial" w:eastAsia="Arial" w:hAnsi="Arial"/>
                <w:sz w:val="17"/>
                <w:szCs w:val="17"/>
                <w:color w:val="auto"/>
              </w:rPr>
              <w:t>Cost of operations</w:t>
            </w:r>
          </w:p>
        </w:tc>
        <w:tc>
          <w:tcPr>
            <w:tcW w:w="2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83</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Depreciation, amortization and accretion</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w:t>
            </w:r>
          </w:p>
        </w:tc>
      </w:tr>
      <w:tr>
        <w:trPr>
          <w:trHeight w:val="243"/>
        </w:trPr>
        <w:tc>
          <w:tcPr>
            <w:tcW w:w="20" w:type="dxa"/>
            <w:vAlign w:val="bottom"/>
          </w:tcPr>
          <w:p>
            <w:pPr>
              <w:spacing w:after="0"/>
              <w:rPr>
                <w:sz w:val="21"/>
                <w:szCs w:val="21"/>
                <w:color w:val="auto"/>
              </w:rPr>
            </w:pPr>
          </w:p>
        </w:tc>
        <w:tc>
          <w:tcPr>
            <w:tcW w:w="8440" w:type="dxa"/>
            <w:vAlign w:val="bottom"/>
            <w:gridSpan w:val="2"/>
          </w:tcPr>
          <w:p>
            <w:pPr>
              <w:ind w:left="100"/>
              <w:spacing w:after="0"/>
              <w:rPr>
                <w:sz w:val="20"/>
                <w:szCs w:val="20"/>
                <w:color w:val="auto"/>
              </w:rPr>
            </w:pPr>
            <w:r>
              <w:rPr>
                <w:rFonts w:ascii="Arial" w:cs="Arial" w:eastAsia="Arial" w:hAnsi="Arial"/>
                <w:sz w:val="17"/>
                <w:szCs w:val="17"/>
                <w:color w:val="auto"/>
              </w:rPr>
              <w:t>General and administrative</w:t>
            </w:r>
          </w:p>
        </w:tc>
        <w:tc>
          <w:tcPr>
            <w:tcW w:w="2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6</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Transaction and integration costs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r>
      <w:tr>
        <w:trPr>
          <w:trHeight w:val="243"/>
        </w:trPr>
        <w:tc>
          <w:tcPr>
            <w:tcW w:w="20" w:type="dxa"/>
            <w:vAlign w:val="bottom"/>
          </w:tcPr>
          <w:p>
            <w:pPr>
              <w:spacing w:after="0"/>
              <w:rPr>
                <w:sz w:val="21"/>
                <w:szCs w:val="21"/>
                <w:color w:val="auto"/>
              </w:rPr>
            </w:pPr>
          </w:p>
        </w:tc>
        <w:tc>
          <w:tcPr>
            <w:tcW w:w="8440" w:type="dxa"/>
            <w:vAlign w:val="bottom"/>
            <w:gridSpan w:val="2"/>
          </w:tcPr>
          <w:p>
            <w:pPr>
              <w:ind w:left="100"/>
              <w:spacing w:after="0"/>
              <w:rPr>
                <w:sz w:val="20"/>
                <w:szCs w:val="20"/>
                <w:color w:val="auto"/>
              </w:rPr>
            </w:pPr>
            <w:r>
              <w:rPr>
                <w:rFonts w:ascii="Arial" w:cs="Arial" w:eastAsia="Arial" w:hAnsi="Arial"/>
                <w:sz w:val="17"/>
                <w:szCs w:val="17"/>
                <w:color w:val="auto"/>
              </w:rPr>
              <w:t>Development costs</w:t>
            </w:r>
          </w:p>
        </w:tc>
        <w:tc>
          <w:tcPr>
            <w:tcW w:w="2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84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Total operating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w:t>
            </w:r>
          </w:p>
        </w:tc>
      </w:tr>
      <w:tr>
        <w:trPr>
          <w:trHeight w:val="237"/>
        </w:trPr>
        <w:tc>
          <w:tcPr>
            <w:tcW w:w="20" w:type="dxa"/>
            <w:vAlign w:val="bottom"/>
          </w:tcPr>
          <w:p>
            <w:pPr>
              <w:spacing w:after="0"/>
              <w:rPr>
                <w:sz w:val="20"/>
                <w:szCs w:val="20"/>
                <w:color w:val="auto"/>
              </w:rPr>
            </w:pPr>
          </w:p>
        </w:tc>
        <w:tc>
          <w:tcPr>
            <w:tcW w:w="8440" w:type="dxa"/>
            <w:vAlign w:val="bottom"/>
            <w:gridSpan w:val="2"/>
          </w:tcPr>
          <w:p>
            <w:pPr>
              <w:spacing w:after="0"/>
              <w:rPr>
                <w:sz w:val="20"/>
                <w:szCs w:val="20"/>
                <w:color w:val="auto"/>
              </w:rPr>
            </w:pPr>
            <w:r>
              <w:rPr>
                <w:rFonts w:ascii="Arial" w:cs="Arial" w:eastAsia="Arial" w:hAnsi="Arial"/>
                <w:sz w:val="17"/>
                <w:szCs w:val="17"/>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41</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8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Other Income (Expense)</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8440" w:type="dxa"/>
            <w:vAlign w:val="bottom"/>
            <w:gridSpan w:val="2"/>
          </w:tcPr>
          <w:p>
            <w:pPr>
              <w:ind w:left="100"/>
              <w:spacing w:after="0"/>
              <w:rPr>
                <w:sz w:val="20"/>
                <w:szCs w:val="20"/>
                <w:color w:val="auto"/>
              </w:rPr>
            </w:pPr>
            <w:r>
              <w:rPr>
                <w:rFonts w:ascii="Arial" w:cs="Arial" w:eastAsia="Arial" w:hAnsi="Arial"/>
                <w:sz w:val="17"/>
                <w:szCs w:val="17"/>
                <w:color w:val="auto"/>
              </w:rPr>
              <w:t>Equity in (losses) earnings of unconsolidated affiliates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Other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r>
      <w:tr>
        <w:trPr>
          <w:trHeight w:val="243"/>
        </w:trPr>
        <w:tc>
          <w:tcPr>
            <w:tcW w:w="20" w:type="dxa"/>
            <w:vAlign w:val="bottom"/>
          </w:tcPr>
          <w:p>
            <w:pPr>
              <w:spacing w:after="0"/>
              <w:rPr>
                <w:sz w:val="21"/>
                <w:szCs w:val="21"/>
                <w:color w:val="auto"/>
              </w:rPr>
            </w:pPr>
          </w:p>
        </w:tc>
        <w:tc>
          <w:tcPr>
            <w:tcW w:w="8440" w:type="dxa"/>
            <w:vAlign w:val="bottom"/>
            <w:gridSpan w:val="2"/>
          </w:tcPr>
          <w:p>
            <w:pPr>
              <w:ind w:left="100"/>
              <w:spacing w:after="0"/>
              <w:rPr>
                <w:sz w:val="20"/>
                <w:szCs w:val="20"/>
                <w:color w:val="auto"/>
              </w:rPr>
            </w:pPr>
            <w:r>
              <w:rPr>
                <w:rFonts w:ascii="Arial" w:cs="Arial" w:eastAsia="Arial" w:hAnsi="Arial"/>
                <w:sz w:val="18"/>
                <w:szCs w:val="18"/>
                <w:color w:val="auto"/>
              </w:rPr>
              <w:t>Loss on debt extinguishment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r>
      <w:tr>
        <w:trPr>
          <w:trHeight w:val="237"/>
        </w:trPr>
        <w:tc>
          <w:tcPr>
            <w:tcW w:w="20" w:type="dxa"/>
            <w:vAlign w:val="bottom"/>
          </w:tcPr>
          <w:p>
            <w:pPr>
              <w:spacing w:after="0"/>
              <w:rPr>
                <w:sz w:val="20"/>
                <w:szCs w:val="20"/>
                <w:color w:val="auto"/>
              </w:rPr>
            </w:pPr>
          </w:p>
        </w:tc>
        <w:tc>
          <w:tcPr>
            <w:tcW w:w="8440" w:type="dxa"/>
            <w:vAlign w:val="bottom"/>
            <w:gridSpan w:val="2"/>
          </w:tcPr>
          <w:p>
            <w:pPr>
              <w:ind w:left="200"/>
              <w:spacing w:after="0"/>
              <w:rPr>
                <w:sz w:val="20"/>
                <w:szCs w:val="20"/>
                <w:color w:val="auto"/>
              </w:rPr>
            </w:pPr>
            <w:r>
              <w:rPr>
                <w:rFonts w:ascii="Arial" w:cs="Arial" w:eastAsia="Arial" w:hAnsi="Arial"/>
                <w:sz w:val="17"/>
                <w:szCs w:val="17"/>
                <w:color w:val="auto"/>
              </w:rPr>
              <w:t>Total other expense, net</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43"/>
        </w:trPr>
        <w:tc>
          <w:tcPr>
            <w:tcW w:w="20" w:type="dxa"/>
            <w:vAlign w:val="bottom"/>
          </w:tcPr>
          <w:p>
            <w:pPr>
              <w:spacing w:after="0"/>
              <w:rPr>
                <w:sz w:val="21"/>
                <w:szCs w:val="21"/>
                <w:color w:val="auto"/>
              </w:rPr>
            </w:pPr>
          </w:p>
        </w:tc>
        <w:tc>
          <w:tcPr>
            <w:tcW w:w="8440" w:type="dxa"/>
            <w:vAlign w:val="bottom"/>
            <w:gridSpan w:val="2"/>
          </w:tcPr>
          <w:p>
            <w:pPr>
              <w:ind w:left="100"/>
              <w:spacing w:after="0"/>
              <w:rPr>
                <w:sz w:val="20"/>
                <w:szCs w:val="20"/>
                <w:color w:val="auto"/>
              </w:rPr>
            </w:pPr>
            <w:r>
              <w:rPr>
                <w:rFonts w:ascii="Arial" w:cs="Arial" w:eastAsia="Arial" w:hAnsi="Arial"/>
                <w:sz w:val="18"/>
                <w:szCs w:val="18"/>
                <w:color w:val="auto"/>
              </w:rPr>
              <w:t>Less: Loss attributable to noncontrolling interests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Clearway Energy LLC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62"/>
        </w:trPr>
        <w:tc>
          <w:tcPr>
            <w:tcW w:w="20" w:type="dxa"/>
            <w:vAlign w:val="bottom"/>
          </w:tcPr>
          <w:p>
            <w:pPr>
              <w:spacing w:after="0"/>
              <w:rPr>
                <w:sz w:val="14"/>
                <w:szCs w:val="14"/>
                <w:color w:val="auto"/>
              </w:rPr>
            </w:pPr>
          </w:p>
        </w:tc>
        <w:tc>
          <w:tcPr>
            <w:tcW w:w="73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04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r>
      <w:tr>
        <w:trPr>
          <w:trHeight w:val="243"/>
        </w:trPr>
        <w:tc>
          <w:tcPr>
            <w:tcW w:w="20" w:type="dxa"/>
            <w:vAlign w:val="bottom"/>
          </w:tcPr>
          <w:p>
            <w:pPr>
              <w:spacing w:after="0"/>
              <w:rPr>
                <w:sz w:val="21"/>
                <w:szCs w:val="21"/>
                <w:color w:val="auto"/>
              </w:rPr>
            </w:pPr>
          </w:p>
        </w:tc>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7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Unrealized loss on derivatives</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37"/>
        </w:trPr>
        <w:tc>
          <w:tcPr>
            <w:tcW w:w="2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r>
      <w:tr>
        <w:trPr>
          <w:trHeight w:val="263"/>
        </w:trPr>
        <w:tc>
          <w:tcPr>
            <w:tcW w:w="20" w:type="dxa"/>
            <w:vAlign w:val="bottom"/>
            <w:tcBorders>
              <w:bottom w:val="single" w:sz="8" w:color="CCEEFF"/>
            </w:tcBorders>
          </w:tcPr>
          <w:p>
            <w:pPr>
              <w:spacing w:after="0"/>
              <w:rPr>
                <w:sz w:val="22"/>
                <w:szCs w:val="22"/>
                <w:color w:val="auto"/>
              </w:rPr>
            </w:pPr>
          </w:p>
        </w:tc>
        <w:tc>
          <w:tcPr>
            <w:tcW w:w="73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Clearway Energy LLC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940" w:top="891" w:right="959"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6640" w:type="dxa"/>
            <w:vAlign w:val="bottom"/>
          </w:tcPr>
          <w:p>
            <w:pPr>
              <w:spacing w:after="0"/>
              <w:rPr>
                <w:sz w:val="17"/>
                <w:szCs w:val="17"/>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March 31, 2020</w:t>
            </w:r>
          </w:p>
        </w:tc>
        <w:tc>
          <w:tcPr>
            <w:tcW w:w="1860" w:type="dxa"/>
            <w:vAlign w:val="bottom"/>
          </w:tcPr>
          <w:p>
            <w:pPr>
              <w:ind w:left="3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48"/>
        </w:trPr>
        <w:tc>
          <w:tcPr>
            <w:tcW w:w="860" w:type="dxa"/>
            <w:vAlign w:val="bottom"/>
          </w:tcPr>
          <w:p>
            <w:pPr>
              <w:spacing w:after="0"/>
              <w:rPr>
                <w:sz w:val="4"/>
                <w:szCs w:val="4"/>
                <w:color w:val="auto"/>
              </w:rPr>
            </w:pPr>
          </w:p>
        </w:tc>
        <w:tc>
          <w:tcPr>
            <w:tcW w:w="6640" w:type="dxa"/>
            <w:vAlign w:val="bottom"/>
            <w:vMerge w:val="restart"/>
          </w:tcPr>
          <w:p>
            <w:pPr>
              <w:ind w:left="2580"/>
              <w:spacing w:after="0"/>
              <w:rPr>
                <w:sz w:val="20"/>
                <w:szCs w:val="20"/>
                <w:color w:val="auto"/>
              </w:rPr>
            </w:pPr>
            <w:r>
              <w:rPr>
                <w:rFonts w:ascii="Arial" w:cs="Arial" w:eastAsia="Arial" w:hAnsi="Arial"/>
                <w:sz w:val="16"/>
                <w:szCs w:val="16"/>
                <w:b w:val="1"/>
                <w:bCs w:val="1"/>
                <w:color w:val="auto"/>
              </w:rPr>
              <w:t>ASSETS</w:t>
            </w:r>
          </w:p>
        </w:tc>
        <w:tc>
          <w:tcPr>
            <w:tcW w:w="1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6640" w:type="dxa"/>
            <w:vAlign w:val="bottom"/>
            <w:vMerge w:val="continue"/>
          </w:tcPr>
          <w:p>
            <w:pPr>
              <w:spacing w:after="0"/>
              <w:rPr>
                <w:sz w:val="20"/>
                <w:szCs w:val="20"/>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00" w:type="dxa"/>
            <w:vAlign w:val="bottom"/>
            <w:gridSpan w:val="2"/>
          </w:tcPr>
          <w:p>
            <w:pPr>
              <w:spacing w:after="0"/>
              <w:rPr>
                <w:sz w:val="20"/>
                <w:szCs w:val="20"/>
                <w:color w:val="auto"/>
              </w:rPr>
            </w:pPr>
            <w:r>
              <w:rPr>
                <w:rFonts w:ascii="Arial" w:cs="Arial" w:eastAsia="Arial" w:hAnsi="Arial"/>
                <w:sz w:val="16"/>
                <w:szCs w:val="16"/>
                <w:b w:val="1"/>
                <w:bCs w:val="1"/>
                <w:color w:val="auto"/>
              </w:rPr>
              <w:t>Current Assets</w:t>
            </w: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06374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p>
      <w:pPr>
        <w:spacing w:after="0" w:line="9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Restricted cash</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receivable — trade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receivable — affiliate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Inventory</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Prepayments and other current assets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current assets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Property, plant and equipment, net</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Assets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152</w:t>
            </w:r>
          </w:p>
        </w:tc>
      </w:tr>
      <w:tr>
        <w:trPr>
          <w:trHeight w:val="270"/>
        </w:trPr>
        <w:tc>
          <w:tcPr>
            <w:tcW w:w="60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262</w:t>
            </w:r>
          </w:p>
        </w:tc>
      </w:tr>
      <w:tr>
        <w:trPr>
          <w:trHeight w:val="270"/>
        </w:trPr>
        <w:tc>
          <w:tcPr>
            <w:tcW w:w="60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116</w:t>
            </w:r>
          </w:p>
        </w:tc>
      </w:tr>
      <w:tr>
        <w:trPr>
          <w:trHeight w:val="270"/>
        </w:trPr>
        <w:tc>
          <w:tcPr>
            <w:tcW w:w="60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w:t>
            </w:r>
          </w:p>
        </w:tc>
      </w:tr>
      <w:tr>
        <w:trPr>
          <w:trHeight w:val="270"/>
        </w:trPr>
        <w:tc>
          <w:tcPr>
            <w:tcW w:w="60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40</w:t>
            </w:r>
          </w:p>
        </w:tc>
      </w:tr>
      <w:tr>
        <w:trPr>
          <w:trHeight w:val="270"/>
        </w:trPr>
        <w:tc>
          <w:tcPr>
            <w:tcW w:w="60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33</w:t>
            </w:r>
          </w:p>
        </w:tc>
      </w:tr>
      <w:tr>
        <w:trPr>
          <w:trHeight w:val="27"/>
        </w:trPr>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605</w:t>
            </w:r>
          </w:p>
        </w:tc>
      </w:tr>
      <w:tr>
        <w:trPr>
          <w:trHeight w:val="270"/>
        </w:trPr>
        <w:tc>
          <w:tcPr>
            <w:tcW w:w="60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6,001</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6,063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-4769485</wp:posOffset>
            </wp:positionH>
            <wp:positionV relativeFrom="paragraph">
              <wp:posOffset>-1019810</wp:posOffset>
            </wp:positionV>
            <wp:extent cx="706374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-676910</wp:posOffset>
            </wp:positionV>
            <wp:extent cx="706374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-334010</wp:posOffset>
            </wp:positionV>
            <wp:extent cx="706374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63740" cy="17970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17145</wp:posOffset>
            </wp:positionV>
            <wp:extent cx="706374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63740" cy="163195"/>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6800" w:space="720"/>
            <w:col w:w="3620"/>
          </w:cols>
          <w:pgMar w:left="320" w:top="891" w:right="439" w:bottom="1440" w:gutter="0" w:footer="0" w:header="0"/>
          <w:type w:val="continuous"/>
        </w:sectPr>
      </w:pPr>
    </w:p>
    <w:tbl>
      <w:tblPr>
        <w:tblLayout w:type="fixed"/>
        <w:tblInd w:w="0" w:type="dxa"/>
        <w:tblCellMar>
          <w:top w:w="0" w:type="dxa"/>
          <w:left w:w="0" w:type="dxa"/>
          <w:bottom w:w="0" w:type="dxa"/>
          <w:right w:w="0" w:type="dxa"/>
        </w:tblCellMar>
      </w:tblPr>
      <w:tr>
        <w:trPr>
          <w:trHeight w:val="254"/>
        </w:trPr>
        <w:tc>
          <w:tcPr>
            <w:tcW w:w="7520" w:type="dxa"/>
            <w:vAlign w:val="bottom"/>
          </w:tcPr>
          <w:p>
            <w:pPr>
              <w:ind w:left="180"/>
              <w:spacing w:after="0"/>
              <w:rPr>
                <w:sz w:val="20"/>
                <w:szCs w:val="20"/>
                <w:color w:val="auto"/>
              </w:rPr>
            </w:pPr>
            <w:r>
              <w:rPr>
                <w:rFonts w:ascii="Arial" w:cs="Arial" w:eastAsia="Arial" w:hAnsi="Arial"/>
                <w:sz w:val="16"/>
                <w:szCs w:val="16"/>
                <w:color w:val="auto"/>
              </w:rPr>
              <w:t>Equity investments in affiliates</w:t>
            </w:r>
          </w:p>
        </w:tc>
        <w:tc>
          <w:tcPr>
            <w:tcW w:w="60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73"/>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1,406</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67"/>
        </w:trPr>
        <w:tc>
          <w:tcPr>
            <w:tcW w:w="7520" w:type="dxa"/>
            <w:vAlign w:val="bottom"/>
          </w:tcPr>
          <w:p>
            <w:pPr>
              <w:ind w:left="180"/>
              <w:spacing w:after="0"/>
              <w:rPr>
                <w:sz w:val="20"/>
                <w:szCs w:val="20"/>
                <w:color w:val="auto"/>
              </w:rPr>
            </w:pPr>
            <w:r>
              <w:rPr>
                <w:rFonts w:ascii="Arial" w:cs="Arial" w:eastAsia="Arial" w:hAnsi="Arial"/>
                <w:sz w:val="16"/>
                <w:szCs w:val="16"/>
                <w:color w:val="auto"/>
              </w:rPr>
              <w:t>Right of use assets, net</w:t>
            </w:r>
          </w:p>
        </w:tc>
        <w:tc>
          <w:tcPr>
            <w:tcW w:w="60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0"/>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non-current assets</w:t>
            </w:r>
          </w:p>
        </w:tc>
        <w:tc>
          <w:tcPr>
            <w:tcW w:w="6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9"/>
        </w:trPr>
        <w:tc>
          <w:tcPr>
            <w:tcW w:w="7520" w:type="dxa"/>
            <w:vAlign w:val="bottom"/>
          </w:tcPr>
          <w:p>
            <w:pPr>
              <w:ind w:left="340"/>
              <w:spacing w:after="0"/>
              <w:rPr>
                <w:sz w:val="20"/>
                <w:szCs w:val="20"/>
                <w:color w:val="auto"/>
              </w:rPr>
            </w:pPr>
            <w:r>
              <w:rPr>
                <w:rFonts w:ascii="Arial" w:cs="Arial" w:eastAsia="Arial" w:hAnsi="Arial"/>
                <w:sz w:val="16"/>
                <w:szCs w:val="16"/>
                <w:color w:val="auto"/>
              </w:rPr>
              <w:t>Total other assets</w:t>
            </w:r>
          </w:p>
        </w:tc>
        <w:tc>
          <w:tcPr>
            <w:tcW w:w="60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9,439</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9,605</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260"/>
              <w:spacing w:after="0"/>
              <w:rPr>
                <w:sz w:val="20"/>
                <w:szCs w:val="20"/>
                <w:color w:val="auto"/>
              </w:rPr>
            </w:pPr>
            <w:r>
              <w:rPr>
                <w:rFonts w:ascii="Arial" w:cs="Arial" w:eastAsia="Arial" w:hAnsi="Arial"/>
                <w:sz w:val="16"/>
                <w:szCs w:val="16"/>
                <w:b w:val="1"/>
                <w:bCs w:val="1"/>
                <w:color w:val="auto"/>
              </w:rPr>
              <w:t>LIABILITIES AND MEMBERS' EQUITY</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52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6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7520" w:type="dxa"/>
            <w:vAlign w:val="bottom"/>
          </w:tcPr>
          <w:p>
            <w:pPr>
              <w:ind w:left="300"/>
              <w:spacing w:after="0"/>
              <w:rPr>
                <w:sz w:val="20"/>
                <w:szCs w:val="20"/>
                <w:color w:val="auto"/>
              </w:rPr>
            </w:pPr>
            <w:r>
              <w:rPr>
                <w:rFonts w:ascii="Arial" w:cs="Arial" w:eastAsia="Arial" w:hAnsi="Arial"/>
                <w:sz w:val="16"/>
                <w:szCs w:val="16"/>
                <w:color w:val="auto"/>
              </w:rPr>
              <w:t>Current portion of long-term debt — external</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23"/>
                <w:szCs w:val="23"/>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73"/>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 — affiliate</w:t>
            </w: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67"/>
        </w:trPr>
        <w:tc>
          <w:tcPr>
            <w:tcW w:w="7520" w:type="dxa"/>
            <w:vAlign w:val="bottom"/>
          </w:tcPr>
          <w:p>
            <w:pPr>
              <w:ind w:left="180"/>
              <w:spacing w:after="0"/>
              <w:rPr>
                <w:sz w:val="20"/>
                <w:szCs w:val="20"/>
                <w:color w:val="auto"/>
              </w:rPr>
            </w:pPr>
            <w:r>
              <w:rPr>
                <w:rFonts w:ascii="Arial" w:cs="Arial" w:eastAsia="Arial" w:hAnsi="Arial"/>
                <w:sz w:val="16"/>
                <w:szCs w:val="16"/>
                <w:color w:val="auto"/>
              </w:rPr>
              <w:t>Accounts payable — trade</w:t>
            </w:r>
          </w:p>
        </w:tc>
        <w:tc>
          <w:tcPr>
            <w:tcW w:w="60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3"/>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 affiliate</w:t>
            </w: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7"/>
        </w:trPr>
        <w:tc>
          <w:tcPr>
            <w:tcW w:w="752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60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3"/>
        </w:trPr>
        <w:tc>
          <w:tcPr>
            <w:tcW w:w="7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interest expense</w:t>
            </w: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7"/>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6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67"/>
        </w:trPr>
        <w:tc>
          <w:tcPr>
            <w:tcW w:w="7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6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6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Long-term debt — external</w:t>
            </w: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5,081</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67"/>
        </w:trPr>
        <w:tc>
          <w:tcPr>
            <w:tcW w:w="7520" w:type="dxa"/>
            <w:vAlign w:val="bottom"/>
          </w:tcPr>
          <w:p>
            <w:pPr>
              <w:ind w:left="300"/>
              <w:spacing w:after="0"/>
              <w:rPr>
                <w:sz w:val="20"/>
                <w:szCs w:val="20"/>
                <w:color w:val="auto"/>
              </w:rPr>
            </w:pPr>
            <w:r>
              <w:rPr>
                <w:rFonts w:ascii="Arial" w:cs="Arial" w:eastAsia="Arial" w:hAnsi="Arial"/>
                <w:sz w:val="16"/>
                <w:szCs w:val="16"/>
                <w:color w:val="auto"/>
              </w:rPr>
              <w:t>Derivative instruments</w:t>
            </w:r>
          </w:p>
        </w:tc>
        <w:tc>
          <w:tcPr>
            <w:tcW w:w="60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3"/>
        </w:trPr>
        <w:tc>
          <w:tcPr>
            <w:tcW w:w="7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Long-term lease liabilities</w:t>
            </w: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67"/>
        </w:trPr>
        <w:tc>
          <w:tcPr>
            <w:tcW w:w="7520" w:type="dxa"/>
            <w:vAlign w:val="bottom"/>
          </w:tcPr>
          <w:p>
            <w:pPr>
              <w:ind w:left="300"/>
              <w:spacing w:after="0"/>
              <w:rPr>
                <w:sz w:val="20"/>
                <w:szCs w:val="20"/>
                <w:color w:val="auto"/>
              </w:rPr>
            </w:pPr>
            <w:r>
              <w:rPr>
                <w:rFonts w:ascii="Arial" w:cs="Arial" w:eastAsia="Arial" w:hAnsi="Arial"/>
                <w:sz w:val="16"/>
                <w:szCs w:val="16"/>
                <w:color w:val="auto"/>
              </w:rPr>
              <w:t>Other non-current liabilities</w:t>
            </w:r>
          </w:p>
        </w:tc>
        <w:tc>
          <w:tcPr>
            <w:tcW w:w="60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3"/>
        </w:trPr>
        <w:tc>
          <w:tcPr>
            <w:tcW w:w="7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non-current liabilities</w:t>
            </w:r>
          </w:p>
        </w:tc>
        <w:tc>
          <w:tcPr>
            <w:tcW w:w="6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5,571</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5,374</w:t>
            </w: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6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7,288</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7,432</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6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Members' Equity</w:t>
            </w: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Contributed capital</w:t>
            </w: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67"/>
        </w:trPr>
        <w:tc>
          <w:tcPr>
            <w:tcW w:w="7520" w:type="dxa"/>
            <w:vAlign w:val="bottom"/>
          </w:tcPr>
          <w:p>
            <w:pPr>
              <w:ind w:left="300"/>
              <w:spacing w:after="0"/>
              <w:rPr>
                <w:sz w:val="20"/>
                <w:szCs w:val="20"/>
                <w:color w:val="auto"/>
              </w:rPr>
            </w:pPr>
            <w:r>
              <w:rPr>
                <w:rFonts w:ascii="Arial" w:cs="Arial" w:eastAsia="Arial" w:hAnsi="Arial"/>
                <w:sz w:val="16"/>
                <w:szCs w:val="16"/>
                <w:color w:val="auto"/>
              </w:rPr>
              <w:t>(Accumulated deficit) retained earnings</w:t>
            </w:r>
          </w:p>
        </w:tc>
        <w:tc>
          <w:tcPr>
            <w:tcW w:w="6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3"/>
        </w:trPr>
        <w:tc>
          <w:tcPr>
            <w:tcW w:w="7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other comprehensive loss</w:t>
            </w: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7"/>
        </w:trPr>
        <w:tc>
          <w:tcPr>
            <w:tcW w:w="75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Noncontrolling interest</w:t>
            </w:r>
          </w:p>
        </w:tc>
        <w:tc>
          <w:tcPr>
            <w:tcW w:w="6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6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Members' Equity</w:t>
            </w:r>
          </w:p>
        </w:tc>
        <w:tc>
          <w:tcPr>
            <w:tcW w:w="6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2,151</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60"/>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Members’ Equity</w:t>
            </w: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9,439</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9,605</w:t>
            </w:r>
          </w:p>
        </w:tc>
        <w:tc>
          <w:tcPr>
            <w:tcW w:w="0" w:type="dxa"/>
            <w:vAlign w:val="bottom"/>
          </w:tcPr>
          <w:p>
            <w:pPr>
              <w:spacing w:after="0"/>
              <w:rPr>
                <w:sz w:val="1"/>
                <w:szCs w:val="1"/>
                <w:color w:val="auto"/>
              </w:rPr>
            </w:pPr>
          </w:p>
        </w:tc>
      </w:tr>
      <w:tr>
        <w:trPr>
          <w:trHeight w:val="24"/>
        </w:trPr>
        <w:tc>
          <w:tcPr>
            <w:tcW w:w="75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type w:val="continuous"/>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7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96"/>
        </w:trPr>
        <w:tc>
          <w:tcPr>
            <w:tcW w:w="84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r>
      <w:tr>
        <w:trPr>
          <w:trHeight w:val="162"/>
        </w:trPr>
        <w:tc>
          <w:tcPr>
            <w:tcW w:w="8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(In millions)</w:t>
            </w:r>
          </w:p>
        </w:tc>
        <w:tc>
          <w:tcPr>
            <w:tcW w:w="880" w:type="dxa"/>
            <w:vAlign w:val="bottom"/>
          </w:tcPr>
          <w:p>
            <w:pPr>
              <w:spacing w:after="0"/>
              <w:rPr>
                <w:sz w:val="14"/>
                <w:szCs w:val="14"/>
                <w:color w:val="auto"/>
              </w:rPr>
            </w:pPr>
          </w:p>
        </w:tc>
      </w:tr>
      <w:tr>
        <w:trPr>
          <w:trHeight w:val="21"/>
        </w:trPr>
        <w:tc>
          <w:tcPr>
            <w:tcW w:w="8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3"/>
              <w:spacing w:after="0"/>
              <w:rPr>
                <w:sz w:val="20"/>
                <w:szCs w:val="20"/>
                <w:color w:val="auto"/>
              </w:rPr>
            </w:pPr>
            <w:r>
              <w:rPr>
                <w:rFonts w:ascii="Arial" w:cs="Arial" w:eastAsia="Arial" w:hAnsi="Arial"/>
                <w:sz w:val="18"/>
                <w:szCs w:val="18"/>
                <w:color w:val="auto"/>
                <w:w w:val="95"/>
              </w:rPr>
              <w:t>(129)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320"/>
              <w:spacing w:after="0"/>
              <w:rPr>
                <w:sz w:val="20"/>
                <w:szCs w:val="20"/>
                <w:color w:val="auto"/>
              </w:rPr>
            </w:pPr>
            <w:r>
              <w:rPr>
                <w:rFonts w:ascii="Arial" w:cs="Arial" w:eastAsia="Arial" w:hAnsi="Arial"/>
                <w:sz w:val="18"/>
                <w:szCs w:val="18"/>
                <w:color w:val="auto"/>
              </w:rPr>
              <w:t>Equity in earnings (losses) of unconsolidated affiliates</w:t>
            </w:r>
          </w:p>
        </w:tc>
        <w:tc>
          <w:tcPr>
            <w:tcW w:w="840" w:type="dxa"/>
            <w:vAlign w:val="bottom"/>
          </w:tcPr>
          <w:p>
            <w:pPr>
              <w:spacing w:after="0"/>
              <w:rPr>
                <w:sz w:val="21"/>
                <w:szCs w:val="21"/>
                <w:color w:val="auto"/>
              </w:rPr>
            </w:pPr>
          </w:p>
        </w:tc>
        <w:tc>
          <w:tcPr>
            <w:tcW w:w="520" w:type="dxa"/>
            <w:vAlign w:val="bottom"/>
            <w:gridSpan w:val="2"/>
          </w:tcPr>
          <w:p>
            <w:pPr>
              <w:jc w:val="right"/>
              <w:ind w:right="7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Distributions from unconsolidated affiliates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r>
      <w:tr>
        <w:trPr>
          <w:trHeight w:val="243"/>
        </w:trPr>
        <w:tc>
          <w:tcPr>
            <w:tcW w:w="8440" w:type="dxa"/>
            <w:vAlign w:val="bottom"/>
          </w:tcPr>
          <w:p>
            <w:pPr>
              <w:ind w:left="320"/>
              <w:spacing w:after="0"/>
              <w:rPr>
                <w:sz w:val="20"/>
                <w:szCs w:val="20"/>
                <w:color w:val="auto"/>
              </w:rPr>
            </w:pPr>
            <w:r>
              <w:rPr>
                <w:rFonts w:ascii="Arial" w:cs="Arial" w:eastAsia="Arial" w:hAnsi="Arial"/>
                <w:sz w:val="18"/>
                <w:szCs w:val="18"/>
                <w:color w:val="auto"/>
              </w:rPr>
              <w:t>Depreciation, amortization and accretion</w:t>
            </w:r>
          </w:p>
        </w:tc>
        <w:tc>
          <w:tcPr>
            <w:tcW w:w="840" w:type="dxa"/>
            <w:vAlign w:val="bottom"/>
          </w:tcPr>
          <w:p>
            <w:pPr>
              <w:spacing w:after="0"/>
              <w:rPr>
                <w:sz w:val="21"/>
                <w:szCs w:val="21"/>
                <w:color w:val="auto"/>
              </w:rPr>
            </w:pPr>
          </w:p>
        </w:tc>
        <w:tc>
          <w:tcPr>
            <w:tcW w:w="520" w:type="dxa"/>
            <w:vAlign w:val="bottom"/>
            <w:gridSpan w:val="2"/>
          </w:tcPr>
          <w:p>
            <w:pPr>
              <w:jc w:val="right"/>
              <w:ind w:right="53"/>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85</w:t>
            </w:r>
          </w:p>
        </w:tc>
      </w:tr>
      <w:tr>
        <w:trPr>
          <w:trHeight w:val="27"/>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Amortization of financing costs and debt discounts . .</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r>
      <w:tr>
        <w:trPr>
          <w:trHeight w:val="243"/>
        </w:trPr>
        <w:tc>
          <w:tcPr>
            <w:tcW w:w="8440" w:type="dxa"/>
            <w:vAlign w:val="bottom"/>
          </w:tcPr>
          <w:p>
            <w:pPr>
              <w:ind w:left="320"/>
              <w:spacing w:after="0"/>
              <w:rPr>
                <w:sz w:val="20"/>
                <w:szCs w:val="20"/>
                <w:color w:val="auto"/>
              </w:rPr>
            </w:pPr>
            <w:r>
              <w:rPr>
                <w:rFonts w:ascii="Arial" w:cs="Arial" w:eastAsia="Arial" w:hAnsi="Arial"/>
                <w:sz w:val="18"/>
                <w:szCs w:val="18"/>
                <w:color w:val="auto"/>
              </w:rPr>
              <w:t>Amortization of intangibles and out-of-market contracts</w:t>
            </w:r>
          </w:p>
        </w:tc>
        <w:tc>
          <w:tcPr>
            <w:tcW w:w="840" w:type="dxa"/>
            <w:vAlign w:val="bottom"/>
          </w:tcPr>
          <w:p>
            <w:pPr>
              <w:spacing w:after="0"/>
              <w:rPr>
                <w:sz w:val="21"/>
                <w:szCs w:val="21"/>
                <w:color w:val="auto"/>
              </w:rPr>
            </w:pPr>
          </w:p>
        </w:tc>
        <w:tc>
          <w:tcPr>
            <w:tcW w:w="520" w:type="dxa"/>
            <w:vAlign w:val="bottom"/>
            <w:gridSpan w:val="2"/>
          </w:tcPr>
          <w:p>
            <w:pPr>
              <w:jc w:val="right"/>
              <w:ind w:right="7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17</w:t>
            </w:r>
          </w:p>
        </w:tc>
      </w:tr>
      <w:tr>
        <w:trPr>
          <w:trHeight w:val="27"/>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Loss on debt extinguishment</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320"/>
              <w:spacing w:after="0"/>
              <w:rPr>
                <w:sz w:val="20"/>
                <w:szCs w:val="20"/>
                <w:color w:val="auto"/>
              </w:rPr>
            </w:pPr>
            <w:r>
              <w:rPr>
                <w:rFonts w:ascii="Arial" w:cs="Arial" w:eastAsia="Arial" w:hAnsi="Arial"/>
                <w:sz w:val="18"/>
                <w:szCs w:val="18"/>
                <w:color w:val="auto"/>
              </w:rPr>
              <w:t>Right-of-use asset amortization . .</w:t>
            </w:r>
          </w:p>
        </w:tc>
        <w:tc>
          <w:tcPr>
            <w:tcW w:w="840" w:type="dxa"/>
            <w:vAlign w:val="bottom"/>
          </w:tcPr>
          <w:p>
            <w:pPr>
              <w:spacing w:after="0"/>
              <w:rPr>
                <w:sz w:val="21"/>
                <w:szCs w:val="21"/>
                <w:color w:val="auto"/>
              </w:rPr>
            </w:pPr>
          </w:p>
        </w:tc>
        <w:tc>
          <w:tcPr>
            <w:tcW w:w="520" w:type="dxa"/>
            <w:vAlign w:val="bottom"/>
            <w:gridSpan w:val="2"/>
          </w:tcPr>
          <w:p>
            <w:pPr>
              <w:jc w:val="right"/>
              <w:ind w:right="5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Changes in derivative instruments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w:t>
            </w:r>
          </w:p>
        </w:tc>
      </w:tr>
      <w:tr>
        <w:trPr>
          <w:trHeight w:val="243"/>
        </w:trPr>
        <w:tc>
          <w:tcPr>
            <w:tcW w:w="8440" w:type="dxa"/>
            <w:vAlign w:val="bottom"/>
          </w:tcPr>
          <w:p>
            <w:pPr>
              <w:ind w:left="320"/>
              <w:spacing w:after="0"/>
              <w:rPr>
                <w:sz w:val="20"/>
                <w:szCs w:val="20"/>
                <w:color w:val="auto"/>
              </w:rPr>
            </w:pPr>
            <w:r>
              <w:rPr>
                <w:rFonts w:ascii="Arial" w:cs="Arial" w:eastAsia="Arial" w:hAnsi="Arial"/>
                <w:sz w:val="18"/>
                <w:szCs w:val="18"/>
                <w:color w:val="auto"/>
              </w:rPr>
              <w:t>Loss on sale of assets components</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w:t>
            </w:r>
          </w:p>
        </w:tc>
      </w:tr>
      <w:tr>
        <w:trPr>
          <w:trHeight w:val="27"/>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Cash provided by (used in) changes in other working capital</w:t>
            </w: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32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840" w:type="dxa"/>
            <w:vAlign w:val="bottom"/>
          </w:tcPr>
          <w:p>
            <w:pPr>
              <w:spacing w:after="0"/>
              <w:rPr>
                <w:sz w:val="21"/>
                <w:szCs w:val="21"/>
                <w:color w:val="auto"/>
              </w:rPr>
            </w:pPr>
          </w:p>
        </w:tc>
        <w:tc>
          <w:tcPr>
            <w:tcW w:w="520" w:type="dxa"/>
            <w:vAlign w:val="bottom"/>
            <w:gridSpan w:val="2"/>
          </w:tcPr>
          <w:p>
            <w:pPr>
              <w:jc w:val="right"/>
              <w:ind w:right="13"/>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Changes in other working capital</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r>
      <w:tr>
        <w:trPr>
          <w:trHeight w:val="237"/>
        </w:trPr>
        <w:tc>
          <w:tcPr>
            <w:tcW w:w="844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jc w:val="right"/>
              <w:ind w:right="73"/>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61</w:t>
            </w:r>
          </w:p>
        </w:tc>
      </w:tr>
      <w:tr>
        <w:trPr>
          <w:trHeight w:val="27"/>
        </w:trPr>
        <w:tc>
          <w:tcPr>
            <w:tcW w:w="8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8440" w:type="dxa"/>
            <w:vAlign w:val="bottom"/>
          </w:tcPr>
          <w:p>
            <w:pPr>
              <w:ind w:left="320"/>
              <w:spacing w:after="0"/>
              <w:rPr>
                <w:sz w:val="20"/>
                <w:szCs w:val="20"/>
                <w:color w:val="auto"/>
              </w:rPr>
            </w:pPr>
            <w:r>
              <w:rPr>
                <w:rFonts w:ascii="Arial" w:cs="Arial" w:eastAsia="Arial" w:hAnsi="Arial"/>
                <w:sz w:val="18"/>
                <w:szCs w:val="18"/>
                <w:color w:val="auto"/>
              </w:rPr>
              <w:t>Partnership interest acquisition</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Buyout of Wind TE Holdco noncontrolling interest</w:t>
            </w: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8440" w:type="dxa"/>
            <w:vAlign w:val="bottom"/>
          </w:tcPr>
          <w:p>
            <w:pPr>
              <w:ind w:left="320"/>
              <w:spacing w:after="0"/>
              <w:rPr>
                <w:sz w:val="20"/>
                <w:szCs w:val="20"/>
                <w:color w:val="auto"/>
              </w:rPr>
            </w:pPr>
            <w:r>
              <w:rPr>
                <w:rFonts w:ascii="Arial" w:cs="Arial" w:eastAsia="Arial" w:hAnsi="Arial"/>
                <w:sz w:val="18"/>
                <w:szCs w:val="18"/>
                <w:color w:val="auto"/>
              </w:rPr>
              <w:t>Capital expenditures</w:t>
            </w:r>
          </w:p>
        </w:tc>
        <w:tc>
          <w:tcPr>
            <w:tcW w:w="840" w:type="dxa"/>
            <w:vAlign w:val="bottom"/>
          </w:tcPr>
          <w:p>
            <w:pPr>
              <w:spacing w:after="0"/>
              <w:rPr>
                <w:sz w:val="21"/>
                <w:szCs w:val="21"/>
                <w:color w:val="auto"/>
              </w:rPr>
            </w:pPr>
          </w:p>
        </w:tc>
        <w:tc>
          <w:tcPr>
            <w:tcW w:w="520" w:type="dxa"/>
            <w:vAlign w:val="bottom"/>
            <w:gridSpan w:val="2"/>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Return of investment from unconsolidated affiliates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r>
      <w:tr>
        <w:trPr>
          <w:trHeight w:val="243"/>
        </w:trPr>
        <w:tc>
          <w:tcPr>
            <w:tcW w:w="8440" w:type="dxa"/>
            <w:vAlign w:val="bottom"/>
          </w:tcPr>
          <w:p>
            <w:pPr>
              <w:ind w:left="320"/>
              <w:spacing w:after="0"/>
              <w:rPr>
                <w:sz w:val="20"/>
                <w:szCs w:val="20"/>
                <w:color w:val="auto"/>
              </w:rPr>
            </w:pPr>
            <w:r>
              <w:rPr>
                <w:rFonts w:ascii="Arial" w:cs="Arial" w:eastAsia="Arial" w:hAnsi="Arial"/>
                <w:sz w:val="18"/>
                <w:szCs w:val="18"/>
                <w:color w:val="auto"/>
              </w:rPr>
              <w:t>Investments in unconsolidated affiliates</w:t>
            </w:r>
          </w:p>
        </w:tc>
        <w:tc>
          <w:tcPr>
            <w:tcW w:w="840" w:type="dxa"/>
            <w:vAlign w:val="bottom"/>
          </w:tcPr>
          <w:p>
            <w:pPr>
              <w:spacing w:after="0"/>
              <w:rPr>
                <w:sz w:val="21"/>
                <w:szCs w:val="21"/>
                <w:color w:val="auto"/>
              </w:rPr>
            </w:pPr>
          </w:p>
        </w:tc>
        <w:tc>
          <w:tcPr>
            <w:tcW w:w="520" w:type="dxa"/>
            <w:vAlign w:val="bottom"/>
            <w:gridSpan w:val="2"/>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Proceeds from sale of assets .</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320"/>
              <w:spacing w:after="0"/>
              <w:rPr>
                <w:sz w:val="20"/>
                <w:szCs w:val="20"/>
                <w:color w:val="auto"/>
              </w:rPr>
            </w:pPr>
            <w:r>
              <w:rPr>
                <w:rFonts w:ascii="Arial" w:cs="Arial" w:eastAsia="Arial" w:hAnsi="Arial"/>
                <w:sz w:val="18"/>
                <w:szCs w:val="18"/>
                <w:color w:val="auto"/>
              </w:rPr>
              <w:t>Insurance proceeds</w:t>
            </w:r>
          </w:p>
        </w:tc>
        <w:tc>
          <w:tcPr>
            <w:tcW w:w="840" w:type="dxa"/>
            <w:vAlign w:val="bottom"/>
          </w:tcPr>
          <w:p>
            <w:pPr>
              <w:spacing w:after="0"/>
              <w:rPr>
                <w:sz w:val="21"/>
                <w:szCs w:val="21"/>
                <w:color w:val="auto"/>
              </w:rPr>
            </w:pPr>
          </w:p>
        </w:tc>
        <w:tc>
          <w:tcPr>
            <w:tcW w:w="520" w:type="dxa"/>
            <w:vAlign w:val="bottom"/>
            <w:gridSpan w:val="2"/>
          </w:tcPr>
          <w:p>
            <w:pPr>
              <w:jc w:val="right"/>
              <w:ind w:right="5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r>
      <w:tr>
        <w:trPr>
          <w:trHeight w:val="237"/>
        </w:trPr>
        <w:tc>
          <w:tcPr>
            <w:tcW w:w="844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8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8440" w:type="dxa"/>
            <w:vAlign w:val="bottom"/>
          </w:tcPr>
          <w:p>
            <w:pPr>
              <w:ind w:left="320"/>
              <w:spacing w:after="0"/>
              <w:rPr>
                <w:sz w:val="20"/>
                <w:szCs w:val="20"/>
                <w:color w:val="auto"/>
              </w:rPr>
            </w:pPr>
            <w:r>
              <w:rPr>
                <w:rFonts w:ascii="Arial" w:cs="Arial" w:eastAsia="Arial" w:hAnsi="Arial"/>
                <w:sz w:val="18"/>
                <w:szCs w:val="18"/>
                <w:color w:val="auto"/>
              </w:rPr>
              <w:t>Net contributions from noncontrolling interests</w:t>
            </w:r>
          </w:p>
        </w:tc>
        <w:tc>
          <w:tcPr>
            <w:tcW w:w="840" w:type="dxa"/>
            <w:vAlign w:val="bottom"/>
          </w:tcPr>
          <w:p>
            <w:pPr>
              <w:spacing w:after="0"/>
              <w:rPr>
                <w:sz w:val="21"/>
                <w:szCs w:val="21"/>
                <w:color w:val="auto"/>
              </w:rPr>
            </w:pPr>
          </w:p>
        </w:tc>
        <w:tc>
          <w:tcPr>
            <w:tcW w:w="520" w:type="dxa"/>
            <w:vAlign w:val="bottom"/>
            <w:gridSpan w:val="2"/>
          </w:tcPr>
          <w:p>
            <w:pPr>
              <w:jc w:val="right"/>
              <w:ind w:right="53"/>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19</w:t>
            </w:r>
          </w:p>
        </w:tc>
      </w:tr>
      <w:tr>
        <w:trPr>
          <w:trHeight w:val="27"/>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proceeds from the issuance of common stock</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320"/>
              <w:spacing w:after="0"/>
              <w:rPr>
                <w:sz w:val="20"/>
                <w:szCs w:val="20"/>
                <w:color w:val="auto"/>
              </w:rPr>
            </w:pPr>
            <w:r>
              <w:rPr>
                <w:rFonts w:ascii="Arial" w:cs="Arial" w:eastAsia="Arial" w:hAnsi="Arial"/>
                <w:sz w:val="18"/>
                <w:szCs w:val="18"/>
                <w:color w:val="auto"/>
              </w:rPr>
              <w:t>Payments of dividends and distributions .</w:t>
            </w:r>
          </w:p>
        </w:tc>
        <w:tc>
          <w:tcPr>
            <w:tcW w:w="840" w:type="dxa"/>
            <w:vAlign w:val="bottom"/>
          </w:tcPr>
          <w:p>
            <w:pPr>
              <w:spacing w:after="0"/>
              <w:rPr>
                <w:sz w:val="21"/>
                <w:szCs w:val="21"/>
                <w:color w:val="auto"/>
              </w:rPr>
            </w:pPr>
          </w:p>
        </w:tc>
        <w:tc>
          <w:tcPr>
            <w:tcW w:w="520" w:type="dxa"/>
            <w:vAlign w:val="bottom"/>
            <w:gridSpan w:val="2"/>
          </w:tcPr>
          <w:p>
            <w:pPr>
              <w:jc w:val="right"/>
              <w:ind w:right="1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7"/>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Proceeds from the revolving credit facility</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320"/>
              <w:spacing w:after="0"/>
              <w:rPr>
                <w:sz w:val="20"/>
                <w:szCs w:val="20"/>
                <w:color w:val="auto"/>
              </w:rPr>
            </w:pPr>
            <w:r>
              <w:rPr>
                <w:rFonts w:ascii="Arial" w:cs="Arial" w:eastAsia="Arial" w:hAnsi="Arial"/>
                <w:sz w:val="18"/>
                <w:szCs w:val="18"/>
                <w:color w:val="auto"/>
              </w:rPr>
              <w:t>Proceeds from the issuance of long-term debt . . . . .</w:t>
            </w:r>
          </w:p>
        </w:tc>
        <w:tc>
          <w:tcPr>
            <w:tcW w:w="840" w:type="dxa"/>
            <w:vAlign w:val="bottom"/>
          </w:tcPr>
          <w:p>
            <w:pPr>
              <w:spacing w:after="0"/>
              <w:rPr>
                <w:sz w:val="21"/>
                <w:szCs w:val="21"/>
                <w:color w:val="auto"/>
              </w:rPr>
            </w:pPr>
          </w:p>
        </w:tc>
        <w:tc>
          <w:tcPr>
            <w:tcW w:w="520" w:type="dxa"/>
            <w:vAlign w:val="bottom"/>
            <w:gridSpan w:val="2"/>
          </w:tcPr>
          <w:p>
            <w:pPr>
              <w:jc w:val="right"/>
              <w:ind w:right="7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7"/>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Payments for long-term debt — external</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w w:val="95"/>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r>
      <w:tr>
        <w:trPr>
          <w:trHeight w:val="243"/>
        </w:trPr>
        <w:tc>
          <w:tcPr>
            <w:tcW w:w="8440" w:type="dxa"/>
            <w:vAlign w:val="bottom"/>
          </w:tcPr>
          <w:p>
            <w:pPr>
              <w:ind w:left="320"/>
              <w:spacing w:after="0"/>
              <w:rPr>
                <w:sz w:val="20"/>
                <w:szCs w:val="20"/>
                <w:color w:val="auto"/>
              </w:rPr>
            </w:pPr>
            <w:r>
              <w:rPr>
                <w:rFonts w:ascii="Arial" w:cs="Arial" w:eastAsia="Arial" w:hAnsi="Arial"/>
                <w:sz w:val="18"/>
                <w:szCs w:val="18"/>
                <w:color w:val="auto"/>
              </w:rPr>
              <w:t>Proceeds from long-term debt — affiliate</w:t>
            </w:r>
          </w:p>
        </w:tc>
        <w:tc>
          <w:tcPr>
            <w:tcW w:w="840" w:type="dxa"/>
            <w:vAlign w:val="bottom"/>
          </w:tcPr>
          <w:p>
            <w:pPr>
              <w:spacing w:after="0"/>
              <w:rPr>
                <w:sz w:val="21"/>
                <w:szCs w:val="21"/>
                <w:color w:val="auto"/>
              </w:rPr>
            </w:pPr>
          </w:p>
        </w:tc>
        <w:tc>
          <w:tcPr>
            <w:tcW w:w="520" w:type="dxa"/>
            <w:vAlign w:val="bottom"/>
            <w:gridSpan w:val="2"/>
          </w:tcPr>
          <w:p>
            <w:pPr>
              <w:jc w:val="right"/>
              <w:ind w:right="5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Payments for long-term debt — affiliate</w:t>
            </w:r>
          </w:p>
        </w:tc>
        <w:tc>
          <w:tcPr>
            <w:tcW w:w="8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r>
      <w:tr>
        <w:trPr>
          <w:trHeight w:val="236"/>
        </w:trPr>
        <w:tc>
          <w:tcPr>
            <w:tcW w:w="8440" w:type="dxa"/>
            <w:vAlign w:val="bottom"/>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jc w:val="right"/>
              <w:ind w:right="13"/>
              <w:spacing w:after="0"/>
              <w:rPr>
                <w:sz w:val="20"/>
                <w:szCs w:val="20"/>
                <w:color w:val="auto"/>
              </w:rPr>
            </w:pPr>
            <w:r>
              <w:rPr>
                <w:rFonts w:ascii="Arial" w:cs="Arial" w:eastAsia="Arial" w:hAnsi="Arial"/>
                <w:sz w:val="18"/>
                <w:szCs w:val="18"/>
                <w:color w:val="auto"/>
                <w:w w:val="95"/>
              </w:rPr>
              <w:t>(101)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w:t>
            </w:r>
          </w:p>
        </w:tc>
      </w:tr>
      <w:tr>
        <w:trPr>
          <w:trHeight w:val="27"/>
        </w:trPr>
        <w:tc>
          <w:tcPr>
            <w:tcW w:w="8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r>
      <w:tr>
        <w:trPr>
          <w:trHeight w:val="243"/>
        </w:trPr>
        <w:tc>
          <w:tcPr>
            <w:tcW w:w="844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40" w:type="dxa"/>
            <w:vAlign w:val="bottom"/>
          </w:tcPr>
          <w:p>
            <w:pPr>
              <w:spacing w:after="0"/>
              <w:rPr>
                <w:sz w:val="21"/>
                <w:szCs w:val="21"/>
                <w:color w:val="auto"/>
              </w:rPr>
            </w:pPr>
          </w:p>
        </w:tc>
        <w:tc>
          <w:tcPr>
            <w:tcW w:w="520" w:type="dxa"/>
            <w:vAlign w:val="bottom"/>
            <w:gridSpan w:val="2"/>
          </w:tcPr>
          <w:p>
            <w:pPr>
              <w:jc w:val="right"/>
              <w:ind w:right="53"/>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583</w:t>
            </w:r>
          </w:p>
        </w:tc>
      </w:tr>
      <w:tr>
        <w:trPr>
          <w:trHeight w:val="27"/>
        </w:trPr>
        <w:tc>
          <w:tcPr>
            <w:tcW w:w="8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296</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118"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Retained Earnings</w:t>
            </w: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Contributed</w:t>
            </w:r>
          </w:p>
        </w:tc>
        <w:tc>
          <w:tcPr>
            <w:tcW w:w="14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4"/>
              </w:rPr>
              <w:t>(In millions)</w:t>
            </w:r>
          </w:p>
        </w:tc>
        <w:tc>
          <w:tcPr>
            <w:tcW w:w="33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12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Deficit)</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3"/>
                <w:szCs w:val="13"/>
                <w:color w:val="auto"/>
              </w:rPr>
            </w:pPr>
          </w:p>
        </w:tc>
        <w:tc>
          <w:tcPr>
            <w:tcW w:w="860" w:type="dxa"/>
            <w:vAlign w:val="bottom"/>
          </w:tcPr>
          <w:p>
            <w:pPr>
              <w:jc w:val="center"/>
              <w:ind w:right="41"/>
              <w:spacing w:after="0" w:line="158"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Balances at December 31, 2019</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1,882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center"/>
              <w:ind w:left="662"/>
              <w:spacing w:after="0"/>
              <w:rPr>
                <w:sz w:val="20"/>
                <w:szCs w:val="20"/>
                <w:color w:val="auto"/>
              </w:rPr>
            </w:pPr>
            <w:r>
              <w:rPr>
                <w:rFonts w:ascii="Arial" w:cs="Arial" w:eastAsia="Arial" w:hAnsi="Arial"/>
                <w:sz w:val="16"/>
                <w:szCs w:val="16"/>
                <w:color w:val="auto"/>
                <w:w w:val="91"/>
              </w:rPr>
              <w:t>(37)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1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Net loss</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center"/>
              <w:ind w:left="582"/>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ind w:left="80"/>
              <w:spacing w:after="0"/>
              <w:rPr>
                <w:sz w:val="20"/>
                <w:szCs w:val="20"/>
                <w:color w:val="auto"/>
              </w:rPr>
            </w:pPr>
            <w:r>
              <w:rPr>
                <w:rFonts w:ascii="Arial" w:cs="Arial" w:eastAsia="Arial" w:hAnsi="Arial"/>
                <w:sz w:val="16"/>
                <w:szCs w:val="16"/>
                <w:color w:val="auto"/>
              </w:rPr>
              <w:t>Unrealized loss on derivatives</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center"/>
              <w:ind w:left="662"/>
              <w:spacing w:after="0"/>
              <w:rPr>
                <w:sz w:val="20"/>
                <w:szCs w:val="20"/>
                <w:color w:val="auto"/>
              </w:rPr>
            </w:pPr>
            <w:r>
              <w:rPr>
                <w:rFonts w:ascii="Arial" w:cs="Arial" w:eastAsia="Arial" w:hAnsi="Arial"/>
                <w:sz w:val="16"/>
                <w:szCs w:val="16"/>
                <w:color w:val="auto"/>
                <w:w w:val="91"/>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1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Contributions to CEG, cash</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center"/>
              <w:ind w:left="582"/>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40" w:type="dxa"/>
            <w:vAlign w:val="bottom"/>
            <w:gridSpan w:val="2"/>
          </w:tcPr>
          <w:p>
            <w:pPr>
              <w:ind w:left="80"/>
              <w:spacing w:after="0"/>
              <w:rPr>
                <w:sz w:val="20"/>
                <w:szCs w:val="20"/>
                <w:color w:val="auto"/>
              </w:rPr>
            </w:pPr>
            <w:r>
              <w:rPr>
                <w:rFonts w:ascii="Arial" w:cs="Arial" w:eastAsia="Arial" w:hAnsi="Arial"/>
                <w:sz w:val="16"/>
                <w:szCs w:val="16"/>
                <w:color w:val="auto"/>
                <w:w w:val="98"/>
              </w:rPr>
              <w:t>Contributions from tax equity interests, net of distributions,</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40" w:type="dxa"/>
            <w:vAlign w:val="bottom"/>
            <w:gridSpan w:val="2"/>
          </w:tcPr>
          <w:p>
            <w:pPr>
              <w:ind w:left="80"/>
              <w:spacing w:after="0"/>
              <w:rPr>
                <w:sz w:val="20"/>
                <w:szCs w:val="20"/>
                <w:color w:val="auto"/>
              </w:rPr>
            </w:pPr>
            <w:r>
              <w:rPr>
                <w:rFonts w:ascii="Arial" w:cs="Arial" w:eastAsia="Arial" w:hAnsi="Arial"/>
                <w:sz w:val="16"/>
                <w:szCs w:val="16"/>
                <w:color w:val="auto"/>
              </w:rPr>
              <w:t>cash.</w:t>
            </w: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center"/>
              <w:ind w:left="582"/>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1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w w:val="95"/>
              </w:rPr>
              <w:t>Net proceeds from the sales of units, Clearway Energy, Inc.</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center"/>
              <w:ind w:left="582"/>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gridSpan w:val="2"/>
          </w:tcPr>
          <w:p>
            <w:pPr>
              <w:ind w:left="80"/>
              <w:spacing w:after="0"/>
              <w:rPr>
                <w:sz w:val="20"/>
                <w:szCs w:val="20"/>
                <w:color w:val="auto"/>
              </w:rPr>
            </w:pPr>
            <w:r>
              <w:rPr>
                <w:rFonts w:ascii="Arial" w:cs="Arial" w:eastAsia="Arial" w:hAnsi="Arial"/>
                <w:sz w:val="16"/>
                <w:szCs w:val="16"/>
                <w:color w:val="auto"/>
              </w:rPr>
              <w:t>Distributions to tax equity investors, non-cash</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center"/>
              <w:ind w:left="582"/>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1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Distributions paid to CEG on Class B and Class D units</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center"/>
              <w:ind w:left="582"/>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gridSpan w:val="2"/>
          </w:tcPr>
          <w:p>
            <w:pPr>
              <w:ind w:left="80"/>
              <w:spacing w:after="0"/>
              <w:rPr>
                <w:sz w:val="20"/>
                <w:szCs w:val="20"/>
                <w:color w:val="auto"/>
              </w:rPr>
            </w:pPr>
            <w:r>
              <w:rPr>
                <w:rFonts w:ascii="Arial" w:cs="Arial" w:eastAsia="Arial" w:hAnsi="Arial"/>
                <w:sz w:val="16"/>
                <w:szCs w:val="16"/>
                <w:color w:val="auto"/>
              </w:rPr>
              <w:t>Distributions paid to Clearway Energy, Inc.</w:t>
            </w:r>
          </w:p>
        </w:tc>
        <w:tc>
          <w:tcPr>
            <w:tcW w:w="1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center"/>
              <w:ind w:left="582"/>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Balances at March 31, 2020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1,850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center"/>
              <w:ind w:left="662"/>
              <w:spacing w:after="0"/>
              <w:rPr>
                <w:sz w:val="20"/>
                <w:szCs w:val="20"/>
                <w:color w:val="auto"/>
              </w:rPr>
            </w:pPr>
            <w:r>
              <w:rPr>
                <w:rFonts w:ascii="Arial" w:cs="Arial" w:eastAsia="Arial" w:hAnsi="Arial"/>
                <w:sz w:val="16"/>
                <w:szCs w:val="16"/>
                <w:color w:val="auto"/>
                <w:w w:val="91"/>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Contributed</w:t>
            </w: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58"/>
        </w:trPr>
        <w:tc>
          <w:tcPr>
            <w:tcW w:w="44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3"/>
                <w:szCs w:val="13"/>
                <w:color w:val="auto"/>
              </w:rPr>
            </w:pPr>
          </w:p>
        </w:tc>
        <w:tc>
          <w:tcPr>
            <w:tcW w:w="9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3"/>
                <w:szCs w:val="13"/>
                <w:color w:val="auto"/>
              </w:rPr>
            </w:pPr>
          </w:p>
        </w:tc>
        <w:tc>
          <w:tcPr>
            <w:tcW w:w="860" w:type="dxa"/>
            <w:vAlign w:val="bottom"/>
          </w:tcPr>
          <w:p>
            <w:pPr>
              <w:jc w:val="center"/>
              <w:ind w:right="81"/>
              <w:spacing w:after="0" w:line="158"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Balances at December 31, 2018</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46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1,940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Net loss</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ind w:left="80"/>
              <w:spacing w:after="0"/>
              <w:rPr>
                <w:sz w:val="20"/>
                <w:szCs w:val="20"/>
                <w:color w:val="auto"/>
              </w:rPr>
            </w:pPr>
            <w:r>
              <w:rPr>
                <w:rFonts w:ascii="Arial" w:cs="Arial" w:eastAsia="Arial" w:hAnsi="Arial"/>
                <w:sz w:val="16"/>
                <w:szCs w:val="16"/>
                <w:color w:val="auto"/>
              </w:rPr>
              <w:t>Unrealized (loss) gain on derivatives</w:t>
            </w: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Buyout of Wind TE Holdco noncontrolling interest.</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40" w:type="dxa"/>
            <w:vAlign w:val="bottom"/>
            <w:gridSpan w:val="2"/>
          </w:tcPr>
          <w:p>
            <w:pPr>
              <w:ind w:left="80"/>
              <w:spacing w:after="0"/>
              <w:rPr>
                <w:sz w:val="20"/>
                <w:szCs w:val="20"/>
                <w:color w:val="auto"/>
              </w:rPr>
            </w:pPr>
            <w:r>
              <w:rPr>
                <w:rFonts w:ascii="Arial" w:cs="Arial" w:eastAsia="Arial" w:hAnsi="Arial"/>
                <w:sz w:val="16"/>
                <w:szCs w:val="16"/>
                <w:color w:val="auto"/>
              </w:rPr>
              <w:t>Capital contributions from tax equity investors, net of</w:t>
            </w:r>
          </w:p>
        </w:tc>
        <w:tc>
          <w:tcPr>
            <w:tcW w:w="100" w:type="dxa"/>
            <w:vAlign w:val="bottom"/>
          </w:tcPr>
          <w:p>
            <w:pPr>
              <w:spacing w:after="0"/>
              <w:rPr>
                <w:sz w:val="19"/>
                <w:szCs w:val="19"/>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40" w:type="dxa"/>
            <w:vAlign w:val="bottom"/>
            <w:gridSpan w:val="2"/>
            <w:vMerge w:val="restart"/>
          </w:tcPr>
          <w:p>
            <w:pPr>
              <w:ind w:left="8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40" w:type="dxa"/>
            <w:vAlign w:val="bottom"/>
            <w:vMerge w:val="restart"/>
          </w:tcPr>
          <w:p>
            <w:pPr>
              <w:jc w:val="right"/>
              <w:ind w:right="61"/>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restart"/>
          </w:tcPr>
          <w:p>
            <w:pPr>
              <w:jc w:val="right"/>
              <w:ind w:right="6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440" w:type="dxa"/>
            <w:vAlign w:val="bottom"/>
            <w:gridSpan w:val="2"/>
            <w:vMerge w:val="restart"/>
          </w:tcPr>
          <w:p>
            <w:pPr>
              <w:ind w:left="80"/>
              <w:spacing w:after="0"/>
              <w:rPr>
                <w:sz w:val="20"/>
                <w:szCs w:val="20"/>
                <w:color w:val="auto"/>
              </w:rPr>
            </w:pPr>
            <w:r>
              <w:rPr>
                <w:rFonts w:ascii="Arial" w:cs="Arial" w:eastAsia="Arial" w:hAnsi="Arial"/>
                <w:sz w:val="16"/>
                <w:szCs w:val="16"/>
                <w:color w:val="auto"/>
              </w:rPr>
              <w:t>distributions, cash</w:t>
            </w:r>
          </w:p>
        </w:tc>
        <w:tc>
          <w:tcPr>
            <w:tcW w:w="1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Contributions from CEG for Oahu Partnership, non-cash</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ind w:left="80"/>
              <w:spacing w:after="0"/>
              <w:rPr>
                <w:sz w:val="20"/>
                <w:szCs w:val="20"/>
                <w:color w:val="auto"/>
              </w:rPr>
            </w:pPr>
            <w:r>
              <w:rPr>
                <w:rFonts w:ascii="Arial" w:cs="Arial" w:eastAsia="Arial" w:hAnsi="Arial"/>
                <w:sz w:val="16"/>
                <w:szCs w:val="16"/>
                <w:color w:val="auto"/>
              </w:rPr>
              <w:t>Cumulative effect from change in accounting principle</w:t>
            </w: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Distributions paid to CEG on Class B and Class D units</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ind w:left="80"/>
              <w:spacing w:after="0"/>
              <w:rPr>
                <w:sz w:val="20"/>
                <w:szCs w:val="20"/>
                <w:color w:val="auto"/>
              </w:rPr>
            </w:pPr>
            <w:r>
              <w:rPr>
                <w:rFonts w:ascii="Arial" w:cs="Arial" w:eastAsia="Arial" w:hAnsi="Arial"/>
                <w:sz w:val="16"/>
                <w:szCs w:val="16"/>
                <w:color w:val="auto"/>
              </w:rPr>
              <w:t>Distributions paid to Clearway Energy, Inc.</w:t>
            </w: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March 31, 2019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1,941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2,096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700" w:top="891" w:right="7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Clearway Energy LLC, together with its consolidated subsidiaries, or the Company, is an energy infrastructure investor in and owner of modern, sustainable and long-term contracted assets across North America. The Company is indirectly owned by Global Infrastructure Partners III. Global Infrastructure Management, LLC is an independent fund manager that invests in infrastructure assets in energy and transport sectors, and Global Infrastructure Partners III is its third equity fund. The Company is sponsored by GIP through GIP's portfolio company, CEG.</w:t>
      </w:r>
    </w:p>
    <w:p>
      <w:pPr>
        <w:spacing w:after="0" w:line="117"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6"/>
          <w:szCs w:val="16"/>
          <w:color w:val="auto"/>
        </w:rPr>
        <w:t xml:space="preserve">The Company’s environmentally-sound asset portfolio includes over </w:t>
      </w:r>
      <w:r>
        <w:rPr>
          <w:rFonts w:ascii="Arial" w:cs="Arial" w:eastAsia="Arial" w:hAnsi="Arial"/>
          <w:sz w:val="16"/>
          <w:szCs w:val="16"/>
          <w:color w:val="231F20"/>
        </w:rPr>
        <w:t>5,875</w:t>
      </w:r>
      <w:r>
        <w:rPr>
          <w:rFonts w:ascii="Arial" w:cs="Arial" w:eastAsia="Arial" w:hAnsi="Arial"/>
          <w:sz w:val="16"/>
          <w:szCs w:val="16"/>
          <w:color w:val="auto"/>
        </w:rPr>
        <w:t xml:space="preserve"> MW of wind, solar and natural gas-fired power generation facilities. Through this diversified and contracted portfolio, the Company endeavors to provide its investors with stable and growing dividend income. </w:t>
      </w:r>
      <w:r>
        <w:rPr>
          <w:rFonts w:ascii="Arial" w:cs="Arial" w:eastAsia="Arial" w:hAnsi="Arial"/>
          <w:sz w:val="16"/>
          <w:szCs w:val="16"/>
          <w:color w:val="231F20"/>
        </w:rPr>
        <w:t>Nearly all of</w:t>
      </w:r>
      <w:r>
        <w:rPr>
          <w:rFonts w:ascii="Arial" w:cs="Arial" w:eastAsia="Arial" w:hAnsi="Arial"/>
          <w:sz w:val="16"/>
          <w:szCs w:val="16"/>
          <w:color w:val="auto"/>
        </w:rPr>
        <w:t xml:space="preserve"> </w:t>
      </w:r>
      <w:r>
        <w:rPr>
          <w:rFonts w:ascii="Arial" w:cs="Arial" w:eastAsia="Arial" w:hAnsi="Arial"/>
          <w:sz w:val="16"/>
          <w:szCs w:val="16"/>
          <w:color w:val="231F20"/>
        </w:rPr>
        <w:t>these assets sell s</w:t>
      </w:r>
      <w:r>
        <w:rPr>
          <w:rFonts w:ascii="Arial" w:cs="Arial" w:eastAsia="Arial" w:hAnsi="Arial"/>
          <w:sz w:val="16"/>
          <w:szCs w:val="16"/>
          <w:color w:val="000000"/>
        </w:rPr>
        <w:t>ubstantiall</w:t>
      </w:r>
      <w:r>
        <w:rPr>
          <w:rFonts w:ascii="Arial" w:cs="Arial" w:eastAsia="Arial" w:hAnsi="Arial"/>
          <w:sz w:val="16"/>
          <w:szCs w:val="16"/>
          <w:color w:val="231F20"/>
        </w:rPr>
        <w:t xml:space="preserve">y all of their output pursuant to long-term offtake agreements with creditworthy counterparties. The weighted average remaining contract duration of these offtake agreements was approximately 13 years as of March 31, 2020 based on CAFD. </w:t>
      </w:r>
      <w:r>
        <w:rPr>
          <w:rFonts w:ascii="Arial" w:cs="Arial" w:eastAsia="Arial" w:hAnsi="Arial"/>
          <w:sz w:val="16"/>
          <w:szCs w:val="16"/>
          <w:color w:val="000000"/>
        </w:rPr>
        <w:t>The Company also owns</w:t>
      </w:r>
      <w:r>
        <w:rPr>
          <w:rFonts w:ascii="Arial" w:cs="Arial" w:eastAsia="Arial" w:hAnsi="Arial"/>
          <w:sz w:val="16"/>
          <w:szCs w:val="16"/>
          <w:color w:val="231F20"/>
        </w:rPr>
        <w:t xml:space="preserve"> </w:t>
      </w:r>
      <w:r>
        <w:rPr>
          <w:rFonts w:ascii="Arial" w:cs="Arial" w:eastAsia="Arial" w:hAnsi="Arial"/>
          <w:sz w:val="16"/>
          <w:szCs w:val="16"/>
          <w:color w:val="000000"/>
        </w:rPr>
        <w:t>thermal infrastructure assets with an aggregate steam and chilled water capacity of 1,530 net MWt and electric generation capacity of 36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consolidates the results of Clearway Energy LLC through its controlling interest, with CEG's interest shown as noncontrolling interest in the financial statements. The holders of Clearway Energy, Inc.'s outstanding shares of Class A and Class C common stock are entitled to dividends as declared. CEG receives its distributions from Clearway Energy LLC through its ownership of Clearway Energy LLC Class B and Class D units.</w:t>
      </w:r>
    </w:p>
    <w:p>
      <w:pPr>
        <w:spacing w:after="0" w:line="10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7"/>
          <w:szCs w:val="17"/>
          <w:color w:val="auto"/>
        </w:rPr>
        <w:t>As a result of the Class C common stock issuance under the ATM during the first quarter of 2020, the Company owns 57.13% of the economic interests of Clearway Energy LLC, with CEG retaining 42.87% of the economic interests of Clearway Energy LLC as of March 31, 2020.</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ind w:left="420"/>
        <w:spacing w:after="0"/>
        <w:rPr>
          <w:sz w:val="20"/>
          <w:szCs w:val="20"/>
          <w:color w:val="auto"/>
        </w:rPr>
      </w:pPr>
      <w:r>
        <w:rPr>
          <w:rFonts w:ascii="Arial" w:cs="Arial" w:eastAsia="Arial" w:hAnsi="Arial"/>
          <w:sz w:val="18"/>
          <w:szCs w:val="18"/>
          <w:color w:val="auto"/>
        </w:rPr>
        <w:t>The following table represents the structure of the Company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117475</wp:posOffset>
            </wp:positionV>
            <wp:extent cx="5863590" cy="4397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2019 Form 10-K. Interim results are not necessarily indicative of results for a full year.</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March 31, 2020, and the results of operations, comprehensive loss and cash flows for the three months ended March 31, 2020 and 2019.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ind w:left="420"/>
        <w:spacing w:after="0"/>
        <w:rPr>
          <w:sz w:val="20"/>
          <w:szCs w:val="20"/>
          <w:color w:val="auto"/>
        </w:rPr>
      </w:pPr>
      <w:r>
        <w:rPr>
          <w:rFonts w:ascii="Arial" w:cs="Arial" w:eastAsia="Arial" w:hAnsi="Arial"/>
          <w:sz w:val="18"/>
          <w:szCs w:val="18"/>
          <w:i w:val="1"/>
          <w:iCs w:val="1"/>
          <w:color w:val="auto"/>
        </w:rPr>
        <w:t>PG&amp;E Bankruptcy Update</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 xml:space="preserve">During 2019, PG&amp;E, one of the Company's largest customers, filed for reorganization under Chapter 11 of the U.S. Bankruptcy Code in the U.S. Bankruptcy Court for the Northern District of California, or the Bankruptcy Court. On January 31, 2020, PG&amp;E filed with the Bankruptcy Court a Chapter 11 plan of reorganization, as amended, or the PG&amp;E Plan. The PG&amp;E Plan provides for PG&amp;E to assume all of its PPAs with the Company. There are many conditions that must be satisfied before the PG&amp;E Plan and assumption of the PPAs can become effective, including but not limited to approvals by various classes of creditors, the Bankruptcy Court, and the CPUC. A hearing before the Bankruptcy Court to consider whether the PG&amp;E Plan will be approved and confirmed is currently expected to occur on May 27, 2020. As of March 31, 2020, the Company had $1.37 billion of property, plant and equipment, net, $368 million investments in unconsolidated affiliates and $1.19 billion of borrowings with final maturity dates ranging from 2022 to 2037 related to subsidiaries that sell their output to PG&amp;E under the long-term contracts. These subsidiaries of the Company are parties to financing agreements consisting of non-recourse project-level debt and, in certain cases, non-recourse holding company debt. The PG&amp;E Bankruptcy has triggered defaults under the PPAs with PG&amp;E and such related financing agreements, as further discussed in Item 1 — Note 7,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As a result, the Company recorded approximately $1.19 billion of principal, net of the related unamortized debt issuance costs, with final maturity dates ranging from 2022 to 2037, as short-term debt. As of May 7, 2020, the Company's contracts with PG&amp;E have operated in the normal course and the Company currently expects these contracts to continue as such. Additionally, the Company has entered into forbearance agreements for certain project-level financing arrangements and continues to seek forbearance agreements for other project-level financing arrangements affected by the PG&amp;E Bankruptcy. The Company continues to assess the potential future impacts of the PG&amp;E Bankruptcy as events occur. For further discussion see Note 7, </w:t>
      </w:r>
      <w:r>
        <w:rPr>
          <w:rFonts w:ascii="Arial" w:cs="Arial" w:eastAsia="Arial" w:hAnsi="Arial"/>
          <w:sz w:val="16"/>
          <w:szCs w:val="16"/>
          <w:i w:val="1"/>
          <w:iCs w:val="1"/>
          <w:color w:val="auto"/>
        </w:rPr>
        <w:t>Long-term Debt.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71" w:lineRule="exact"/>
        <w:rPr>
          <w:sz w:val="20"/>
          <w:szCs w:val="20"/>
          <w:color w:val="auto"/>
        </w:rPr>
      </w:pPr>
    </w:p>
    <w:p>
      <w:pPr>
        <w:jc w:val="both"/>
        <w:ind w:right="20" w:firstLine="445"/>
        <w:spacing w:after="0" w:line="308" w:lineRule="auto"/>
        <w:rPr>
          <w:sz w:val="20"/>
          <w:szCs w:val="20"/>
          <w:color w:val="auto"/>
        </w:rPr>
      </w:pPr>
      <w:r>
        <w:rPr>
          <w:rFonts w:ascii="Arial" w:cs="Arial" w:eastAsia="Arial" w:hAnsi="Arial"/>
          <w:sz w:val="17"/>
          <w:szCs w:val="17"/>
          <w:color w:val="auto"/>
        </w:rPr>
        <w:t>Cash and cash equivalents include highly liquid investments with an original maturity of three months or less at the time of purchase. Cash and cash equivalents held at project subsidiaries was $95 million and $125 million as of March 31, 2020 and December 31, 2019, respectively.</w:t>
      </w:r>
    </w:p>
    <w:p>
      <w:pPr>
        <w:spacing w:after="0" w:line="9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121"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6"/>
              </w:rPr>
              <w:t>December 31,</w:t>
            </w:r>
          </w:p>
        </w:tc>
      </w:tr>
      <w:tr>
        <w:trPr>
          <w:trHeight w:val="196"/>
        </w:trPr>
        <w:tc>
          <w:tcPr>
            <w:tcW w:w="7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r>
      <w:tr>
        <w:trPr>
          <w:trHeight w:val="223"/>
        </w:trPr>
        <w:tc>
          <w:tcPr>
            <w:tcW w:w="7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4"/>
          </w:tcPr>
          <w:p>
            <w:pPr>
              <w:jc w:val="right"/>
              <w:ind w:right="877"/>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7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152</w:t>
            </w:r>
          </w:p>
        </w:tc>
      </w:tr>
      <w:tr>
        <w:trPr>
          <w:trHeight w:val="243"/>
        </w:trPr>
        <w:tc>
          <w:tcPr>
            <w:tcW w:w="702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100" w:type="dxa"/>
            <w:vAlign w:val="bottom"/>
          </w:tcPr>
          <w:p>
            <w:pPr>
              <w:jc w:val="right"/>
              <w:ind w:right="58"/>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262</w:t>
            </w:r>
          </w:p>
        </w:tc>
      </w:tr>
      <w:tr>
        <w:trPr>
          <w:trHeight w:val="27"/>
        </w:trPr>
        <w:tc>
          <w:tcPr>
            <w:tcW w:w="7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7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cash equivalents and restricted cash shown in the statement of cash flows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414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Restricted cash consists primarily of funds held to satisfy the requirements of certain debt agreements and funds held within the Company's projects that are restricted in their use. As of March 31, 2020, these restricted funds were comprised of $111 million designated to fund operating expenses, approximately $35 million designated for current debt service payments, and $46 million restricted for reserves including debt service, performance obligations and other reserves, as well as capital expenditures. The remaining $78 million is held in distributions reserve accounts, of which $68 million related to subsidiaries affected by the PG&amp;E Bankruptcy as discussed in Note 1, </w:t>
      </w:r>
      <w:r>
        <w:rPr>
          <w:rFonts w:ascii="Arial" w:cs="Arial" w:eastAsia="Arial" w:hAnsi="Arial"/>
          <w:sz w:val="18"/>
          <w:szCs w:val="18"/>
          <w:i w:val="1"/>
          <w:iCs w:val="1"/>
          <w:color w:val="auto"/>
        </w:rPr>
        <w:t>Nature of Business,</w:t>
      </w:r>
      <w:r>
        <w:rPr>
          <w:rFonts w:ascii="Arial" w:cs="Arial" w:eastAsia="Arial" w:hAnsi="Arial"/>
          <w:sz w:val="18"/>
          <w:szCs w:val="18"/>
          <w:color w:val="auto"/>
        </w:rPr>
        <w:t xml:space="preserve"> and may not be distributed during the pendency of the bankruptcy.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ind w:left="80"/>
        <w:spacing w:after="0"/>
        <w:rPr>
          <w:sz w:val="20"/>
          <w:szCs w:val="20"/>
          <w:color w:val="auto"/>
        </w:rPr>
      </w:pPr>
      <w:r>
        <w:rPr>
          <w:rFonts w:ascii="Arial" w:cs="Arial" w:eastAsia="Arial" w:hAnsi="Arial"/>
          <w:sz w:val="18"/>
          <w:szCs w:val="18"/>
          <w:b w:val="1"/>
          <w:bCs w:val="1"/>
          <w:i w:val="1"/>
          <w:iCs w:val="1"/>
          <w:color w:val="auto"/>
        </w:rPr>
        <w:t>Accumulated Depreciation, Accumulated Amortization</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March 31, 2020 and December 31, 2019:</w:t>
      </w:r>
    </w:p>
    <w:p>
      <w:pPr>
        <w:spacing w:after="0" w:line="171"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257"/>
              <w:spacing w:after="0"/>
              <w:rPr>
                <w:sz w:val="20"/>
                <w:szCs w:val="20"/>
                <w:color w:val="auto"/>
              </w:rPr>
            </w:pPr>
            <w:r>
              <w:rPr>
                <w:rFonts w:ascii="Arial" w:cs="Arial" w:eastAsia="Arial" w:hAnsi="Arial"/>
                <w:sz w:val="16"/>
                <w:szCs w:val="16"/>
                <w:b w:val="1"/>
                <w:bCs w:val="1"/>
                <w:color w:val="auto"/>
              </w:rPr>
              <w:t>March 31, 2020</w:t>
            </w:r>
          </w:p>
        </w:tc>
        <w:tc>
          <w:tcPr>
            <w:tcW w:w="300" w:type="dxa"/>
            <w:vAlign w:val="bottom"/>
          </w:tcPr>
          <w:p>
            <w:pPr>
              <w:spacing w:after="0"/>
              <w:rPr>
                <w:sz w:val="18"/>
                <w:szCs w:val="18"/>
                <w:color w:val="auto"/>
              </w:rPr>
            </w:pPr>
          </w:p>
        </w:tc>
        <w:tc>
          <w:tcPr>
            <w:tcW w:w="1620" w:type="dxa"/>
            <w:vAlign w:val="bottom"/>
          </w:tcPr>
          <w:p>
            <w:pPr>
              <w:jc w:val="right"/>
              <w:ind w:right="153"/>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7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3"/>
          </w:tcPr>
          <w:p>
            <w:pPr>
              <w:spacing w:after="0"/>
              <w:rPr>
                <w:sz w:val="2"/>
                <w:szCs w:val="2"/>
                <w:color w:val="auto"/>
              </w:rPr>
            </w:pPr>
          </w:p>
        </w:tc>
      </w:tr>
      <w:tr>
        <w:trPr>
          <w:trHeight w:val="190"/>
        </w:trPr>
        <w:tc>
          <w:tcPr>
            <w:tcW w:w="7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gridSpan w:val="3"/>
          </w:tcPr>
          <w:p>
            <w:pPr>
              <w:jc w:val="right"/>
              <w:ind w:right="139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Accumulated Depreciation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1,970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1,880</w:t>
            </w:r>
          </w:p>
        </w:tc>
      </w:tr>
      <w:tr>
        <w:trPr>
          <w:trHeight w:val="243"/>
        </w:trPr>
        <w:tc>
          <w:tcPr>
            <w:tcW w:w="7160" w:type="dxa"/>
            <w:vAlign w:val="bottom"/>
          </w:tcPr>
          <w:p>
            <w:pPr>
              <w:spacing w:after="0"/>
              <w:rPr>
                <w:sz w:val="20"/>
                <w:szCs w:val="20"/>
                <w:color w:val="auto"/>
              </w:rPr>
            </w:pPr>
            <w:r>
              <w:rPr>
                <w:rFonts w:ascii="Arial" w:cs="Arial" w:eastAsia="Arial" w:hAnsi="Arial"/>
                <w:sz w:val="18"/>
                <w:szCs w:val="18"/>
                <w:color w:val="auto"/>
              </w:rPr>
              <w:t>Intangible Assets Accumulated Amortization</w:t>
            </w:r>
          </w:p>
        </w:tc>
        <w:tc>
          <w:tcPr>
            <w:tcW w:w="240" w:type="dxa"/>
            <w:vAlign w:val="bottom"/>
          </w:tcPr>
          <w:p>
            <w:pPr>
              <w:spacing w:after="0"/>
              <w:rPr>
                <w:sz w:val="21"/>
                <w:szCs w:val="21"/>
                <w:color w:val="auto"/>
              </w:rPr>
            </w:pP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416</w:t>
            </w:r>
          </w:p>
        </w:tc>
        <w:tc>
          <w:tcPr>
            <w:tcW w:w="300" w:type="dxa"/>
            <w:vAlign w:val="bottom"/>
          </w:tcPr>
          <w:p>
            <w:pPr>
              <w:spacing w:after="0"/>
              <w:rPr>
                <w:sz w:val="21"/>
                <w:szCs w:val="21"/>
                <w:color w:val="auto"/>
              </w:rPr>
            </w:pPr>
          </w:p>
        </w:tc>
        <w:tc>
          <w:tcPr>
            <w:tcW w:w="1620" w:type="dxa"/>
            <w:vAlign w:val="bottom"/>
          </w:tcPr>
          <w:p>
            <w:pPr>
              <w:jc w:val="right"/>
              <w:ind w:right="73"/>
              <w:spacing w:after="0"/>
              <w:rPr>
                <w:sz w:val="20"/>
                <w:szCs w:val="20"/>
                <w:color w:val="auto"/>
              </w:rPr>
            </w:pPr>
            <w:r>
              <w:rPr>
                <w:rFonts w:ascii="Arial" w:cs="Arial" w:eastAsia="Arial" w:hAnsi="Arial"/>
                <w:sz w:val="18"/>
                <w:szCs w:val="18"/>
                <w:color w:val="auto"/>
              </w:rPr>
              <w:t>394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distributions paid on Clearway Energy LLC's Class A, B, C and D units during the three months ended March 31, 2020:</w:t>
      </w:r>
    </w:p>
    <w:p>
      <w:pPr>
        <w:spacing w:after="0" w:line="228"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First Quarter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23495</wp:posOffset>
            </wp:positionV>
            <wp:extent cx="551180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1800" cy="179705"/>
                    </a:xfrm>
                    <a:prstGeom prst="rect">
                      <a:avLst/>
                    </a:prstGeom>
                    <a:noFill/>
                  </pic:spPr>
                </pic:pic>
              </a:graphicData>
            </a:graphic>
          </wp:anchor>
        </w:drawing>
      </w:r>
    </w:p>
    <w:p>
      <w:pPr>
        <w:spacing w:after="0" w:line="43" w:lineRule="exact"/>
        <w:rPr>
          <w:sz w:val="20"/>
          <w:szCs w:val="20"/>
          <w:color w:val="auto"/>
        </w:rPr>
      </w:pPr>
    </w:p>
    <w:p>
      <w:pPr>
        <w:ind w:left="1300"/>
        <w:spacing w:after="0"/>
        <w:tabs>
          <w:tab w:leader="none" w:pos="8620" w:val="left"/>
          <w:tab w:leader="none" w:pos="9500" w:val="left"/>
        </w:tabs>
        <w:rPr>
          <w:sz w:val="20"/>
          <w:szCs w:val="20"/>
          <w:color w:val="auto"/>
        </w:rPr>
      </w:pPr>
      <w:r>
        <w:rPr>
          <w:rFonts w:ascii="Arial" w:cs="Arial" w:eastAsia="Arial" w:hAnsi="Arial"/>
          <w:sz w:val="18"/>
          <w:szCs w:val="18"/>
          <w:color w:val="auto"/>
        </w:rPr>
        <w:t>Distributions per Class A, B, C and D unit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0.21</w:t>
      </w:r>
    </w:p>
    <w:p>
      <w:pPr>
        <w:spacing w:after="0" w:line="30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April 30, 2020, Clearway Energy LLC declared a distribution on its Class A, Class B, Class C and Class D units of $0.21 per unit payable on June 15, 2020 to unit holders of record as of June 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Company applies the guidance in ASC 606, Revenue from Contracts with Customers,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Thermal Revenues</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12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As contracts for steam and chilled water are long-term contracts, the Company has performance obligations under these contracts that have not yet been satisfied. These performance obligations have transaction prices that are both fixed and variable, and which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Power Purchase Agreements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Previously ASC 840, and currently ASC 842, requires the minimum lease payments received to be amortized over the term of the lease and contingent rentals are recorded when the achievement of the contingency becomes probable. Management's judgment is required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ind w:left="420"/>
        <w:spacing w:after="0"/>
        <w:rPr>
          <w:sz w:val="20"/>
          <w:szCs w:val="20"/>
          <w:color w:val="auto"/>
        </w:rPr>
      </w:pPr>
      <w:r>
        <w:rPr>
          <w:rFonts w:ascii="Arial" w:cs="Arial" w:eastAsia="Arial" w:hAnsi="Arial"/>
          <w:sz w:val="18"/>
          <w:szCs w:val="18"/>
          <w:i w:val="1"/>
          <w:iCs w:val="1"/>
          <w:color w:val="auto"/>
        </w:rPr>
        <w:t>Renewable Energy Credits</w:t>
      </w:r>
    </w:p>
    <w:p>
      <w:pPr>
        <w:spacing w:after="0" w:line="198"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4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Disaggregated Revenues</w:t>
      </w:r>
    </w:p>
    <w:p>
      <w:pPr>
        <w:spacing w:after="0" w:line="21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along with the reportable segment for each category for the three months ended March 31, 2020 and 2019 respectively:</w:t>
      </w:r>
    </w:p>
    <w:p>
      <w:pPr>
        <w:spacing w:after="0" w:line="200" w:lineRule="exact"/>
        <w:rPr>
          <w:sz w:val="20"/>
          <w:szCs w:val="20"/>
          <w:color w:val="auto"/>
        </w:rPr>
      </w:pPr>
    </w:p>
    <w:p>
      <w:pPr>
        <w:spacing w:after="0" w:line="367"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11"/>
          </w:tcPr>
          <w:p>
            <w:pPr>
              <w:jc w:val="right"/>
              <w:ind w:right="220"/>
              <w:spacing w:after="0"/>
              <w:rPr>
                <w:sz w:val="20"/>
                <w:szCs w:val="20"/>
                <w:color w:val="auto"/>
              </w:rPr>
            </w:pPr>
            <w:r>
              <w:rPr>
                <w:rFonts w:ascii="Arial" w:cs="Arial" w:eastAsia="Arial" w:hAnsi="Arial"/>
                <w:sz w:val="14"/>
                <w:szCs w:val="14"/>
                <w:b w:val="1"/>
                <w:bCs w:val="1"/>
                <w:color w:val="auto"/>
                <w:w w:val="98"/>
              </w:rPr>
              <w:t>Three months ended March 31, 2020</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6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1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4"/>
                <w:szCs w:val="14"/>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Renewables</w:t>
            </w:r>
          </w:p>
        </w:tc>
        <w:tc>
          <w:tcPr>
            <w:tcW w:w="160" w:type="dxa"/>
            <w:vAlign w:val="bottom"/>
          </w:tcPr>
          <w:p>
            <w:pPr>
              <w:spacing w:after="0"/>
              <w:rPr>
                <w:sz w:val="14"/>
                <w:szCs w:val="14"/>
                <w:color w:val="auto"/>
              </w:rPr>
            </w:pPr>
          </w:p>
        </w:tc>
        <w:tc>
          <w:tcPr>
            <w:tcW w:w="9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4"/>
                <w:szCs w:val="14"/>
                <w:color w:val="auto"/>
              </w:rPr>
            </w:pPr>
          </w:p>
        </w:tc>
        <w:tc>
          <w:tcPr>
            <w:tcW w:w="6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60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4"/>
              </w:rPr>
              <w:t>Generation</w:t>
            </w:r>
          </w:p>
        </w:tc>
        <w:tc>
          <w:tcPr>
            <w:tcW w:w="36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4"/>
            <w:shd w:val="clear" w:color="auto" w:fill="CCEEFF"/>
          </w:tcPr>
          <w:p>
            <w:pPr>
              <w:jc w:val="right"/>
              <w:ind w:right="68"/>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97"/>
        </w:trPr>
        <w:tc>
          <w:tcPr>
            <w:tcW w:w="6040" w:type="dxa"/>
            <w:vAlign w:val="bottom"/>
          </w:tcPr>
          <w:p>
            <w:pPr>
              <w:ind w:left="20"/>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240" w:type="dxa"/>
            <w:vAlign w:val="bottom"/>
          </w:tcPr>
          <w:p>
            <w:pPr>
              <w:spacing w:after="0"/>
              <w:rPr>
                <w:sz w:val="24"/>
                <w:szCs w:val="24"/>
                <w:color w:val="auto"/>
              </w:rPr>
            </w:pPr>
          </w:p>
        </w:tc>
        <w:tc>
          <w:tcPr>
            <w:tcW w:w="1080" w:type="dxa"/>
            <w:vAlign w:val="bottom"/>
            <w:gridSpan w:val="4"/>
          </w:tcPr>
          <w:p>
            <w:pPr>
              <w:jc w:val="right"/>
              <w:ind w:right="68"/>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Mark-to-market for economic hedges</w:t>
            </w:r>
          </w:p>
        </w:tc>
        <w:tc>
          <w:tcPr>
            <w:tcW w:w="2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040" w:type="dxa"/>
            <w:vAlign w:val="bottom"/>
          </w:tcPr>
          <w:p>
            <w:pPr>
              <w:ind w:left="100"/>
              <w:spacing w:after="0"/>
              <w:rPr>
                <w:sz w:val="20"/>
                <w:szCs w:val="20"/>
                <w:color w:val="auto"/>
              </w:rPr>
            </w:pPr>
            <w:r>
              <w:rPr>
                <w:rFonts w:ascii="Arial" w:cs="Arial" w:eastAsia="Arial" w:hAnsi="Arial"/>
                <w:sz w:val="18"/>
                <w:szCs w:val="18"/>
                <w:color w:val="auto"/>
              </w:rPr>
              <w:t>Total operating revenue</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4"/>
          </w:tcPr>
          <w:p>
            <w:pPr>
              <w:jc w:val="right"/>
              <w:ind w:right="68"/>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Lease revenue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Less: Contract amortization</w:t>
            </w:r>
          </w:p>
        </w:tc>
        <w:tc>
          <w:tcPr>
            <w:tcW w:w="240" w:type="dxa"/>
            <w:vAlign w:val="bottom"/>
          </w:tcPr>
          <w:p>
            <w:pPr>
              <w:spacing w:after="0"/>
              <w:rPr>
                <w:sz w:val="21"/>
                <w:szCs w:val="21"/>
                <w:color w:val="auto"/>
              </w:rPr>
            </w:pPr>
          </w:p>
        </w:tc>
        <w:tc>
          <w:tcPr>
            <w:tcW w:w="1080" w:type="dxa"/>
            <w:vAlign w:val="bottom"/>
            <w:gridSpan w:val="4"/>
          </w:tcPr>
          <w:p>
            <w:pPr>
              <w:jc w:val="right"/>
              <w:ind w:right="68"/>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 from contracts with customers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24"/>
                <w:szCs w:val="24"/>
                <w:color w:val="auto"/>
              </w:rPr>
            </w:pPr>
          </w:p>
        </w:tc>
        <w:tc>
          <w:tcPr>
            <w:tcW w:w="11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411480</wp:posOffset>
            </wp:positionV>
            <wp:extent cx="13544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0" w:hanging="149"/>
        <w:spacing w:after="0"/>
        <w:tabs>
          <w:tab w:leader="none" w:pos="400" w:val="left"/>
        </w:tabs>
        <w:numPr>
          <w:ilvl w:val="0"/>
          <w:numId w:val="3"/>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Conventional</w:t>
            </w:r>
          </w:p>
        </w:tc>
        <w:tc>
          <w:tcPr>
            <w:tcW w:w="260" w:type="dxa"/>
            <w:vAlign w:val="bottom"/>
          </w:tcPr>
          <w:p>
            <w:pPr>
              <w:spacing w:after="0"/>
              <w:rPr>
                <w:sz w:val="14"/>
                <w:szCs w:val="14"/>
                <w:color w:val="auto"/>
              </w:rPr>
            </w:pPr>
          </w:p>
        </w:tc>
        <w:tc>
          <w:tcPr>
            <w:tcW w:w="14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Renewables</w:t>
            </w:r>
          </w:p>
        </w:tc>
        <w:tc>
          <w:tcPr>
            <w:tcW w:w="42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Thermal</w:t>
            </w:r>
          </w:p>
        </w:tc>
        <w:tc>
          <w:tcPr>
            <w:tcW w:w="540" w:type="dxa"/>
            <w:vAlign w:val="bottom"/>
          </w:tcPr>
          <w:p>
            <w:pPr>
              <w:spacing w:after="0"/>
              <w:rPr>
                <w:sz w:val="14"/>
                <w:szCs w:val="14"/>
                <w:color w:val="auto"/>
              </w:rPr>
            </w:pPr>
          </w:p>
        </w:tc>
        <w:tc>
          <w:tcPr>
            <w:tcW w:w="2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8"/>
        </w:trPr>
        <w:tc>
          <w:tcPr>
            <w:tcW w:w="158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Generation</w:t>
            </w:r>
          </w:p>
        </w:tc>
        <w:tc>
          <w:tcPr>
            <w:tcW w:w="38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540" w:type="dxa"/>
            <w:vAlign w:val="bottom"/>
          </w:tcPr>
          <w:p>
            <w:pPr>
              <w:spacing w:after="0"/>
              <w:rPr>
                <w:sz w:val="11"/>
                <w:szCs w:val="11"/>
                <w:color w:val="auto"/>
              </w:rPr>
            </w:pPr>
          </w:p>
        </w:tc>
        <w:tc>
          <w:tcPr>
            <w:tcW w:w="24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Pr>
          <w:p>
            <w:pPr>
              <w:spacing w:after="0"/>
              <w:rPr>
                <w:sz w:val="21"/>
                <w:szCs w:val="21"/>
                <w:color w:val="auto"/>
              </w:rPr>
            </w:pPr>
          </w:p>
        </w:tc>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rPr>
                <w:sz w:val="21"/>
                <w:szCs w:val="21"/>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180" w:type="dxa"/>
            <w:vAlign w:val="bottom"/>
          </w:tcPr>
          <w:p>
            <w:pPr>
              <w:spacing w:after="0"/>
              <w:rPr>
                <w:sz w:val="21"/>
                <w:szCs w:val="21"/>
                <w:color w:val="auto"/>
              </w:rPr>
            </w:pPr>
          </w:p>
        </w:tc>
        <w:tc>
          <w:tcPr>
            <w:tcW w:w="1180" w:type="dxa"/>
            <w:vAlign w:val="bottom"/>
            <w:gridSpan w:val="5"/>
          </w:tcPr>
          <w:p>
            <w:pPr>
              <w:jc w:val="right"/>
              <w:ind w:right="1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Pr>
          <w:p>
            <w:pPr>
              <w:spacing w:after="0"/>
              <w:rPr>
                <w:sz w:val="21"/>
                <w:szCs w:val="21"/>
                <w:color w:val="auto"/>
              </w:rPr>
            </w:pPr>
          </w:p>
        </w:tc>
        <w:tc>
          <w:tcPr>
            <w:tcW w:w="2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2"/>
        </w:trPr>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6" w:name="page17"/>
    <w:bookmarkEnd w:id="16"/>
    <w:tbl>
      <w:tblPr>
        <w:tblLayout w:type="fixed"/>
        <w:tblInd w:w="30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rPr>
              <w:t>Three months ended March 31, 2019</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08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92"/>
              </w:rPr>
              <w:t>Conventional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28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4"/>
                <w:szCs w:val="14"/>
                <w:color w:val="auto"/>
              </w:rPr>
            </w:pPr>
          </w:p>
        </w:tc>
        <w:tc>
          <w:tcPr>
            <w:tcW w:w="6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8"/>
        </w:trPr>
        <w:tc>
          <w:tcPr>
            <w:tcW w:w="57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Generation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97"/>
        </w:trPr>
        <w:tc>
          <w:tcPr>
            <w:tcW w:w="5700" w:type="dxa"/>
            <w:vAlign w:val="bottom"/>
          </w:tcPr>
          <w:p>
            <w:pPr>
              <w:spacing w:after="0"/>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280" w:type="dxa"/>
            <w:vAlign w:val="bottom"/>
          </w:tcPr>
          <w:p>
            <w:pPr>
              <w:spacing w:after="0"/>
              <w:rPr>
                <w:sz w:val="24"/>
                <w:szCs w:val="24"/>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8"/>
                <w:szCs w:val="18"/>
                <w:color w:val="auto"/>
              </w:rPr>
              <w:t>Other revenue</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Mark-to-market for economic hedges</w:t>
            </w:r>
          </w:p>
        </w:tc>
        <w:tc>
          <w:tcPr>
            <w:tcW w:w="2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5700" w:type="dxa"/>
            <w:vAlign w:val="bottom"/>
          </w:tcPr>
          <w:p>
            <w:pPr>
              <w:ind w:left="100"/>
              <w:spacing w:after="0"/>
              <w:rPr>
                <w:sz w:val="20"/>
                <w:szCs w:val="20"/>
                <w:color w:val="auto"/>
              </w:rPr>
            </w:pPr>
            <w:r>
              <w:rPr>
                <w:rFonts w:ascii="Arial" w:cs="Arial" w:eastAsia="Arial" w:hAnsi="Arial"/>
                <w:sz w:val="18"/>
                <w:szCs w:val="18"/>
                <w:color w:val="auto"/>
              </w:rPr>
              <w:t>Total operating revenue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Lease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8"/>
                <w:szCs w:val="18"/>
                <w:color w:val="auto"/>
              </w:rPr>
              <w:t>Less: Contract amortization</w:t>
            </w:r>
          </w:p>
        </w:tc>
        <w:tc>
          <w:tcPr>
            <w:tcW w:w="280" w:type="dxa"/>
            <w:vAlign w:val="bottom"/>
          </w:tcPr>
          <w:p>
            <w:pPr>
              <w:spacing w:after="0"/>
              <w:rPr>
                <w:sz w:val="21"/>
                <w:szCs w:val="21"/>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revenue from contracts with customers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411480</wp:posOffset>
            </wp:positionV>
            <wp:extent cx="13284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80" w:hanging="167"/>
        <w:spacing w:after="0"/>
        <w:tabs>
          <w:tab w:leader="none" w:pos="580" w:val="left"/>
        </w:tabs>
        <w:numPr>
          <w:ilvl w:val="0"/>
          <w:numId w:val="4"/>
        </w:numPr>
        <w:rPr>
          <w:rFonts w:ascii="Arial" w:cs="Arial" w:eastAsia="Arial" w:hAnsi="Arial"/>
          <w:sz w:val="20"/>
          <w:szCs w:val="20"/>
          <w:color w:val="auto"/>
          <w:vertAlign w:val="superscript"/>
        </w:rPr>
      </w:pPr>
      <w:r>
        <w:rPr>
          <w:rFonts w:ascii="Arial" w:cs="Arial" w:eastAsia="Arial" w:hAnsi="Arial"/>
          <w:sz w:val="14"/>
          <w:szCs w:val="14"/>
          <w:color w:val="auto"/>
        </w:rPr>
        <w:t>The following amounts of energy and capacity revenue relate to leases and are accounted for under ASC 842:</w:t>
      </w:r>
    </w:p>
    <w:p>
      <w:pPr>
        <w:spacing w:after="0" w:line="183" w:lineRule="exact"/>
        <w:rPr>
          <w:sz w:val="20"/>
          <w:szCs w:val="20"/>
          <w:color w:val="auto"/>
        </w:rPr>
      </w:pPr>
    </w:p>
    <w:tbl>
      <w:tblPr>
        <w:tblLayout w:type="fixed"/>
        <w:tblInd w:w="2400" w:type="dxa"/>
        <w:tblCellMar>
          <w:top w:w="0" w:type="dxa"/>
          <w:left w:w="0" w:type="dxa"/>
          <w:bottom w:w="0" w:type="dxa"/>
          <w:right w:w="0" w:type="dxa"/>
        </w:tblCellMar>
      </w:tblPr>
      <w:tr>
        <w:trPr>
          <w:trHeight w:val="161"/>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2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2"/>
              </w:rPr>
              <w:t>Conventional</w:t>
            </w:r>
          </w:p>
        </w:tc>
        <w:tc>
          <w:tcPr>
            <w:tcW w:w="11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w w:val="91"/>
              </w:rPr>
              <w:t>Renewables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4"/>
              </w:rPr>
              <w:t>Generation</w:t>
            </w:r>
          </w:p>
        </w:tc>
        <w:tc>
          <w:tcPr>
            <w:tcW w:w="400" w:type="dxa"/>
            <w:vAlign w:val="bottom"/>
            <w:gridSpan w:val="2"/>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Energy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18"/>
                <w:szCs w:val="18"/>
                <w:color w:val="auto"/>
              </w:rPr>
              <w:t>Capacity revenue</w:t>
            </w:r>
          </w:p>
        </w:tc>
        <w:tc>
          <w:tcPr>
            <w:tcW w:w="180" w:type="dxa"/>
            <w:vAlign w:val="bottom"/>
          </w:tcPr>
          <w:p>
            <w:pPr>
              <w:spacing w:after="0"/>
              <w:rPr>
                <w:sz w:val="21"/>
                <w:szCs w:val="21"/>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99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 Amortization</w:t>
      </w:r>
    </w:p>
    <w:p>
      <w:pPr>
        <w:spacing w:after="0" w:line="19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contract assets and liabilities included on the Company’s balance sheet as of March 31,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76"/>
        </w:trPr>
        <w:tc>
          <w:tcPr>
            <w:tcW w:w="8740" w:type="dxa"/>
            <w:vAlign w:val="bottom"/>
          </w:tcPr>
          <w:p>
            <w:pPr>
              <w:ind w:left="20"/>
              <w:spacing w:after="0"/>
              <w:rPr>
                <w:sz w:val="20"/>
                <w:szCs w:val="20"/>
                <w:color w:val="auto"/>
              </w:rPr>
            </w:pPr>
            <w:r>
              <w:rPr>
                <w:rFonts w:ascii="Arial" w:cs="Arial" w:eastAsia="Arial" w:hAnsi="Arial"/>
                <w:sz w:val="18"/>
                <w:szCs w:val="18"/>
                <w:color w:val="auto"/>
              </w:rPr>
              <w:t>Accounts receivable, net - Contracts with customers</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7"/>
        </w:trPr>
        <w:tc>
          <w:tcPr>
            <w:tcW w:w="8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 - Leases</w:t>
            </w:r>
          </w:p>
        </w:tc>
        <w:tc>
          <w:tcPr>
            <w:tcW w:w="7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r>
      <w:tr>
        <w:trPr>
          <w:trHeight w:val="264"/>
        </w:trPr>
        <w:tc>
          <w:tcPr>
            <w:tcW w:w="8740" w:type="dxa"/>
            <w:vAlign w:val="bottom"/>
          </w:tcPr>
          <w:p>
            <w:pPr>
              <w:ind w:left="180"/>
              <w:spacing w:after="0"/>
              <w:rPr>
                <w:sz w:val="20"/>
                <w:szCs w:val="20"/>
                <w:color w:val="auto"/>
              </w:rPr>
            </w:pPr>
            <w:r>
              <w:rPr>
                <w:rFonts w:ascii="Arial" w:cs="Arial" w:eastAsia="Arial" w:hAnsi="Arial"/>
                <w:sz w:val="18"/>
                <w:szCs w:val="18"/>
                <w:color w:val="auto"/>
              </w:rPr>
              <w:t xml:space="preserve">Total accounts receivable, net </w:t>
            </w:r>
            <w:r>
              <w:rPr>
                <w:rFonts w:ascii="Arial" w:cs="Arial" w:eastAsia="Arial" w:hAnsi="Arial"/>
                <w:sz w:val="23"/>
                <w:szCs w:val="23"/>
                <w:color w:val="auto"/>
                <w:vertAlign w:val="superscript"/>
              </w:rPr>
              <w:t>(a)</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w:t>
            </w:r>
          </w:p>
        </w:tc>
      </w:tr>
      <w:tr>
        <w:trPr>
          <w:trHeight w:val="20"/>
        </w:trPr>
        <w:tc>
          <w:tcPr>
            <w:tcW w:w="8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3798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Total accounts receivable, net, excludes $5 million generated at projects affected by PG&amp;E Bankruptcy, which were recorded in non-current assets as of March 31, 2020</w:t>
      </w:r>
      <w:r>
        <w:rPr>
          <w:rFonts w:ascii="Arial" w:cs="Arial" w:eastAsia="Arial" w:hAnsi="Arial"/>
          <w:sz w:val="15"/>
          <w:szCs w:val="15"/>
          <w:color w:val="auto"/>
        </w:rPr>
        <w:t>.</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324" w:lineRule="exact"/>
        <w:rPr>
          <w:rFonts w:ascii="Arial" w:cs="Arial" w:eastAsia="Arial" w:hAnsi="Arial"/>
          <w:sz w:val="18"/>
          <w:szCs w:val="18"/>
          <w:color w:val="auto"/>
          <w:vertAlign w:val="superscript"/>
        </w:rPr>
      </w:pPr>
    </w:p>
    <w:p>
      <w:pPr>
        <w:ind w:left="5540"/>
        <w:spacing w:after="0"/>
        <w:rPr>
          <w:rFonts w:ascii="Arial" w:cs="Arial" w:eastAsia="Arial" w:hAnsi="Arial"/>
          <w:sz w:val="18"/>
          <w:szCs w:val="18"/>
          <w:color w:val="auto"/>
          <w:vertAlign w:val="superscript"/>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March 2020, the FASB issued ASU 2020-4, Facilitation of the Effects of Reference Rate Reform on Financial Reporting. The amendments provide for optional expedients and exceptions for applying GAAP to contracts, hedging relationships and other transactions affected by reference rate reform if certain criteria is met. These amendments apply only to contracts that reference LIBOR or another reference rate expected to be discontinued because of reference rate reform. The guidance is effective for all entities as of March 12, 2020 through December 31, 2022. The Company intends to apply the amendments to all its eligible contract modifications where applicable.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prior year amounts have been reclassified for comparative purposes.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Dispositions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Sale of Energy Center Dover LLC and Energy Center Smyrna LLC Assets </w:t>
      </w:r>
      <w:r>
        <w:rPr>
          <w:rFonts w:ascii="Arial" w:cs="Arial" w:eastAsia="Arial" w:hAnsi="Arial"/>
          <w:sz w:val="18"/>
          <w:szCs w:val="18"/>
          <w:color w:val="auto"/>
        </w:rPr>
        <w:t>— On March 3, 2020, the Company, through Thermal LLC, sold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 of its interests in Energy Center Dover LLC and Energy Center Smyrna LLC to DB Energy Assets, LLC.</w:t>
      </w:r>
    </w:p>
    <w:p>
      <w:pPr>
        <w:spacing w:after="0" w:line="200" w:lineRule="exact"/>
        <w:rPr>
          <w:sz w:val="20"/>
          <w:szCs w:val="20"/>
          <w:color w:val="auto"/>
        </w:rPr>
      </w:pPr>
    </w:p>
    <w:p>
      <w:pPr>
        <w:spacing w:after="0" w:line="317" w:lineRule="exact"/>
        <w:rPr>
          <w:sz w:val="20"/>
          <w:szCs w:val="20"/>
          <w:color w:val="auto"/>
        </w:rPr>
      </w:pPr>
    </w:p>
    <w:p>
      <w:pPr>
        <w:ind w:right="4620"/>
        <w:spacing w:after="0" w:line="282"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Consolidated</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and solar facilities, as further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w:t>
      </w:r>
      <w:r>
        <w:rPr>
          <w:rFonts w:ascii="Arial" w:cs="Arial" w:eastAsia="Arial" w:hAnsi="Arial"/>
          <w:sz w:val="18"/>
          <w:szCs w:val="18"/>
          <w:color w:val="231F20"/>
        </w:rPr>
        <w:t>to the consolidated</w:t>
      </w:r>
      <w:r>
        <w:rPr>
          <w:rFonts w:ascii="Arial" w:cs="Arial" w:eastAsia="Arial" w:hAnsi="Arial"/>
          <w:sz w:val="18"/>
          <w:szCs w:val="18"/>
          <w:color w:val="auto"/>
        </w:rPr>
        <w:t xml:space="preserve"> </w:t>
      </w:r>
      <w:r>
        <w:rPr>
          <w:rFonts w:ascii="Arial" w:cs="Arial" w:eastAsia="Arial" w:hAnsi="Arial"/>
          <w:sz w:val="18"/>
          <w:szCs w:val="18"/>
          <w:color w:val="231F20"/>
        </w:rPr>
        <w:t xml:space="preserve">financial statements included in the Company's </w:t>
      </w:r>
      <w:r>
        <w:rPr>
          <w:rFonts w:ascii="Arial" w:cs="Arial" w:eastAsia="Arial" w:hAnsi="Arial"/>
          <w:sz w:val="18"/>
          <w:szCs w:val="18"/>
          <w:color w:val="000000"/>
        </w:rPr>
        <w:t>2019</w:t>
      </w:r>
      <w:r>
        <w:rPr>
          <w:rFonts w:ascii="Arial" w:cs="Arial" w:eastAsia="Arial" w:hAnsi="Arial"/>
          <w:sz w:val="18"/>
          <w:szCs w:val="18"/>
          <w:color w:val="231F20"/>
        </w:rPr>
        <w:t xml:space="preserve"> Form 10</w:t>
      </w:r>
      <w:r>
        <w:rPr>
          <w:rFonts w:ascii="Arial" w:cs="Arial" w:eastAsia="Arial" w:hAnsi="Arial"/>
          <w:sz w:val="18"/>
          <w:szCs w:val="18"/>
          <w:color w:val="000000"/>
        </w:rPr>
        <w:t>-K.</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March 31, 2020: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Oahu Solar</w:t>
            </w:r>
          </w:p>
        </w:tc>
        <w:tc>
          <w:tcPr>
            <w:tcW w:w="12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Kawailoa</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Repowering</w:t>
            </w:r>
          </w:p>
        </w:tc>
        <w:tc>
          <w:tcPr>
            <w:tcW w:w="160" w:type="dxa"/>
            <w:vAlign w:val="bottom"/>
          </w:tcPr>
          <w:p>
            <w:pPr>
              <w:spacing w:after="0"/>
              <w:rPr>
                <w:sz w:val="14"/>
                <w:szCs w:val="14"/>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Alta TE</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Buckthorn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Partnership II</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Spring Canyon</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9"/>
                <w:szCs w:val="9"/>
                <w:b w:val="1"/>
                <w:bCs w:val="1"/>
                <w:color w:val="auto"/>
              </w:rPr>
              <w:t>(a)</w:t>
            </w:r>
          </w:p>
        </w:tc>
        <w:tc>
          <w:tcPr>
            <w:tcW w:w="0" w:type="dxa"/>
            <w:vAlign w:val="bottom"/>
          </w:tcPr>
          <w:p>
            <w:pPr>
              <w:spacing w:after="0"/>
              <w:rPr>
                <w:sz w:val="1"/>
                <w:szCs w:val="1"/>
                <w:color w:val="auto"/>
              </w:rPr>
            </w:pPr>
          </w:p>
        </w:tc>
      </w:tr>
      <w:tr>
        <w:trPr>
          <w:trHeight w:val="192"/>
        </w:trPr>
        <w:tc>
          <w:tcPr>
            <w:tcW w:w="3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Partnership</w:t>
            </w:r>
          </w:p>
        </w:tc>
        <w:tc>
          <w:tcPr>
            <w:tcW w:w="12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Partnership</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Holdco</w:t>
            </w: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Renewables LLC</w:t>
            </w: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30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22"/>
                <w:szCs w:val="22"/>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0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168</w:t>
            </w: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117</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04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117</w:t>
            </w: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040" w:type="dxa"/>
            <w:vAlign w:val="bottom"/>
          </w:tcPr>
          <w:p>
            <w:pPr>
              <w:ind w:left="20"/>
              <w:spacing w:after="0"/>
              <w:rPr>
                <w:sz w:val="20"/>
                <w:szCs w:val="20"/>
                <w:color w:val="auto"/>
              </w:rPr>
            </w:pPr>
            <w:r>
              <w:rPr>
                <w:rFonts w:ascii="Arial" w:cs="Arial" w:eastAsia="Arial" w:hAnsi="Arial"/>
                <w:sz w:val="18"/>
                <w:szCs w:val="18"/>
                <w:color w:val="auto"/>
                <w:w w:val="96"/>
              </w:rPr>
              <w:t>Net assets less noncontrolling interests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3798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Other is comprised of Crosswinds and Hardin projects.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discussion below describes material changes to VIEs during the three months ended March 31, 2020.</w:t>
      </w:r>
    </w:p>
    <w:p>
      <w:pPr>
        <w:spacing w:after="0" w:line="16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b w:val="1"/>
          <w:bCs w:val="1"/>
          <w:color w:val="auto"/>
        </w:rPr>
        <w:t xml:space="preserve">Repowering Partnership II LLC </w:t>
      </w:r>
      <w:r>
        <w:rPr>
          <w:rFonts w:ascii="Arial" w:cs="Arial" w:eastAsia="Arial" w:hAnsi="Arial"/>
          <w:sz w:val="17"/>
          <w:szCs w:val="17"/>
          <w:color w:val="auto"/>
        </w:rPr>
        <w:t>— On February 7, 2020, a third party tax equity investor purchased 100% of the Class A membership interests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Wildorado Repowering Tax Equity Holdco LLC, or Wildorado TE Holdco, for $148 million. The Company's contribution to Wildorado TE Holdco was $112 million as of March 31, 2020. The combined proceeds were used to pay down construction debt under the Repowering Partnership Holdco credit agreement, as described in Note 7, </w:t>
      </w:r>
      <w:r>
        <w:rPr>
          <w:rFonts w:ascii="Arial" w:cs="Arial" w:eastAsia="Arial" w:hAnsi="Arial"/>
          <w:sz w:val="17"/>
          <w:szCs w:val="17"/>
          <w:i w:val="1"/>
          <w:iCs w:val="1"/>
          <w:color w:val="auto"/>
        </w:rPr>
        <w:t>Long-term Debt</w:t>
      </w:r>
      <w:r>
        <w:rPr>
          <w:rFonts w:ascii="Arial" w:cs="Arial" w:eastAsia="Arial" w:hAnsi="Arial"/>
          <w:sz w:val="17"/>
          <w:szCs w:val="17"/>
          <w:color w:val="auto"/>
        </w:rPr>
        <w:t>. The third party tax equity investor, or Wildorado Investor, will receive 99% of allocations of taxable income and other items until the Wildorado Investor obtains a specified return on its initial investment, or the last day of the PTC period, whichever occurs sooner. At such time, the allocations to the Wildorado Investor will change to 5%. Until such time, the Wildorado Investor will receive a variable percentage of cash distributions. Wildorado TE Holdco is a VIE and the Repowering Partnership II LLC is the primary beneficiary through its position as managing member. As a result, the Company consolidates Wildorado TE Holdco, with the Wildorado Investor's interest shown as noncontrolling interest. The Company utilizes the HLBV method to determine the net income or loss allocated to tax equity noncontrolling interest. The Company recorded $28 million of loss attributable to Wildorado Investor's noncontrolling interest during the period ended March 31, 2020. Repowering Partnership II LLC also consolidates Elbow Creek TE Holdco and recorded $2 million of loss attributable to Elbow Creek TE Holdco for the three months ended March 31, 2020. In connection with the Wildorado TE Holdco closing, the allocations of income at Repowering Partnership II LLC changed to 60.14% for Wind TE Holdco LLC (the Company member) and 39.86% for CWSP Wildorado Elbow Holding LLC (the CEG member).</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has interests in entities that are considered VIEs under ASC 810, but for which it is not considered the primary beneficiary. The Company accounts for its interests in these entities under the equity method of accounting, as further described in Note 5, Investments Accounted for by the Equity Method and Variable Interest Entities</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color w:val="221F1F"/>
        </w:rPr>
        <w:t>to the consolidated financial statements included in the Company's</w:t>
      </w:r>
      <w:r>
        <w:rPr>
          <w:rFonts w:ascii="Arial" w:cs="Arial" w:eastAsia="Arial" w:hAnsi="Arial"/>
          <w:sz w:val="17"/>
          <w:szCs w:val="17"/>
          <w:color w:val="auto"/>
        </w:rPr>
        <w:t xml:space="preserve"> 2019 </w:t>
      </w:r>
      <w:r>
        <w:rPr>
          <w:rFonts w:ascii="Arial" w:cs="Arial" w:eastAsia="Arial" w:hAnsi="Arial"/>
          <w:sz w:val="17"/>
          <w:szCs w:val="17"/>
          <w:color w:val="221F1F"/>
        </w:rPr>
        <w:t>Form 10-K</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19" w:name="page20"/>
    <w:bookmarkEnd w:id="19"/>
    <w:p>
      <w:pPr>
        <w:ind w:firstLine="405"/>
        <w:spacing w:after="0" w:line="276" w:lineRule="auto"/>
        <w:rPr>
          <w:sz w:val="20"/>
          <w:szCs w:val="20"/>
          <w:color w:val="auto"/>
        </w:rPr>
      </w:pPr>
      <w:r>
        <w:rPr>
          <w:rFonts w:ascii="Arial" w:cs="Arial" w:eastAsia="Arial" w:hAnsi="Arial"/>
          <w:sz w:val="18"/>
          <w:szCs w:val="18"/>
          <w:color w:val="auto"/>
        </w:rPr>
        <w:t>The Company's maximum exposure to loss as of March 31, 2020, is limited to its equity investment in the unconsolidated entities, as further summarized in the table below:</w:t>
      </w:r>
    </w:p>
    <w:p>
      <w:pPr>
        <w:spacing w:after="0" w:line="2"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414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Economic Interest</w:t>
            </w: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Investment Balance</w:t>
            </w:r>
          </w:p>
        </w:tc>
      </w:tr>
      <w:tr>
        <w:trPr>
          <w:trHeight w:val="196"/>
        </w:trPr>
        <w:tc>
          <w:tcPr>
            <w:tcW w:w="43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ind w:right="533"/>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Utah Solar Portfolio </w:t>
            </w:r>
            <w:r>
              <w:rPr>
                <w:rFonts w:ascii="Arial" w:cs="Arial" w:eastAsia="Arial" w:hAnsi="Arial"/>
                <w:sz w:val="23"/>
                <w:szCs w:val="23"/>
                <w:color w:val="auto"/>
                <w:vertAlign w:val="superscript"/>
              </w:rPr>
              <w:t>(a)</w:t>
            </w:r>
          </w:p>
        </w:tc>
        <w:tc>
          <w:tcPr>
            <w:tcW w:w="4140" w:type="dxa"/>
            <w:vAlign w:val="bottom"/>
            <w:shd w:val="clear" w:color="auto" w:fill="CCEEFF"/>
          </w:tcPr>
          <w:p>
            <w:pPr>
              <w:jc w:val="center"/>
              <w:ind w:left="2112"/>
              <w:spacing w:after="0"/>
              <w:rPr>
                <w:sz w:val="20"/>
                <w:szCs w:val="20"/>
                <w:color w:val="auto"/>
              </w:rPr>
            </w:pPr>
            <w:r>
              <w:rPr>
                <w:rFonts w:ascii="Arial" w:cs="Arial" w:eastAsia="Arial" w:hAnsi="Arial"/>
                <w:sz w:val="18"/>
                <w:szCs w:val="18"/>
                <w:color w:val="auto"/>
                <w:w w:val="94"/>
              </w:rPr>
              <w:t>50%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280</w:t>
            </w:r>
          </w:p>
        </w:tc>
      </w:tr>
      <w:tr>
        <w:trPr>
          <w:trHeight w:val="270"/>
        </w:trPr>
        <w:tc>
          <w:tcPr>
            <w:tcW w:w="4380" w:type="dxa"/>
            <w:vAlign w:val="bottom"/>
          </w:tcPr>
          <w:p>
            <w:pPr>
              <w:ind w:left="20"/>
              <w:spacing w:after="0"/>
              <w:rPr>
                <w:sz w:val="20"/>
                <w:szCs w:val="20"/>
                <w:color w:val="auto"/>
              </w:rPr>
            </w:pPr>
            <w:r>
              <w:rPr>
                <w:rFonts w:ascii="Arial" w:cs="Arial" w:eastAsia="Arial" w:hAnsi="Arial"/>
                <w:sz w:val="18"/>
                <w:szCs w:val="18"/>
                <w:color w:val="auto"/>
              </w:rPr>
              <w:t xml:space="preserve">Desert Sunlight </w:t>
            </w:r>
            <w:r>
              <w:rPr>
                <w:rFonts w:ascii="Arial" w:cs="Arial" w:eastAsia="Arial" w:hAnsi="Arial"/>
                <w:sz w:val="23"/>
                <w:szCs w:val="23"/>
                <w:color w:val="auto"/>
                <w:vertAlign w:val="superscript"/>
              </w:rPr>
              <w:t>(b)</w:t>
            </w:r>
          </w:p>
        </w:tc>
        <w:tc>
          <w:tcPr>
            <w:tcW w:w="4140" w:type="dxa"/>
            <w:vAlign w:val="bottom"/>
          </w:tcPr>
          <w:p>
            <w:pPr>
              <w:jc w:val="center"/>
              <w:ind w:left="2112"/>
              <w:spacing w:after="0"/>
              <w:rPr>
                <w:sz w:val="20"/>
                <w:szCs w:val="20"/>
                <w:color w:val="auto"/>
              </w:rPr>
            </w:pPr>
            <w:r>
              <w:rPr>
                <w:rFonts w:ascii="Arial" w:cs="Arial" w:eastAsia="Arial" w:hAnsi="Arial"/>
                <w:sz w:val="18"/>
                <w:szCs w:val="18"/>
                <w:color w:val="auto"/>
                <w:w w:val="94"/>
              </w:rPr>
              <w:t>25%</w:t>
            </w:r>
          </w:p>
        </w:tc>
        <w:tc>
          <w:tcPr>
            <w:tcW w:w="240" w:type="dxa"/>
            <w:vAlign w:val="bottom"/>
          </w:tcPr>
          <w:p>
            <w:pPr>
              <w:spacing w:after="0"/>
              <w:rPr>
                <w:sz w:val="23"/>
                <w:szCs w:val="23"/>
                <w:color w:val="auto"/>
              </w:rPr>
            </w:pPr>
          </w:p>
        </w:tc>
        <w:tc>
          <w:tcPr>
            <w:tcW w:w="1740" w:type="dxa"/>
            <w:vAlign w:val="bottom"/>
          </w:tcPr>
          <w:p>
            <w:pPr>
              <w:jc w:val="right"/>
              <w:ind w:right="53"/>
              <w:spacing w:after="0"/>
              <w:rPr>
                <w:sz w:val="20"/>
                <w:szCs w:val="20"/>
                <w:color w:val="auto"/>
              </w:rPr>
            </w:pPr>
            <w:r>
              <w:rPr>
                <w:rFonts w:ascii="Arial" w:cs="Arial" w:eastAsia="Arial" w:hAnsi="Arial"/>
                <w:sz w:val="18"/>
                <w:szCs w:val="18"/>
                <w:color w:val="auto"/>
              </w:rPr>
              <w:t>272</w:t>
            </w:r>
          </w:p>
        </w:tc>
      </w:t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DGPV Holdco 3 LLC </w:t>
            </w:r>
            <w:r>
              <w:rPr>
                <w:rFonts w:ascii="Arial" w:cs="Arial" w:eastAsia="Arial" w:hAnsi="Arial"/>
                <w:sz w:val="23"/>
                <w:szCs w:val="23"/>
                <w:color w:val="auto"/>
                <w:vertAlign w:val="superscript"/>
              </w:rPr>
              <w:t>(c)</w:t>
            </w:r>
          </w:p>
        </w:tc>
        <w:tc>
          <w:tcPr>
            <w:tcW w:w="4140" w:type="dxa"/>
            <w:vAlign w:val="bottom"/>
            <w:shd w:val="clear" w:color="auto" w:fill="CCEEFF"/>
          </w:tcPr>
          <w:p>
            <w:pPr>
              <w:jc w:val="center"/>
              <w:ind w:left="2112"/>
              <w:spacing w:after="0"/>
              <w:rPr>
                <w:sz w:val="20"/>
                <w:szCs w:val="20"/>
                <w:color w:val="auto"/>
              </w:rPr>
            </w:pPr>
            <w:r>
              <w:rPr>
                <w:rFonts w:ascii="Arial" w:cs="Arial" w:eastAsia="Arial" w:hAnsi="Arial"/>
                <w:sz w:val="18"/>
                <w:szCs w:val="18"/>
                <w:color w:val="auto"/>
                <w:w w:val="94"/>
              </w:rPr>
              <w:t>99%</w:t>
            </w:r>
          </w:p>
        </w:tc>
        <w:tc>
          <w:tcPr>
            <w:tcW w:w="24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152</w:t>
            </w:r>
          </w:p>
        </w:tc>
      </w:tr>
      <w:tr>
        <w:trPr>
          <w:trHeight w:val="270"/>
        </w:trPr>
        <w:tc>
          <w:tcPr>
            <w:tcW w:w="4380" w:type="dxa"/>
            <w:vAlign w:val="bottom"/>
          </w:tcPr>
          <w:p>
            <w:pPr>
              <w:ind w:left="20"/>
              <w:spacing w:after="0"/>
              <w:rPr>
                <w:sz w:val="20"/>
                <w:szCs w:val="20"/>
                <w:color w:val="auto"/>
              </w:rPr>
            </w:pPr>
            <w:r>
              <w:rPr>
                <w:rFonts w:ascii="Arial" w:cs="Arial" w:eastAsia="Arial" w:hAnsi="Arial"/>
                <w:sz w:val="18"/>
                <w:szCs w:val="18"/>
                <w:color w:val="auto"/>
              </w:rPr>
              <w:t xml:space="preserve">Agua Caliente Solar </w:t>
            </w:r>
            <w:r>
              <w:rPr>
                <w:rFonts w:ascii="Arial" w:cs="Arial" w:eastAsia="Arial" w:hAnsi="Arial"/>
                <w:sz w:val="23"/>
                <w:szCs w:val="23"/>
                <w:color w:val="auto"/>
                <w:vertAlign w:val="superscript"/>
              </w:rPr>
              <w:t>(b)</w:t>
            </w:r>
          </w:p>
        </w:tc>
        <w:tc>
          <w:tcPr>
            <w:tcW w:w="4140" w:type="dxa"/>
            <w:vAlign w:val="bottom"/>
          </w:tcPr>
          <w:p>
            <w:pPr>
              <w:jc w:val="center"/>
              <w:ind w:left="2112"/>
              <w:spacing w:after="0"/>
              <w:rPr>
                <w:sz w:val="20"/>
                <w:szCs w:val="20"/>
                <w:color w:val="auto"/>
              </w:rPr>
            </w:pPr>
            <w:r>
              <w:rPr>
                <w:rFonts w:ascii="Arial" w:cs="Arial" w:eastAsia="Arial" w:hAnsi="Arial"/>
                <w:sz w:val="18"/>
                <w:szCs w:val="18"/>
                <w:color w:val="auto"/>
                <w:w w:val="94"/>
              </w:rPr>
              <w:t>16%</w:t>
            </w:r>
          </w:p>
        </w:tc>
        <w:tc>
          <w:tcPr>
            <w:tcW w:w="240" w:type="dxa"/>
            <w:vAlign w:val="bottom"/>
          </w:tcPr>
          <w:p>
            <w:pPr>
              <w:spacing w:after="0"/>
              <w:rPr>
                <w:sz w:val="23"/>
                <w:szCs w:val="23"/>
                <w:color w:val="auto"/>
              </w:rPr>
            </w:pPr>
          </w:p>
        </w:tc>
        <w:tc>
          <w:tcPr>
            <w:tcW w:w="1740" w:type="dxa"/>
            <w:vAlign w:val="bottom"/>
          </w:tcPr>
          <w:p>
            <w:pPr>
              <w:jc w:val="right"/>
              <w:ind w:right="53"/>
              <w:spacing w:after="0"/>
              <w:rPr>
                <w:sz w:val="20"/>
                <w:szCs w:val="20"/>
                <w:color w:val="auto"/>
              </w:rPr>
            </w:pPr>
            <w:r>
              <w:rPr>
                <w:rFonts w:ascii="Arial" w:cs="Arial" w:eastAsia="Arial" w:hAnsi="Arial"/>
                <w:sz w:val="18"/>
                <w:szCs w:val="18"/>
                <w:color w:val="auto"/>
              </w:rPr>
              <w:t>96</w:t>
            </w: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GenConn</w:t>
            </w:r>
          </w:p>
        </w:tc>
        <w:tc>
          <w:tcPr>
            <w:tcW w:w="4140" w:type="dxa"/>
            <w:vAlign w:val="bottom"/>
            <w:tcBorders>
              <w:bottom w:val="single" w:sz="8" w:color="CCEEFF"/>
            </w:tcBorders>
            <w:shd w:val="clear" w:color="auto" w:fill="CCEEFF"/>
          </w:tcPr>
          <w:p>
            <w:pPr>
              <w:jc w:val="center"/>
              <w:ind w:left="2112"/>
              <w:spacing w:after="0"/>
              <w:rPr>
                <w:sz w:val="20"/>
                <w:szCs w:val="20"/>
                <w:color w:val="auto"/>
              </w:rPr>
            </w:pPr>
            <w:r>
              <w:rPr>
                <w:rFonts w:ascii="Arial" w:cs="Arial" w:eastAsia="Arial" w:hAnsi="Arial"/>
                <w:sz w:val="18"/>
                <w:szCs w:val="18"/>
                <w:color w:val="auto"/>
                <w:w w:val="94"/>
              </w:rPr>
              <w:t>50%</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92</w:t>
            </w:r>
          </w:p>
        </w:tc>
      </w:tr>
      <w:tr>
        <w:trPr>
          <w:trHeight w:val="270"/>
        </w:trPr>
        <w:tc>
          <w:tcPr>
            <w:tcW w:w="4380" w:type="dxa"/>
            <w:vAlign w:val="bottom"/>
          </w:tcPr>
          <w:p>
            <w:pPr>
              <w:ind w:left="20"/>
              <w:spacing w:after="0"/>
              <w:rPr>
                <w:sz w:val="20"/>
                <w:szCs w:val="20"/>
                <w:color w:val="auto"/>
              </w:rPr>
            </w:pPr>
            <w:r>
              <w:rPr>
                <w:rFonts w:ascii="Arial" w:cs="Arial" w:eastAsia="Arial" w:hAnsi="Arial"/>
                <w:sz w:val="18"/>
                <w:szCs w:val="18"/>
                <w:color w:val="auto"/>
              </w:rPr>
              <w:t xml:space="preserve">DGPV Holdco 1 LLC </w:t>
            </w:r>
            <w:r>
              <w:rPr>
                <w:rFonts w:ascii="Arial" w:cs="Arial" w:eastAsia="Arial" w:hAnsi="Arial"/>
                <w:sz w:val="23"/>
                <w:szCs w:val="23"/>
                <w:color w:val="auto"/>
                <w:vertAlign w:val="superscript"/>
              </w:rPr>
              <w:t>(c)</w:t>
            </w:r>
          </w:p>
        </w:tc>
        <w:tc>
          <w:tcPr>
            <w:tcW w:w="4140" w:type="dxa"/>
            <w:vAlign w:val="bottom"/>
          </w:tcPr>
          <w:p>
            <w:pPr>
              <w:jc w:val="center"/>
              <w:ind w:left="2112"/>
              <w:spacing w:after="0"/>
              <w:rPr>
                <w:sz w:val="20"/>
                <w:szCs w:val="20"/>
                <w:color w:val="auto"/>
              </w:rPr>
            </w:pPr>
            <w:r>
              <w:rPr>
                <w:rFonts w:ascii="Arial" w:cs="Arial" w:eastAsia="Arial" w:hAnsi="Arial"/>
                <w:sz w:val="18"/>
                <w:szCs w:val="18"/>
                <w:color w:val="auto"/>
                <w:w w:val="94"/>
              </w:rPr>
              <w:t>95%</w:t>
            </w:r>
          </w:p>
        </w:tc>
        <w:tc>
          <w:tcPr>
            <w:tcW w:w="240" w:type="dxa"/>
            <w:vAlign w:val="bottom"/>
          </w:tcPr>
          <w:p>
            <w:pPr>
              <w:spacing w:after="0"/>
              <w:rPr>
                <w:sz w:val="23"/>
                <w:szCs w:val="23"/>
                <w:color w:val="auto"/>
              </w:rPr>
            </w:pPr>
          </w:p>
        </w:tc>
        <w:tc>
          <w:tcPr>
            <w:tcW w:w="1740" w:type="dxa"/>
            <w:vAlign w:val="bottom"/>
          </w:tcPr>
          <w:p>
            <w:pPr>
              <w:jc w:val="right"/>
              <w:ind w:right="53"/>
              <w:spacing w:after="0"/>
              <w:rPr>
                <w:sz w:val="20"/>
                <w:szCs w:val="20"/>
                <w:color w:val="auto"/>
              </w:rPr>
            </w:pPr>
            <w:r>
              <w:rPr>
                <w:rFonts w:ascii="Arial" w:cs="Arial" w:eastAsia="Arial" w:hAnsi="Arial"/>
                <w:sz w:val="18"/>
                <w:szCs w:val="18"/>
                <w:color w:val="auto"/>
              </w:rPr>
              <w:t>80</w:t>
            </w:r>
          </w:p>
        </w:tc>
      </w:t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DGPV Holdco 2 LLC </w:t>
            </w:r>
            <w:r>
              <w:rPr>
                <w:rFonts w:ascii="Arial" w:cs="Arial" w:eastAsia="Arial" w:hAnsi="Arial"/>
                <w:sz w:val="23"/>
                <w:szCs w:val="23"/>
                <w:color w:val="auto"/>
                <w:vertAlign w:val="superscript"/>
              </w:rPr>
              <w:t>(c)</w:t>
            </w:r>
          </w:p>
        </w:tc>
        <w:tc>
          <w:tcPr>
            <w:tcW w:w="4140" w:type="dxa"/>
            <w:vAlign w:val="bottom"/>
            <w:shd w:val="clear" w:color="auto" w:fill="CCEEFF"/>
          </w:tcPr>
          <w:p>
            <w:pPr>
              <w:jc w:val="center"/>
              <w:ind w:left="2112"/>
              <w:spacing w:after="0"/>
              <w:rPr>
                <w:sz w:val="20"/>
                <w:szCs w:val="20"/>
                <w:color w:val="auto"/>
              </w:rPr>
            </w:pPr>
            <w:r>
              <w:rPr>
                <w:rFonts w:ascii="Arial" w:cs="Arial" w:eastAsia="Arial" w:hAnsi="Arial"/>
                <w:sz w:val="18"/>
                <w:szCs w:val="18"/>
                <w:color w:val="auto"/>
                <w:w w:val="94"/>
              </w:rPr>
              <w:t>95%</w:t>
            </w:r>
          </w:p>
        </w:tc>
        <w:tc>
          <w:tcPr>
            <w:tcW w:w="24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66</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San Juan Mesa</w:t>
            </w:r>
          </w:p>
        </w:tc>
        <w:tc>
          <w:tcPr>
            <w:tcW w:w="4140" w:type="dxa"/>
            <w:vAlign w:val="bottom"/>
          </w:tcPr>
          <w:p>
            <w:pPr>
              <w:jc w:val="center"/>
              <w:ind w:left="2112"/>
              <w:spacing w:after="0"/>
              <w:rPr>
                <w:sz w:val="20"/>
                <w:szCs w:val="20"/>
                <w:color w:val="auto"/>
              </w:rPr>
            </w:pPr>
            <w:r>
              <w:rPr>
                <w:rFonts w:ascii="Arial" w:cs="Arial" w:eastAsia="Arial" w:hAnsi="Arial"/>
                <w:sz w:val="18"/>
                <w:szCs w:val="18"/>
                <w:color w:val="auto"/>
                <w:w w:val="94"/>
              </w:rPr>
              <w:t>75%</w:t>
            </w:r>
          </w:p>
        </w:tc>
        <w:tc>
          <w:tcPr>
            <w:tcW w:w="240" w:type="dxa"/>
            <w:vAlign w:val="bottom"/>
          </w:tcPr>
          <w:p>
            <w:pPr>
              <w:spacing w:after="0"/>
              <w:rPr>
                <w:sz w:val="21"/>
                <w:szCs w:val="21"/>
                <w:color w:val="auto"/>
              </w:rPr>
            </w:pPr>
          </w:p>
        </w:tc>
        <w:tc>
          <w:tcPr>
            <w:tcW w:w="1740" w:type="dxa"/>
            <w:vAlign w:val="bottom"/>
          </w:tcPr>
          <w:p>
            <w:pPr>
              <w:jc w:val="right"/>
              <w:ind w:right="53"/>
              <w:spacing w:after="0"/>
              <w:rPr>
                <w:sz w:val="20"/>
                <w:szCs w:val="20"/>
                <w:color w:val="auto"/>
              </w:rPr>
            </w:pPr>
            <w:r>
              <w:rPr>
                <w:rFonts w:ascii="Arial" w:cs="Arial" w:eastAsia="Arial" w:hAnsi="Arial"/>
                <w:sz w:val="18"/>
                <w:szCs w:val="18"/>
                <w:color w:val="auto"/>
              </w:rPr>
              <w:t>47</w:t>
            </w:r>
          </w:p>
        </w:tc>
      </w:tr>
      <w:tr>
        <w:trPr>
          <w:trHeight w:val="27"/>
        </w:trPr>
        <w:tc>
          <w:tcPr>
            <w:tcW w:w="43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Elkhorn Ridge</w:t>
            </w:r>
          </w:p>
        </w:tc>
        <w:tc>
          <w:tcPr>
            <w:tcW w:w="4140" w:type="dxa"/>
            <w:vAlign w:val="bottom"/>
            <w:tcBorders>
              <w:bottom w:val="single" w:sz="8" w:color="CCEEFF"/>
            </w:tcBorders>
            <w:shd w:val="clear" w:color="auto" w:fill="CCEEFF"/>
          </w:tcPr>
          <w:p>
            <w:pPr>
              <w:jc w:val="center"/>
              <w:ind w:left="2112"/>
              <w:spacing w:after="0"/>
              <w:rPr>
                <w:sz w:val="20"/>
                <w:szCs w:val="20"/>
                <w:color w:val="auto"/>
              </w:rPr>
            </w:pPr>
            <w:r>
              <w:rPr>
                <w:rFonts w:ascii="Arial" w:cs="Arial" w:eastAsia="Arial" w:hAnsi="Arial"/>
                <w:sz w:val="18"/>
                <w:szCs w:val="18"/>
                <w:color w:val="auto"/>
                <w:w w:val="90"/>
              </w:rPr>
              <w:t>66.7%</w:t>
            </w: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45</w:t>
            </w:r>
          </w:p>
        </w:tc>
      </w:tr>
      <w:tr>
        <w:trPr>
          <w:trHeight w:val="270"/>
        </w:trPr>
        <w:tc>
          <w:tcPr>
            <w:tcW w:w="4380" w:type="dxa"/>
            <w:vAlign w:val="bottom"/>
          </w:tcPr>
          <w:p>
            <w:pPr>
              <w:ind w:left="20"/>
              <w:spacing w:after="0"/>
              <w:rPr>
                <w:sz w:val="20"/>
                <w:szCs w:val="20"/>
                <w:color w:val="auto"/>
              </w:rPr>
            </w:pPr>
            <w:r>
              <w:rPr>
                <w:rFonts w:ascii="Arial" w:cs="Arial" w:eastAsia="Arial" w:hAnsi="Arial"/>
                <w:sz w:val="18"/>
                <w:szCs w:val="18"/>
                <w:color w:val="auto"/>
              </w:rPr>
              <w:t xml:space="preserve">RPV Holdco 1 LLC </w:t>
            </w:r>
            <w:r>
              <w:rPr>
                <w:rFonts w:ascii="Arial" w:cs="Arial" w:eastAsia="Arial" w:hAnsi="Arial"/>
                <w:sz w:val="23"/>
                <w:szCs w:val="23"/>
                <w:color w:val="auto"/>
                <w:vertAlign w:val="superscript"/>
              </w:rPr>
              <w:t>(c)</w:t>
            </w:r>
          </w:p>
        </w:tc>
        <w:tc>
          <w:tcPr>
            <w:tcW w:w="4140" w:type="dxa"/>
            <w:vAlign w:val="bottom"/>
          </w:tcPr>
          <w:p>
            <w:pPr>
              <w:jc w:val="center"/>
              <w:ind w:left="2112"/>
              <w:spacing w:after="0"/>
              <w:rPr>
                <w:sz w:val="20"/>
                <w:szCs w:val="20"/>
                <w:color w:val="auto"/>
              </w:rPr>
            </w:pPr>
            <w:r>
              <w:rPr>
                <w:rFonts w:ascii="Arial" w:cs="Arial" w:eastAsia="Arial" w:hAnsi="Arial"/>
                <w:sz w:val="18"/>
                <w:szCs w:val="18"/>
                <w:color w:val="auto"/>
                <w:w w:val="94"/>
              </w:rPr>
              <w:t>95%</w:t>
            </w:r>
          </w:p>
        </w:tc>
        <w:tc>
          <w:tcPr>
            <w:tcW w:w="240" w:type="dxa"/>
            <w:vAlign w:val="bottom"/>
          </w:tcPr>
          <w:p>
            <w:pPr>
              <w:spacing w:after="0"/>
              <w:rPr>
                <w:sz w:val="23"/>
                <w:szCs w:val="23"/>
                <w:color w:val="auto"/>
              </w:rPr>
            </w:pPr>
          </w:p>
        </w:tc>
        <w:tc>
          <w:tcPr>
            <w:tcW w:w="1740" w:type="dxa"/>
            <w:vAlign w:val="bottom"/>
          </w:tcPr>
          <w:p>
            <w:pPr>
              <w:jc w:val="right"/>
              <w:ind w:right="53"/>
              <w:spacing w:after="0"/>
              <w:rPr>
                <w:sz w:val="20"/>
                <w:szCs w:val="20"/>
                <w:color w:val="auto"/>
              </w:rPr>
            </w:pPr>
            <w:r>
              <w:rPr>
                <w:rFonts w:ascii="Arial" w:cs="Arial" w:eastAsia="Arial" w:hAnsi="Arial"/>
                <w:sz w:val="18"/>
                <w:szCs w:val="18"/>
                <w:color w:val="auto"/>
              </w:rPr>
              <w:t>27</w:t>
            </w:r>
          </w:p>
        </w:tc>
      </w:t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Avenal </w:t>
            </w:r>
            <w:r>
              <w:rPr>
                <w:rFonts w:ascii="Arial" w:cs="Arial" w:eastAsia="Arial" w:hAnsi="Arial"/>
                <w:sz w:val="23"/>
                <w:szCs w:val="23"/>
                <w:color w:val="auto"/>
                <w:vertAlign w:val="superscript"/>
              </w:rPr>
              <w:t>(b)</w:t>
            </w:r>
          </w:p>
        </w:tc>
        <w:tc>
          <w:tcPr>
            <w:tcW w:w="4140" w:type="dxa"/>
            <w:vAlign w:val="bottom"/>
            <w:shd w:val="clear" w:color="auto" w:fill="CCEEFF"/>
          </w:tcPr>
          <w:p>
            <w:pPr>
              <w:jc w:val="center"/>
              <w:ind w:left="2112"/>
              <w:spacing w:after="0"/>
              <w:rPr>
                <w:sz w:val="20"/>
                <w:szCs w:val="20"/>
                <w:color w:val="auto"/>
              </w:rPr>
            </w:pPr>
            <w:r>
              <w:rPr>
                <w:rFonts w:ascii="Arial" w:cs="Arial" w:eastAsia="Arial" w:hAnsi="Arial"/>
                <w:sz w:val="18"/>
                <w:szCs w:val="18"/>
                <w:color w:val="auto"/>
                <w:w w:val="94"/>
              </w:rPr>
              <w:t>50%</w:t>
            </w:r>
          </w:p>
        </w:tc>
        <w:tc>
          <w:tcPr>
            <w:tcW w:w="24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r>
      <w:tr>
        <w:trPr>
          <w:trHeight w:val="237"/>
        </w:trPr>
        <w:tc>
          <w:tcPr>
            <w:tcW w:w="43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53"/>
              <w:spacing w:after="0"/>
              <w:rPr>
                <w:sz w:val="20"/>
                <w:szCs w:val="20"/>
                <w:color w:val="auto"/>
              </w:rPr>
            </w:pPr>
            <w:r>
              <w:rPr>
                <w:rFonts w:ascii="Arial" w:cs="Arial" w:eastAsia="Arial" w:hAnsi="Arial"/>
                <w:sz w:val="18"/>
                <w:szCs w:val="18"/>
                <w:color w:val="auto"/>
              </w:rPr>
              <w:t>1,149</w:t>
            </w:r>
          </w:p>
        </w:tc>
      </w:tr>
      <w:tr>
        <w:trPr>
          <w:trHeight w:val="27"/>
        </w:trPr>
        <w:tc>
          <w:tcPr>
            <w:tcW w:w="43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43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274320</wp:posOffset>
            </wp:positionV>
            <wp:extent cx="25457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80" w:right="620" w:hanging="10"/>
        <w:spacing w:after="0" w:line="215" w:lineRule="auto"/>
        <w:tabs>
          <w:tab w:leader="none" w:pos="35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Economic interest based on cash to be distributed. Four Brothers Solar, LLC, Granite Mountain Holdings, LLC and Iron Springs Holdings, LLC are tax equity structures and VIEs.</w:t>
      </w:r>
    </w:p>
    <w:p>
      <w:pPr>
        <w:ind w:left="340" w:hanging="170"/>
        <w:spacing w:after="0" w:line="197" w:lineRule="auto"/>
        <w:tabs>
          <w:tab w:leader="none" w:pos="340"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 xml:space="preserve">Entities that have PPAs with PG&amp;E. For further update on PG&amp;E Bankruptcy see Note 1— </w:t>
      </w:r>
      <w:r>
        <w:rPr>
          <w:rFonts w:ascii="Arial" w:cs="Arial" w:eastAsia="Arial" w:hAnsi="Arial"/>
          <w:sz w:val="15"/>
          <w:szCs w:val="15"/>
          <w:i w:val="1"/>
          <w:iCs w:val="1"/>
          <w:color w:val="auto"/>
        </w:rPr>
        <w:t>Nature of Business.</w:t>
      </w:r>
    </w:p>
    <w:p>
      <w:pPr>
        <w:ind w:left="180" w:right="640" w:hanging="10"/>
        <w:spacing w:after="0" w:line="215" w:lineRule="auto"/>
        <w:tabs>
          <w:tab w:leader="none" w:pos="337"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Economic interest based on cash to be distributed. DGPV Holdco 1 LLC, DGPV Holdco 2 LLC, DGPV Holdco 3 LLC and RPV Holdco 1 LLC are tax equity structures and VIEs.</w:t>
      </w:r>
    </w:p>
    <w:p>
      <w:pPr>
        <w:spacing w:after="0" w:line="379"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DGPV Holdco 3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invested $7 million of cash during the three months ended March 31, 2020 in DGPV Holdco 3 LLC.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owns approximately 112 MW of distributed solar capacity, based on cash to be distributed, with a weighted average remaining contract life of approximately 21 years as of March 31, 2020.</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ind w:left="420"/>
        <w:spacing w:after="0"/>
        <w:rPr>
          <w:sz w:val="20"/>
          <w:szCs w:val="20"/>
          <w:color w:val="auto"/>
        </w:rPr>
      </w:pPr>
      <w:r>
        <w:rPr>
          <w:rFonts w:ascii="Arial" w:cs="Arial" w:eastAsia="Arial" w:hAnsi="Arial"/>
          <w:sz w:val="18"/>
          <w:szCs w:val="18"/>
          <w:color w:val="auto"/>
        </w:rPr>
        <w:t>The following tables present summarized financial information for the Company's significant equity method investments:</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250"/>
        </w:trPr>
        <w:tc>
          <w:tcPr>
            <w:tcW w:w="6980" w:type="dxa"/>
            <w:vAlign w:val="bottom"/>
          </w:tcPr>
          <w:p>
            <w:pPr>
              <w:spacing w:after="0"/>
              <w:rPr>
                <w:sz w:val="21"/>
                <w:szCs w:val="21"/>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2019</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1020" w:type="dxa"/>
            <w:vAlign w:val="bottom"/>
          </w:tcPr>
          <w:p>
            <w:pPr>
              <w:spacing w:after="0"/>
              <w:rPr>
                <w:sz w:val="21"/>
                <w:szCs w:val="21"/>
                <w:color w:val="auto"/>
              </w:rPr>
            </w:pPr>
          </w:p>
        </w:tc>
        <w:tc>
          <w:tcPr>
            <w:tcW w:w="2360" w:type="dxa"/>
            <w:vAlign w:val="bottom"/>
            <w:gridSpan w:val="4"/>
          </w:tcPr>
          <w:p>
            <w:pPr>
              <w:jc w:val="center"/>
              <w:ind w:right="933"/>
              <w:spacing w:after="0"/>
              <w:rPr>
                <w:sz w:val="20"/>
                <w:szCs w:val="20"/>
                <w:color w:val="auto"/>
              </w:rPr>
            </w:pPr>
            <w:r>
              <w:rPr>
                <w:rFonts w:ascii="Arial" w:cs="Arial" w:eastAsia="Arial" w:hAnsi="Arial"/>
                <w:sz w:val="18"/>
                <w:szCs w:val="18"/>
                <w:b w:val="1"/>
                <w:bCs w:val="1"/>
                <w:color w:val="auto"/>
                <w:w w:val="93"/>
              </w:rPr>
              <w:t>(In millions)</w:t>
            </w:r>
          </w:p>
        </w:tc>
      </w:tr>
      <w:tr>
        <w:trPr>
          <w:trHeight w:val="270"/>
        </w:trPr>
        <w:tc>
          <w:tcPr>
            <w:tcW w:w="6980" w:type="dxa"/>
            <w:vAlign w:val="bottom"/>
          </w:tcPr>
          <w:p>
            <w:pPr>
              <w:ind w:left="20"/>
              <w:spacing w:after="0"/>
              <w:rPr>
                <w:sz w:val="20"/>
                <w:szCs w:val="20"/>
                <w:color w:val="auto"/>
              </w:rPr>
            </w:pPr>
            <w:r>
              <w:rPr>
                <w:rFonts w:ascii="Arial" w:cs="Arial" w:eastAsia="Arial" w:hAnsi="Arial"/>
                <w:sz w:val="18"/>
                <w:szCs w:val="18"/>
                <w:color w:val="auto"/>
              </w:rPr>
              <w:t>DGPV Holdco 3</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
        </w:trPr>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Operating revenue</w:t>
            </w:r>
          </w:p>
        </w:tc>
        <w:tc>
          <w:tcPr>
            <w:tcW w:w="1020" w:type="dxa"/>
            <w:vAlign w:val="bottom"/>
            <w:tcBorders>
              <w:bottom w:val="single" w:sz="8" w:color="CCEEFF"/>
            </w:tcBorders>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r>
      <w:tr>
        <w:trPr>
          <w:trHeight w:val="243"/>
        </w:trPr>
        <w:tc>
          <w:tcPr>
            <w:tcW w:w="6980" w:type="dxa"/>
            <w:vAlign w:val="bottom"/>
          </w:tcPr>
          <w:p>
            <w:pPr>
              <w:ind w:left="100"/>
              <w:spacing w:after="0"/>
              <w:rPr>
                <w:sz w:val="20"/>
                <w:szCs w:val="20"/>
                <w:color w:val="auto"/>
              </w:rPr>
            </w:pPr>
            <w:r>
              <w:rPr>
                <w:rFonts w:ascii="Arial" w:cs="Arial" w:eastAsia="Arial" w:hAnsi="Arial"/>
                <w:sz w:val="18"/>
                <w:szCs w:val="18"/>
                <w:color w:val="auto"/>
              </w:rPr>
              <w:t>Operating income</w:t>
            </w:r>
          </w:p>
        </w:tc>
        <w:tc>
          <w:tcPr>
            <w:tcW w:w="10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1</w:t>
            </w:r>
          </w:p>
        </w:tc>
      </w:tr>
      <w:tr>
        <w:trPr>
          <w:trHeight w:val="27"/>
        </w:trPr>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RPV Holdco</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Operating revenue</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r>
      <w:tr>
        <w:trPr>
          <w:trHeight w:val="243"/>
        </w:trPr>
        <w:tc>
          <w:tcPr>
            <w:tcW w:w="6980" w:type="dxa"/>
            <w:vAlign w:val="bottom"/>
          </w:tcPr>
          <w:p>
            <w:pPr>
              <w:ind w:left="100"/>
              <w:spacing w:after="0"/>
              <w:rPr>
                <w:sz w:val="20"/>
                <w:szCs w:val="20"/>
                <w:color w:val="auto"/>
              </w:rPr>
            </w:pPr>
            <w:r>
              <w:rPr>
                <w:rFonts w:ascii="Arial" w:cs="Arial" w:eastAsia="Arial" w:hAnsi="Arial"/>
                <w:sz w:val="18"/>
                <w:szCs w:val="18"/>
                <w:color w:val="auto"/>
              </w:rPr>
              <w:t>Operating income</w:t>
            </w:r>
          </w:p>
        </w:tc>
        <w:tc>
          <w:tcPr>
            <w:tcW w:w="102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1</w:t>
            </w:r>
          </w:p>
        </w:tc>
      </w:tr>
      <w:tr>
        <w:trPr>
          <w:trHeight w:val="27"/>
        </w:trPr>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CCEEFF"/>
            </w:tcBorders>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466"/>
        </w:trPr>
        <w:tc>
          <w:tcPr>
            <w:tcW w:w="6980" w:type="dxa"/>
            <w:vAlign w:val="bottom"/>
          </w:tcPr>
          <w:p>
            <w:pPr>
              <w:spacing w:after="0"/>
              <w:rPr>
                <w:sz w:val="24"/>
                <w:szCs w:val="24"/>
                <w:color w:val="auto"/>
              </w:rPr>
            </w:pPr>
          </w:p>
        </w:tc>
        <w:tc>
          <w:tcPr>
            <w:tcW w:w="1640" w:type="dxa"/>
            <w:vAlign w:val="bottom"/>
            <w:gridSpan w:val="3"/>
          </w:tcPr>
          <w:p>
            <w:pPr>
              <w:ind w:left="280"/>
              <w:spacing w:after="0"/>
              <w:rPr>
                <w:sz w:val="20"/>
                <w:szCs w:val="20"/>
                <w:color w:val="auto"/>
              </w:rPr>
            </w:pPr>
            <w:r>
              <w:rPr>
                <w:rFonts w:ascii="Arial" w:cs="Arial" w:eastAsia="Arial" w:hAnsi="Arial"/>
                <w:sz w:val="14"/>
                <w:szCs w:val="14"/>
                <w:b w:val="1"/>
                <w:bCs w:val="1"/>
                <w:color w:val="auto"/>
              </w:rPr>
              <w:t>As of March 31,</w:t>
            </w:r>
          </w:p>
        </w:tc>
        <w:tc>
          <w:tcPr>
            <w:tcW w:w="180" w:type="dxa"/>
            <w:vAlign w:val="bottom"/>
          </w:tcPr>
          <w:p>
            <w:pPr>
              <w:spacing w:after="0"/>
              <w:rPr>
                <w:sz w:val="24"/>
                <w:szCs w:val="24"/>
                <w:color w:val="auto"/>
              </w:rPr>
            </w:pPr>
          </w:p>
        </w:tc>
        <w:tc>
          <w:tcPr>
            <w:tcW w:w="156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As of December 31,</w:t>
            </w:r>
          </w:p>
        </w:tc>
      </w:tr>
      <w:tr>
        <w:trPr>
          <w:trHeight w:val="196"/>
        </w:trPr>
        <w:tc>
          <w:tcPr>
            <w:tcW w:w="69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2019</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020" w:type="dxa"/>
            <w:vAlign w:val="bottom"/>
          </w:tcPr>
          <w:p>
            <w:pPr>
              <w:spacing w:after="0"/>
              <w:rPr>
                <w:sz w:val="21"/>
                <w:szCs w:val="21"/>
                <w:color w:val="auto"/>
              </w:rPr>
            </w:pPr>
          </w:p>
        </w:tc>
        <w:tc>
          <w:tcPr>
            <w:tcW w:w="2360" w:type="dxa"/>
            <w:vAlign w:val="bottom"/>
            <w:gridSpan w:val="4"/>
          </w:tcPr>
          <w:p>
            <w:pPr>
              <w:jc w:val="center"/>
              <w:ind w:right="933"/>
              <w:spacing w:after="0"/>
              <w:rPr>
                <w:sz w:val="20"/>
                <w:szCs w:val="20"/>
                <w:color w:val="auto"/>
              </w:rPr>
            </w:pPr>
            <w:r>
              <w:rPr>
                <w:rFonts w:ascii="Arial" w:cs="Arial" w:eastAsia="Arial" w:hAnsi="Arial"/>
                <w:sz w:val="18"/>
                <w:szCs w:val="18"/>
                <w:b w:val="1"/>
                <w:bCs w:val="1"/>
                <w:color w:val="auto"/>
                <w:w w:val="93"/>
              </w:rPr>
              <w:t>(In millions)</w:t>
            </w:r>
          </w:p>
        </w:tc>
      </w:tr>
      <w:tr>
        <w:trPr>
          <w:trHeight w:val="270"/>
        </w:trPr>
        <w:tc>
          <w:tcPr>
            <w:tcW w:w="6980" w:type="dxa"/>
            <w:vAlign w:val="bottom"/>
          </w:tcPr>
          <w:p>
            <w:pPr>
              <w:ind w:left="20"/>
              <w:spacing w:after="0"/>
              <w:rPr>
                <w:sz w:val="20"/>
                <w:szCs w:val="20"/>
                <w:color w:val="auto"/>
              </w:rPr>
            </w:pPr>
            <w:r>
              <w:rPr>
                <w:rFonts w:ascii="Arial" w:cs="Arial" w:eastAsia="Arial" w:hAnsi="Arial"/>
                <w:sz w:val="18"/>
                <w:szCs w:val="18"/>
                <w:color w:val="auto"/>
              </w:rPr>
              <w:t>DGPV Holdco 3</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
        </w:trPr>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assets</w:t>
            </w:r>
          </w:p>
        </w:tc>
        <w:tc>
          <w:tcPr>
            <w:tcW w:w="1020" w:type="dxa"/>
            <w:vAlign w:val="bottom"/>
            <w:tcBorders>
              <w:bottom w:val="single" w:sz="8" w:color="CCEEFF"/>
            </w:tcBorders>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39</w:t>
            </w:r>
          </w:p>
        </w:tc>
      </w:tr>
      <w:tr>
        <w:trPr>
          <w:trHeight w:val="243"/>
        </w:trPr>
        <w:tc>
          <w:tcPr>
            <w:tcW w:w="6980" w:type="dxa"/>
            <w:vAlign w:val="bottom"/>
          </w:tcPr>
          <w:p>
            <w:pPr>
              <w:ind w:left="100"/>
              <w:spacing w:after="0"/>
              <w:rPr>
                <w:sz w:val="20"/>
                <w:szCs w:val="20"/>
                <w:color w:val="auto"/>
              </w:rPr>
            </w:pPr>
            <w:r>
              <w:rPr>
                <w:rFonts w:ascii="Arial" w:cs="Arial" w:eastAsia="Arial" w:hAnsi="Arial"/>
                <w:sz w:val="18"/>
                <w:szCs w:val="18"/>
                <w:color w:val="auto"/>
              </w:rPr>
              <w:t>Non-current assets</w:t>
            </w:r>
          </w:p>
        </w:tc>
        <w:tc>
          <w:tcPr>
            <w:tcW w:w="10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371</w:t>
            </w:r>
          </w:p>
        </w:tc>
      </w:tr>
      <w:tr>
        <w:trPr>
          <w:trHeight w:val="27"/>
        </w:trPr>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61</w:t>
            </w:r>
          </w:p>
        </w:tc>
      </w:tr>
      <w:tr>
        <w:trPr>
          <w:trHeight w:val="243"/>
        </w:trPr>
        <w:tc>
          <w:tcPr>
            <w:tcW w:w="6980" w:type="dxa"/>
            <w:vAlign w:val="bottom"/>
          </w:tcPr>
          <w:p>
            <w:pPr>
              <w:ind w:left="100"/>
              <w:spacing w:after="0"/>
              <w:rPr>
                <w:sz w:val="20"/>
                <w:szCs w:val="20"/>
                <w:color w:val="auto"/>
              </w:rPr>
            </w:pPr>
            <w:r>
              <w:rPr>
                <w:rFonts w:ascii="Arial" w:cs="Arial" w:eastAsia="Arial" w:hAnsi="Arial"/>
                <w:sz w:val="18"/>
                <w:szCs w:val="18"/>
                <w:color w:val="auto"/>
              </w:rPr>
              <w:t>Non-current liabilities</w:t>
            </w:r>
          </w:p>
        </w:tc>
        <w:tc>
          <w:tcPr>
            <w:tcW w:w="10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216</w:t>
            </w:r>
          </w:p>
        </w:tc>
      </w:tr>
      <w:tr>
        <w:trPr>
          <w:trHeight w:val="27"/>
        </w:trPr>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Redeemable noncontrolling interest</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RPV Holdco</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r>
      <w:tr>
        <w:trPr>
          <w:trHeight w:val="243"/>
        </w:trPr>
        <w:tc>
          <w:tcPr>
            <w:tcW w:w="6980" w:type="dxa"/>
            <w:vAlign w:val="bottom"/>
          </w:tcPr>
          <w:p>
            <w:pPr>
              <w:ind w:left="100"/>
              <w:spacing w:after="0"/>
              <w:rPr>
                <w:sz w:val="20"/>
                <w:szCs w:val="20"/>
                <w:color w:val="auto"/>
              </w:rPr>
            </w:pPr>
            <w:r>
              <w:rPr>
                <w:rFonts w:ascii="Arial" w:cs="Arial" w:eastAsia="Arial" w:hAnsi="Arial"/>
                <w:sz w:val="18"/>
                <w:szCs w:val="18"/>
                <w:color w:val="auto"/>
              </w:rPr>
              <w:t>Non-current assets</w:t>
            </w:r>
          </w:p>
        </w:tc>
        <w:tc>
          <w:tcPr>
            <w:tcW w:w="10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162</w:t>
            </w:r>
          </w:p>
        </w:tc>
      </w:tr>
      <w:tr>
        <w:trPr>
          <w:trHeight w:val="27"/>
        </w:trPr>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r>
      <w:tr>
        <w:trPr>
          <w:trHeight w:val="243"/>
        </w:trPr>
        <w:tc>
          <w:tcPr>
            <w:tcW w:w="6980" w:type="dxa"/>
            <w:vAlign w:val="bottom"/>
          </w:tcPr>
          <w:p>
            <w:pPr>
              <w:ind w:left="100"/>
              <w:spacing w:after="0"/>
              <w:rPr>
                <w:sz w:val="20"/>
                <w:szCs w:val="20"/>
                <w:color w:val="auto"/>
              </w:rPr>
            </w:pPr>
            <w:r>
              <w:rPr>
                <w:rFonts w:ascii="Arial" w:cs="Arial" w:eastAsia="Arial" w:hAnsi="Arial"/>
                <w:sz w:val="18"/>
                <w:szCs w:val="18"/>
                <w:color w:val="auto"/>
              </w:rPr>
              <w:t>Non-current liabilities</w:t>
            </w:r>
          </w:p>
        </w:tc>
        <w:tc>
          <w:tcPr>
            <w:tcW w:w="10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8</w:t>
            </w:r>
          </w:p>
        </w:tc>
      </w:tr>
      <w:tr>
        <w:trPr>
          <w:trHeight w:val="27"/>
        </w:trPr>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6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Redeemable noncontrolling interest</w:t>
            </w:r>
          </w:p>
        </w:tc>
        <w:tc>
          <w:tcPr>
            <w:tcW w:w="102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31</w:t>
            </w:r>
          </w:p>
        </w:tc>
      </w:tr>
      <w:tr>
        <w:trPr>
          <w:trHeight w:val="27"/>
        </w:trPr>
        <w:tc>
          <w:tcPr>
            <w:tcW w:w="69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hanging="240"/>
        <w:spacing w:after="0" w:line="277" w:lineRule="auto"/>
        <w:tabs>
          <w:tab w:leader="none" w:pos="1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hanging="240"/>
        <w:spacing w:after="0" w:line="277" w:lineRule="auto"/>
        <w:tabs>
          <w:tab w:leader="none" w:pos="1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cash and cash equivalents, restricted cash, accounts receivable, accounts payable, accounts payable — affiliates, accrued expenses and other liabilities, the carrying amounts approximate fair value because of the short-term maturity of those instruments and are classified as Level 1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ind w:left="500"/>
        <w:spacing w:after="0"/>
        <w:rPr>
          <w:sz w:val="20"/>
          <w:szCs w:val="20"/>
          <w:color w:val="auto"/>
        </w:rPr>
      </w:pPr>
      <w:r>
        <w:rPr>
          <w:rFonts w:ascii="Arial" w:cs="Arial" w:eastAsia="Arial" w:hAnsi="Arial"/>
          <w:sz w:val="16"/>
          <w:szCs w:val="16"/>
          <w:color w:val="auto"/>
        </w:rPr>
        <w:t>The estimated carrying amounts and fair values of the Company’s recorded financial instruments not carried at fair market value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As of March 31, 2020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As of December 31, 2019</w:t>
            </w:r>
          </w:p>
        </w:tc>
      </w:tr>
      <w:tr>
        <w:trPr>
          <w:trHeight w:val="196"/>
        </w:trPr>
        <w:tc>
          <w:tcPr>
            <w:tcW w:w="6020" w:type="dxa"/>
            <w:vAlign w:val="bottom"/>
          </w:tcPr>
          <w:p>
            <w:pPr>
              <w:spacing w:after="0"/>
              <w:rPr>
                <w:sz w:val="17"/>
                <w:szCs w:val="17"/>
                <w:color w:val="auto"/>
              </w:rPr>
            </w:pPr>
          </w:p>
        </w:tc>
        <w:tc>
          <w:tcPr>
            <w:tcW w:w="12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7"/>
              </w:rPr>
              <w:t>Carrying Amount</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7"/>
              </w:rPr>
              <w:t>Carrying Amount</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Fair Value</w:t>
            </w:r>
          </w:p>
        </w:tc>
      </w:tr>
      <w:tr>
        <w:trPr>
          <w:trHeight w:val="177"/>
        </w:trPr>
        <w:tc>
          <w:tcPr>
            <w:tcW w:w="60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55"/>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
        </w:trPr>
        <w:tc>
          <w:tcPr>
            <w:tcW w:w="6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23"/>
                <w:szCs w:val="23"/>
                <w:color w:val="auto"/>
                <w:vertAlign w:val="superscript"/>
              </w:rPr>
              <w:t>(a)</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6,636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6,598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6,813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6,913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3798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40" w:hanging="132"/>
        <w:spacing w:after="0"/>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Excludes net debt issuance costs, which are recorded as a reduction to long-term debt on the Company's consolidated balance sheets.</w:t>
      </w:r>
    </w:p>
    <w:p>
      <w:pPr>
        <w:spacing w:after="0" w:line="113"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fair value of the Company's publicly-traded long-term debt is based on quoted market prices and is classified as Level 2 within the fair value hierarchy. The fair value of non-publicly traded long-term debt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March 31, 2020 and December 31, 2019:</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As of March 31, 2020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w w:val="99"/>
              </w:rPr>
              <w:t>As of December 31, 2019</w:t>
            </w:r>
          </w:p>
        </w:tc>
      </w:tr>
      <w:tr>
        <w:trPr>
          <w:trHeight w:val="196"/>
        </w:trPr>
        <w:tc>
          <w:tcPr>
            <w:tcW w:w="6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r>
      <w:tr>
        <w:trPr>
          <w:trHeight w:val="196"/>
        </w:trPr>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9"/>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 including current portion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1,521</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5,077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1,735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5,221</w:t>
            </w:r>
          </w:p>
        </w:tc>
      </w:tr>
      <w:tr>
        <w:trPr>
          <w:trHeight w:val="27"/>
        </w:trPr>
        <w:tc>
          <w:tcPr>
            <w:tcW w:w="6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21" w:lineRule="exact"/>
        <w:rPr>
          <w:sz w:val="20"/>
          <w:szCs w:val="20"/>
          <w:color w:val="auto"/>
        </w:rPr>
      </w:pPr>
    </w:p>
    <w:tbl>
      <w:tblPr>
        <w:tblLayout w:type="fixed"/>
        <w:tblInd w:w="120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540"/>
              <w:spacing w:after="0"/>
              <w:rPr>
                <w:sz w:val="20"/>
                <w:szCs w:val="20"/>
                <w:color w:val="auto"/>
              </w:rPr>
            </w:pPr>
            <w:r>
              <w:rPr>
                <w:rFonts w:ascii="Arial" w:cs="Arial" w:eastAsia="Arial" w:hAnsi="Arial"/>
                <w:sz w:val="14"/>
                <w:szCs w:val="14"/>
                <w:b w:val="1"/>
                <w:bCs w:val="1"/>
                <w:color w:val="auto"/>
              </w:rPr>
              <w:t>As of March 31, 2020</w:t>
            </w:r>
          </w:p>
        </w:tc>
        <w:tc>
          <w:tcPr>
            <w:tcW w:w="320" w:type="dxa"/>
            <w:vAlign w:val="bottom"/>
          </w:tcPr>
          <w:p>
            <w:pPr>
              <w:spacing w:after="0"/>
              <w:rPr>
                <w:sz w:val="16"/>
                <w:szCs w:val="16"/>
                <w:color w:val="auto"/>
              </w:rPr>
            </w:pPr>
          </w:p>
        </w:tc>
        <w:tc>
          <w:tcPr>
            <w:tcW w:w="2940" w:type="dxa"/>
            <w:vAlign w:val="bottom"/>
            <w:gridSpan w:val="4"/>
          </w:tcPr>
          <w:p>
            <w:pPr>
              <w:jc w:val="center"/>
              <w:ind w:right="255"/>
              <w:spacing w:after="0"/>
              <w:rPr>
                <w:sz w:val="20"/>
                <w:szCs w:val="20"/>
                <w:color w:val="auto"/>
              </w:rPr>
            </w:pPr>
            <w:r>
              <w:rPr>
                <w:rFonts w:ascii="Arial" w:cs="Arial" w:eastAsia="Arial" w:hAnsi="Arial"/>
                <w:sz w:val="14"/>
                <w:szCs w:val="14"/>
                <w:b w:val="1"/>
                <w:bCs w:val="1"/>
                <w:color w:val="auto"/>
                <w:w w:val="92"/>
              </w:rPr>
              <w:t>As of December 31, 2019</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9"/>
                <w:szCs w:val="9"/>
                <w:b w:val="1"/>
                <w:bCs w:val="1"/>
                <w:color w:val="auto"/>
              </w:rPr>
              <w:t>(a)</w:t>
            </w:r>
          </w:p>
        </w:tc>
        <w:tc>
          <w:tcPr>
            <w:tcW w:w="10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3"/>
          </w:tcPr>
          <w:p>
            <w:pPr>
              <w:jc w:val="center"/>
              <w:ind w:left="699"/>
              <w:spacing w:after="0"/>
              <w:rPr>
                <w:sz w:val="20"/>
                <w:szCs w:val="20"/>
                <w:color w:val="auto"/>
              </w:rPr>
            </w:pPr>
            <w:r>
              <w:rPr>
                <w:rFonts w:ascii="Arial" w:cs="Arial" w:eastAsia="Arial" w:hAnsi="Arial"/>
                <w:sz w:val="14"/>
                <w:szCs w:val="14"/>
                <w:b w:val="1"/>
                <w:bCs w:val="1"/>
                <w:color w:val="auto"/>
                <w:w w:val="97"/>
              </w:rPr>
              <w:t xml:space="preserve">Fair Value </w:t>
            </w:r>
            <w:r>
              <w:rPr>
                <w:rFonts w:ascii="Arial" w:cs="Arial" w:eastAsia="Arial" w:hAnsi="Arial"/>
                <w:sz w:val="9"/>
                <w:szCs w:val="9"/>
                <w:b w:val="1"/>
                <w:bCs w:val="1"/>
                <w:color w:val="auto"/>
                <w:w w:val="97"/>
              </w:rPr>
              <w:t>(a)</w:t>
            </w: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5"/>
                <w:szCs w:val="15"/>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2420" w:type="dxa"/>
            <w:vAlign w:val="bottom"/>
            <w:vMerge w:val="restart"/>
          </w:tcPr>
          <w:p>
            <w:pPr>
              <w:ind w:left="20"/>
              <w:spacing w:after="0"/>
              <w:rPr>
                <w:sz w:val="20"/>
                <w:szCs w:val="20"/>
                <w:color w:val="auto"/>
              </w:rPr>
            </w:pPr>
            <w:r>
              <w:rPr>
                <w:rFonts w:ascii="Arial" w:cs="Arial" w:eastAsia="Arial" w:hAnsi="Arial"/>
                <w:sz w:val="18"/>
                <w:szCs w:val="18"/>
                <w:color w:val="auto"/>
              </w:rPr>
              <w:t>Derivative liabilities:</w:t>
            </w: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4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2420" w:type="dxa"/>
            <w:vAlign w:val="bottom"/>
          </w:tcPr>
          <w:p>
            <w:pPr>
              <w:ind w:left="180"/>
              <w:spacing w:after="0"/>
              <w:rPr>
                <w:sz w:val="20"/>
                <w:szCs w:val="20"/>
                <w:color w:val="auto"/>
              </w:rPr>
            </w:pPr>
            <w:r>
              <w:rPr>
                <w:rFonts w:ascii="Arial" w:cs="Arial" w:eastAsia="Arial" w:hAnsi="Arial"/>
                <w:sz w:val="18"/>
                <w:szCs w:val="18"/>
                <w:color w:val="auto"/>
              </w:rPr>
              <w:t>Interest rate contracts</w:t>
            </w:r>
          </w:p>
        </w:tc>
        <w:tc>
          <w:tcPr>
            <w:tcW w:w="30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60" w:type="dxa"/>
            <w:vAlign w:val="bottom"/>
          </w:tcPr>
          <w:p>
            <w:pPr>
              <w:ind w:left="94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24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175</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83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308610</wp:posOffset>
            </wp:positionV>
            <wp:extent cx="13455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480" w:hanging="148"/>
        <w:spacing w:after="0"/>
        <w:tabs>
          <w:tab w:leader="none" w:pos="48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There were no derivative assets classified as Level 1, Level 2 or Level 3 and no liabilities classified as Level 1 as of March 31, 2020 and as of December 31, 2019.</w:t>
      </w:r>
    </w:p>
    <w:p>
      <w:pPr>
        <w:spacing w:after="0" w:line="140"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following table reconciles the beginning and ending balances for instruments that are recognized at fair value in the condensed consolidated financial statements using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tbl>
      <w:tblPr>
        <w:tblLayout w:type="fixed"/>
        <w:tblInd w:w="48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4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Three months ended March 31,</w:t>
            </w:r>
          </w:p>
        </w:tc>
      </w:tr>
      <w:tr>
        <w:trPr>
          <w:trHeight w:val="27"/>
        </w:trPr>
        <w:tc>
          <w:tcPr>
            <w:tcW w:w="616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spacing w:after="0"/>
              <w:rPr>
                <w:sz w:val="20"/>
                <w:szCs w:val="20"/>
                <w:color w:val="auto"/>
              </w:rPr>
            </w:pPr>
          </w:p>
        </w:tc>
        <w:tc>
          <w:tcPr>
            <w:tcW w:w="2000" w:type="dxa"/>
            <w:vAlign w:val="bottom"/>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20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r>
      <w:tr>
        <w:trPr>
          <w:trHeight w:val="27"/>
        </w:trPr>
        <w:tc>
          <w:tcPr>
            <w:tcW w:w="6160" w:type="dxa"/>
            <w:vAlign w:val="bottom"/>
          </w:tcPr>
          <w:p>
            <w:pPr>
              <w:spacing w:after="0"/>
              <w:rPr>
                <w:sz w:val="2"/>
                <w:szCs w:val="2"/>
                <w:color w:val="auto"/>
              </w:rPr>
            </w:pPr>
          </w:p>
        </w:tc>
        <w:tc>
          <w:tcPr>
            <w:tcW w:w="4000" w:type="dxa"/>
            <w:vAlign w:val="bottom"/>
            <w:tcBorders>
              <w:bottom w:val="single" w:sz="8" w:color="auto"/>
            </w:tcBorders>
            <w:gridSpan w:val="2"/>
          </w:tcPr>
          <w:p>
            <w:pPr>
              <w:spacing w:after="0"/>
              <w:rPr>
                <w:sz w:val="2"/>
                <w:szCs w:val="2"/>
                <w:color w:val="auto"/>
              </w:rPr>
            </w:pPr>
          </w:p>
        </w:tc>
      </w:tr>
      <w:tr>
        <w:trPr>
          <w:trHeight w:val="218"/>
        </w:trPr>
        <w:tc>
          <w:tcPr>
            <w:tcW w:w="6160" w:type="dxa"/>
            <w:vAlign w:val="bottom"/>
          </w:tcPr>
          <w:p>
            <w:pPr>
              <w:spacing w:after="0"/>
              <w:rPr>
                <w:sz w:val="18"/>
                <w:szCs w:val="18"/>
                <w:color w:val="auto"/>
              </w:rPr>
            </w:pPr>
          </w:p>
        </w:tc>
        <w:tc>
          <w:tcPr>
            <w:tcW w:w="4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Fair Value Measurement Using Significant</w:t>
            </w:r>
          </w:p>
        </w:tc>
      </w:tr>
      <w:tr>
        <w:trPr>
          <w:trHeight w:val="249"/>
        </w:trPr>
        <w:tc>
          <w:tcPr>
            <w:tcW w:w="61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4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Unobservable Inputs (Level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7620</wp:posOffset>
            </wp:positionV>
            <wp:extent cx="6463665"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63665" cy="17970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p>
      <w:pPr>
        <w:spacing w:after="0" w:line="38"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Beginning balance as of January 1, 2020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100" w:type="dxa"/>
            <w:vAlign w:val="bottom"/>
          </w:tcPr>
          <w:p>
            <w:pPr>
              <w:ind w:left="160"/>
              <w:spacing w:after="0"/>
              <w:rPr>
                <w:sz w:val="20"/>
                <w:szCs w:val="20"/>
                <w:color w:val="auto"/>
              </w:rPr>
            </w:pPr>
            <w:r>
              <w:rPr>
                <w:rFonts w:ascii="Arial" w:cs="Arial" w:eastAsia="Arial" w:hAnsi="Arial"/>
                <w:sz w:val="18"/>
                <w:szCs w:val="18"/>
                <w:color w:val="auto"/>
              </w:rPr>
              <w:t>Total losses for the period included in earnings</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160"/>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100" w:type="dxa"/>
            <w:vAlign w:val="bottom"/>
          </w:tcPr>
          <w:p>
            <w:pPr>
              <w:spacing w:after="0"/>
              <w:rPr>
                <w:sz w:val="20"/>
                <w:szCs w:val="20"/>
                <w:color w:val="auto"/>
              </w:rPr>
            </w:pPr>
            <w:r>
              <w:rPr>
                <w:rFonts w:ascii="Arial" w:cs="Arial" w:eastAsia="Arial" w:hAnsi="Arial"/>
                <w:sz w:val="18"/>
                <w:szCs w:val="18"/>
                <w:color w:val="auto"/>
              </w:rPr>
              <w:t>Ending balance as of March 31, 2020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100" w:type="dxa"/>
            <w:vAlign w:val="bottom"/>
          </w:tcPr>
          <w:p>
            <w:pPr>
              <w:ind w:left="160"/>
              <w:spacing w:after="0" w:line="202" w:lineRule="exact"/>
              <w:rPr>
                <w:sz w:val="20"/>
                <w:szCs w:val="20"/>
                <w:color w:val="auto"/>
              </w:rPr>
            </w:pPr>
            <w:r>
              <w:rPr>
                <w:rFonts w:ascii="Arial" w:cs="Arial" w:eastAsia="Arial" w:hAnsi="Arial"/>
                <w:sz w:val="18"/>
                <w:szCs w:val="18"/>
                <w:color w:val="auto"/>
                <w:w w:val="91"/>
              </w:rPr>
              <w:t>Change in unrealized losses included in earnings for derivatives held as of March</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31, 2020</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-625475</wp:posOffset>
            </wp:positionV>
            <wp:extent cx="646366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63665" cy="17145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-257175</wp:posOffset>
            </wp:positionV>
            <wp:extent cx="6463665" cy="257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6366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70"/>
        </w:trPr>
        <w:tc>
          <w:tcPr>
            <w:tcW w:w="50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880" w:type="dxa"/>
            <w:vAlign w:val="bottom"/>
          </w:tcPr>
          <w:p>
            <w:pPr>
              <w:spacing w:after="0"/>
              <w:rPr>
                <w:sz w:val="23"/>
                <w:szCs w:val="23"/>
                <w:color w:val="auto"/>
              </w:rPr>
            </w:pP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70"/>
        </w:trPr>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3"/>
                <w:szCs w:val="23"/>
                <w:color w:val="auto"/>
              </w:rPr>
            </w:pPr>
          </w:p>
        </w:tc>
        <w:tc>
          <w:tcPr>
            <w:tcW w:w="1080" w:type="dxa"/>
            <w:vAlign w:val="bottom"/>
          </w:tcPr>
          <w:p>
            <w:pPr>
              <w:ind w:left="760"/>
              <w:spacing w:after="0"/>
              <w:rPr>
                <w:sz w:val="20"/>
                <w:szCs w:val="20"/>
                <w:color w:val="auto"/>
              </w:rPr>
            </w:pPr>
            <w:r>
              <w:rPr>
                <w:rFonts w:ascii="Arial" w:cs="Arial" w:eastAsia="Arial" w:hAnsi="Arial"/>
                <w:sz w:val="18"/>
                <w:szCs w:val="18"/>
                <w:color w:val="auto"/>
              </w:rPr>
              <w:t>(7)</w:t>
            </w:r>
          </w:p>
        </w:tc>
      </w:tr>
      <w:tr>
        <w:trPr>
          <w:trHeight w:val="27"/>
        </w:trPr>
        <w:tc>
          <w:tcPr>
            <w:tcW w:w="5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jc w:val="right"/>
              <w:ind w:right="110"/>
              <w:spacing w:after="0"/>
              <w:rPr>
                <w:sz w:val="20"/>
                <w:szCs w:val="20"/>
                <w:color w:val="auto"/>
              </w:rPr>
            </w:pPr>
            <w:r>
              <w:rPr>
                <w:rFonts w:ascii="Arial" w:cs="Arial" w:eastAsia="Arial" w:hAnsi="Arial"/>
                <w:sz w:val="18"/>
                <w:szCs w:val="18"/>
                <w:color w:val="auto"/>
                <w:w w:val="87"/>
              </w:rPr>
              <w:t>(14)</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760"/>
              <w:spacing w:after="0"/>
              <w:rPr>
                <w:sz w:val="20"/>
                <w:szCs w:val="20"/>
                <w:color w:val="auto"/>
              </w:rPr>
            </w:pPr>
            <w:r>
              <w:rPr>
                <w:rFonts w:ascii="Arial" w:cs="Arial" w:eastAsia="Arial" w:hAnsi="Arial"/>
                <w:sz w:val="18"/>
                <w:szCs w:val="18"/>
                <w:color w:val="auto"/>
              </w:rPr>
              <w:t>(7)</w:t>
            </w:r>
          </w:p>
        </w:tc>
      </w:tr>
      <w:tr>
        <w:trPr>
          <w:trHeight w:val="27"/>
        </w:trPr>
        <w:tc>
          <w:tcPr>
            <w:tcW w:w="5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
        </w:trPr>
        <w:tc>
          <w:tcPr>
            <w:tcW w:w="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45"/>
        </w:trPr>
        <w:tc>
          <w:tcPr>
            <w:tcW w:w="50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-979805</wp:posOffset>
            </wp:positionH>
            <wp:positionV relativeFrom="paragraph">
              <wp:posOffset>-256540</wp:posOffset>
            </wp:positionV>
            <wp:extent cx="12344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-979805</wp:posOffset>
            </wp:positionH>
            <wp:positionV relativeFrom="paragraph">
              <wp:posOffset>-436880</wp:posOffset>
            </wp:positionV>
            <wp:extent cx="12344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460" w:space="720"/>
            <w:col w:w="3060"/>
          </w:cols>
          <w:pgMar w:left="320" w:top="1026" w:right="33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Company's contracts are non-exchange-traded and valued using prices provided by external sources. For some of the Company’s energy contracts, management receives quotes from multiple sources. To the extent that multiple quotes are received, the prices reflect the average of the bid-ask mid-point prices obtained from all sources believed to provide the most liquid market for the commodity. The remainder of the assets and liabilities represent contracts for which external sources or observable market quotes are not available. These contracts are valued based on various valuation techniques including, but not limited to, internal models based on a fundamental analysis of the market and extrapolation of the observable market data with similar characteristics. As of March 31, 2020, contracts valued with prices provided by models and other valuation techniques make up 7% of derivative liabilities.</w:t>
      </w:r>
    </w:p>
    <w:p>
      <w:pPr>
        <w:spacing w:after="0" w:line="1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significant position classified as Level 3 includes physical power executed in illiquid markets. The significant unobservable inputs used in developing fair value include illiquid power tenors and location pricing, which is derived by extrapolating pricing and as a basis to liquid locations. The tenor pricing and basis spread are based on observable market data when available or derived from historic prices and forward market prices from similar observable markets when not available.</w:t>
      </w:r>
    </w:p>
    <w:p>
      <w:pPr>
        <w:spacing w:after="0" w:line="133"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 following tables quantify the significant unobservable inputs used in developing the fair value of the Company's Level 3 positions as of March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3"/>
              </w:rPr>
              <w:t>March 31, 2020</w:t>
            </w:r>
          </w:p>
        </w:tc>
        <w:tc>
          <w:tcPr>
            <w:tcW w:w="1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40" w:type="dxa"/>
            <w:vAlign w:val="bottom"/>
          </w:tcPr>
          <w:p>
            <w:pPr>
              <w:ind w:left="100"/>
              <w:spacing w:after="0"/>
              <w:rPr>
                <w:sz w:val="20"/>
                <w:szCs w:val="20"/>
                <w:color w:val="auto"/>
              </w:rPr>
            </w:pPr>
            <w:r>
              <w:rPr>
                <w:rFonts w:ascii="Arial" w:cs="Arial" w:eastAsia="Arial" w:hAnsi="Arial"/>
                <w:sz w:val="18"/>
                <w:szCs w:val="18"/>
                <w:b w:val="1"/>
                <w:bCs w:val="1"/>
                <w:color w:val="auto"/>
              </w:rPr>
              <w:t>Fair Value</w:t>
            </w:r>
          </w:p>
        </w:tc>
        <w:tc>
          <w:tcPr>
            <w:tcW w:w="1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Input/Range</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Significant</w:t>
            </w: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16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Unobservable</w:t>
            </w: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1140" w:type="dxa"/>
            <w:vAlign w:val="bottom"/>
          </w:tcPr>
          <w:p>
            <w:pPr>
              <w:ind w:left="100"/>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Technique</w:t>
            </w:r>
          </w:p>
        </w:tc>
        <w:tc>
          <w:tcPr>
            <w:tcW w:w="1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Input</w:t>
            </w: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Low</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High</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7"/>
        </w:trPr>
        <w:tc>
          <w:tcPr>
            <w:tcW w:w="1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Discounted Cash</w:t>
            </w:r>
          </w:p>
        </w:tc>
        <w:tc>
          <w:tcPr>
            <w:tcW w:w="16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2"/>
              </w:rPr>
              <w:t>Forward Market</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 Contracts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Flow</w:t>
            </w:r>
          </w:p>
        </w:tc>
        <w:tc>
          <w:tcPr>
            <w:tcW w:w="16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4"/>
              </w:rPr>
              <w:t>Price (per MWh)</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7.93</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40.68</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7"/>
        </w:trPr>
        <w:tc>
          <w:tcPr>
            <w:tcW w:w="1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sensitivity of fair value measurements to increases/(decreases) in significant unobservable inputs as of March 31, 2020:</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3"/>
              </w:rPr>
              <w:t>Impact on Fair Value</w:t>
            </w:r>
          </w:p>
        </w:tc>
      </w:tr>
      <w:tr>
        <w:trPr>
          <w:trHeight w:val="234"/>
        </w:trPr>
        <w:tc>
          <w:tcPr>
            <w:tcW w:w="3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Significant Observable Input</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2320" w:type="dxa"/>
            <w:vAlign w:val="bottom"/>
          </w:tcPr>
          <w:p>
            <w:pPr>
              <w:jc w:val="center"/>
              <w:ind w:left="150"/>
              <w:spacing w:after="0"/>
              <w:rPr>
                <w:sz w:val="20"/>
                <w:szCs w:val="20"/>
                <w:color w:val="auto"/>
              </w:rPr>
            </w:pPr>
            <w:r>
              <w:rPr>
                <w:rFonts w:ascii="Arial" w:cs="Arial" w:eastAsia="Arial" w:hAnsi="Arial"/>
                <w:sz w:val="18"/>
                <w:szCs w:val="18"/>
                <w:b w:val="1"/>
                <w:bCs w:val="1"/>
                <w:color w:val="auto"/>
                <w:w w:val="94"/>
              </w:rPr>
              <w:t>Change In Input</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1"/>
              </w:rPr>
              <w:t>Measurement</w:t>
            </w:r>
          </w:p>
        </w:tc>
      </w:tr>
      <w:tr>
        <w:trPr>
          <w:trHeight w:val="27"/>
        </w:trPr>
        <w:tc>
          <w:tcPr>
            <w:tcW w:w="3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3"/>
        </w:trPr>
        <w:tc>
          <w:tcPr>
            <w:tcW w:w="310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2"/>
              </w:rPr>
              <w:t>Forward Market Price Power</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Buy</w:t>
            </w:r>
          </w:p>
        </w:tc>
        <w:tc>
          <w:tcPr>
            <w:tcW w:w="23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7"/>
              </w:rPr>
              <w:t>Increase/(Decrease)</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Higher/(Lower)</w:t>
            </w:r>
          </w:p>
        </w:tc>
      </w:tr>
      <w:tr>
        <w:trPr>
          <w:trHeight w:val="243"/>
        </w:trPr>
        <w:tc>
          <w:tcPr>
            <w:tcW w:w="3100" w:type="dxa"/>
            <w:vAlign w:val="bottom"/>
          </w:tcPr>
          <w:p>
            <w:pPr>
              <w:jc w:val="center"/>
              <w:ind w:right="150"/>
              <w:spacing w:after="0"/>
              <w:rPr>
                <w:sz w:val="20"/>
                <w:szCs w:val="20"/>
                <w:color w:val="auto"/>
              </w:rPr>
            </w:pPr>
            <w:r>
              <w:rPr>
                <w:rFonts w:ascii="Arial" w:cs="Arial" w:eastAsia="Arial" w:hAnsi="Arial"/>
                <w:sz w:val="18"/>
                <w:szCs w:val="18"/>
                <w:color w:val="auto"/>
                <w:w w:val="92"/>
              </w:rPr>
              <w:t>Forward Market Price Power</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Sell</w:t>
            </w:r>
          </w:p>
        </w:tc>
        <w:tc>
          <w:tcPr>
            <w:tcW w:w="2320" w:type="dxa"/>
            <w:vAlign w:val="bottom"/>
          </w:tcPr>
          <w:p>
            <w:pPr>
              <w:jc w:val="center"/>
              <w:ind w:left="170"/>
              <w:spacing w:after="0"/>
              <w:rPr>
                <w:sz w:val="20"/>
                <w:szCs w:val="20"/>
                <w:color w:val="auto"/>
              </w:rPr>
            </w:pPr>
            <w:r>
              <w:rPr>
                <w:rFonts w:ascii="Arial" w:cs="Arial" w:eastAsia="Arial" w:hAnsi="Arial"/>
                <w:sz w:val="18"/>
                <w:szCs w:val="18"/>
                <w:color w:val="auto"/>
                <w:w w:val="87"/>
              </w:rPr>
              <w:t>Increase/(Decrease)</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Lower/(Higher)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23" w:name="page24"/>
    <w:bookmarkEnd w:id="23"/>
    <w:p>
      <w:pPr>
        <w:jc w:val="both"/>
        <w:ind w:firstLine="405"/>
        <w:spacing w:after="0" w:line="254" w:lineRule="auto"/>
        <w:rPr>
          <w:sz w:val="20"/>
          <w:szCs w:val="20"/>
          <w:color w:val="auto"/>
        </w:rPr>
      </w:pPr>
      <w:r>
        <w:rPr>
          <w:rFonts w:ascii="Arial" w:cs="Arial" w:eastAsia="Arial" w:hAnsi="Arial"/>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March 31, 2020, the non-performance reserve was a $19 million gain recorded primarily in interest expense in the consolidated statements of operations. It is possible that future market prices could vary from those used in recording assets and liabilities and such variations could be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In addition to the credit risk discussion 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w:t>
      </w:r>
      <w:r>
        <w:rPr>
          <w:rFonts w:ascii="Arial" w:cs="Arial" w:eastAsia="Arial" w:hAnsi="Arial"/>
          <w:sz w:val="17"/>
          <w:szCs w:val="17"/>
          <w:color w:val="231F20"/>
        </w:rPr>
        <w:t>to the consolidated financial</w:t>
      </w:r>
      <w:r>
        <w:rPr>
          <w:rFonts w:ascii="Arial" w:cs="Arial" w:eastAsia="Arial" w:hAnsi="Arial"/>
          <w:sz w:val="17"/>
          <w:szCs w:val="17"/>
          <w:color w:val="auto"/>
        </w:rPr>
        <w:t xml:space="preserve"> statements </w:t>
      </w:r>
      <w:r>
        <w:rPr>
          <w:rFonts w:ascii="Arial" w:cs="Arial" w:eastAsia="Arial" w:hAnsi="Arial"/>
          <w:sz w:val="17"/>
          <w:szCs w:val="17"/>
          <w:color w:val="231F20"/>
        </w:rPr>
        <w:t>included in the</w:t>
      </w:r>
      <w:r>
        <w:rPr>
          <w:rFonts w:ascii="Arial" w:cs="Arial" w:eastAsia="Arial" w:hAnsi="Arial"/>
          <w:sz w:val="17"/>
          <w:szCs w:val="17"/>
          <w:color w:val="auto"/>
        </w:rPr>
        <w:t xml:space="preserve"> </w:t>
      </w:r>
      <w:r>
        <w:rPr>
          <w:rFonts w:ascii="Arial" w:cs="Arial" w:eastAsia="Arial" w:hAnsi="Arial"/>
          <w:sz w:val="17"/>
          <w:szCs w:val="17"/>
          <w:color w:val="231F20"/>
        </w:rPr>
        <w:t xml:space="preserve">Company's </w:t>
      </w:r>
      <w:r>
        <w:rPr>
          <w:rFonts w:ascii="Arial" w:cs="Arial" w:eastAsia="Arial" w:hAnsi="Arial"/>
          <w:sz w:val="17"/>
          <w:szCs w:val="17"/>
          <w:color w:val="000000"/>
        </w:rPr>
        <w:t>2019 Form 10-K, the following is a discussion of the concentration of credit risk for the Company's financial instruments. Credit risk relates to</w:t>
      </w:r>
      <w:r>
        <w:rPr>
          <w:rFonts w:ascii="Arial" w:cs="Arial" w:eastAsia="Arial" w:hAnsi="Arial"/>
          <w:sz w:val="17"/>
          <w:szCs w:val="17"/>
          <w:color w:val="231F20"/>
        </w:rPr>
        <w:t xml:space="preserve"> </w:t>
      </w:r>
      <w:r>
        <w:rPr>
          <w:rFonts w:ascii="Arial" w:cs="Arial" w:eastAsia="Arial" w:hAnsi="Arial"/>
          <w:sz w:val="17"/>
          <w:szCs w:val="17"/>
          <w:color w:val="000000"/>
        </w:rPr>
        <w:t>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The majority of these power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w:t>
      </w:r>
    </w:p>
    <w:p>
      <w:pPr>
        <w:spacing w:after="0" w:line="13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On January 29, 2019, PG&amp;E filed for reorganization under Chapter 11 of the U.S. Bankruptcy Code. Certain subsidiaries of the Company sell the output of their facilities to PG&amp;E under long-term PPAs, including interests in 6 solar facilities totaling 480 MW and Marsh Landing with a capacity of 720 MW. The Company consolidates three of the solar facilities and Marsh Landing and records its interest in the other solar facilities as equity method investments. The Company had $13 million in accounts receivable due from PG&amp;E for its consolidated projects, of which $5 million was recorded to non-current assets as of March 31, 2020. As of May 7, 2020, the Company's contracts with PG&amp;E have operated in the normal course and the Company currently expects these contracts to continue as such. The Company has entered into forbearance agreements for certain project-level financing arrangements as of May 7, 2020, and continues seeking similar forbearance agreements with lenders for the remaining project-level financing arrangements affected by the PG&amp;E Bankruptcy. For further discussion see Note 7, </w:t>
      </w:r>
      <w:r>
        <w:rPr>
          <w:rFonts w:ascii="Arial" w:cs="Arial" w:eastAsia="Arial" w:hAnsi="Arial"/>
          <w:sz w:val="17"/>
          <w:szCs w:val="17"/>
          <w:i w:val="1"/>
          <w:iCs w:val="1"/>
          <w:color w:val="auto"/>
        </w:rPr>
        <w:t>Long-term Debt.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Derivative Instruments and Hedging Activities</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This footnote should be read in conjunction with the complete description under Note 7, Accounting for Derivative Instruments and Hedging Activities</w:t>
      </w:r>
      <w:r>
        <w:rPr>
          <w:rFonts w:ascii="Arial" w:cs="Arial" w:eastAsia="Arial" w:hAnsi="Arial"/>
          <w:sz w:val="18"/>
          <w:szCs w:val="18"/>
          <w:i w:val="1"/>
          <w:iCs w:val="1"/>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 statements included in the Company's</w:t>
      </w:r>
      <w:r>
        <w:rPr>
          <w:rFonts w:ascii="Arial" w:cs="Arial" w:eastAsia="Arial" w:hAnsi="Arial"/>
          <w:sz w:val="18"/>
          <w:szCs w:val="18"/>
          <w:color w:val="auto"/>
        </w:rPr>
        <w:t xml:space="preserve"> 2019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Company enters into interest rate swap agreements in order to hedge the variability of expected future cash interest payments. As of March 31, 2020, the Company had interest rate derivative instruments on non-recourse debt extending through 2041, a portion of which were designated as cash flow hedges. Under the interest rate swap agreements, the Company pays a fixed rate and the counterparties to the agreements pay a variable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March 31, 2020, the Company had energy-related derivative instruments extending through 2029. At March 31, 2020,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net notional volume buy of the Company's open derivative transactions broken out by type: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3"/>
          </w:tcPr>
          <w:p>
            <w:pPr>
              <w:jc w:val="right"/>
              <w:ind w:right="1395"/>
              <w:spacing w:after="0"/>
              <w:rPr>
                <w:sz w:val="20"/>
                <w:szCs w:val="20"/>
                <w:color w:val="auto"/>
              </w:rPr>
            </w:pPr>
            <w:r>
              <w:rPr>
                <w:rFonts w:ascii="Arial" w:cs="Arial" w:eastAsia="Arial" w:hAnsi="Arial"/>
                <w:sz w:val="14"/>
                <w:szCs w:val="14"/>
                <w:b w:val="1"/>
                <w:bCs w:val="1"/>
                <w:color w:val="auto"/>
              </w:rPr>
              <w:t>Total Volume</w:t>
            </w:r>
          </w:p>
        </w:tc>
        <w:tc>
          <w:tcPr>
            <w:tcW w:w="40" w:type="dxa"/>
            <w:vAlign w:val="bottom"/>
          </w:tcPr>
          <w:p>
            <w:pPr>
              <w:spacing w:after="0"/>
              <w:rPr>
                <w:sz w:val="16"/>
                <w:szCs w:val="16"/>
                <w:color w:val="auto"/>
              </w:rPr>
            </w:pPr>
          </w:p>
        </w:tc>
      </w:tr>
      <w:tr>
        <w:trPr>
          <w:trHeight w:val="19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ind w:left="160"/>
              <w:spacing w:after="0"/>
              <w:rPr>
                <w:sz w:val="20"/>
                <w:szCs w:val="20"/>
                <w:color w:val="auto"/>
              </w:rPr>
            </w:pPr>
            <w:r>
              <w:rPr>
                <w:rFonts w:ascii="Arial" w:cs="Arial" w:eastAsia="Arial" w:hAnsi="Arial"/>
                <w:sz w:val="14"/>
                <w:szCs w:val="14"/>
                <w:b w:val="1"/>
                <w:bCs w:val="1"/>
                <w:color w:val="auto"/>
              </w:rPr>
              <w:t>March 31, 2020</w:t>
            </w:r>
          </w:p>
        </w:tc>
        <w:tc>
          <w:tcPr>
            <w:tcW w:w="44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2019</w:t>
            </w:r>
          </w:p>
        </w:tc>
      </w:tr>
      <w:tr>
        <w:trPr>
          <w:trHeight w:val="162"/>
        </w:trPr>
        <w:tc>
          <w:tcPr>
            <w:tcW w:w="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Commodity</w:t>
            </w:r>
          </w:p>
        </w:tc>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37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gridSpan w:val="2"/>
          </w:tcPr>
          <w:p>
            <w:pPr>
              <w:ind w:left="1240"/>
              <w:spacing w:after="0"/>
              <w:rPr>
                <w:sz w:val="20"/>
                <w:szCs w:val="20"/>
                <w:color w:val="auto"/>
              </w:rPr>
            </w:pPr>
            <w:r>
              <w:rPr>
                <w:rFonts w:ascii="Arial" w:cs="Arial" w:eastAsia="Arial" w:hAnsi="Arial"/>
                <w:sz w:val="14"/>
                <w:szCs w:val="14"/>
                <w:b w:val="1"/>
                <w:bCs w:val="1"/>
                <w:color w:val="auto"/>
                <w:w w:val="94"/>
              </w:rPr>
              <w:t>(In millions)</w:t>
            </w:r>
          </w:p>
        </w:tc>
        <w:tc>
          <w:tcPr>
            <w:tcW w:w="15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Natural Gas</w:t>
            </w:r>
          </w:p>
        </w:tc>
        <w:tc>
          <w:tcPr>
            <w:tcW w:w="2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37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Power</w:t>
            </w:r>
          </w:p>
        </w:tc>
        <w:tc>
          <w:tcPr>
            <w:tcW w:w="2400" w:type="dxa"/>
            <w:vAlign w:val="bottom"/>
            <w:gridSpan w:val="2"/>
          </w:tcPr>
          <w:p>
            <w:pPr>
              <w:spacing w:after="0"/>
              <w:rPr>
                <w:sz w:val="20"/>
                <w:szCs w:val="20"/>
                <w:color w:val="auto"/>
              </w:rPr>
            </w:pPr>
            <w:r>
              <w:rPr>
                <w:rFonts w:ascii="Arial" w:cs="Arial" w:eastAsia="Arial" w:hAnsi="Arial"/>
                <w:sz w:val="18"/>
                <w:szCs w:val="18"/>
                <w:color w:val="auto"/>
              </w:rPr>
              <w:t>MWh</w:t>
            </w:r>
          </w:p>
        </w:tc>
        <w:tc>
          <w:tcPr>
            <w:tcW w:w="3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ind w:left="124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Dollars</w:t>
            </w:r>
          </w:p>
        </w:tc>
        <w:tc>
          <w:tcPr>
            <w:tcW w:w="3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1,816</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1,788</w:t>
            </w:r>
          </w:p>
        </w:tc>
        <w:tc>
          <w:tcPr>
            <w:tcW w:w="40" w:type="dxa"/>
            <w:vAlign w:val="bottom"/>
          </w:tcPr>
          <w:p>
            <w:pPr>
              <w:spacing w:after="0"/>
              <w:rPr>
                <w:sz w:val="21"/>
                <w:szCs w:val="21"/>
                <w:color w:val="auto"/>
              </w:rPr>
            </w:pPr>
          </w:p>
        </w:tc>
      </w:tr>
      <w:tr>
        <w:trPr>
          <w:trHeight w:val="87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00" w:type="dxa"/>
            <w:vAlign w:val="bottom"/>
          </w:tcPr>
          <w:p>
            <w:pPr>
              <w:jc w:val="right"/>
              <w:ind w:right="161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109"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1212"/>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7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Derivative Liabilities</w:t>
            </w:r>
          </w:p>
        </w:tc>
      </w:tr>
      <w:tr>
        <w:trPr>
          <w:trHeight w:val="196"/>
        </w:trPr>
        <w:tc>
          <w:tcPr>
            <w:tcW w:w="7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2019</w:t>
            </w:r>
          </w:p>
        </w:tc>
      </w:tr>
      <w:tr>
        <w:trPr>
          <w:trHeight w:val="186"/>
        </w:trPr>
        <w:tc>
          <w:tcPr>
            <w:tcW w:w="7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4"/>
          </w:tcPr>
          <w:p>
            <w:pPr>
              <w:jc w:val="right"/>
              <w:ind w:right="1172"/>
              <w:spacing w:after="0"/>
              <w:rPr>
                <w:sz w:val="20"/>
                <w:szCs w:val="20"/>
                <w:color w:val="auto"/>
              </w:rPr>
            </w:pPr>
            <w:r>
              <w:rPr>
                <w:rFonts w:ascii="Arial" w:cs="Arial" w:eastAsia="Arial" w:hAnsi="Arial"/>
                <w:sz w:val="14"/>
                <w:szCs w:val="14"/>
                <w:b w:val="1"/>
                <w:bCs w:val="1"/>
                <w:color w:val="auto"/>
              </w:rPr>
              <w:t>(In millions)</w:t>
            </w:r>
          </w:p>
        </w:tc>
      </w:tr>
      <w:tr>
        <w:trPr>
          <w:trHeight w:val="246"/>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Cash Flow Hedges:</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Interest rate contracts current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r>
      <w:tr>
        <w:trPr>
          <w:trHeight w:val="243"/>
        </w:trPr>
        <w:tc>
          <w:tcPr>
            <w:tcW w:w="7160" w:type="dxa"/>
            <w:vAlign w:val="bottom"/>
            <w:gridSpan w:val="2"/>
          </w:tcPr>
          <w:p>
            <w:pPr>
              <w:ind w:left="120"/>
              <w:spacing w:after="0"/>
              <w:rPr>
                <w:sz w:val="20"/>
                <w:szCs w:val="20"/>
                <w:color w:val="auto"/>
              </w:rPr>
            </w:pPr>
            <w:r>
              <w:rPr>
                <w:rFonts w:ascii="Arial" w:cs="Arial" w:eastAsia="Arial" w:hAnsi="Arial"/>
                <w:sz w:val="18"/>
                <w:szCs w:val="18"/>
                <w:color w:val="auto"/>
              </w:rPr>
              <w:t>Interest rate contracts long-term</w:t>
            </w:r>
          </w:p>
        </w:tc>
        <w:tc>
          <w:tcPr>
            <w:tcW w:w="160" w:type="dxa"/>
            <w:vAlign w:val="bottom"/>
          </w:tcPr>
          <w:p>
            <w:pPr>
              <w:spacing w:after="0"/>
              <w:rPr>
                <w:sz w:val="21"/>
                <w:szCs w:val="21"/>
                <w:color w:val="auto"/>
              </w:rPr>
            </w:pPr>
          </w:p>
        </w:tc>
        <w:tc>
          <w:tcPr>
            <w:tcW w:w="1300" w:type="dxa"/>
            <w:vAlign w:val="bottom"/>
          </w:tcPr>
          <w:p>
            <w:pPr>
              <w:jc w:val="right"/>
              <w:ind w:right="76"/>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11</w:t>
            </w:r>
          </w:p>
        </w:tc>
      </w:tr>
      <w:tr>
        <w:trPr>
          <w:trHeight w:val="27"/>
        </w:trPr>
        <w:tc>
          <w:tcPr>
            <w:tcW w:w="7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3"/>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Derivatives Designated as Cash Flow Hedges</w:t>
            </w: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w:t>
            </w:r>
          </w:p>
        </w:tc>
      </w:tr>
      <w:tr>
        <w:trPr>
          <w:trHeight w:val="237"/>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Derivatives Not Designated as Cash Flow Hedges: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Interest rate contracts current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w:t>
            </w:r>
          </w:p>
        </w:tc>
      </w:tr>
      <w:tr>
        <w:trPr>
          <w:trHeight w:val="243"/>
        </w:trPr>
        <w:tc>
          <w:tcPr>
            <w:tcW w:w="7160" w:type="dxa"/>
            <w:vAlign w:val="bottom"/>
            <w:gridSpan w:val="2"/>
          </w:tcPr>
          <w:p>
            <w:pPr>
              <w:ind w:left="120"/>
              <w:spacing w:after="0"/>
              <w:rPr>
                <w:sz w:val="20"/>
                <w:szCs w:val="20"/>
                <w:color w:val="auto"/>
              </w:rPr>
            </w:pPr>
            <w:r>
              <w:rPr>
                <w:rFonts w:ascii="Arial" w:cs="Arial" w:eastAsia="Arial" w:hAnsi="Arial"/>
                <w:sz w:val="18"/>
                <w:szCs w:val="18"/>
                <w:color w:val="auto"/>
              </w:rPr>
              <w:t>Interest rate contracts long-term</w:t>
            </w:r>
          </w:p>
        </w:tc>
        <w:tc>
          <w:tcPr>
            <w:tcW w:w="160" w:type="dxa"/>
            <w:vAlign w:val="bottom"/>
          </w:tcPr>
          <w:p>
            <w:pPr>
              <w:spacing w:after="0"/>
              <w:rPr>
                <w:sz w:val="21"/>
                <w:szCs w:val="21"/>
                <w:color w:val="auto"/>
              </w:rPr>
            </w:pPr>
          </w:p>
        </w:tc>
        <w:tc>
          <w:tcPr>
            <w:tcW w:w="1300" w:type="dxa"/>
            <w:vAlign w:val="bottom"/>
          </w:tcPr>
          <w:p>
            <w:pPr>
              <w:jc w:val="right"/>
              <w:ind w:right="76"/>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56</w:t>
            </w: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Commodity contracts current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43"/>
        </w:trPr>
        <w:tc>
          <w:tcPr>
            <w:tcW w:w="7160" w:type="dxa"/>
            <w:vAlign w:val="bottom"/>
            <w:gridSpan w:val="2"/>
          </w:tcPr>
          <w:p>
            <w:pPr>
              <w:ind w:left="120"/>
              <w:spacing w:after="0"/>
              <w:rPr>
                <w:sz w:val="20"/>
                <w:szCs w:val="20"/>
                <w:color w:val="auto"/>
              </w:rPr>
            </w:pPr>
            <w:r>
              <w:rPr>
                <w:rFonts w:ascii="Arial" w:cs="Arial" w:eastAsia="Arial" w:hAnsi="Arial"/>
                <w:sz w:val="18"/>
                <w:szCs w:val="18"/>
                <w:color w:val="auto"/>
              </w:rPr>
              <w:t>Commodity contracts long-term</w:t>
            </w:r>
          </w:p>
        </w:tc>
        <w:tc>
          <w:tcPr>
            <w:tcW w:w="160" w:type="dxa"/>
            <w:vAlign w:val="bottom"/>
          </w:tcPr>
          <w:p>
            <w:pPr>
              <w:spacing w:after="0"/>
              <w:rPr>
                <w:sz w:val="21"/>
                <w:szCs w:val="21"/>
                <w:color w:val="auto"/>
              </w:rPr>
            </w:pPr>
          </w:p>
        </w:tc>
        <w:tc>
          <w:tcPr>
            <w:tcW w:w="1300" w:type="dxa"/>
            <w:vAlign w:val="bottom"/>
          </w:tcPr>
          <w:p>
            <w:pPr>
              <w:jc w:val="right"/>
              <w:ind w:right="76"/>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9</w:t>
            </w:r>
          </w:p>
        </w:tc>
      </w:tr>
      <w:tr>
        <w:trPr>
          <w:trHeight w:val="27"/>
        </w:trPr>
        <w:tc>
          <w:tcPr>
            <w:tcW w:w="7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Derivatives Not Designated as Cash Flow Hedges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w:t>
            </w:r>
          </w:p>
        </w:tc>
      </w:tr>
      <w:tr>
        <w:trPr>
          <w:trHeight w:val="263"/>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Total Derivatives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92</w:t>
            </w:r>
          </w:p>
        </w:tc>
      </w:tr>
      <w:tr>
        <w:trPr>
          <w:trHeight w:val="20"/>
        </w:trPr>
        <w:tc>
          <w:tcPr>
            <w:tcW w:w="7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firstLine="405"/>
        <w:spacing w:after="0" w:line="311" w:lineRule="auto"/>
        <w:rPr>
          <w:sz w:val="20"/>
          <w:szCs w:val="20"/>
          <w:color w:val="auto"/>
        </w:rPr>
      </w:pPr>
      <w:r>
        <w:rPr>
          <w:rFonts w:ascii="Arial" w:cs="Arial" w:eastAsia="Arial" w:hAnsi="Arial"/>
          <w:sz w:val="16"/>
          <w:szCs w:val="16"/>
          <w:color w:val="auto"/>
        </w:rPr>
        <w:t>The Company has elected to present derivative assets and liabilities on the balance sheet on a trade-by-trade basis and does not offset amounts at the counterparty master agreement level. As of March 31, 2020 and December 31, 2019, there was no outstanding collateral paid or received. The following tables summarize the offsetting of derivatives by the counterparty master agreement level as of March 31, 2020 and December 31, 2019:</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March 31, 2020</w:t>
            </w:r>
          </w:p>
        </w:tc>
        <w:tc>
          <w:tcPr>
            <w:tcW w:w="28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Derivative Instruments</w:t>
            </w:r>
          </w:p>
        </w:tc>
        <w:tc>
          <w:tcPr>
            <w:tcW w:w="320" w:type="dxa"/>
            <w:vAlign w:val="bottom"/>
          </w:tcPr>
          <w:p>
            <w:pPr>
              <w:spacing w:after="0"/>
              <w:rPr>
                <w:sz w:val="14"/>
                <w:szCs w:val="14"/>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520" w:type="dxa"/>
            <w:vAlign w:val="bottom"/>
            <w:vMerge w:val="continue"/>
          </w:tcPr>
          <w:p>
            <w:pPr>
              <w:spacing w:after="0"/>
              <w:rPr>
                <w:sz w:val="16"/>
                <w:szCs w:val="16"/>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Recognized Assets/Liabilities</w:t>
            </w:r>
          </w:p>
        </w:tc>
        <w:tc>
          <w:tcPr>
            <w:tcW w:w="1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line="216" w:lineRule="exact"/>
              <w:rPr>
                <w:sz w:val="20"/>
                <w:szCs w:val="20"/>
                <w:color w:val="auto"/>
              </w:rPr>
            </w:pPr>
            <w:r>
              <w:rPr>
                <w:rFonts w:ascii="Arial" w:cs="Arial" w:eastAsia="Arial" w:hAnsi="Arial"/>
                <w:sz w:val="18"/>
                <w:szCs w:val="18"/>
                <w:color w:val="auto"/>
              </w:rPr>
              <w:t>Commodity contracts</w:t>
            </w:r>
            <w:r>
              <w:rPr>
                <w:rFonts w:ascii="Arial" w:cs="Arial" w:eastAsia="Arial" w:hAnsi="Arial"/>
                <w:sz w:val="23"/>
                <w:szCs w:val="23"/>
                <w:color w:val="auto"/>
                <w:vertAlign w:val="superscript"/>
              </w:rPr>
              <w:t>:</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Total commodity contracts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rate contracts</w:t>
            </w: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520" w:type="dxa"/>
            <w:vAlign w:val="bottom"/>
          </w:tcPr>
          <w:p>
            <w:pPr>
              <w:ind w:left="20"/>
              <w:spacing w:after="0"/>
              <w:rPr>
                <w:sz w:val="20"/>
                <w:szCs w:val="20"/>
                <w:color w:val="auto"/>
              </w:rPr>
            </w:pPr>
            <w:r>
              <w:rPr>
                <w:rFonts w:ascii="Arial" w:cs="Arial" w:eastAsia="Arial" w:hAnsi="Arial"/>
                <w:sz w:val="18"/>
                <w:szCs w:val="18"/>
                <w:color w:val="auto"/>
              </w:rPr>
              <w:t>Total derivative instruments</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5"/>
        </w:trPr>
        <w:tc>
          <w:tcPr>
            <w:tcW w:w="552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55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December 31, 2019</w:t>
            </w:r>
          </w:p>
        </w:tc>
        <w:tc>
          <w:tcPr>
            <w:tcW w:w="28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24"/>
                <w:szCs w:val="24"/>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Derivative Instruments</w:t>
            </w:r>
          </w:p>
        </w:tc>
        <w:tc>
          <w:tcPr>
            <w:tcW w:w="320" w:type="dxa"/>
            <w:vAlign w:val="bottom"/>
          </w:tcPr>
          <w:p>
            <w:pPr>
              <w:spacing w:after="0"/>
              <w:rPr>
                <w:sz w:val="24"/>
                <w:szCs w:val="24"/>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520" w:type="dxa"/>
            <w:vAlign w:val="bottom"/>
            <w:vMerge w:val="continue"/>
          </w:tcPr>
          <w:p>
            <w:pPr>
              <w:spacing w:after="0"/>
              <w:rPr>
                <w:sz w:val="16"/>
                <w:szCs w:val="16"/>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Recognized Assets/Liabilities</w:t>
            </w:r>
          </w:p>
        </w:tc>
        <w:tc>
          <w:tcPr>
            <w:tcW w:w="1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Total commodity contracts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rate contracts</w:t>
            </w: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520" w:type="dxa"/>
            <w:vAlign w:val="bottom"/>
          </w:tcPr>
          <w:p>
            <w:pPr>
              <w:ind w:left="20"/>
              <w:spacing w:after="0"/>
              <w:rPr>
                <w:sz w:val="20"/>
                <w:szCs w:val="20"/>
                <w:color w:val="auto"/>
              </w:rPr>
            </w:pPr>
            <w:r>
              <w:rPr>
                <w:rFonts w:ascii="Arial" w:cs="Arial" w:eastAsia="Arial" w:hAnsi="Arial"/>
                <w:sz w:val="18"/>
                <w:szCs w:val="18"/>
                <w:color w:val="auto"/>
              </w:rPr>
              <w:t>Total derivative instruments</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552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19</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r>
        <w:rPr>
          <w:rFonts w:ascii="Arial" w:cs="Arial" w:eastAsia="Arial" w:hAnsi="Arial"/>
          <w:sz w:val="18"/>
          <w:szCs w:val="18"/>
          <w:b w:val="1"/>
          <w:bCs w:val="1"/>
          <w:color w:val="auto"/>
        </w:rPr>
        <w:t>:</w:t>
      </w:r>
    </w:p>
    <w:p>
      <w:pPr>
        <w:spacing w:after="0" w:line="2"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0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OCL beginning balance</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(45)</w:t>
            </w:r>
          </w:p>
        </w:tc>
        <w:tc>
          <w:tcPr>
            <w:tcW w:w="0" w:type="dxa"/>
            <w:vAlign w:val="bottom"/>
          </w:tcPr>
          <w:p>
            <w:pPr>
              <w:spacing w:after="0"/>
              <w:rPr>
                <w:sz w:val="1"/>
                <w:szCs w:val="1"/>
                <w:color w:val="auto"/>
              </w:rPr>
            </w:pPr>
          </w:p>
        </w:tc>
      </w:tr>
      <w:tr>
        <w:trPr>
          <w:trHeight w:val="175"/>
        </w:trPr>
        <w:tc>
          <w:tcPr>
            <w:tcW w:w="7240" w:type="dxa"/>
            <w:vAlign w:val="bottom"/>
          </w:tcPr>
          <w:p>
            <w:pPr>
              <w:ind w:left="180"/>
              <w:spacing w:after="0" w:line="176" w:lineRule="exact"/>
              <w:rPr>
                <w:sz w:val="20"/>
                <w:szCs w:val="20"/>
                <w:color w:val="auto"/>
              </w:rPr>
            </w:pPr>
            <w:r>
              <w:rPr>
                <w:rFonts w:ascii="Arial" w:cs="Arial" w:eastAsia="Arial" w:hAnsi="Arial"/>
                <w:sz w:val="18"/>
                <w:szCs w:val="18"/>
                <w:color w:val="auto"/>
              </w:rPr>
              <w:t>Reclassified from accumulated OCL to income due to realization of previously deferred</w:t>
            </w:r>
          </w:p>
        </w:tc>
        <w:tc>
          <w:tcPr>
            <w:tcW w:w="860" w:type="dxa"/>
            <w:vAlign w:val="bottom"/>
          </w:tcPr>
          <w:p>
            <w:pPr>
              <w:spacing w:after="0"/>
              <w:rPr>
                <w:sz w:val="15"/>
                <w:szCs w:val="15"/>
                <w:color w:val="auto"/>
              </w:rPr>
            </w:pPr>
          </w:p>
        </w:tc>
        <w:tc>
          <w:tcPr>
            <w:tcW w:w="460" w:type="dxa"/>
            <w:vAlign w:val="bottom"/>
            <w:vMerge w:val="restart"/>
          </w:tcPr>
          <w:p>
            <w:pPr>
              <w:jc w:val="right"/>
              <w:ind w:right="72"/>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vMerge w:val="restart"/>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7240" w:type="dxa"/>
            <w:vAlign w:val="bottom"/>
          </w:tcPr>
          <w:p>
            <w:pPr>
              <w:ind w:left="340"/>
              <w:spacing w:after="0"/>
              <w:rPr>
                <w:sz w:val="20"/>
                <w:szCs w:val="20"/>
                <w:color w:val="auto"/>
              </w:rPr>
            </w:pPr>
            <w:r>
              <w:rPr>
                <w:rFonts w:ascii="Arial" w:cs="Arial" w:eastAsia="Arial" w:hAnsi="Arial"/>
                <w:sz w:val="18"/>
                <w:szCs w:val="18"/>
                <w:color w:val="auto"/>
              </w:rPr>
              <w:t>amounts</w:t>
            </w:r>
          </w:p>
        </w:tc>
        <w:tc>
          <w:tcPr>
            <w:tcW w:w="86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Mark-to-market of cash flow hedge accounting contracts</w:t>
            </w:r>
          </w:p>
        </w:tc>
        <w:tc>
          <w:tcPr>
            <w:tcW w:w="86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7240" w:type="dxa"/>
            <w:vAlign w:val="bottom"/>
          </w:tcPr>
          <w:p>
            <w:pPr>
              <w:ind w:left="20"/>
              <w:spacing w:after="0"/>
              <w:rPr>
                <w:sz w:val="20"/>
                <w:szCs w:val="20"/>
                <w:color w:val="auto"/>
              </w:rPr>
            </w:pPr>
            <w:r>
              <w:rPr>
                <w:rFonts w:ascii="Arial" w:cs="Arial" w:eastAsia="Arial" w:hAnsi="Arial"/>
                <w:sz w:val="18"/>
                <w:szCs w:val="18"/>
                <w:color w:val="auto"/>
              </w:rPr>
              <w:t>Accumulated OCL ending balance</w:t>
            </w: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2"/>
                <w:szCs w:val="22"/>
                <w:color w:val="auto"/>
              </w:rPr>
            </w:pP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(47)</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OCL attributable to noncontrolling interests</w:t>
            </w:r>
          </w:p>
        </w:tc>
        <w:tc>
          <w:tcPr>
            <w:tcW w:w="86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240" w:type="dxa"/>
            <w:vAlign w:val="bottom"/>
          </w:tcPr>
          <w:p>
            <w:pPr>
              <w:ind w:left="20"/>
              <w:spacing w:after="0"/>
              <w:rPr>
                <w:sz w:val="20"/>
                <w:szCs w:val="20"/>
                <w:color w:val="auto"/>
              </w:rPr>
            </w:pPr>
            <w:r>
              <w:rPr>
                <w:rFonts w:ascii="Arial" w:cs="Arial" w:eastAsia="Arial" w:hAnsi="Arial"/>
                <w:sz w:val="18"/>
                <w:szCs w:val="18"/>
                <w:color w:val="auto"/>
              </w:rPr>
              <w:t>Accumulated OCL attributable to Clearway Energy LLC</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(47)</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Gains and losses related to the Company's derivatives are recorded in the consolidated statements of operations as follows: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56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4"/>
                <w:szCs w:val="14"/>
                <w:b w:val="1"/>
                <w:bCs w:val="1"/>
                <w:color w:val="auto"/>
                <w:w w:val="95"/>
              </w:rPr>
              <w:t>Three Months Ended March 31</w:t>
            </w:r>
          </w:p>
        </w:tc>
        <w:tc>
          <w:tcPr>
            <w:tcW w:w="440" w:type="dxa"/>
            <w:vAlign w:val="bottom"/>
            <w:tcBorders>
              <w:bottom w:val="single" w:sz="8" w:color="auto"/>
            </w:tcBorders>
          </w:tcPr>
          <w:p>
            <w:pPr>
              <w:spacing w:after="0"/>
              <w:rPr>
                <w:sz w:val="16"/>
                <w:szCs w:val="16"/>
                <w:color w:val="auto"/>
              </w:rPr>
            </w:pPr>
          </w:p>
        </w:tc>
      </w:tr>
      <w:tr>
        <w:trPr>
          <w:trHeight w:val="196"/>
        </w:trPr>
        <w:tc>
          <w:tcPr>
            <w:tcW w:w="59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r>
      <w:tr>
        <w:trPr>
          <w:trHeight w:val="202"/>
        </w:trPr>
        <w:tc>
          <w:tcPr>
            <w:tcW w:w="5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459"/>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shd w:val="clear" w:color="auto" w:fill="CCEEFF"/>
          </w:tcPr>
          <w:p>
            <w:pPr>
              <w:spacing w:after="0"/>
              <w:rPr>
                <w:sz w:val="17"/>
                <w:szCs w:val="17"/>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Interest Rate Contracts (Interest Expense)</w:t>
            </w:r>
          </w:p>
        </w:tc>
        <w:tc>
          <w:tcPr>
            <w:tcW w:w="980" w:type="dxa"/>
            <w:vAlign w:val="bottom"/>
          </w:tcPr>
          <w:p>
            <w:pPr>
              <w:jc w:val="right"/>
              <w:ind w:right="782"/>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(79)</w:t>
            </w:r>
          </w:p>
        </w:tc>
        <w:tc>
          <w:tcPr>
            <w:tcW w:w="1080" w:type="dxa"/>
            <w:vAlign w:val="bottom"/>
          </w:tcPr>
          <w:p>
            <w:pPr>
              <w:jc w:val="right"/>
              <w:ind w:right="81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Mark-to-market economic hedging activities </w:t>
            </w:r>
            <w:r>
              <w:rPr>
                <w:rFonts w:ascii="Arial" w:cs="Arial" w:eastAsia="Arial" w:hAnsi="Arial"/>
                <w:sz w:val="23"/>
                <w:szCs w:val="23"/>
                <w:color w:val="auto"/>
                <w:vertAlign w:val="superscript"/>
              </w:rPr>
              <w:t>(a)</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c>
          <w:tcPr>
            <w:tcW w:w="108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308610</wp:posOffset>
            </wp:positionV>
            <wp:extent cx="18084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20" w:hanging="121"/>
        <w:spacing w:after="0"/>
        <w:tabs>
          <w:tab w:leader="none" w:pos="1020" w:val="left"/>
        </w:tabs>
        <w:numPr>
          <w:ilvl w:val="0"/>
          <w:numId w:val="11"/>
        </w:numPr>
        <w:rPr>
          <w:rFonts w:ascii="Arial" w:cs="Arial" w:eastAsia="Arial" w:hAnsi="Arial"/>
          <w:sz w:val="9"/>
          <w:szCs w:val="9"/>
          <w:color w:val="auto"/>
        </w:rPr>
      </w:pPr>
      <w:r>
        <w:rPr>
          <w:rFonts w:ascii="Arial" w:cs="Arial" w:eastAsia="Arial" w:hAnsi="Arial"/>
          <w:sz w:val="14"/>
          <w:szCs w:val="14"/>
          <w:color w:val="auto"/>
        </w:rPr>
        <w:t>Relates to long-term power hedge at Elbow Creek Wind Project LLC, or Elbow Creek.</w:t>
      </w:r>
    </w:p>
    <w:p>
      <w:pPr>
        <w:spacing w:after="0" w:line="2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7 — Long-term Debt</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This footnote should be read in conjunction with the complete description under Note 10, Long-term Debt</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 statements</w:t>
      </w:r>
      <w:r>
        <w:rPr>
          <w:rFonts w:ascii="Arial" w:cs="Arial" w:eastAsia="Arial" w:hAnsi="Arial"/>
          <w:sz w:val="18"/>
          <w:szCs w:val="18"/>
          <w:color w:val="auto"/>
        </w:rPr>
        <w:t xml:space="preserve"> </w:t>
      </w:r>
      <w:r>
        <w:rPr>
          <w:rFonts w:ascii="Arial" w:cs="Arial" w:eastAsia="Arial" w:hAnsi="Arial"/>
          <w:sz w:val="18"/>
          <w:szCs w:val="18"/>
          <w:color w:val="231F20"/>
        </w:rPr>
        <w:t xml:space="preserve">included in the Company's </w:t>
      </w:r>
      <w:r>
        <w:rPr>
          <w:rFonts w:ascii="Arial" w:cs="Arial" w:eastAsia="Arial" w:hAnsi="Arial"/>
          <w:sz w:val="18"/>
          <w:szCs w:val="18"/>
          <w:color w:val="000000"/>
        </w:rPr>
        <w:t>2019 Form 10-K. Long-term debt consisted of the following: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Letters of Credit</w:t>
            </w:r>
          </w:p>
        </w:tc>
        <w:tc>
          <w:tcPr>
            <w:tcW w:w="0" w:type="dxa"/>
            <w:vAlign w:val="bottom"/>
          </w:tcPr>
          <w:p>
            <w:pPr>
              <w:spacing w:after="0"/>
              <w:rPr>
                <w:sz w:val="1"/>
                <w:szCs w:val="1"/>
                <w:color w:val="auto"/>
              </w:rPr>
            </w:pPr>
          </w:p>
        </w:tc>
      </w:tr>
      <w:tr>
        <w:trPr>
          <w:trHeight w:val="244"/>
        </w:trPr>
        <w:tc>
          <w:tcPr>
            <w:tcW w:w="5360" w:type="dxa"/>
            <w:vAlign w:val="bottom"/>
          </w:tcPr>
          <w:p>
            <w:pPr>
              <w:spacing w:after="0"/>
              <w:rPr>
                <w:sz w:val="21"/>
                <w:szCs w:val="21"/>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8"/>
                <w:szCs w:val="18"/>
                <w:color w:val="auto"/>
              </w:rPr>
              <w:t>March 31, 2020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5"/>
              </w:rPr>
              <w:t>December 31,</w:t>
            </w:r>
          </w:p>
        </w:tc>
        <w:tc>
          <w:tcPr>
            <w:tcW w:w="2000" w:type="dxa"/>
            <w:vAlign w:val="bottom"/>
          </w:tcPr>
          <w:p>
            <w:pPr>
              <w:jc w:val="right"/>
              <w:ind w:right="310"/>
              <w:spacing w:after="0"/>
              <w:rPr>
                <w:sz w:val="20"/>
                <w:szCs w:val="20"/>
                <w:color w:val="auto"/>
              </w:rPr>
            </w:pPr>
            <w:r>
              <w:rPr>
                <w:rFonts w:ascii="Arial" w:cs="Arial" w:eastAsia="Arial" w:hAnsi="Arial"/>
                <w:sz w:val="18"/>
                <w:szCs w:val="18"/>
                <w:color w:val="auto"/>
              </w:rPr>
              <w:t>March 31, 2020,</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Outstanding at</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19"/>
                <w:szCs w:val="19"/>
                <w:color w:val="auto"/>
              </w:rPr>
            </w:pPr>
          </w:p>
        </w:tc>
        <w:tc>
          <w:tcPr>
            <w:tcW w:w="1300" w:type="dxa"/>
            <w:vAlign w:val="bottom"/>
            <w:tcBorders>
              <w:bottom w:val="single" w:sz="8" w:color="auto"/>
            </w:tcBorders>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000" w:type="dxa"/>
            <w:vAlign w:val="bottom"/>
            <w:tcBorders>
              <w:bottom w:val="single" w:sz="8" w:color="auto"/>
            </w:tcBorders>
          </w:tcPr>
          <w:p>
            <w:pPr>
              <w:jc w:val="right"/>
              <w:ind w:right="290"/>
              <w:spacing w:after="0" w:line="230" w:lineRule="exact"/>
              <w:rPr>
                <w:sz w:val="20"/>
                <w:szCs w:val="20"/>
                <w:color w:val="auto"/>
              </w:rPr>
            </w:pPr>
            <w:r>
              <w:rPr>
                <w:rFonts w:ascii="Arial" w:cs="Arial" w:eastAsia="Arial" w:hAnsi="Arial"/>
                <w:sz w:val="18"/>
                <w:szCs w:val="18"/>
                <w:color w:val="auto"/>
              </w:rPr>
              <w:t xml:space="preserve">interest rate % </w:t>
            </w:r>
            <w:r>
              <w:rPr>
                <w:rFonts w:ascii="Arial" w:cs="Arial" w:eastAsia="Arial" w:hAnsi="Arial"/>
                <w:sz w:val="23"/>
                <w:szCs w:val="23"/>
                <w:color w:val="auto"/>
                <w:vertAlign w:val="superscript"/>
              </w:rPr>
              <w:t>(a)</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March 31, 2020</w:t>
            </w: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gridSpan w:val="2"/>
          </w:tcPr>
          <w:p>
            <w:pPr>
              <w:jc w:val="right"/>
              <w:ind w:right="530"/>
              <w:spacing w:after="0"/>
              <w:rPr>
                <w:sz w:val="20"/>
                <w:szCs w:val="20"/>
                <w:color w:val="auto"/>
              </w:rPr>
            </w:pPr>
            <w:r>
              <w:rPr>
                <w:rFonts w:ascii="Arial" w:cs="Arial" w:eastAsia="Arial" w:hAnsi="Arial"/>
                <w:sz w:val="18"/>
                <w:szCs w:val="18"/>
                <w:color w:val="auto"/>
              </w:rPr>
              <w:t>(In millions, except rates)</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 affiliate, due 2020</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c>
          <w:tcPr>
            <w:tcW w:w="20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3.325</w:t>
            </w: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Intercompany Note with Clearway Energy, Inc.</w:t>
            </w:r>
          </w:p>
        </w:tc>
        <w:tc>
          <w:tcPr>
            <w:tcW w:w="3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0" w:type="dxa"/>
            <w:vAlign w:val="bottom"/>
          </w:tcPr>
          <w:p>
            <w:pPr>
              <w:ind w:left="1340"/>
              <w:spacing w:after="0"/>
              <w:rPr>
                <w:sz w:val="20"/>
                <w:szCs w:val="20"/>
                <w:color w:val="auto"/>
              </w:rPr>
            </w:pPr>
            <w:r>
              <w:rPr>
                <w:rFonts w:ascii="Arial" w:cs="Arial" w:eastAsia="Arial" w:hAnsi="Arial"/>
                <w:sz w:val="18"/>
                <w:szCs w:val="18"/>
                <w:color w:val="auto"/>
              </w:rPr>
              <w:t>1.490</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2024 Senior Notes </w:t>
            </w:r>
            <w:r>
              <w:rPr>
                <w:rFonts w:ascii="Arial" w:cs="Arial" w:eastAsia="Arial" w:hAnsi="Arial"/>
                <w:sz w:val="23"/>
                <w:szCs w:val="23"/>
                <w:color w:val="auto"/>
                <w:vertAlign w:val="superscript"/>
              </w:rPr>
              <w:t>(b)</w:t>
            </w:r>
          </w:p>
        </w:tc>
        <w:tc>
          <w:tcPr>
            <w:tcW w:w="3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88</w:t>
            </w:r>
          </w:p>
        </w:tc>
        <w:tc>
          <w:tcPr>
            <w:tcW w:w="20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5.375</w:t>
            </w: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2025 Senior Notes</w:t>
            </w:r>
          </w:p>
        </w:tc>
        <w:tc>
          <w:tcPr>
            <w:tcW w:w="3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600</w:t>
            </w:r>
          </w:p>
        </w:tc>
        <w:tc>
          <w:tcPr>
            <w:tcW w:w="2000" w:type="dxa"/>
            <w:vAlign w:val="bottom"/>
          </w:tcPr>
          <w:p>
            <w:pPr>
              <w:ind w:left="1340"/>
              <w:spacing w:after="0"/>
              <w:rPr>
                <w:sz w:val="20"/>
                <w:szCs w:val="20"/>
                <w:color w:val="auto"/>
              </w:rPr>
            </w:pPr>
            <w:r>
              <w:rPr>
                <w:rFonts w:ascii="Arial" w:cs="Arial" w:eastAsia="Arial" w:hAnsi="Arial"/>
                <w:sz w:val="18"/>
                <w:szCs w:val="18"/>
                <w:color w:val="auto"/>
              </w:rPr>
              <w:t>5.750</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 Senior Notes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350</w:t>
            </w:r>
          </w:p>
        </w:tc>
        <w:tc>
          <w:tcPr>
            <w:tcW w:w="20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5.000</w:t>
            </w: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2028 Senior Notes</w:t>
            </w:r>
          </w:p>
        </w:tc>
        <w:tc>
          <w:tcPr>
            <w:tcW w:w="3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600</w:t>
            </w:r>
          </w:p>
        </w:tc>
        <w:tc>
          <w:tcPr>
            <w:tcW w:w="2000" w:type="dxa"/>
            <w:vAlign w:val="bottom"/>
          </w:tcPr>
          <w:p>
            <w:pPr>
              <w:ind w:left="1340"/>
              <w:spacing w:after="0"/>
              <w:rPr>
                <w:sz w:val="20"/>
                <w:szCs w:val="20"/>
                <w:color w:val="auto"/>
              </w:rPr>
            </w:pPr>
            <w:r>
              <w:rPr>
                <w:rFonts w:ascii="Arial" w:cs="Arial" w:eastAsia="Arial" w:hAnsi="Arial"/>
                <w:sz w:val="18"/>
                <w:szCs w:val="18"/>
                <w:color w:val="auto"/>
              </w:rPr>
              <w:t>4.750</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Clearway Energy LLC and Clearway Energy Operating LLC Revolving</w:t>
            </w:r>
          </w:p>
        </w:tc>
        <w:tc>
          <w:tcPr>
            <w:tcW w:w="3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L+1.75</w:t>
            </w:r>
          </w:p>
        </w:tc>
        <w:tc>
          <w:tcPr>
            <w:tcW w:w="14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Credit Facility, due 2023 </w:t>
            </w:r>
            <w:r>
              <w:rPr>
                <w:rFonts w:ascii="Arial" w:cs="Arial" w:eastAsia="Arial" w:hAnsi="Arial"/>
                <w:sz w:val="23"/>
                <w:szCs w:val="23"/>
                <w:color w:val="auto"/>
                <w:vertAlign w:val="superscript"/>
              </w:rPr>
              <w:t>(c)</w:t>
            </w:r>
          </w:p>
        </w:tc>
        <w:tc>
          <w:tcPr>
            <w:tcW w:w="3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0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Project-level debt:</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Alpine, due 2022 </w:t>
            </w:r>
            <w:r>
              <w:rPr>
                <w:rFonts w:ascii="Arial" w:cs="Arial" w:eastAsia="Arial" w:hAnsi="Arial"/>
                <w:sz w:val="23"/>
                <w:szCs w:val="23"/>
                <w:color w:val="auto"/>
                <w:vertAlign w:val="superscript"/>
              </w:rPr>
              <w:t>(d)</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119</w:t>
            </w:r>
          </w:p>
        </w:tc>
        <w:tc>
          <w:tcPr>
            <w:tcW w:w="2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L+2.00</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color w:val="auto"/>
              </w:rPr>
              <w:t>Alta Wind I - V lease financing arrangements, due 2034 and 2035</w:t>
            </w:r>
          </w:p>
        </w:tc>
        <w:tc>
          <w:tcPr>
            <w:tcW w:w="34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844</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5.696 - 7.015</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Buckthorn Solar, due 2025</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129</w:t>
            </w:r>
          </w:p>
        </w:tc>
        <w:tc>
          <w:tcPr>
            <w:tcW w:w="2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L+1.750</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Carlsbad Holdco, due 2038 . . . . . . . . . . . . . . . . .</w:t>
            </w:r>
          </w:p>
        </w:tc>
        <w:tc>
          <w:tcPr>
            <w:tcW w:w="3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216</w:t>
            </w:r>
          </w:p>
        </w:tc>
        <w:tc>
          <w:tcPr>
            <w:tcW w:w="2000" w:type="dxa"/>
            <w:vAlign w:val="bottom"/>
          </w:tcPr>
          <w:p>
            <w:pPr>
              <w:ind w:left="1340"/>
              <w:spacing w:after="0"/>
              <w:rPr>
                <w:sz w:val="20"/>
                <w:szCs w:val="20"/>
                <w:color w:val="auto"/>
              </w:rPr>
            </w:pPr>
            <w:r>
              <w:rPr>
                <w:rFonts w:ascii="Arial" w:cs="Arial" w:eastAsia="Arial" w:hAnsi="Arial"/>
                <w:sz w:val="18"/>
                <w:szCs w:val="18"/>
                <w:color w:val="auto"/>
              </w:rPr>
              <w:t>4.210</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Carlsbad Energy Holdings LLC, due 2027 and 2038</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582</w:t>
            </w:r>
          </w:p>
        </w:tc>
        <w:tc>
          <w:tcPr>
            <w:tcW w:w="200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various</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color w:val="auto"/>
              </w:rPr>
              <w:t xml:space="preserve">CVSR, due 2037 </w:t>
            </w:r>
            <w:r>
              <w:rPr>
                <w:rFonts w:ascii="Arial" w:cs="Arial" w:eastAsia="Arial" w:hAnsi="Arial"/>
                <w:sz w:val="23"/>
                <w:szCs w:val="23"/>
                <w:color w:val="auto"/>
                <w:vertAlign w:val="superscript"/>
              </w:rPr>
              <w:t>(d)</w:t>
            </w:r>
          </w:p>
        </w:tc>
        <w:tc>
          <w:tcPr>
            <w:tcW w:w="34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696</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2.339 - 3.775</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CVSR Holdco Notes, due 2037 </w:t>
            </w:r>
            <w:r>
              <w:rPr>
                <w:rFonts w:ascii="Arial" w:cs="Arial" w:eastAsia="Arial" w:hAnsi="Arial"/>
                <w:sz w:val="23"/>
                <w:szCs w:val="23"/>
                <w:color w:val="auto"/>
                <w:vertAlign w:val="superscript"/>
              </w:rPr>
              <w:t>(d)</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182</w:t>
            </w:r>
          </w:p>
        </w:tc>
        <w:tc>
          <w:tcPr>
            <w:tcW w:w="20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4.680</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Duquesne, due 2059</w:t>
            </w:r>
          </w:p>
        </w:tc>
        <w:tc>
          <w:tcPr>
            <w:tcW w:w="3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95</w:t>
            </w:r>
          </w:p>
        </w:tc>
        <w:tc>
          <w:tcPr>
            <w:tcW w:w="2000" w:type="dxa"/>
            <w:vAlign w:val="bottom"/>
          </w:tcPr>
          <w:p>
            <w:pPr>
              <w:ind w:left="1340"/>
              <w:spacing w:after="0"/>
              <w:rPr>
                <w:sz w:val="20"/>
                <w:szCs w:val="20"/>
                <w:color w:val="auto"/>
              </w:rPr>
            </w:pPr>
            <w:r>
              <w:rPr>
                <w:rFonts w:ascii="Arial" w:cs="Arial" w:eastAsia="Arial" w:hAnsi="Arial"/>
                <w:sz w:val="18"/>
                <w:szCs w:val="18"/>
                <w:color w:val="auto"/>
              </w:rPr>
              <w:t>4.620</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 Segundo Energy Center, due 2023</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303</w:t>
            </w:r>
          </w:p>
        </w:tc>
        <w:tc>
          <w:tcPr>
            <w:tcW w:w="2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L+1.75 - L+2.375</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w w:val="94"/>
              </w:rPr>
              <w:t>Energy Center Minneapolis Series D, E, F, G, H Notes, due 2025-2037</w:t>
            </w:r>
          </w:p>
        </w:tc>
        <w:tc>
          <w:tcPr>
            <w:tcW w:w="3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328</w:t>
            </w:r>
          </w:p>
        </w:tc>
        <w:tc>
          <w:tcPr>
            <w:tcW w:w="2000" w:type="dxa"/>
            <w:vAlign w:val="bottom"/>
          </w:tcPr>
          <w:p>
            <w:pPr>
              <w:jc w:val="right"/>
              <w:ind w:right="170"/>
              <w:spacing w:after="0"/>
              <w:rPr>
                <w:sz w:val="20"/>
                <w:szCs w:val="20"/>
                <w:color w:val="auto"/>
              </w:rPr>
            </w:pPr>
            <w:r>
              <w:rPr>
                <w:rFonts w:ascii="Arial" w:cs="Arial" w:eastAsia="Arial" w:hAnsi="Arial"/>
                <w:sz w:val="18"/>
                <w:szCs w:val="18"/>
                <w:color w:val="auto"/>
              </w:rPr>
              <w:t>various</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Laredo Ridge, due 2028</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w:t>
            </w:r>
          </w:p>
        </w:tc>
        <w:tc>
          <w:tcPr>
            <w:tcW w:w="2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L+2.125</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color w:val="auto"/>
              </w:rPr>
              <w:t xml:space="preserve">Kansas South, due 2030 </w:t>
            </w:r>
            <w:r>
              <w:rPr>
                <w:rFonts w:ascii="Arial" w:cs="Arial" w:eastAsia="Arial" w:hAnsi="Arial"/>
                <w:sz w:val="23"/>
                <w:szCs w:val="23"/>
                <w:color w:val="auto"/>
                <w:vertAlign w:val="superscript"/>
              </w:rPr>
              <w:t>(d)</w:t>
            </w:r>
          </w:p>
        </w:tc>
        <w:tc>
          <w:tcPr>
            <w:tcW w:w="34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L+2.25</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Kawailoa Solar Holdings LLC, due 2026</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w:t>
            </w:r>
          </w:p>
        </w:tc>
        <w:tc>
          <w:tcPr>
            <w:tcW w:w="2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L+1.375</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color w:val="auto"/>
              </w:rPr>
              <w:t xml:space="preserve">Marsh Landing, due 2023 </w:t>
            </w:r>
            <w:r>
              <w:rPr>
                <w:rFonts w:ascii="Arial" w:cs="Arial" w:eastAsia="Arial" w:hAnsi="Arial"/>
                <w:sz w:val="23"/>
                <w:szCs w:val="23"/>
                <w:color w:val="auto"/>
                <w:vertAlign w:val="superscript"/>
              </w:rPr>
              <w:t>(d)</w:t>
            </w:r>
          </w:p>
        </w:tc>
        <w:tc>
          <w:tcPr>
            <w:tcW w:w="34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206</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L+2.125</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Oahu Solar Holdings LLC, due 2026</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w:t>
            </w:r>
          </w:p>
        </w:tc>
        <w:tc>
          <w:tcPr>
            <w:tcW w:w="2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L+1.375</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color w:val="auto"/>
              </w:rPr>
              <w:t xml:space="preserve">Repowering Partnership Holdco LLC, due 2020 </w:t>
            </w:r>
            <w:r>
              <w:rPr>
                <w:rFonts w:ascii="Arial" w:cs="Arial" w:eastAsia="Arial" w:hAnsi="Arial"/>
                <w:sz w:val="23"/>
                <w:szCs w:val="23"/>
                <w:color w:val="auto"/>
                <w:vertAlign w:val="superscript"/>
              </w:rPr>
              <w:t>(e)</w:t>
            </w:r>
          </w:p>
        </w:tc>
        <w:tc>
          <w:tcPr>
            <w:tcW w:w="340" w:type="dxa"/>
            <w:vAlign w:val="bottom"/>
          </w:tcPr>
          <w:p>
            <w:pPr>
              <w:spacing w:after="0"/>
              <w:rPr>
                <w:sz w:val="23"/>
                <w:szCs w:val="2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228</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L+.85</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Trent, due 2028</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2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L+1.350</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color w:val="auto"/>
              </w:rPr>
              <w:t>Tapestry, due 2031</w:t>
            </w:r>
          </w:p>
        </w:tc>
        <w:tc>
          <w:tcPr>
            <w:tcW w:w="34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156</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L+1.375</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Utah Solar Portfolio, due 2022</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254</w:t>
            </w:r>
          </w:p>
        </w:tc>
        <w:tc>
          <w:tcPr>
            <w:tcW w:w="2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L+2.625</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color w:val="auto"/>
              </w:rPr>
              <w:t>Viento, due 2023</w:t>
            </w:r>
          </w:p>
        </w:tc>
        <w:tc>
          <w:tcPr>
            <w:tcW w:w="34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L+2.00</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Walnut Creek, due 2023</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w:t>
            </w:r>
          </w:p>
        </w:tc>
        <w:tc>
          <w:tcPr>
            <w:tcW w:w="2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L+1.75</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296</w:t>
            </w:r>
          </w:p>
        </w:tc>
        <w:tc>
          <w:tcPr>
            <w:tcW w:w="2000" w:type="dxa"/>
            <w:vAlign w:val="bottom"/>
          </w:tcPr>
          <w:p>
            <w:pPr>
              <w:ind w:left="1360"/>
              <w:spacing w:after="0"/>
              <w:rPr>
                <w:sz w:val="20"/>
                <w:szCs w:val="20"/>
                <w:color w:val="auto"/>
              </w:rPr>
            </w:pPr>
            <w:r>
              <w:rPr>
                <w:rFonts w:ascii="Arial" w:cs="Arial" w:eastAsia="Arial" w:hAnsi="Arial"/>
                <w:sz w:val="18"/>
                <w:szCs w:val="18"/>
                <w:color w:val="auto"/>
              </w:rPr>
              <w:t>various</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Subtotal project-level debt:</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5,175</w:t>
            </w:r>
          </w:p>
        </w:tc>
        <w:tc>
          <w:tcPr>
            <w:tcW w:w="20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60" w:type="dxa"/>
            <w:vAlign w:val="bottom"/>
          </w:tcPr>
          <w:p>
            <w:pPr>
              <w:ind w:left="120"/>
              <w:spacing w:after="0"/>
              <w:rPr>
                <w:sz w:val="20"/>
                <w:szCs w:val="20"/>
                <w:color w:val="auto"/>
              </w:rPr>
            </w:pPr>
            <w:r>
              <w:rPr>
                <w:rFonts w:ascii="Arial" w:cs="Arial" w:eastAsia="Arial" w:hAnsi="Arial"/>
                <w:sz w:val="18"/>
                <w:szCs w:val="18"/>
                <w:color w:val="auto"/>
              </w:rPr>
              <w:t>Total debt</w:t>
            </w: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6,636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6,857</w:t>
            </w:r>
          </w:p>
        </w:tc>
        <w:tc>
          <w:tcPr>
            <w:tcW w:w="20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Less current maturities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c>
          <w:tcPr>
            <w:tcW w:w="20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Less net debt issuance costs</w:t>
            </w:r>
          </w:p>
        </w:tc>
        <w:tc>
          <w:tcPr>
            <w:tcW w:w="3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20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5,081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4,956</w:t>
            </w:r>
          </w:p>
        </w:tc>
        <w:tc>
          <w:tcPr>
            <w:tcW w:w="20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27432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80" w:hanging="72"/>
        <w:spacing w:after="0" w:line="282" w:lineRule="auto"/>
        <w:tabs>
          <w:tab w:leader="none" w:pos="142"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As of March 31, 2020, L+ equals 3 month LIBOR plus x%, except for Viento, due 2023 and Kansas South, due 2030 where L+ equals 6 month LIBOR plus x% and Utah Solar Portfolio, where L+ equals 1 month LIBOR plus 2.625%.</w:t>
      </w:r>
    </w:p>
    <w:p>
      <w:pPr>
        <w:ind w:left="160" w:hanging="152"/>
        <w:spacing w:after="0" w:line="187"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Repaid in January 2020, as further described below.</w:t>
      </w:r>
    </w:p>
    <w:p>
      <w:pPr>
        <w:ind w:left="160" w:hanging="152"/>
        <w:spacing w:after="0" w:line="192" w:lineRule="auto"/>
        <w:tabs>
          <w:tab w:leader="none" w:pos="16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Applicable rate is determined by the borrower leverage ratio, as defined in the credit agreement.</w:t>
      </w:r>
    </w:p>
    <w:p>
      <w:pPr>
        <w:ind w:left="160" w:hanging="152"/>
        <w:spacing w:after="0" w:line="219"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Entities affected by PG&amp;E bankruptcy, see further discussion below.</w:t>
      </w:r>
    </w:p>
    <w:p>
      <w:pPr>
        <w:ind w:left="160" w:hanging="152"/>
        <w:spacing w:after="0" w:line="223"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Repaid in February 2020,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078" w:gutter="0" w:footer="0" w:header="0"/>
        </w:sectPr>
      </w:pPr>
    </w:p>
    <w:bookmarkStart w:id="28" w:name="page29"/>
    <w:bookmarkEnd w:id="28"/>
    <w:p>
      <w:pPr>
        <w:jc w:val="both"/>
        <w:ind w:firstLine="405"/>
        <w:spacing w:after="0" w:line="259" w:lineRule="auto"/>
        <w:rPr>
          <w:sz w:val="20"/>
          <w:szCs w:val="20"/>
          <w:color w:val="auto"/>
        </w:rPr>
      </w:pPr>
      <w:r>
        <w:rPr>
          <w:rFonts w:ascii="Arial" w:cs="Arial" w:eastAsia="Arial" w:hAnsi="Arial"/>
          <w:sz w:val="18"/>
          <w:szCs w:val="18"/>
          <w:color w:val="auto"/>
        </w:rPr>
        <w:t>The financing arrangements listed above contain certain covenants, including financial covenants that the Company is required to be in compliance with during the term of the respective arrangement. As of March 31, 2020, the Company was in compliance with all of the required covenants, other than any covenants impacted by the PG&amp;E Bankruptcy, as discussed below. The discussion below describes material changes to or additions of long-term debt for the three months ended March 31, 2020.</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Clearway Energy LLC and Clearway Energy Operating LLC Revolving Credit Facility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 xml:space="preserve">As of </w:t>
      </w:r>
      <w:r>
        <w:rPr>
          <w:rFonts w:ascii="Arial" w:cs="Arial" w:eastAsia="Arial" w:hAnsi="Arial"/>
          <w:sz w:val="16"/>
          <w:szCs w:val="16"/>
          <w:color w:val="000000"/>
        </w:rPr>
        <w:t>March 31, 2020</w:t>
      </w:r>
      <w:r>
        <w:rPr>
          <w:rFonts w:ascii="Arial" w:cs="Arial" w:eastAsia="Arial" w:hAnsi="Arial"/>
          <w:sz w:val="16"/>
          <w:szCs w:val="16"/>
          <w:color w:val="231F20"/>
        </w:rPr>
        <w:t>, The Company had $180 million outstanding under the revolving credit facility and $62 million in letters of credit outstanding.</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2024 Senior Notes Redemption</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January 3, 2020, the Company redeemed the $88 million aggregate principal amount of the 2024 Senior Notes that remained outstanding following the Company's tender offer for the 2024 Senior Notes in December 2019. The redemption was effectuated at a premium of 102.7% for a total consideration of $90 million and as a result, the Company recorded a loss on debt extinguishment in the amount of $3 million, which also included the write off of the previously deferred financing fees related to the 2024 Senior Notes.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Intercompany Note with Clearway Energy, Inc.</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February 18, 2020, the Company entered into an intercompany demand promissory note with Clearway Energy, Inc. in the principal amount of $3 million. The unpaid principal amount bears interest at a rate equal to the short-term applicable federal rate, which is payable on the last day of each quarter, or at other times as agreed upon by the Company and Clearway Energy, Inc.</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Project - level Debt</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PG&amp;E Bankruptcy</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continues classifying all PG&amp;E affected borrowings as current as of March 31, 2020. In addition, distributions from these projects to Clearway Operating LLC are prohibited under the related debt agreements. As of May 7, 2020, the Company has entered into forbearance agreements for certain project-level financing arrangements, and continues to seek forbearance agreements for its other project-level financing arrangements affected by the PG&amp;E Bankruptcy.</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Repowering Partnership Holdco LLC, due 2020</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In February 2020, the Company repaid $260 million of construction debt outstanding under the construction loan facility. The repayment was effectuated with the proceeds from the tax equity contributions for Wildorado TE Holdco, as further descried in Note 4, </w:t>
      </w:r>
      <w:r>
        <w:rPr>
          <w:rFonts w:ascii="Arial" w:cs="Arial" w:eastAsia="Arial" w:hAnsi="Arial"/>
          <w:sz w:val="18"/>
          <w:szCs w:val="18"/>
          <w:i w:val="1"/>
          <w:iCs w:val="1"/>
          <w:color w:val="auto"/>
        </w:rPr>
        <w:t>Investments Accounted for by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Method and Variable Interest Entities, </w:t>
      </w:r>
      <w:r>
        <w:rPr>
          <w:rFonts w:ascii="Arial" w:cs="Arial" w:eastAsia="Arial" w:hAnsi="Arial"/>
          <w:sz w:val="18"/>
          <w:szCs w:val="18"/>
          <w:color w:val="auto"/>
        </w:rPr>
        <w:t>as well as with the contributions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8 — Segment Reporting</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13"/>
          </w:tcPr>
          <w:p>
            <w:pPr>
              <w:ind w:left="580"/>
              <w:spacing w:after="0"/>
              <w:rPr>
                <w:sz w:val="20"/>
                <w:szCs w:val="20"/>
                <w:color w:val="auto"/>
              </w:rPr>
            </w:pPr>
            <w:r>
              <w:rPr>
                <w:rFonts w:ascii="Arial" w:cs="Arial" w:eastAsia="Arial" w:hAnsi="Arial"/>
                <w:sz w:val="14"/>
                <w:szCs w:val="14"/>
                <w:b w:val="1"/>
                <w:bCs w:val="1"/>
                <w:color w:val="auto"/>
              </w:rPr>
              <w:t>Three months ended March 31, 2020</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8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120" w:type="dxa"/>
            <w:vAlign w:val="bottom"/>
            <w:gridSpan w:val="2"/>
            <w:vMerge w:val="restart"/>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Thermal</w:t>
            </w:r>
          </w:p>
        </w:tc>
        <w:tc>
          <w:tcPr>
            <w:tcW w:w="120" w:type="dxa"/>
            <w:vAlign w:val="bottom"/>
            <w:gridSpan w:val="2"/>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4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0"/>
        </w:trPr>
        <w:tc>
          <w:tcPr>
            <w:tcW w:w="4640" w:type="dxa"/>
            <w:vAlign w:val="bottom"/>
            <w:gridSpan w:val="2"/>
          </w:tcPr>
          <w:p>
            <w:pPr>
              <w:ind w:left="180"/>
              <w:spacing w:after="0"/>
              <w:rPr>
                <w:sz w:val="20"/>
                <w:szCs w:val="20"/>
                <w:color w:val="auto"/>
              </w:rPr>
            </w:pPr>
            <w:r>
              <w:rPr>
                <w:rFonts w:ascii="Arial" w:cs="Arial" w:eastAsia="Arial" w:hAnsi="Arial"/>
                <w:sz w:val="18"/>
                <w:szCs w:val="18"/>
                <w:color w:val="auto"/>
              </w:rPr>
              <w:t>Cost of operations</w:t>
            </w:r>
          </w:p>
        </w:tc>
        <w:tc>
          <w:tcPr>
            <w:tcW w:w="140" w:type="dxa"/>
            <w:vAlign w:val="bottom"/>
          </w:tcPr>
          <w:p>
            <w:pPr>
              <w:spacing w:after="0"/>
              <w:rPr>
                <w:sz w:val="23"/>
                <w:szCs w:val="23"/>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0"/>
        </w:trPr>
        <w:tc>
          <w:tcPr>
            <w:tcW w:w="464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Acquisition-related transaction and integration costs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640" w:type="dxa"/>
            <w:vAlign w:val="bottom"/>
            <w:gridSpan w:val="2"/>
          </w:tcPr>
          <w:p>
            <w:pPr>
              <w:ind w:left="180"/>
              <w:spacing w:after="0"/>
              <w:rPr>
                <w:sz w:val="20"/>
                <w:szCs w:val="20"/>
                <w:color w:val="auto"/>
              </w:rPr>
            </w:pPr>
            <w:r>
              <w:rPr>
                <w:rFonts w:ascii="Arial" w:cs="Arial" w:eastAsia="Arial" w:hAnsi="Arial"/>
                <w:sz w:val="18"/>
                <w:szCs w:val="18"/>
                <w:color w:val="auto"/>
              </w:rPr>
              <w:t>Development costs</w:t>
            </w:r>
          </w:p>
        </w:tc>
        <w:tc>
          <w:tcPr>
            <w:tcW w:w="1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640" w:type="dxa"/>
            <w:vAlign w:val="bottom"/>
            <w:gridSpan w:val="2"/>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640" w:type="dxa"/>
            <w:vAlign w:val="bottom"/>
            <w:gridSpan w:val="2"/>
          </w:tcPr>
          <w:p>
            <w:pPr>
              <w:ind w:left="180"/>
              <w:spacing w:after="0"/>
              <w:rPr>
                <w:sz w:val="20"/>
                <w:szCs w:val="20"/>
                <w:color w:val="auto"/>
              </w:rPr>
            </w:pPr>
            <w:r>
              <w:rPr>
                <w:rFonts w:ascii="Arial" w:cs="Arial" w:eastAsia="Arial" w:hAnsi="Arial"/>
                <w:sz w:val="18"/>
                <w:szCs w:val="18"/>
                <w:color w:val="auto"/>
              </w:rPr>
              <w:t>Loss on debt extinguishment</w:t>
            </w:r>
          </w:p>
        </w:tc>
        <w:tc>
          <w:tcPr>
            <w:tcW w:w="1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63"/>
        </w:trPr>
        <w:tc>
          <w:tcPr>
            <w:tcW w:w="4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89"/>
        </w:trPr>
        <w:tc>
          <w:tcPr>
            <w:tcW w:w="4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2,677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6,116</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625</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9,439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4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3"/>
          </w:tcPr>
          <w:p>
            <w:pPr>
              <w:ind w:left="580"/>
              <w:spacing w:after="0"/>
              <w:rPr>
                <w:sz w:val="20"/>
                <w:szCs w:val="20"/>
                <w:color w:val="auto"/>
              </w:rPr>
            </w:pPr>
            <w:r>
              <w:rPr>
                <w:rFonts w:ascii="Arial" w:cs="Arial" w:eastAsia="Arial" w:hAnsi="Arial"/>
                <w:sz w:val="14"/>
                <w:szCs w:val="14"/>
                <w:b w:val="1"/>
                <w:bCs w:val="1"/>
                <w:color w:val="auto"/>
              </w:rPr>
              <w:t>Three months ended March 31, 2019</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Conventional</w:t>
            </w:r>
          </w:p>
        </w:tc>
        <w:tc>
          <w:tcPr>
            <w:tcW w:w="180" w:type="dxa"/>
            <w:vAlign w:val="bottom"/>
          </w:tcPr>
          <w:p>
            <w:pPr>
              <w:spacing w:after="0"/>
              <w:rPr>
                <w:sz w:val="13"/>
                <w:szCs w:val="13"/>
                <w:color w:val="auto"/>
              </w:rPr>
            </w:pPr>
          </w:p>
        </w:tc>
        <w:tc>
          <w:tcPr>
            <w:tcW w:w="10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Thermal</w:t>
            </w:r>
          </w:p>
        </w:tc>
        <w:tc>
          <w:tcPr>
            <w:tcW w:w="12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Corporate</w:t>
            </w:r>
          </w:p>
        </w:tc>
        <w:tc>
          <w:tcPr>
            <w:tcW w:w="120" w:type="dxa"/>
            <w:vAlign w:val="bottom"/>
            <w:gridSpan w:val="2"/>
            <w:vMerge w:val="restart"/>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1"/>
              </w:rPr>
              <w:t>Generation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0"/>
        </w:trPr>
        <w:tc>
          <w:tcPr>
            <w:tcW w:w="4640" w:type="dxa"/>
            <w:vAlign w:val="bottom"/>
            <w:gridSpan w:val="2"/>
          </w:tcPr>
          <w:p>
            <w:pPr>
              <w:ind w:left="180"/>
              <w:spacing w:after="0"/>
              <w:rPr>
                <w:sz w:val="20"/>
                <w:szCs w:val="20"/>
                <w:color w:val="auto"/>
              </w:rPr>
            </w:pPr>
            <w:r>
              <w:rPr>
                <w:rFonts w:ascii="Arial" w:cs="Arial" w:eastAsia="Arial" w:hAnsi="Arial"/>
                <w:sz w:val="18"/>
                <w:szCs w:val="18"/>
                <w:color w:val="auto"/>
              </w:rPr>
              <w:t>Cost of operations</w:t>
            </w:r>
          </w:p>
        </w:tc>
        <w:tc>
          <w:tcPr>
            <w:tcW w:w="140" w:type="dxa"/>
            <w:vAlign w:val="bottom"/>
          </w:tcPr>
          <w:p>
            <w:pPr>
              <w:spacing w:after="0"/>
              <w:rPr>
                <w:sz w:val="23"/>
                <w:szCs w:val="23"/>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0"/>
        </w:trPr>
        <w:tc>
          <w:tcPr>
            <w:tcW w:w="464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3"/>
                <w:szCs w:val="23"/>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Acquisition-related transaction and integration costs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Development costs</w:t>
            </w: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4640" w:type="dxa"/>
            <w:vAlign w:val="bottom"/>
            <w:gridSpan w:val="2"/>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tcPr>
          <w:p>
            <w:pPr>
              <w:spacing w:after="0"/>
              <w:rPr>
                <w:sz w:val="23"/>
                <w:szCs w:val="23"/>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83"/>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17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addition to the transactions and relationships described elsewhere in the notes to the consolidated financial statements, certain subsidiaries of CEG provide services to the Company's project entities. Amounts due to CEG subsidiaries are recorded as accounts payable - affiliate and amounts due to the Company from CEG subsidiaries are recorded as accounts receivable - affiliate in the Company's balance sheet. The disclosures below summarize the Company's material related party transactions with CEG and its subsidiaries that are included in the Company's operating revenues and operating costs.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ind w:left="500"/>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Clearway Renewable Operation &amp; Maintenance LLC</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Various wholly-owned subsidiaries of the Company in the Renewables segment are party to services agreements with Clearway Renewable Operation</w:t>
      </w:r>
    </w:p>
    <w:p>
      <w:pPr>
        <w:spacing w:after="0" w:line="46" w:lineRule="exact"/>
        <w:rPr>
          <w:sz w:val="20"/>
          <w:szCs w:val="20"/>
          <w:color w:val="auto"/>
        </w:rPr>
      </w:pPr>
    </w:p>
    <w:p>
      <w:pPr>
        <w:jc w:val="both"/>
        <w:ind w:firstLine="8"/>
        <w:spacing w:after="0" w:line="277" w:lineRule="auto"/>
        <w:tabs>
          <w:tab w:leader="none" w:pos="202"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Maintenance LLC, or RENOM, a wholly-owned subsidiary of CEG, which provides operation and maintenance, or O&amp;M, to these subsidiaries. The Company incurred total expenses for these services of $9 million and $7 million for the three months ended March 31, 2020 and March 31, 2019, respectively. There was a balance of $9 million and $7 million due to RENOM as of March 31, 2020 and December 31, 2019, respectively.</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CEG</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Various wholly-owned subsidiaries of the Company are parties to administrative services agreements with Clearway Asset Services and Clearway Solar Asset Management, two wholly-owned subsidiaries of CEG, which provide various administrative services to the Company's subsidiaries. The Company incurred expenses under these agreements of $2 million for each of the periods ended March 31, 2020 and March 31, 2019.</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is a party to Master Services Agreements with CEG, or MSAs, pursuant to which CEG and certain of its affiliates or third 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Amounts due to CEG or its subsidiaries related to these MSAs are recorded as accounts payable - affiliate and amounts due to the Company from CEG and subsidiaries are recorded as accounts receivable - affiliate on the Company's consolidated balance sheet. The Company incurred expenses of $0.6 million under these agreements during the period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10 — Condensed Consolidating Financial Information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As of March 31, 2020, Clearway Energy Operating LLC had outstanding $88 million of the 2024 Senior Notes, $600 million of the 2025 Senior Notes and $350 million of the 2026 Senior Notes, collectively Senior Notes, as described in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consolidated financial statements included in the Company's 2019 Form 10-K. These Senior Notes are guaranteed by Clearway Energy LLC, as well as certain of the Company's subsidiaries, or guarantor subsidiaries. These guarantees are both joint and several. The non-guarantor subsidiaries include the rest of the Company's subsidiaries, including those that are subject to project financing.</w:t>
      </w:r>
    </w:p>
    <w:p>
      <w:pPr>
        <w:spacing w:after="0" w:line="13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Unless otherwise noted below, each of the following guarantor subsidiaries fully and unconditionally guaranteed the Senior Notes as of March 31, 2020:</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Alta Wind 1-5 Holding Company,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Alta Wind Company,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CBAD Holdings II,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Central CA Fuel Cell 1,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Clearway Energy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Clearway Energy Operating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Clearway Solar Star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CWEN Pinnacle Repowering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DG SREC HoldCo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DGPV Holding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ECP Uptown Campus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Center Caguas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Center Fajardo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Fuel Cell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Portfolio Solar I,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RPV Holding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Solar Flagstaff One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Solar Iguana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Solar Las Vegas MB 1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Solar Tabernacle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South Trent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SPP Asset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SPP Fund II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SPP Fund II,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SPP Fund II-B,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SPP Fund III,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Thermal Canada Infrastructure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Thermal Hawaii Development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Thermal Infrastructure Development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UB Fuel Cell, LLC</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Clearway Energy Operating LLC conducts its business through and derives its income from its subsidiaries. Therefore, its ability to make required payments with respect to its indebtedness and other obligations depends on the financial results and condition of its subsidiaries and Clearway Energy Operating LLC's ability to receive funds from its subsidiaries. There are no restrictions on the ability of any of the guarantor subsidiaries to transfer funds to Clearway Energy Operating LLC. However, there may be restrictions for certain non-guarantor subsidiaries.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condensed consolidating financial information presents the financial information of Clearway Energy LLC, Clearway Energy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13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this presentation, Clearway Energy LLC consists of parent company operations. Guarantor subsidiaries and non-guarantor subsidiaries of Clearway Energy LLC are reported on an equity basis. For companies acquired, the fair values of the assets and liabilities acquired have been presented on a push-down accounting basis.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ind w:left="3612"/>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ind w:left="2872"/>
        <w:spacing w:after="0"/>
        <w:rPr>
          <w:sz w:val="20"/>
          <w:szCs w:val="20"/>
          <w:color w:val="auto"/>
        </w:rPr>
      </w:pPr>
      <w:r>
        <w:rPr>
          <w:rFonts w:ascii="Arial" w:cs="Arial" w:eastAsia="Arial" w:hAnsi="Arial"/>
          <w:sz w:val="17"/>
          <w:szCs w:val="17"/>
          <w:b w:val="1"/>
          <w:bCs w:val="1"/>
          <w:color w:val="auto"/>
        </w:rPr>
        <w:t>CONDENSED CONSOLIDATING STATEMENTS OF OPERATIONS</w:t>
      </w:r>
    </w:p>
    <w:p>
      <w:pPr>
        <w:spacing w:after="0" w:line="183" w:lineRule="exact"/>
        <w:rPr>
          <w:sz w:val="20"/>
          <w:szCs w:val="20"/>
          <w:color w:val="auto"/>
        </w:rPr>
      </w:pPr>
    </w:p>
    <w:p>
      <w:pPr>
        <w:ind w:left="3872"/>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11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12"/>
          </w:cols>
          <w:pgMar w:left="328"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32" w:right="1580" w:hanging="103"/>
        <w:spacing w:after="0" w:line="352" w:lineRule="auto"/>
        <w:rPr>
          <w:sz w:val="20"/>
          <w:szCs w:val="20"/>
          <w:color w:val="auto"/>
        </w:rPr>
      </w:pPr>
      <w:r>
        <w:rPr>
          <w:rFonts w:ascii="Arial" w:cs="Arial" w:eastAsia="Arial" w:hAnsi="Arial"/>
          <w:sz w:val="16"/>
          <w:szCs w:val="16"/>
          <w:color w:val="auto"/>
        </w:rPr>
        <w:t>Operating Revenues Total operating revenues</w:t>
      </w:r>
    </w:p>
    <w:p>
      <w:pPr>
        <w:ind w:left="132" w:right="1160" w:hanging="103"/>
        <w:spacing w:after="0" w:line="352" w:lineRule="auto"/>
        <w:rPr>
          <w:sz w:val="20"/>
          <w:szCs w:val="20"/>
          <w:color w:val="auto"/>
        </w:rPr>
      </w:pPr>
      <w:r>
        <w:rPr>
          <w:rFonts w:ascii="Arial" w:cs="Arial" w:eastAsia="Arial" w:hAnsi="Arial"/>
          <w:sz w:val="16"/>
          <w:szCs w:val="16"/>
          <w:color w:val="auto"/>
        </w:rPr>
        <w:t>Operating Costs and Expenses Cost of operations Depreciation and amortization General and administrative</w:t>
      </w:r>
    </w:p>
    <w:p>
      <w:pPr>
        <w:spacing w:after="0" w:line="1" w:lineRule="exact"/>
        <w:rPr>
          <w:sz w:val="20"/>
          <w:szCs w:val="20"/>
          <w:color w:val="auto"/>
        </w:rPr>
      </w:pPr>
    </w:p>
    <w:p>
      <w:pPr>
        <w:ind w:left="132"/>
        <w:spacing w:after="0" w:line="277" w:lineRule="auto"/>
        <w:rPr>
          <w:sz w:val="20"/>
          <w:szCs w:val="20"/>
          <w:color w:val="auto"/>
        </w:rPr>
      </w:pPr>
      <w:r>
        <w:rPr>
          <w:rFonts w:ascii="Arial" w:cs="Arial" w:eastAsia="Arial" w:hAnsi="Arial"/>
          <w:sz w:val="18"/>
          <w:szCs w:val="18"/>
          <w:color w:val="auto"/>
        </w:rPr>
        <w:t>Acquisition-related transaction and integration costs</w:t>
      </w:r>
    </w:p>
    <w:p>
      <w:pPr>
        <w:spacing w:after="0" w:line="35" w:lineRule="exact"/>
        <w:rPr>
          <w:sz w:val="20"/>
          <w:szCs w:val="20"/>
          <w:color w:val="auto"/>
        </w:rPr>
      </w:pPr>
    </w:p>
    <w:p>
      <w:pPr>
        <w:ind w:left="152"/>
        <w:spacing w:after="0"/>
        <w:rPr>
          <w:sz w:val="20"/>
          <w:szCs w:val="20"/>
          <w:color w:val="auto"/>
        </w:rPr>
      </w:pPr>
      <w:r>
        <w:rPr>
          <w:rFonts w:ascii="Arial" w:cs="Arial" w:eastAsia="Arial" w:hAnsi="Arial"/>
          <w:sz w:val="18"/>
          <w:szCs w:val="18"/>
          <w:color w:val="auto"/>
        </w:rPr>
        <w:t>Development costs</w:t>
      </w:r>
    </w:p>
    <w:p>
      <w:pPr>
        <w:spacing w:after="0" w:line="50" w:lineRule="exact"/>
        <w:rPr>
          <w:sz w:val="20"/>
          <w:szCs w:val="20"/>
          <w:color w:val="auto"/>
        </w:rPr>
      </w:pPr>
    </w:p>
    <w:p>
      <w:pPr>
        <w:ind w:left="212"/>
        <w:spacing w:after="0"/>
        <w:rPr>
          <w:sz w:val="20"/>
          <w:szCs w:val="20"/>
          <w:color w:val="auto"/>
        </w:rPr>
      </w:pPr>
      <w:r>
        <w:rPr>
          <w:rFonts w:ascii="Arial" w:cs="Arial" w:eastAsia="Arial" w:hAnsi="Arial"/>
          <w:sz w:val="18"/>
          <w:szCs w:val="18"/>
          <w:color w:val="auto"/>
        </w:rPr>
        <w:t>Total operating costs and expenses</w:t>
      </w:r>
    </w:p>
    <w:p>
      <w:pPr>
        <w:spacing w:after="0" w:line="104" w:lineRule="exact"/>
        <w:rPr>
          <w:sz w:val="20"/>
          <w:szCs w:val="20"/>
          <w:color w:val="auto"/>
        </w:rPr>
      </w:pPr>
    </w:p>
    <w:p>
      <w:pPr>
        <w:ind w:left="32"/>
        <w:spacing w:after="0"/>
        <w:rPr>
          <w:sz w:val="20"/>
          <w:szCs w:val="20"/>
          <w:color w:val="auto"/>
        </w:rPr>
      </w:pPr>
      <w:r>
        <w:rPr>
          <w:rFonts w:ascii="Arial" w:cs="Arial" w:eastAsia="Arial" w:hAnsi="Arial"/>
          <w:sz w:val="18"/>
          <w:szCs w:val="18"/>
          <w:color w:val="auto"/>
        </w:rPr>
        <w:t>Operating Income (Loss)</w:t>
      </w:r>
    </w:p>
    <w:p>
      <w:pPr>
        <w:spacing w:after="0" w:line="36" w:lineRule="exact"/>
        <w:rPr>
          <w:sz w:val="20"/>
          <w:szCs w:val="20"/>
          <w:color w:val="auto"/>
        </w:rPr>
      </w:pPr>
    </w:p>
    <w:p>
      <w:pPr>
        <w:ind w:left="32"/>
        <w:spacing w:after="0"/>
        <w:rPr>
          <w:sz w:val="20"/>
          <w:szCs w:val="20"/>
          <w:color w:val="auto"/>
        </w:rPr>
      </w:pPr>
      <w:r>
        <w:rPr>
          <w:rFonts w:ascii="Arial" w:cs="Arial" w:eastAsia="Arial" w:hAnsi="Arial"/>
          <w:sz w:val="18"/>
          <w:szCs w:val="18"/>
          <w:color w:val="auto"/>
        </w:rPr>
        <w:t>Other Income (Expense)</w:t>
      </w:r>
    </w:p>
    <w:p>
      <w:pPr>
        <w:spacing w:after="0" w:line="50" w:lineRule="exact"/>
        <w:rPr>
          <w:sz w:val="20"/>
          <w:szCs w:val="20"/>
          <w:color w:val="auto"/>
        </w:rPr>
      </w:pPr>
    </w:p>
    <w:p>
      <w:pPr>
        <w:ind w:left="312" w:right="280" w:hanging="161"/>
        <w:spacing w:after="0" w:line="235" w:lineRule="auto"/>
        <w:rPr>
          <w:sz w:val="20"/>
          <w:szCs w:val="20"/>
          <w:color w:val="auto"/>
        </w:rPr>
      </w:pPr>
      <w:r>
        <w:rPr>
          <w:rFonts w:ascii="Arial" w:cs="Arial" w:eastAsia="Arial" w:hAnsi="Arial"/>
          <w:sz w:val="18"/>
          <w:szCs w:val="18"/>
          <w:color w:val="auto"/>
        </w:rPr>
        <w:t>Equity in earnings (losses) of consolidated affiliates</w:t>
      </w:r>
    </w:p>
    <w:p>
      <w:pPr>
        <w:spacing w:after="0" w:line="40" w:lineRule="exact"/>
        <w:rPr>
          <w:sz w:val="20"/>
          <w:szCs w:val="20"/>
          <w:color w:val="auto"/>
        </w:rPr>
      </w:pPr>
    </w:p>
    <w:p>
      <w:pPr>
        <w:ind w:left="132" w:right="200" w:firstLine="18"/>
        <w:spacing w:after="0" w:line="297" w:lineRule="auto"/>
        <w:rPr>
          <w:sz w:val="20"/>
          <w:szCs w:val="20"/>
          <w:color w:val="auto"/>
        </w:rPr>
      </w:pPr>
      <w:r>
        <w:rPr>
          <w:rFonts w:ascii="Arial" w:cs="Arial" w:eastAsia="Arial" w:hAnsi="Arial"/>
          <w:sz w:val="18"/>
          <w:szCs w:val="18"/>
          <w:color w:val="auto"/>
        </w:rPr>
        <w:t>Equity in losses of unconsolidated affiliates Other income, net</w:t>
      </w:r>
    </w:p>
    <w:p>
      <w:pPr>
        <w:spacing w:after="0" w:line="1" w:lineRule="exact"/>
        <w:rPr>
          <w:sz w:val="20"/>
          <w:szCs w:val="20"/>
          <w:color w:val="auto"/>
        </w:rPr>
      </w:pPr>
    </w:p>
    <w:p>
      <w:pPr>
        <w:ind w:left="132" w:right="1280"/>
        <w:spacing w:after="0" w:line="361" w:lineRule="auto"/>
        <w:rPr>
          <w:sz w:val="20"/>
          <w:szCs w:val="20"/>
          <w:color w:val="auto"/>
        </w:rPr>
      </w:pPr>
      <w:r>
        <w:rPr>
          <w:rFonts w:ascii="Arial" w:cs="Arial" w:eastAsia="Arial" w:hAnsi="Arial"/>
          <w:sz w:val="16"/>
          <w:szCs w:val="16"/>
          <w:color w:val="auto"/>
        </w:rPr>
        <w:t>Loss on debt extinguishment Interest expense</w:t>
      </w:r>
    </w:p>
    <w:p>
      <w:pPr>
        <w:ind w:left="32" w:right="860" w:firstLine="185"/>
        <w:spacing w:after="0" w:line="313" w:lineRule="auto"/>
        <w:rPr>
          <w:sz w:val="20"/>
          <w:szCs w:val="20"/>
          <w:color w:val="auto"/>
        </w:rPr>
      </w:pPr>
      <w:r>
        <w:rPr>
          <w:rFonts w:ascii="Arial" w:cs="Arial" w:eastAsia="Arial" w:hAnsi="Arial"/>
          <w:sz w:val="18"/>
          <w:szCs w:val="18"/>
          <w:color w:val="auto"/>
        </w:rPr>
        <w:t>Total other income (expense), net Net Loss</w:t>
      </w:r>
    </w:p>
    <w:p>
      <w:pPr>
        <w:spacing w:after="0" w:line="1" w:lineRule="exact"/>
        <w:rPr>
          <w:sz w:val="20"/>
          <w:szCs w:val="20"/>
          <w:color w:val="auto"/>
        </w:rPr>
      </w:pPr>
    </w:p>
    <w:p>
      <w:pPr>
        <w:ind w:left="192" w:right="300" w:hanging="161"/>
        <w:spacing w:after="0" w:line="234" w:lineRule="auto"/>
        <w:rPr>
          <w:sz w:val="20"/>
          <w:szCs w:val="20"/>
          <w:color w:val="auto"/>
        </w:rPr>
      </w:pPr>
      <w:r>
        <w:rPr>
          <w:rFonts w:ascii="Arial" w:cs="Arial" w:eastAsia="Arial" w:hAnsi="Arial"/>
          <w:sz w:val="18"/>
          <w:szCs w:val="18"/>
          <w:color w:val="auto"/>
        </w:rPr>
        <w:t>Less: Net loss attributable to noncontrolling interests</w:t>
      </w:r>
    </w:p>
    <w:p>
      <w:pPr>
        <w:spacing w:after="0" w:line="1" w:lineRule="exact"/>
        <w:rPr>
          <w:sz w:val="20"/>
          <w:szCs w:val="20"/>
          <w:color w:val="auto"/>
        </w:rPr>
      </w:pPr>
    </w:p>
    <w:p>
      <w:pPr>
        <w:ind w:left="192" w:right="280" w:hanging="161"/>
        <w:spacing w:after="0" w:line="234" w:lineRule="auto"/>
        <w:rPr>
          <w:sz w:val="20"/>
          <w:szCs w:val="20"/>
          <w:color w:val="auto"/>
        </w:rPr>
      </w:pPr>
      <w:r>
        <w:rPr>
          <w:rFonts w:ascii="Arial" w:cs="Arial" w:eastAsia="Arial" w:hAnsi="Arial"/>
          <w:sz w:val="18"/>
          <w:szCs w:val="18"/>
          <w:color w:val="auto"/>
        </w:rPr>
        <w:t>Net (Loss) Income Attributable to Clearway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13798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Clearway Energy</w:t>
            </w:r>
          </w:p>
        </w:tc>
        <w:tc>
          <w:tcPr>
            <w:tcW w:w="160" w:type="dxa"/>
            <w:vAlign w:val="bottom"/>
          </w:tcPr>
          <w:p>
            <w:pPr>
              <w:spacing w:after="0"/>
              <w:rPr>
                <w:sz w:val="14"/>
                <w:szCs w:val="14"/>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 Guarantor</w:t>
            </w: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Non-Guarantor</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9"/>
                <w:szCs w:val="9"/>
                <w:b w:val="1"/>
                <w:bCs w:val="1"/>
                <w:color w:val="auto"/>
              </w:rPr>
              <w:t>(a)</w:t>
            </w:r>
          </w:p>
        </w:tc>
        <w:tc>
          <w:tcPr>
            <w:tcW w:w="140" w:type="dxa"/>
            <w:vAlign w:val="bottom"/>
          </w:tcPr>
          <w:p>
            <w:pPr>
              <w:spacing w:after="0"/>
              <w:rPr>
                <w:sz w:val="12"/>
                <w:szCs w:val="12"/>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LLC</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80" w:type="dxa"/>
            <w:vAlign w:val="bottom"/>
            <w:gridSpan w:val="5"/>
          </w:tcPr>
          <w:p>
            <w:pPr>
              <w:ind w:left="620"/>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60" w:type="dxa"/>
            <w:vAlign w:val="bottom"/>
          </w:tcPr>
          <w:p>
            <w:pPr>
              <w:spacing w:after="0"/>
              <w:rPr>
                <w:sz w:val="24"/>
                <w:szCs w:val="24"/>
                <w:color w:val="auto"/>
              </w:rPr>
            </w:pPr>
          </w:p>
        </w:tc>
        <w:tc>
          <w:tcPr>
            <w:tcW w:w="880" w:type="dxa"/>
            <w:vAlign w:val="bottom"/>
          </w:tcPr>
          <w:p>
            <w:pPr>
              <w:jc w:val="center"/>
              <w:ind w:left="331"/>
              <w:spacing w:after="0"/>
              <w:rPr>
                <w:sz w:val="20"/>
                <w:szCs w:val="20"/>
                <w:color w:val="auto"/>
              </w:rPr>
            </w:pPr>
            <w:r>
              <w:rPr>
                <w:rFonts w:ascii="Arial" w:cs="Arial" w:eastAsia="Arial" w:hAnsi="Arial"/>
                <w:sz w:val="18"/>
                <w:szCs w:val="18"/>
                <w:color w:val="auto"/>
                <w:w w:val="99"/>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540"/>
        </w:trPr>
        <w:tc>
          <w:tcPr>
            <w:tcW w:w="260" w:type="dxa"/>
            <w:vAlign w:val="bottom"/>
          </w:tcPr>
          <w:p>
            <w:pPr>
              <w:spacing w:after="0"/>
              <w:rPr>
                <w:sz w:val="24"/>
                <w:szCs w:val="24"/>
                <w:color w:val="auto"/>
              </w:rPr>
            </w:pPr>
          </w:p>
        </w:tc>
        <w:tc>
          <w:tcPr>
            <w:tcW w:w="880" w:type="dxa"/>
            <w:vAlign w:val="bottom"/>
          </w:tcPr>
          <w:p>
            <w:pPr>
              <w:jc w:val="center"/>
              <w:ind w:left="33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80" w:type="dxa"/>
            <w:vAlign w:val="bottom"/>
          </w:tcPr>
          <w:p>
            <w:pPr>
              <w:jc w:val="center"/>
              <w:ind w:left="33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80" w:type="dxa"/>
            <w:vAlign w:val="bottom"/>
          </w:tcPr>
          <w:p>
            <w:pPr>
              <w:jc w:val="center"/>
              <w:ind w:left="33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86"/>
        </w:trPr>
        <w:tc>
          <w:tcPr>
            <w:tcW w:w="260" w:type="dxa"/>
            <w:vAlign w:val="bottom"/>
          </w:tcPr>
          <w:p>
            <w:pPr>
              <w:spacing w:after="0"/>
              <w:rPr>
                <w:sz w:val="24"/>
                <w:szCs w:val="24"/>
                <w:color w:val="auto"/>
              </w:rPr>
            </w:pPr>
          </w:p>
        </w:tc>
        <w:tc>
          <w:tcPr>
            <w:tcW w:w="880" w:type="dxa"/>
            <w:vAlign w:val="bottom"/>
          </w:tcPr>
          <w:p>
            <w:pPr>
              <w:jc w:val="center"/>
              <w:ind w:left="33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80" w:type="dxa"/>
            <w:vAlign w:val="bottom"/>
          </w:tcPr>
          <w:p>
            <w:pPr>
              <w:jc w:val="center"/>
              <w:ind w:left="33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880" w:type="dxa"/>
            <w:vAlign w:val="bottom"/>
          </w:tcPr>
          <w:p>
            <w:pPr>
              <w:jc w:val="center"/>
              <w:ind w:left="33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880" w:type="dxa"/>
            <w:vAlign w:val="bottom"/>
          </w:tcPr>
          <w:p>
            <w:pPr>
              <w:jc w:val="center"/>
              <w:ind w:left="33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8"/>
        </w:trPr>
        <w:tc>
          <w:tcPr>
            <w:tcW w:w="260" w:type="dxa"/>
            <w:vAlign w:val="bottom"/>
          </w:tcPr>
          <w:p>
            <w:pPr>
              <w:spacing w:after="0"/>
              <w:rPr>
                <w:sz w:val="24"/>
                <w:szCs w:val="24"/>
                <w:color w:val="auto"/>
              </w:rPr>
            </w:pPr>
          </w:p>
        </w:tc>
        <w:tc>
          <w:tcPr>
            <w:tcW w:w="880" w:type="dxa"/>
            <w:vAlign w:val="bottom"/>
          </w:tcPr>
          <w:p>
            <w:pPr>
              <w:jc w:val="center"/>
              <w:ind w:left="291"/>
              <w:spacing w:after="0"/>
              <w:rPr>
                <w:sz w:val="20"/>
                <w:szCs w:val="20"/>
                <w:color w:val="auto"/>
              </w:rPr>
            </w:pPr>
            <w:r>
              <w:rPr>
                <w:rFonts w:ascii="Arial" w:cs="Arial" w:eastAsia="Arial" w:hAnsi="Arial"/>
                <w:sz w:val="18"/>
                <w:szCs w:val="18"/>
                <w:color w:val="auto"/>
                <w:w w:val="93"/>
              </w:rPr>
              <w:t>(90)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80" w:type="dxa"/>
            <w:vAlign w:val="bottom"/>
          </w:tcPr>
          <w:p>
            <w:pPr>
              <w:jc w:val="center"/>
              <w:ind w:left="33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80" w:type="dxa"/>
            <w:vAlign w:val="bottom"/>
          </w:tcPr>
          <w:p>
            <w:pPr>
              <w:jc w:val="center"/>
              <w:ind w:left="33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80" w:type="dxa"/>
            <w:vAlign w:val="bottom"/>
          </w:tcPr>
          <w:p>
            <w:pPr>
              <w:jc w:val="center"/>
              <w:ind w:left="33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880" w:type="dxa"/>
            <w:vAlign w:val="bottom"/>
          </w:tcPr>
          <w:p>
            <w:pPr>
              <w:jc w:val="center"/>
              <w:ind w:left="33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880" w:type="dxa"/>
            <w:vAlign w:val="bottom"/>
          </w:tcPr>
          <w:p>
            <w:pPr>
              <w:jc w:val="center"/>
              <w:ind w:left="291"/>
              <w:spacing w:after="0"/>
              <w:rPr>
                <w:sz w:val="20"/>
                <w:szCs w:val="20"/>
                <w:color w:val="auto"/>
              </w:rPr>
            </w:pPr>
            <w:r>
              <w:rPr>
                <w:rFonts w:ascii="Arial" w:cs="Arial" w:eastAsia="Arial" w:hAnsi="Arial"/>
                <w:sz w:val="18"/>
                <w:szCs w:val="18"/>
                <w:color w:val="auto"/>
                <w:w w:val="93"/>
              </w:rPr>
              <w:t>(90)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880" w:type="dxa"/>
            <w:vAlign w:val="bottom"/>
          </w:tcPr>
          <w:p>
            <w:pPr>
              <w:jc w:val="center"/>
              <w:ind w:left="291"/>
              <w:spacing w:after="0"/>
              <w:rPr>
                <w:sz w:val="20"/>
                <w:szCs w:val="20"/>
                <w:color w:val="auto"/>
              </w:rPr>
            </w:pPr>
            <w:r>
              <w:rPr>
                <w:rFonts w:ascii="Arial" w:cs="Arial" w:eastAsia="Arial" w:hAnsi="Arial"/>
                <w:sz w:val="18"/>
                <w:szCs w:val="18"/>
                <w:color w:val="auto"/>
                <w:w w:val="93"/>
              </w:rPr>
              <w:t>(90)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405"/>
        </w:trPr>
        <w:tc>
          <w:tcPr>
            <w:tcW w:w="260" w:type="dxa"/>
            <w:vAlign w:val="bottom"/>
          </w:tcPr>
          <w:p>
            <w:pPr>
              <w:spacing w:after="0"/>
              <w:rPr>
                <w:sz w:val="24"/>
                <w:szCs w:val="24"/>
                <w:color w:val="auto"/>
              </w:rPr>
            </w:pPr>
          </w:p>
        </w:tc>
        <w:tc>
          <w:tcPr>
            <w:tcW w:w="880" w:type="dxa"/>
            <w:vAlign w:val="bottom"/>
          </w:tcPr>
          <w:p>
            <w:pPr>
              <w:jc w:val="center"/>
              <w:ind w:left="33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center"/>
              <w:ind w:left="291"/>
              <w:spacing w:after="0"/>
              <w:rPr>
                <w:sz w:val="20"/>
                <w:szCs w:val="20"/>
                <w:color w:val="auto"/>
              </w:rPr>
            </w:pPr>
            <w:r>
              <w:rPr>
                <w:rFonts w:ascii="Arial" w:cs="Arial" w:eastAsia="Arial" w:hAnsi="Arial"/>
                <w:sz w:val="18"/>
                <w:szCs w:val="18"/>
                <w:color w:val="auto"/>
                <w:w w:val="93"/>
              </w:rPr>
              <w:t>(90)</w:t>
            </w:r>
          </w:p>
        </w:tc>
        <w:tc>
          <w:tcPr>
            <w:tcW w:w="16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-3874135</wp:posOffset>
            </wp:positionV>
            <wp:extent cx="711517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-3531235</wp:posOffset>
            </wp:positionV>
            <wp:extent cx="711517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-3188335</wp:posOffset>
            </wp:positionV>
            <wp:extent cx="711517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-2845435</wp:posOffset>
            </wp:positionV>
            <wp:extent cx="7115175" cy="308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30861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-2365375</wp:posOffset>
            </wp:positionV>
            <wp:extent cx="7115175"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179705"/>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-2005330</wp:posOffset>
            </wp:positionV>
            <wp:extent cx="711517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-1576705</wp:posOffset>
            </wp:positionV>
            <wp:extent cx="711517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-1233805</wp:posOffset>
            </wp:positionV>
            <wp:extent cx="711517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-890905</wp:posOffset>
            </wp:positionV>
            <wp:extent cx="7115175"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18034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-530860</wp:posOffset>
            </wp:positionV>
            <wp:extent cx="7115175" cy="2571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92" w:space="60"/>
            <w:col w:w="7660"/>
          </w:cols>
          <w:pgMar w:left="328" w:top="891" w:right="359" w:bottom="1440" w:gutter="0" w:footer="0" w:header="0"/>
          <w:type w:val="continuous"/>
        </w:sectPr>
      </w:pPr>
    </w:p>
    <w:p>
      <w:pPr>
        <w:spacing w:after="0" w:line="357" w:lineRule="exact"/>
        <w:rPr>
          <w:sz w:val="20"/>
          <w:szCs w:val="20"/>
          <w:color w:val="auto"/>
        </w:rPr>
      </w:pPr>
    </w:p>
    <w:p>
      <w:pPr>
        <w:ind w:left="152" w:hanging="152"/>
        <w:spacing w:after="0"/>
        <w:tabs>
          <w:tab w:leader="none" w:pos="152"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891" w:right="359" w:bottom="1440" w:gutter="0" w:footer="0" w:header="0"/>
          <w:type w:val="continuous"/>
        </w:sectPr>
      </w:pPr>
    </w:p>
    <w:bookmarkStart w:id="33" w:name="page34"/>
    <w:bookmarkEnd w:id="33"/>
    <w:p>
      <w:pPr>
        <w:jc w:val="center"/>
        <w:ind w:left="340" w:right="2240"/>
        <w:spacing w:after="0" w:line="474" w:lineRule="auto"/>
        <w:rPr>
          <w:sz w:val="20"/>
          <w:szCs w:val="20"/>
          <w:color w:val="auto"/>
        </w:rPr>
      </w:pPr>
      <w:r>
        <w:rPr>
          <w:rFonts w:ascii="Arial" w:cs="Arial" w:eastAsia="Arial" w:hAnsi="Arial"/>
          <w:sz w:val="18"/>
          <w:szCs w:val="18"/>
          <w:b w:val="1"/>
          <w:bCs w:val="1"/>
          <w:color w:val="auto"/>
        </w:rPr>
        <w:t>CLEARWAY ENERGY LLC AND SUBSIDIARIES CONDENSED CONSOLIDATING STATEMENTS OF COMPREHENSIVE INCOME For the Three Months Ended March 31, 2020 (Unaudited)</w:t>
      </w:r>
    </w:p>
    <w:p>
      <w:pPr>
        <w:spacing w:after="0" w:line="200" w:lineRule="exact"/>
        <w:rPr>
          <w:sz w:val="20"/>
          <w:szCs w:val="20"/>
          <w:color w:val="auto"/>
        </w:rPr>
      </w:pPr>
    </w:p>
    <w:p>
      <w:pPr>
        <w:spacing w:after="0" w:line="204" w:lineRule="exact"/>
        <w:rPr>
          <w:sz w:val="20"/>
          <w:szCs w:val="20"/>
          <w:color w:val="auto"/>
        </w:rPr>
      </w:pPr>
    </w:p>
    <w:tbl>
      <w:tblPr>
        <w:tblLayout w:type="fixed"/>
        <w:tblInd w:w="12"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Clearway Energy</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Other Guarantor</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Non-Guarantor</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9"/>
                <w:szCs w:val="9"/>
                <w:b w:val="1"/>
                <w:bCs w:val="1"/>
                <w:color w:val="auto"/>
              </w:rPr>
              <w:t>(a)</w:t>
            </w:r>
          </w:p>
        </w:tc>
        <w:tc>
          <w:tcPr>
            <w:tcW w:w="140" w:type="dxa"/>
            <w:vAlign w:val="bottom"/>
          </w:tcPr>
          <w:p>
            <w:pPr>
              <w:spacing w:after="0"/>
              <w:rPr>
                <w:sz w:val="12"/>
                <w:szCs w:val="12"/>
                <w:color w:val="auto"/>
              </w:rPr>
            </w:pPr>
          </w:p>
        </w:tc>
        <w:tc>
          <w:tcPr>
            <w:tcW w:w="10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LLC</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93"/>
              </w:rPr>
              <w:t>(25)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Unrealized loss on derivatives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center"/>
              <w:ind w:left="333"/>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3640" w:type="dxa"/>
            <w:vAlign w:val="bottom"/>
          </w:tcPr>
          <w:p>
            <w:pPr>
              <w:ind w:left="10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center"/>
              <w:ind w:left="453"/>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ind w:left="413"/>
              <w:spacing w:after="0"/>
              <w:rPr>
                <w:sz w:val="20"/>
                <w:szCs w:val="20"/>
                <w:color w:val="auto"/>
              </w:rPr>
            </w:pPr>
            <w:r>
              <w:rPr>
                <w:rFonts w:ascii="Arial" w:cs="Arial" w:eastAsia="Arial" w:hAnsi="Arial"/>
                <w:sz w:val="18"/>
                <w:szCs w:val="18"/>
                <w:color w:val="auto"/>
                <w:w w:val="93"/>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56"/>
        </w:trPr>
        <w:tc>
          <w:tcPr>
            <w:tcW w:w="3640" w:type="dxa"/>
            <w:vAlign w:val="bottom"/>
          </w:tcPr>
          <w:p>
            <w:pPr>
              <w:ind w:left="180"/>
              <w:spacing w:after="0" w:line="156" w:lineRule="exact"/>
              <w:rPr>
                <w:sz w:val="20"/>
                <w:szCs w:val="20"/>
                <w:color w:val="auto"/>
              </w:rPr>
            </w:pPr>
            <w:r>
              <w:rPr>
                <w:rFonts w:ascii="Arial" w:cs="Arial" w:eastAsia="Arial" w:hAnsi="Arial"/>
                <w:sz w:val="18"/>
                <w:szCs w:val="18"/>
                <w:color w:val="auto"/>
              </w:rPr>
              <w:t>Less: Comprehensive loss attributable to</w:t>
            </w: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center"/>
              <w:ind w:left="453"/>
              <w:spacing w:after="0"/>
              <w:rPr>
                <w:sz w:val="20"/>
                <w:szCs w:val="20"/>
                <w:color w:val="auto"/>
              </w:rPr>
            </w:pPr>
            <w:r>
              <w:rPr>
                <w:rFonts w:ascii="Arial" w:cs="Arial" w:eastAsia="Arial" w:hAnsi="Arial"/>
                <w:sz w:val="18"/>
                <w:szCs w:val="18"/>
                <w:color w:val="auto"/>
                <w:w w:val="99"/>
              </w:rPr>
              <w:t>—</w:t>
            </w:r>
          </w:p>
        </w:tc>
        <w:tc>
          <w:tcPr>
            <w:tcW w:w="120" w:type="dxa"/>
            <w:vAlign w:val="bottom"/>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640" w:type="dxa"/>
            <w:vAlign w:val="bottom"/>
            <w:shd w:val="clear" w:color="auto" w:fill="CCEEFF"/>
          </w:tcPr>
          <w:p>
            <w:pPr>
              <w:ind w:left="180"/>
              <w:spacing w:after="0" w:line="156" w:lineRule="exact"/>
              <w:rPr>
                <w:sz w:val="20"/>
                <w:szCs w:val="20"/>
                <w:color w:val="auto"/>
              </w:rPr>
            </w:pPr>
            <w:r>
              <w:rPr>
                <w:rFonts w:ascii="Arial" w:cs="Arial" w:eastAsia="Arial" w:hAnsi="Arial"/>
                <w:sz w:val="18"/>
                <w:szCs w:val="18"/>
                <w:b w:val="1"/>
                <w:bCs w:val="1"/>
                <w:color w:val="auto"/>
              </w:rPr>
              <w:t>Comprehensive Loss Attributable to</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center"/>
              <w:ind w:left="413"/>
              <w:spacing w:after="0"/>
              <w:rPr>
                <w:sz w:val="20"/>
                <w:szCs w:val="20"/>
                <w:color w:val="auto"/>
              </w:rPr>
            </w:pPr>
            <w:r>
              <w:rPr>
                <w:rFonts w:ascii="Arial" w:cs="Arial" w:eastAsia="Arial" w:hAnsi="Arial"/>
                <w:sz w:val="18"/>
                <w:szCs w:val="18"/>
                <w:color w:val="auto"/>
                <w:w w:val="93"/>
              </w:rPr>
              <w:t>(25)</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Clearway Energy LLC</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283210</wp:posOffset>
            </wp:positionV>
            <wp:extent cx="13798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152" w:hanging="152"/>
        <w:spacing w:after="0"/>
        <w:tabs>
          <w:tab w:leader="none" w:pos="152"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891" w:right="35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452"/>
        <w:spacing w:after="0"/>
        <w:rPr>
          <w:sz w:val="20"/>
          <w:szCs w:val="20"/>
          <w:color w:val="auto"/>
        </w:rPr>
      </w:pPr>
      <w:r>
        <w:rPr>
          <w:rFonts w:ascii="Arial" w:cs="Arial" w:eastAsia="Arial" w:hAnsi="Arial"/>
          <w:sz w:val="18"/>
          <w:szCs w:val="18"/>
          <w:b w:val="1"/>
          <w:bCs w:val="1"/>
          <w:color w:val="auto"/>
        </w:rPr>
        <w:t>ASSETS</w:t>
      </w:r>
    </w:p>
    <w:p>
      <w:pPr>
        <w:spacing w:after="0" w:line="63"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Current Assets</w:t>
      </w:r>
    </w:p>
    <w:p>
      <w:pPr>
        <w:spacing w:after="0" w:line="67" w:lineRule="exact"/>
        <w:rPr>
          <w:sz w:val="20"/>
          <w:szCs w:val="20"/>
          <w:color w:val="auto"/>
        </w:rPr>
      </w:pPr>
    </w:p>
    <w:p>
      <w:pPr>
        <w:ind w:left="112" w:right="960"/>
        <w:spacing w:after="0" w:line="375" w:lineRule="auto"/>
        <w:rPr>
          <w:sz w:val="20"/>
          <w:szCs w:val="20"/>
          <w:color w:val="auto"/>
        </w:rPr>
      </w:pPr>
      <w:r>
        <w:rPr>
          <w:rFonts w:ascii="Arial" w:cs="Arial" w:eastAsia="Arial" w:hAnsi="Arial"/>
          <w:sz w:val="15"/>
          <w:szCs w:val="15"/>
          <w:color w:val="auto"/>
        </w:rPr>
        <w:t>Cash and cash equivalents Restricted cash</w:t>
      </w:r>
    </w:p>
    <w:p>
      <w:pPr>
        <w:spacing w:after="0" w:line="1" w:lineRule="exact"/>
        <w:rPr>
          <w:sz w:val="20"/>
          <w:szCs w:val="20"/>
          <w:color w:val="auto"/>
        </w:rPr>
      </w:pPr>
    </w:p>
    <w:p>
      <w:pPr>
        <w:ind w:left="112" w:right="560"/>
        <w:spacing w:after="0" w:line="313" w:lineRule="auto"/>
        <w:rPr>
          <w:sz w:val="20"/>
          <w:szCs w:val="20"/>
          <w:color w:val="auto"/>
        </w:rPr>
      </w:pPr>
      <w:r>
        <w:rPr>
          <w:rFonts w:ascii="Arial" w:cs="Arial" w:eastAsia="Arial" w:hAnsi="Arial"/>
          <w:sz w:val="18"/>
          <w:szCs w:val="18"/>
          <w:color w:val="auto"/>
        </w:rPr>
        <w:t>Accounts receivable — trade Accounts receivable — affiliate Inventory</w:t>
      </w:r>
    </w:p>
    <w:p>
      <w:pPr>
        <w:ind w:left="332" w:right="180" w:hanging="202"/>
        <w:spacing w:after="0" w:line="318" w:lineRule="auto"/>
        <w:rPr>
          <w:sz w:val="20"/>
          <w:szCs w:val="20"/>
          <w:color w:val="auto"/>
        </w:rPr>
      </w:pPr>
      <w:r>
        <w:rPr>
          <w:rFonts w:ascii="Arial" w:cs="Arial" w:eastAsia="Arial" w:hAnsi="Arial"/>
          <w:sz w:val="18"/>
          <w:szCs w:val="18"/>
          <w:color w:val="auto"/>
        </w:rPr>
        <w:t>Prepayments and other current assets Total current assets</w:t>
      </w:r>
    </w:p>
    <w:p>
      <w:pPr>
        <w:spacing w:after="0" w:line="1" w:lineRule="exact"/>
        <w:rPr>
          <w:sz w:val="20"/>
          <w:szCs w:val="20"/>
          <w:color w:val="auto"/>
        </w:rPr>
      </w:pPr>
    </w:p>
    <w:p>
      <w:pPr>
        <w:ind w:left="12" w:right="280"/>
        <w:spacing w:after="0" w:line="325" w:lineRule="auto"/>
        <w:rPr>
          <w:sz w:val="20"/>
          <w:szCs w:val="20"/>
          <w:color w:val="auto"/>
        </w:rPr>
      </w:pPr>
      <w:r>
        <w:rPr>
          <w:rFonts w:ascii="Arial" w:cs="Arial" w:eastAsia="Arial" w:hAnsi="Arial"/>
          <w:sz w:val="18"/>
          <w:szCs w:val="18"/>
          <w:b w:val="1"/>
          <w:bCs w:val="1"/>
          <w:color w:val="auto"/>
        </w:rPr>
        <w:t>Property, plant and equipment Net property, plant and equipment Other Assets</w:t>
      </w:r>
    </w:p>
    <w:p>
      <w:pPr>
        <w:ind w:left="112" w:firstLine="18"/>
        <w:spacing w:after="0" w:line="334" w:lineRule="auto"/>
        <w:rPr>
          <w:sz w:val="20"/>
          <w:szCs w:val="20"/>
          <w:color w:val="auto"/>
        </w:rPr>
      </w:pPr>
      <w:r>
        <w:rPr>
          <w:rFonts w:ascii="Arial" w:cs="Arial" w:eastAsia="Arial" w:hAnsi="Arial"/>
          <w:sz w:val="16"/>
          <w:szCs w:val="16"/>
          <w:color w:val="auto"/>
        </w:rPr>
        <w:t>Investment in consolidated subsidiaries Equity investments in affiliates</w:t>
      </w:r>
    </w:p>
    <w:p>
      <w:pPr>
        <w:spacing w:after="0" w:line="1" w:lineRule="exact"/>
        <w:rPr>
          <w:sz w:val="20"/>
          <w:szCs w:val="20"/>
          <w:color w:val="auto"/>
        </w:rPr>
      </w:pPr>
    </w:p>
    <w:p>
      <w:pPr>
        <w:ind w:left="112"/>
        <w:spacing w:after="0"/>
        <w:rPr>
          <w:sz w:val="20"/>
          <w:szCs w:val="20"/>
          <w:color w:val="auto"/>
        </w:rPr>
      </w:pPr>
      <w:r>
        <w:rPr>
          <w:rFonts w:ascii="Arial" w:cs="Arial" w:eastAsia="Arial" w:hAnsi="Arial"/>
          <w:sz w:val="18"/>
          <w:szCs w:val="18"/>
          <w:color w:val="auto"/>
        </w:rPr>
        <w:t>Intangible assets, net</w:t>
      </w:r>
    </w:p>
    <w:p>
      <w:pPr>
        <w:spacing w:after="0" w:line="63" w:lineRule="exact"/>
        <w:rPr>
          <w:sz w:val="20"/>
          <w:szCs w:val="20"/>
          <w:color w:val="auto"/>
        </w:rPr>
      </w:pPr>
    </w:p>
    <w:p>
      <w:pPr>
        <w:ind w:left="112"/>
        <w:spacing w:after="0"/>
        <w:rPr>
          <w:sz w:val="20"/>
          <w:szCs w:val="20"/>
          <w:color w:val="auto"/>
        </w:rPr>
      </w:pPr>
      <w:r>
        <w:rPr>
          <w:rFonts w:ascii="Arial" w:cs="Arial" w:eastAsia="Arial" w:hAnsi="Arial"/>
          <w:sz w:val="18"/>
          <w:szCs w:val="18"/>
          <w:color w:val="auto"/>
        </w:rPr>
        <w:t>Right of use assets, net</w:t>
      </w:r>
    </w:p>
    <w:p>
      <w:pPr>
        <w:spacing w:after="0" w:line="63" w:lineRule="exact"/>
        <w:rPr>
          <w:sz w:val="20"/>
          <w:szCs w:val="20"/>
          <w:color w:val="auto"/>
        </w:rPr>
      </w:pPr>
    </w:p>
    <w:p>
      <w:pPr>
        <w:ind w:left="112"/>
        <w:spacing w:after="0"/>
        <w:rPr>
          <w:sz w:val="20"/>
          <w:szCs w:val="20"/>
          <w:color w:val="auto"/>
        </w:rPr>
      </w:pPr>
      <w:r>
        <w:rPr>
          <w:rFonts w:ascii="Arial" w:cs="Arial" w:eastAsia="Arial" w:hAnsi="Arial"/>
          <w:sz w:val="18"/>
          <w:szCs w:val="18"/>
          <w:color w:val="auto"/>
        </w:rPr>
        <w:t>Other non-current assets</w:t>
      </w:r>
    </w:p>
    <w:p>
      <w:pPr>
        <w:spacing w:after="0" w:line="7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Total other assets</w:t>
      </w:r>
    </w:p>
    <w:p>
      <w:pPr>
        <w:spacing w:after="0" w:line="100"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13798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420"/>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ind w:right="3420"/>
        <w:spacing w:after="0"/>
        <w:rPr>
          <w:sz w:val="20"/>
          <w:szCs w:val="20"/>
          <w:color w:val="auto"/>
        </w:rPr>
      </w:pPr>
      <w:r>
        <w:rPr>
          <w:rFonts w:ascii="Arial" w:cs="Arial" w:eastAsia="Arial" w:hAnsi="Arial"/>
          <w:sz w:val="17"/>
          <w:szCs w:val="17"/>
          <w:b w:val="1"/>
          <w:bCs w:val="1"/>
          <w:color w:val="auto"/>
        </w:rPr>
        <w:t>CONDENSED CONSOLIDATING BALANCE SHEETS</w:t>
      </w:r>
    </w:p>
    <w:p>
      <w:pPr>
        <w:spacing w:after="0" w:line="129" w:lineRule="exact"/>
        <w:rPr>
          <w:sz w:val="20"/>
          <w:szCs w:val="20"/>
          <w:color w:val="auto"/>
        </w:rPr>
      </w:pPr>
    </w:p>
    <w:p>
      <w:pPr>
        <w:jc w:val="center"/>
        <w:ind w:right="3420"/>
        <w:spacing w:after="0"/>
        <w:rPr>
          <w:sz w:val="20"/>
          <w:szCs w:val="20"/>
          <w:color w:val="auto"/>
        </w:rPr>
      </w:pPr>
      <w:r>
        <w:rPr>
          <w:rFonts w:ascii="Arial" w:cs="Arial" w:eastAsia="Arial" w:hAnsi="Arial"/>
          <w:sz w:val="18"/>
          <w:szCs w:val="18"/>
          <w:b w:val="1"/>
          <w:bCs w:val="1"/>
          <w:color w:val="auto"/>
        </w:rPr>
        <w:t>March 31, 2020</w:t>
      </w:r>
    </w:p>
    <w:p>
      <w:pPr>
        <w:spacing w:after="0" w:line="117" w:lineRule="exact"/>
        <w:rPr>
          <w:sz w:val="20"/>
          <w:szCs w:val="20"/>
          <w:color w:val="auto"/>
        </w:rPr>
      </w:pPr>
    </w:p>
    <w:p>
      <w:pPr>
        <w:jc w:val="center"/>
        <w:ind w:right="3420"/>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3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Clearway Energy</w:t>
            </w:r>
          </w:p>
        </w:tc>
        <w:tc>
          <w:tcPr>
            <w:tcW w:w="128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9"/>
              </w:rPr>
              <w:t>Other Guarantor</w:t>
            </w:r>
          </w:p>
        </w:tc>
        <w:tc>
          <w:tcPr>
            <w:tcW w:w="126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8"/>
              </w:rPr>
              <w:t>Non-Guarantor</w:t>
            </w:r>
          </w:p>
        </w:tc>
        <w:tc>
          <w:tcPr>
            <w:tcW w:w="126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9"/>
                <w:szCs w:val="9"/>
                <w:b w:val="1"/>
                <w:bCs w:val="1"/>
                <w:color w:val="auto"/>
              </w:rPr>
              <w:t>(b)</w:t>
            </w:r>
          </w:p>
        </w:tc>
        <w:tc>
          <w:tcPr>
            <w:tcW w:w="140" w:type="dxa"/>
            <w:vAlign w:val="bottom"/>
          </w:tcPr>
          <w:p>
            <w:pPr>
              <w:spacing w:after="0"/>
              <w:rPr>
                <w:sz w:val="13"/>
                <w:szCs w:val="13"/>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8"/>
        </w:trPr>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 xml:space="preserve">LLC </w:t>
            </w:r>
            <w:r>
              <w:rPr>
                <w:rFonts w:ascii="Arial" w:cs="Arial" w:eastAsia="Arial" w:hAnsi="Arial"/>
                <w:sz w:val="9"/>
                <w:szCs w:val="9"/>
                <w:b w:val="1"/>
                <w:bCs w:val="1"/>
                <w:color w:val="auto"/>
              </w:rPr>
              <w:t>(a)</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5"/>
        </w:trPr>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540"/>
        </w:trPr>
        <w:tc>
          <w:tcPr>
            <w:tcW w:w="26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5,945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6,001</w:t>
            </w:r>
          </w:p>
        </w:tc>
        <w:tc>
          <w:tcPr>
            <w:tcW w:w="0" w:type="dxa"/>
            <w:vAlign w:val="bottom"/>
          </w:tcPr>
          <w:p>
            <w:pPr>
              <w:spacing w:after="0"/>
              <w:rPr>
                <w:sz w:val="1"/>
                <w:szCs w:val="1"/>
                <w:color w:val="auto"/>
              </w:rPr>
            </w:pPr>
          </w:p>
        </w:tc>
      </w:tr>
      <w:tr>
        <w:trPr>
          <w:trHeight w:val="540"/>
        </w:trPr>
        <w:tc>
          <w:tcPr>
            <w:tcW w:w="260" w:type="dxa"/>
            <w:vAlign w:val="bottom"/>
          </w:tcPr>
          <w:p>
            <w:pPr>
              <w:spacing w:after="0"/>
              <w:rPr>
                <w:sz w:val="24"/>
                <w:szCs w:val="24"/>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3,566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(5,796)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3,926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(5,796)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8,667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3,945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(5,814)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9,439</w:t>
            </w:r>
          </w:p>
        </w:tc>
        <w:tc>
          <w:tcPr>
            <w:tcW w:w="0" w:type="dxa"/>
            <w:vAlign w:val="bottom"/>
          </w:tcPr>
          <w:p>
            <w:pPr>
              <w:spacing w:after="0"/>
              <w:rPr>
                <w:sz w:val="1"/>
                <w:szCs w:val="1"/>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-2973705</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-2630805</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-2287905</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-1945005</wp:posOffset>
            </wp:positionV>
            <wp:extent cx="7132320"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-1593850</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-1250950</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-908050</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-565150</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-213360</wp:posOffset>
            </wp:positionV>
            <wp:extent cx="7132320" cy="196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72" w:space="460"/>
            <w:col w:w="7800"/>
          </w:cols>
          <w:pgMar w:left="328" w:top="891" w:right="339" w:bottom="1440" w:gutter="0" w:footer="0" w:header="0"/>
        </w:sectPr>
      </w:pPr>
    </w:p>
    <w:p>
      <w:pPr>
        <w:spacing w:after="0" w:line="394" w:lineRule="exact"/>
        <w:rPr>
          <w:sz w:val="20"/>
          <w:szCs w:val="20"/>
          <w:color w:val="auto"/>
        </w:rPr>
      </w:pPr>
    </w:p>
    <w:p>
      <w:pPr>
        <w:ind w:left="152" w:hanging="152"/>
        <w:spacing w:after="0"/>
        <w:tabs>
          <w:tab w:leader="none" w:pos="152"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72" w:hanging="172"/>
        <w:spacing w:after="0" w:line="191" w:lineRule="auto"/>
        <w:tabs>
          <w:tab w:leader="none" w:pos="172"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91" w:right="339" w:bottom="1440" w:gutter="0" w:footer="0" w:header="0"/>
          <w:type w:val="continuous"/>
        </w:sectPr>
      </w:pPr>
    </w:p>
    <w:bookmarkStart w:id="35" w:name="page36"/>
    <w:bookmarkEnd w:id="35"/>
    <w:p>
      <w:pPr>
        <w:jc w:val="center"/>
        <w:ind w:right="-51"/>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March 31, 2020</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(Continued)</w:t>
      </w:r>
    </w:p>
    <w:p>
      <w:pPr>
        <w:spacing w:after="0" w:line="208" w:lineRule="exact"/>
        <w:rPr>
          <w:sz w:val="20"/>
          <w:szCs w:val="20"/>
          <w:color w:val="auto"/>
        </w:rPr>
      </w:pPr>
    </w:p>
    <w:tbl>
      <w:tblPr>
        <w:tblLayout w:type="fixed"/>
        <w:tblInd w:w="52"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Clearway Energy</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7"/>
              </w:rPr>
              <w:t>Clearway</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7"/>
              </w:rPr>
              <w:t>Guarantor</w:t>
            </w:r>
          </w:p>
        </w:tc>
        <w:tc>
          <w:tcPr>
            <w:tcW w:w="11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Non-Guarantor</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9"/>
                <w:szCs w:val="9"/>
                <w:b w:val="1"/>
                <w:bCs w:val="1"/>
                <w:color w:val="auto"/>
              </w:rPr>
              <w:t>(b)</w:t>
            </w:r>
          </w:p>
        </w:tc>
        <w:tc>
          <w:tcPr>
            <w:tcW w:w="140" w:type="dxa"/>
            <w:vAlign w:val="bottom"/>
          </w:tcPr>
          <w:p>
            <w:pPr>
              <w:spacing w:after="0"/>
              <w:rPr>
                <w:sz w:val="13"/>
                <w:szCs w:val="13"/>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13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8"/>
              </w:rPr>
              <w:t xml:space="preserve">Energy LLC </w:t>
            </w:r>
            <w:r>
              <w:rPr>
                <w:rFonts w:ascii="Arial" w:cs="Arial" w:eastAsia="Arial" w:hAnsi="Arial"/>
                <w:sz w:val="9"/>
                <w:szCs w:val="9"/>
                <w:b w:val="1"/>
                <w:bCs w:val="1"/>
                <w:color w:val="auto"/>
                <w:w w:val="98"/>
              </w:rPr>
              <w:t>(a)</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3"/>
              </w:rPr>
              <w:t>Subsidiaries</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240" w:type="dxa"/>
            <w:vAlign w:val="bottom"/>
          </w:tcPr>
          <w:p>
            <w:pPr>
              <w:ind w:left="140"/>
              <w:spacing w:after="0" w:line="145" w:lineRule="exact"/>
              <w:rPr>
                <w:sz w:val="20"/>
                <w:szCs w:val="20"/>
                <w:color w:val="auto"/>
              </w:rPr>
            </w:pPr>
            <w:r>
              <w:rPr>
                <w:rFonts w:ascii="Arial" w:cs="Arial" w:eastAsia="Arial" w:hAnsi="Arial"/>
                <w:sz w:val="16"/>
                <w:szCs w:val="16"/>
                <w:b w:val="1"/>
                <w:bCs w:val="1"/>
                <w:color w:val="auto"/>
              </w:rPr>
              <w:t>LIABILITIES AND MEMBERS'</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gridSpan w:val="5"/>
            <w:vMerge w:val="restart"/>
          </w:tcPr>
          <w:p>
            <w:pPr>
              <w:ind w:left="88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220"/>
              <w:spacing w:after="0"/>
              <w:rPr>
                <w:sz w:val="20"/>
                <w:szCs w:val="20"/>
                <w:color w:val="auto"/>
              </w:rPr>
            </w:pPr>
            <w:r>
              <w:rPr>
                <w:rFonts w:ascii="Arial" w:cs="Arial" w:eastAsia="Arial" w:hAnsi="Arial"/>
                <w:sz w:val="16"/>
                <w:szCs w:val="16"/>
                <w:b w:val="1"/>
                <w:bCs w:val="1"/>
                <w:color w:val="auto"/>
              </w:rPr>
              <w:t>EQUITY</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5"/>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Current portion of long-term debt —</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external</w:t>
            </w:r>
          </w:p>
        </w:tc>
        <w:tc>
          <w:tcPr>
            <w:tcW w:w="16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1,435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Current portion of long-term debt —</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affiliate</w:t>
            </w: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payable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240" w:type="dxa"/>
            <w:vAlign w:val="bottom"/>
          </w:tcPr>
          <w:p>
            <w:pPr>
              <w:ind w:left="12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21"/>
                <w:szCs w:val="21"/>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 expense</w:t>
            </w: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75"/>
        </w:trPr>
        <w:tc>
          <w:tcPr>
            <w:tcW w:w="3240" w:type="dxa"/>
            <w:vAlign w:val="bottom"/>
          </w:tcPr>
          <w:p>
            <w:pPr>
              <w:ind w:left="140"/>
              <w:spacing w:after="0" w:line="176" w:lineRule="exact"/>
              <w:rPr>
                <w:sz w:val="20"/>
                <w:szCs w:val="20"/>
                <w:color w:val="auto"/>
              </w:rPr>
            </w:pPr>
            <w:r>
              <w:rPr>
                <w:rFonts w:ascii="Arial" w:cs="Arial" w:eastAsia="Arial" w:hAnsi="Arial"/>
                <w:sz w:val="18"/>
                <w:szCs w:val="18"/>
                <w:color w:val="auto"/>
              </w:rPr>
              <w:t>Accrued expenses and other current</w:t>
            </w:r>
          </w:p>
        </w:tc>
        <w:tc>
          <w:tcPr>
            <w:tcW w:w="160" w:type="dxa"/>
            <w:vAlign w:val="bottom"/>
          </w:tcPr>
          <w:p>
            <w:pPr>
              <w:spacing w:after="0"/>
              <w:rPr>
                <w:sz w:val="15"/>
                <w:szCs w:val="15"/>
                <w:color w:val="auto"/>
              </w:rPr>
            </w:pPr>
          </w:p>
        </w:tc>
        <w:tc>
          <w:tcPr>
            <w:tcW w:w="1160" w:type="dxa"/>
            <w:vAlign w:val="bottom"/>
            <w:gridSpan w:val="2"/>
            <w:vMerge w:val="restart"/>
          </w:tcPr>
          <w:p>
            <w:pPr>
              <w:ind w:left="50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5"/>
                <w:szCs w:val="15"/>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00" w:type="dxa"/>
            <w:vAlign w:val="bottom"/>
            <w:vMerge w:val="restart"/>
          </w:tcPr>
          <w:p>
            <w:pPr>
              <w:jc w:val="right"/>
              <w:ind w:right="51"/>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ind w:right="5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20" w:type="dxa"/>
            <w:vAlign w:val="bottom"/>
            <w:vMerge w:val="restart"/>
          </w:tcPr>
          <w:p>
            <w:pPr>
              <w:jc w:val="right"/>
              <w:ind w:right="5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240" w:type="dxa"/>
            <w:vAlign w:val="bottom"/>
          </w:tcPr>
          <w:p>
            <w:pPr>
              <w:ind w:left="30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2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c>
          <w:tcPr>
            <w:tcW w:w="3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1,647</w:t>
            </w:r>
          </w:p>
        </w:tc>
        <w:tc>
          <w:tcPr>
            <w:tcW w:w="3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debt — external</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3,368</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5,081</w:t>
            </w:r>
          </w:p>
        </w:tc>
        <w:tc>
          <w:tcPr>
            <w:tcW w:w="0" w:type="dxa"/>
            <w:vAlign w:val="bottom"/>
          </w:tcPr>
          <w:p>
            <w:pPr>
              <w:spacing w:after="0"/>
              <w:rPr>
                <w:sz w:val="1"/>
                <w:szCs w:val="1"/>
                <w:color w:val="auto"/>
              </w:rPr>
            </w:pPr>
          </w:p>
        </w:tc>
      </w:tr>
      <w:tr>
        <w:trPr>
          <w:trHeight w:val="243"/>
        </w:trPr>
        <w:tc>
          <w:tcPr>
            <w:tcW w:w="3240" w:type="dxa"/>
            <w:vAlign w:val="bottom"/>
          </w:tcPr>
          <w:p>
            <w:pPr>
              <w:ind w:left="12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21"/>
                <w:szCs w:val="21"/>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221</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3240" w:type="dxa"/>
            <w:vAlign w:val="bottom"/>
          </w:tcPr>
          <w:p>
            <w:pPr>
              <w:ind w:left="12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21"/>
                <w:szCs w:val="21"/>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3,846</w:t>
            </w: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37"/>
        </w:trPr>
        <w:tc>
          <w:tcPr>
            <w:tcW w:w="3240" w:type="dxa"/>
            <w:vAlign w:val="bottom"/>
          </w:tcPr>
          <w:p>
            <w:pPr>
              <w:ind w:left="12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5,493</w:t>
            </w:r>
          </w:p>
        </w:tc>
        <w:tc>
          <w:tcPr>
            <w:tcW w:w="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1,804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7,288</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Members' Equity</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Contributed capital</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1,850</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2,884</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70"/>
        </w:trPr>
        <w:tc>
          <w:tcPr>
            <w:tcW w:w="3240" w:type="dxa"/>
            <w:vAlign w:val="bottom"/>
          </w:tcPr>
          <w:p>
            <w:pPr>
              <w:ind w:left="140"/>
              <w:spacing w:after="0"/>
              <w:rPr>
                <w:sz w:val="20"/>
                <w:szCs w:val="20"/>
                <w:color w:val="auto"/>
              </w:rPr>
            </w:pPr>
            <w:r>
              <w:rPr>
                <w:rFonts w:ascii="Arial" w:cs="Arial" w:eastAsia="Arial" w:hAnsi="Arial"/>
                <w:sz w:val="18"/>
                <w:szCs w:val="18"/>
                <w:color w:val="auto"/>
                <w:w w:val="98"/>
              </w:rPr>
              <w:t>(Accumulated deficit) retained earnings</w:t>
            </w:r>
          </w:p>
        </w:tc>
        <w:tc>
          <w:tcPr>
            <w:tcW w:w="16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Accumulated other comprehensive loss</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3240" w:type="dxa"/>
            <w:vAlign w:val="bottom"/>
          </w:tcPr>
          <w:p>
            <w:pPr>
              <w:ind w:left="12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21"/>
                <w:szCs w:val="21"/>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405</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1,714</w:t>
            </w: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3,173</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63"/>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1,721</w:t>
            </w:r>
          </w:p>
        </w:tc>
        <w:tc>
          <w:tcPr>
            <w:tcW w:w="3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8,666</w:t>
            </w:r>
          </w:p>
        </w:tc>
        <w:tc>
          <w:tcPr>
            <w:tcW w:w="32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3,946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(5,814)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9,439</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13798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52" w:hanging="152"/>
        <w:spacing w:after="0"/>
        <w:tabs>
          <w:tab w:leader="none" w:pos="152"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72" w:hanging="172"/>
        <w:spacing w:after="0" w:line="191" w:lineRule="auto"/>
        <w:tabs>
          <w:tab w:leader="none" w:pos="172"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1134" w:right="39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Clearway Energy</w:t>
            </w:r>
          </w:p>
        </w:tc>
        <w:tc>
          <w:tcPr>
            <w:tcW w:w="100" w:type="dxa"/>
            <w:vAlign w:val="bottom"/>
          </w:tcPr>
          <w:p>
            <w:pPr>
              <w:spacing w:after="0"/>
              <w:rPr>
                <w:sz w:val="14"/>
                <w:szCs w:val="14"/>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Clearway Energy</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200" w:type="dxa"/>
            <w:vAlign w:val="bottom"/>
          </w:tcPr>
          <w:p>
            <w:pPr>
              <w:spacing w:after="0"/>
              <w:rPr>
                <w:sz w:val="12"/>
                <w:szCs w:val="12"/>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w w:val="96"/>
              </w:rPr>
              <w:t>(In millions)</w:t>
            </w: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4240" w:type="dxa"/>
            <w:vAlign w:val="bottom"/>
            <w:shd w:val="clear" w:color="auto" w:fill="CCEEFF"/>
          </w:tcPr>
          <w:p>
            <w:pPr>
              <w:ind w:left="180"/>
              <w:spacing w:after="0" w:line="156" w:lineRule="exact"/>
              <w:rPr>
                <w:sz w:val="20"/>
                <w:szCs w:val="20"/>
                <w:color w:val="auto"/>
              </w:rPr>
            </w:pPr>
            <w:r>
              <w:rPr>
                <w:rFonts w:ascii="Arial" w:cs="Arial" w:eastAsia="Arial" w:hAnsi="Arial"/>
                <w:sz w:val="18"/>
                <w:szCs w:val="18"/>
                <w:b w:val="1"/>
                <w:bCs w:val="1"/>
                <w:color w:val="auto"/>
              </w:rPr>
              <w:t>Net Cash Provided by (Used in) Operating</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center"/>
              <w:ind w:left="291"/>
              <w:spacing w:after="0"/>
              <w:rPr>
                <w:sz w:val="20"/>
                <w:szCs w:val="20"/>
                <w:color w:val="auto"/>
              </w:rPr>
            </w:pPr>
            <w:r>
              <w:rPr>
                <w:rFonts w:ascii="Arial" w:cs="Arial" w:eastAsia="Arial" w:hAnsi="Arial"/>
                <w:sz w:val="18"/>
                <w:szCs w:val="18"/>
                <w:color w:val="auto"/>
                <w:w w:val="99"/>
              </w:rPr>
              <w:t>—</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tcPr>
          <w:p>
            <w:pPr>
              <w:spacing w:after="0"/>
              <w:rPr>
                <w:sz w:val="19"/>
                <w:szCs w:val="19"/>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Intercompany transactions between Clearway Energy</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4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LLC and subsidiaries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center"/>
              <w:ind w:left="251"/>
              <w:spacing w:after="0"/>
              <w:rPr>
                <w:sz w:val="20"/>
                <w:szCs w:val="20"/>
                <w:color w:val="auto"/>
              </w:rPr>
            </w:pPr>
            <w:r>
              <w:rPr>
                <w:rFonts w:ascii="Arial" w:cs="Arial" w:eastAsia="Arial" w:hAnsi="Arial"/>
                <w:sz w:val="18"/>
                <w:szCs w:val="18"/>
                <w:color w:val="auto"/>
                <w:w w:val="93"/>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1"/>
                <w:szCs w:val="21"/>
                <w:color w:val="auto"/>
              </w:rPr>
            </w:pPr>
          </w:p>
        </w:tc>
        <w:tc>
          <w:tcPr>
            <w:tcW w:w="880" w:type="dxa"/>
            <w:vAlign w:val="bottom"/>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Return of investment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Investments in unconsolidated affiliates</w:t>
            </w:r>
          </w:p>
        </w:tc>
        <w:tc>
          <w:tcPr>
            <w:tcW w:w="280" w:type="dxa"/>
            <w:vAlign w:val="bottom"/>
          </w:tcPr>
          <w:p>
            <w:pPr>
              <w:spacing w:after="0"/>
              <w:rPr>
                <w:sz w:val="21"/>
                <w:szCs w:val="21"/>
                <w:color w:val="auto"/>
              </w:rPr>
            </w:pPr>
          </w:p>
        </w:tc>
        <w:tc>
          <w:tcPr>
            <w:tcW w:w="880" w:type="dxa"/>
            <w:vAlign w:val="bottom"/>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Proceeds from sale of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Insurance proceeds</w:t>
            </w:r>
          </w:p>
        </w:tc>
        <w:tc>
          <w:tcPr>
            <w:tcW w:w="280" w:type="dxa"/>
            <w:vAlign w:val="bottom"/>
          </w:tcPr>
          <w:p>
            <w:pPr>
              <w:spacing w:after="0"/>
              <w:rPr>
                <w:sz w:val="21"/>
                <w:szCs w:val="21"/>
                <w:color w:val="auto"/>
              </w:rPr>
            </w:pPr>
          </w:p>
        </w:tc>
        <w:tc>
          <w:tcPr>
            <w:tcW w:w="880" w:type="dxa"/>
            <w:vAlign w:val="bottom"/>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ind w:left="251"/>
              <w:spacing w:after="0"/>
              <w:rPr>
                <w:sz w:val="20"/>
                <w:szCs w:val="20"/>
                <w:color w:val="auto"/>
              </w:rPr>
            </w:pPr>
            <w:r>
              <w:rPr>
                <w:rFonts w:ascii="Arial" w:cs="Arial" w:eastAsia="Arial" w:hAnsi="Arial"/>
                <w:sz w:val="18"/>
                <w:szCs w:val="18"/>
                <w:color w:val="auto"/>
                <w:w w:val="93"/>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20" w:type="dxa"/>
            <w:vAlign w:val="bottom"/>
          </w:tcPr>
          <w:p>
            <w:pPr>
              <w:spacing w:after="0"/>
              <w:rPr>
                <w:sz w:val="15"/>
                <w:szCs w:val="15"/>
                <w:color w:val="auto"/>
              </w:rPr>
            </w:pPr>
          </w:p>
        </w:tc>
        <w:tc>
          <w:tcPr>
            <w:tcW w:w="424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Transfer of funds under intercompany cash</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center"/>
              <w:ind w:left="291"/>
              <w:spacing w:after="0"/>
              <w:rPr>
                <w:sz w:val="20"/>
                <w:szCs w:val="20"/>
                <w:color w:val="auto"/>
              </w:rPr>
            </w:pPr>
            <w:r>
              <w:rPr>
                <w:rFonts w:ascii="Arial" w:cs="Arial" w:eastAsia="Arial" w:hAnsi="Arial"/>
                <w:sz w:val="18"/>
                <w:szCs w:val="18"/>
                <w:color w:val="auto"/>
                <w:w w:val="89"/>
              </w:rPr>
              <w:t>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arrangement</w:t>
            </w: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Net contributions from noncontrolling interests</w:t>
            </w:r>
          </w:p>
        </w:tc>
        <w:tc>
          <w:tcPr>
            <w:tcW w:w="280" w:type="dxa"/>
            <w:vAlign w:val="bottom"/>
          </w:tcPr>
          <w:p>
            <w:pPr>
              <w:spacing w:after="0"/>
              <w:rPr>
                <w:sz w:val="21"/>
                <w:szCs w:val="21"/>
                <w:color w:val="auto"/>
              </w:rPr>
            </w:pPr>
          </w:p>
        </w:tc>
        <w:tc>
          <w:tcPr>
            <w:tcW w:w="880" w:type="dxa"/>
            <w:vAlign w:val="bottom"/>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proceeds from the issuance of Class C units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291"/>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Payments of dividends and distributions .</w:t>
            </w:r>
          </w:p>
        </w:tc>
        <w:tc>
          <w:tcPr>
            <w:tcW w:w="280" w:type="dxa"/>
            <w:vAlign w:val="bottom"/>
          </w:tcPr>
          <w:p>
            <w:pPr>
              <w:spacing w:after="0"/>
              <w:rPr>
                <w:sz w:val="21"/>
                <w:szCs w:val="21"/>
                <w:color w:val="auto"/>
              </w:rPr>
            </w:pPr>
          </w:p>
        </w:tc>
        <w:tc>
          <w:tcPr>
            <w:tcW w:w="880" w:type="dxa"/>
            <w:vAlign w:val="bottom"/>
          </w:tcPr>
          <w:p>
            <w:pPr>
              <w:jc w:val="center"/>
              <w:ind w:left="251"/>
              <w:spacing w:after="0"/>
              <w:rPr>
                <w:sz w:val="20"/>
                <w:szCs w:val="20"/>
                <w:color w:val="auto"/>
              </w:rPr>
            </w:pPr>
            <w:r>
              <w:rPr>
                <w:rFonts w:ascii="Arial" w:cs="Arial" w:eastAsia="Arial" w:hAnsi="Arial"/>
                <w:sz w:val="18"/>
                <w:szCs w:val="18"/>
                <w:color w:val="auto"/>
                <w:w w:val="93"/>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Proceeds from the revolving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w w:val="99"/>
              </w:rPr>
              <w:t>Proceeds from the issuance of long-term debt . . . . .</w:t>
            </w:r>
          </w:p>
        </w:tc>
        <w:tc>
          <w:tcPr>
            <w:tcW w:w="280" w:type="dxa"/>
            <w:vAlign w:val="bottom"/>
          </w:tcPr>
          <w:p>
            <w:pPr>
              <w:spacing w:after="0"/>
              <w:rPr>
                <w:sz w:val="21"/>
                <w:szCs w:val="21"/>
                <w:color w:val="auto"/>
              </w:rPr>
            </w:pPr>
          </w:p>
        </w:tc>
        <w:tc>
          <w:tcPr>
            <w:tcW w:w="880" w:type="dxa"/>
            <w:vAlign w:val="bottom"/>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Payments for long-term debt — external</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Proceeds from long-term debt — affiliate</w:t>
            </w:r>
          </w:p>
        </w:tc>
        <w:tc>
          <w:tcPr>
            <w:tcW w:w="280" w:type="dxa"/>
            <w:vAlign w:val="bottom"/>
          </w:tcPr>
          <w:p>
            <w:pPr>
              <w:spacing w:after="0"/>
              <w:rPr>
                <w:sz w:val="21"/>
                <w:szCs w:val="21"/>
                <w:color w:val="auto"/>
              </w:rPr>
            </w:pPr>
          </w:p>
        </w:tc>
        <w:tc>
          <w:tcPr>
            <w:tcW w:w="880" w:type="dxa"/>
            <w:vAlign w:val="bottom"/>
          </w:tcPr>
          <w:p>
            <w:pPr>
              <w:jc w:val="center"/>
              <w:ind w:left="2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4240" w:type="dxa"/>
            <w:vAlign w:val="bottom"/>
            <w:shd w:val="clear" w:color="auto" w:fill="CCEEFF"/>
          </w:tcPr>
          <w:p>
            <w:pPr>
              <w:ind w:left="180"/>
              <w:spacing w:after="0" w:line="156" w:lineRule="exact"/>
              <w:rPr>
                <w:sz w:val="20"/>
                <w:szCs w:val="20"/>
                <w:color w:val="auto"/>
              </w:rPr>
            </w:pPr>
            <w:r>
              <w:rPr>
                <w:rFonts w:ascii="Arial" w:cs="Arial" w:eastAsia="Arial" w:hAnsi="Arial"/>
                <w:sz w:val="18"/>
                <w:szCs w:val="18"/>
                <w:b w:val="1"/>
                <w:bCs w:val="1"/>
                <w:color w:val="auto"/>
              </w:rPr>
              <w:t>Net Cash Provided by (Used in) Financing</w:t>
            </w:r>
          </w:p>
        </w:tc>
        <w:tc>
          <w:tcPr>
            <w:tcW w:w="2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center"/>
              <w:ind w:left="291"/>
              <w:spacing w:after="0"/>
              <w:rPr>
                <w:sz w:val="20"/>
                <w:szCs w:val="20"/>
                <w:color w:val="auto"/>
              </w:rPr>
            </w:pPr>
            <w:r>
              <w:rPr>
                <w:rFonts w:ascii="Arial" w:cs="Arial" w:eastAsia="Arial" w:hAnsi="Arial"/>
                <w:sz w:val="18"/>
                <w:szCs w:val="18"/>
                <w:color w:val="auto"/>
                <w:w w:val="89"/>
              </w:rPr>
              <w:t>14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4240" w:type="dxa"/>
            <w:vAlign w:val="bottom"/>
          </w:tcPr>
          <w:p>
            <w:pPr>
              <w:ind w:left="180"/>
              <w:spacing w:after="0" w:line="176" w:lineRule="exact"/>
              <w:rPr>
                <w:sz w:val="20"/>
                <w:szCs w:val="20"/>
                <w:color w:val="auto"/>
              </w:rPr>
            </w:pPr>
            <w:r>
              <w:rPr>
                <w:rFonts w:ascii="Arial" w:cs="Arial" w:eastAsia="Arial" w:hAnsi="Arial"/>
                <w:sz w:val="18"/>
                <w:szCs w:val="18"/>
                <w:b w:val="1"/>
                <w:bCs w:val="1"/>
                <w:color w:val="auto"/>
              </w:rPr>
              <w:t>Net Decrease in Cash, Cash Equivalents and</w:t>
            </w:r>
          </w:p>
        </w:tc>
        <w:tc>
          <w:tcPr>
            <w:tcW w:w="280" w:type="dxa"/>
            <w:vAlign w:val="bottom"/>
          </w:tcPr>
          <w:p>
            <w:pPr>
              <w:spacing w:after="0"/>
              <w:rPr>
                <w:sz w:val="15"/>
                <w:szCs w:val="15"/>
                <w:color w:val="auto"/>
              </w:rPr>
            </w:pPr>
          </w:p>
        </w:tc>
        <w:tc>
          <w:tcPr>
            <w:tcW w:w="880" w:type="dxa"/>
            <w:vAlign w:val="bottom"/>
            <w:vMerge w:val="restart"/>
          </w:tcPr>
          <w:p>
            <w:pPr>
              <w:jc w:val="center"/>
              <w:ind w:left="251"/>
              <w:spacing w:after="0"/>
              <w:rPr>
                <w:sz w:val="20"/>
                <w:szCs w:val="20"/>
                <w:color w:val="auto"/>
              </w:rPr>
            </w:pPr>
            <w:r>
              <w:rPr>
                <w:rFonts w:ascii="Arial" w:cs="Arial" w:eastAsia="Arial" w:hAnsi="Arial"/>
                <w:sz w:val="18"/>
                <w:szCs w:val="18"/>
                <w:color w:val="auto"/>
                <w:w w:val="93"/>
              </w:rPr>
              <w:t>(12)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80" w:type="dxa"/>
            <w:vAlign w:val="bottom"/>
            <w:vMerge w:val="restart"/>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80" w:type="dxa"/>
            <w:vAlign w:val="bottom"/>
            <w:vMerge w:val="restart"/>
          </w:tcPr>
          <w:p>
            <w:pPr>
              <w:jc w:val="right"/>
              <w:ind w:right="31"/>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Restricted Cash</w:t>
            </w: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20" w:type="dxa"/>
            <w:vAlign w:val="bottom"/>
          </w:tcPr>
          <w:p>
            <w:pPr>
              <w:spacing w:after="0"/>
              <w:rPr>
                <w:sz w:val="22"/>
                <w:szCs w:val="22"/>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beginning of period</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ind w:left="291"/>
              <w:spacing w:after="0"/>
              <w:rPr>
                <w:sz w:val="20"/>
                <w:szCs w:val="20"/>
                <w:color w:val="auto"/>
              </w:rPr>
            </w:pPr>
            <w:r>
              <w:rPr>
                <w:rFonts w:ascii="Arial" w:cs="Arial" w:eastAsia="Arial" w:hAnsi="Arial"/>
                <w:sz w:val="18"/>
                <w:szCs w:val="18"/>
                <w:color w:val="auto"/>
                <w:w w:val="89"/>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4240" w:type="dxa"/>
            <w:vAlign w:val="bottom"/>
          </w:tcPr>
          <w:p>
            <w:pPr>
              <w:spacing w:after="0" w:line="205" w:lineRule="exact"/>
              <w:rPr>
                <w:sz w:val="20"/>
                <w:szCs w:val="20"/>
                <w:color w:val="auto"/>
              </w:rPr>
            </w:pPr>
            <w:r>
              <w:rPr>
                <w:rFonts w:ascii="Arial" w:cs="Arial" w:eastAsia="Arial" w:hAnsi="Arial"/>
                <w:sz w:val="18"/>
                <w:szCs w:val="18"/>
                <w:b w:val="1"/>
                <w:bCs w:val="1"/>
                <w:color w:val="auto"/>
                <w:w w:val="95"/>
              </w:rPr>
              <w:t>Cash, Cash Equivalents and Restricted Cash at end</w:t>
            </w:r>
          </w:p>
        </w:tc>
        <w:tc>
          <w:tcPr>
            <w:tcW w:w="2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vMerge w:val="restart"/>
          </w:tcPr>
          <w:p>
            <w:pPr>
              <w:jc w:val="center"/>
              <w:ind w:left="291"/>
              <w:spacing w:after="0"/>
              <w:rPr>
                <w:sz w:val="20"/>
                <w:szCs w:val="20"/>
                <w:color w:val="auto"/>
              </w:rPr>
            </w:pPr>
            <w:r>
              <w:rPr>
                <w:rFonts w:ascii="Arial" w:cs="Arial" w:eastAsia="Arial" w:hAnsi="Arial"/>
                <w:sz w:val="18"/>
                <w:szCs w:val="18"/>
                <w:color w:val="auto"/>
                <w:w w:val="89"/>
              </w:rPr>
              <w:t>15</w:t>
            </w: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of period</w:t>
            </w:r>
          </w:p>
        </w:tc>
        <w:tc>
          <w:tcPr>
            <w:tcW w:w="28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9"/>
              </w:rPr>
              <w:t>30</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March 31, 2019</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Clearway</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4"/>
                <w:szCs w:val="4"/>
                <w:color w:val="auto"/>
              </w:rPr>
            </w:pPr>
          </w:p>
        </w:tc>
        <w:tc>
          <w:tcPr>
            <w:tcW w:w="136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420" w:type="dxa"/>
            <w:vAlign w:val="bottom"/>
          </w:tcPr>
          <w:p>
            <w:pPr>
              <w:spacing w:after="0"/>
              <w:rPr>
                <w:sz w:val="7"/>
                <w:szCs w:val="7"/>
                <w:color w:val="auto"/>
              </w:rPr>
            </w:pPr>
          </w:p>
        </w:tc>
        <w:tc>
          <w:tcPr>
            <w:tcW w:w="1080" w:type="dxa"/>
            <w:vAlign w:val="bottom"/>
            <w:gridSpan w:val="3"/>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99"/>
              </w:rPr>
              <w:t>Energy LLC</w:t>
            </w:r>
          </w:p>
        </w:tc>
        <w:tc>
          <w:tcPr>
            <w:tcW w:w="1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342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 xml:space="preserve">Subsidiaries </w:t>
            </w:r>
            <w:r>
              <w:rPr>
                <w:rFonts w:ascii="Arial" w:cs="Arial" w:eastAsia="Arial" w:hAnsi="Arial"/>
                <w:sz w:val="9"/>
                <w:szCs w:val="9"/>
                <w:b w:val="1"/>
                <w:bCs w:val="1"/>
                <w:color w:val="auto"/>
                <w:w w:val="89"/>
              </w:rPr>
              <w:t>(a)</w:t>
            </w:r>
          </w:p>
        </w:tc>
        <w:tc>
          <w:tcPr>
            <w:tcW w:w="120" w:type="dxa"/>
            <w:vAlign w:val="bottom"/>
          </w:tcPr>
          <w:p>
            <w:pPr>
              <w:spacing w:after="0"/>
              <w:rPr>
                <w:sz w:val="4"/>
                <w:szCs w:val="4"/>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 xml:space="preserve">(Note Issuer) </w:t>
            </w:r>
            <w:r>
              <w:rPr>
                <w:rFonts w:ascii="Arial" w:cs="Arial" w:eastAsia="Arial" w:hAnsi="Arial"/>
                <w:sz w:val="9"/>
                <w:szCs w:val="9"/>
                <w:b w:val="1"/>
                <w:bCs w:val="1"/>
                <w:color w:val="auto"/>
                <w:w w:val="93"/>
              </w:rPr>
              <w:t>(a)</w:t>
            </w:r>
          </w:p>
        </w:tc>
        <w:tc>
          <w:tcPr>
            <w:tcW w:w="140" w:type="dxa"/>
            <w:vAlign w:val="bottom"/>
          </w:tcPr>
          <w:p>
            <w:pPr>
              <w:spacing w:after="0"/>
              <w:rPr>
                <w:sz w:val="4"/>
                <w:szCs w:val="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9"/>
                <w:szCs w:val="9"/>
                <w:b w:val="1"/>
                <w:bCs w:val="1"/>
                <w:color w:val="auto"/>
              </w:rPr>
              <w:t>(b)</w:t>
            </w:r>
          </w:p>
        </w:tc>
        <w:tc>
          <w:tcPr>
            <w:tcW w:w="140" w:type="dxa"/>
            <w:vAlign w:val="bottom"/>
          </w:tcPr>
          <w:p>
            <w:pPr>
              <w:spacing w:after="0"/>
              <w:rPr>
                <w:sz w:val="4"/>
                <w:szCs w:val="4"/>
                <w:color w:val="auto"/>
              </w:rPr>
            </w:pPr>
          </w:p>
        </w:tc>
        <w:tc>
          <w:tcPr>
            <w:tcW w:w="11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2"/>
              </w:rPr>
              <w:t xml:space="preserve">Consolidated </w:t>
            </w:r>
            <w:r>
              <w:rPr>
                <w:rFonts w:ascii="Arial" w:cs="Arial" w:eastAsia="Arial" w:hAnsi="Arial"/>
                <w:sz w:val="9"/>
                <w:szCs w:val="9"/>
                <w:b w:val="1"/>
                <w:bCs w:val="1"/>
                <w:color w:val="auto"/>
                <w:w w:val="92"/>
              </w:rPr>
              <w:t>(a)</w:t>
            </w:r>
          </w:p>
        </w:tc>
        <w:tc>
          <w:tcPr>
            <w:tcW w:w="0" w:type="dxa"/>
            <w:vAlign w:val="bottom"/>
          </w:tcPr>
          <w:p>
            <w:pPr>
              <w:spacing w:after="0"/>
              <w:rPr>
                <w:sz w:val="1"/>
                <w:szCs w:val="1"/>
                <w:color w:val="auto"/>
              </w:rPr>
            </w:pPr>
          </w:p>
        </w:tc>
      </w:tr>
      <w:tr>
        <w:trPr>
          <w:trHeight w:val="131"/>
        </w:trPr>
        <w:tc>
          <w:tcPr>
            <w:tcW w:w="3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9"/>
                <w:szCs w:val="9"/>
                <w:b w:val="1"/>
                <w:bCs w:val="1"/>
                <w:color w:val="auto"/>
                <w:w w:val="90"/>
              </w:rPr>
              <w:t>(a)</w:t>
            </w: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00"/>
              <w:spacing w:after="0"/>
              <w:rPr>
                <w:sz w:val="20"/>
                <w:szCs w:val="20"/>
                <w:color w:val="auto"/>
              </w:rPr>
            </w:pPr>
            <w:r>
              <w:rPr>
                <w:rFonts w:ascii="Arial" w:cs="Arial" w:eastAsia="Arial" w:hAnsi="Arial"/>
                <w:sz w:val="18"/>
                <w:szCs w:val="18"/>
                <w:color w:val="auto"/>
              </w:rPr>
              <w:t>Total operating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20"/>
              <w:spacing w:after="0"/>
              <w:rPr>
                <w:sz w:val="20"/>
                <w:szCs w:val="20"/>
                <w:color w:val="auto"/>
              </w:rPr>
            </w:pPr>
            <w:r>
              <w:rPr>
                <w:rFonts w:ascii="Arial" w:cs="Arial" w:eastAsia="Arial" w:hAnsi="Arial"/>
                <w:sz w:val="18"/>
                <w:szCs w:val="18"/>
                <w:color w:val="auto"/>
              </w:rPr>
              <w:t>Cost of operations</w:t>
            </w:r>
          </w:p>
        </w:tc>
        <w:tc>
          <w:tcPr>
            <w:tcW w:w="14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342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Acquisition-related transaction and</w:t>
            </w:r>
          </w:p>
        </w:tc>
        <w:tc>
          <w:tcPr>
            <w:tcW w:w="1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integration costs</w:t>
            </w:r>
          </w:p>
        </w:tc>
        <w:tc>
          <w:tcPr>
            <w:tcW w:w="14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20"/>
              <w:spacing w:after="0"/>
              <w:rPr>
                <w:sz w:val="20"/>
                <w:szCs w:val="20"/>
                <w:color w:val="auto"/>
              </w:rPr>
            </w:pPr>
            <w:r>
              <w:rPr>
                <w:rFonts w:ascii="Arial" w:cs="Arial" w:eastAsia="Arial" w:hAnsi="Arial"/>
                <w:sz w:val="18"/>
                <w:szCs w:val="18"/>
                <w:color w:val="auto"/>
              </w:rPr>
              <w:t>Development costs. . . . . . . . . . . . . .</w:t>
            </w:r>
          </w:p>
        </w:tc>
        <w:tc>
          <w:tcPr>
            <w:tcW w:w="14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operating costs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7"/>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8"/>
                <w:szCs w:val="18"/>
                <w:color w:val="auto"/>
              </w:rPr>
              <w:t>Equity in losses of consolidated affiliates</w:t>
            </w:r>
          </w:p>
        </w:tc>
        <w:tc>
          <w:tcPr>
            <w:tcW w:w="14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Equity in earnings of unconsolidated</w:t>
            </w:r>
          </w:p>
        </w:tc>
        <w:tc>
          <w:tcPr>
            <w:tcW w:w="1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affiliates</w:t>
            </w:r>
          </w:p>
        </w:tc>
        <w:tc>
          <w:tcPr>
            <w:tcW w:w="14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3"/>
                <w:szCs w:val="23"/>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342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55"/>
        </w:trPr>
        <w:tc>
          <w:tcPr>
            <w:tcW w:w="3420" w:type="dxa"/>
            <w:vAlign w:val="bottom"/>
          </w:tcPr>
          <w:p>
            <w:pPr>
              <w:ind w:left="140"/>
              <w:spacing w:after="0" w:line="156" w:lineRule="exact"/>
              <w:rPr>
                <w:sz w:val="20"/>
                <w:szCs w:val="20"/>
                <w:color w:val="auto"/>
              </w:rPr>
            </w:pPr>
            <w:r>
              <w:rPr>
                <w:rFonts w:ascii="Arial" w:cs="Arial" w:eastAsia="Arial" w:hAnsi="Arial"/>
                <w:sz w:val="18"/>
                <w:szCs w:val="18"/>
                <w:color w:val="auto"/>
              </w:rPr>
              <w:t>Less: Net income (loss) attributable to</w:t>
            </w: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ind w:left="8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5"/>
              </w:rPr>
              <w:t>Net Loss Attributable to Clearway Energy</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ind w:left="78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LLC</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296" w:right="359" w:bottom="1440" w:gutter="0" w:footer="0" w:header="0"/>
        </w:sectPr>
      </w:pPr>
    </w:p>
    <w:bookmarkStart w:id="38" w:name="page39"/>
    <w:bookmarkEnd w:id="38"/>
    <w:p>
      <w:pPr>
        <w:jc w:val="center"/>
        <w:ind w:right="20"/>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March 31, 2019</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Clearway</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Non-Guarantor</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1"/>
                <w:szCs w:val="11"/>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9"/>
                <w:szCs w:val="9"/>
                <w:b w:val="1"/>
                <w:bCs w:val="1"/>
                <w:color w:val="auto"/>
              </w:rPr>
              <w:t>(b)</w:t>
            </w:r>
          </w:p>
        </w:tc>
        <w:tc>
          <w:tcPr>
            <w:tcW w:w="140" w:type="dxa"/>
            <w:vAlign w:val="bottom"/>
          </w:tcPr>
          <w:p>
            <w:pPr>
              <w:spacing w:after="0"/>
              <w:rPr>
                <w:sz w:val="11"/>
                <w:szCs w:val="11"/>
                <w:color w:val="auto"/>
              </w:rPr>
            </w:pPr>
          </w:p>
        </w:tc>
        <w:tc>
          <w:tcPr>
            <w:tcW w:w="12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6"/>
              </w:rPr>
              <w:t xml:space="preserve">Consolidated </w:t>
            </w:r>
            <w:r>
              <w:rPr>
                <w:rFonts w:ascii="Arial" w:cs="Arial" w:eastAsia="Arial" w:hAnsi="Arial"/>
                <w:sz w:val="9"/>
                <w:szCs w:val="9"/>
                <w:b w:val="1"/>
                <w:bCs w:val="1"/>
                <w:color w:val="auto"/>
                <w:w w:val="96"/>
              </w:rPr>
              <w:t>(a)</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1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 xml:space="preserve">Energy LLC </w:t>
            </w:r>
            <w:r>
              <w:rPr>
                <w:rFonts w:ascii="Arial" w:cs="Arial" w:eastAsia="Arial" w:hAnsi="Arial"/>
                <w:sz w:val="9"/>
                <w:szCs w:val="9"/>
                <w:b w:val="1"/>
                <w:bCs w:val="1"/>
                <w:color w:val="auto"/>
              </w:rPr>
              <w:t>(a)</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9"/>
              </w:rPr>
              <w:t xml:space="preserve">Subsidiaries </w:t>
            </w:r>
            <w:r>
              <w:rPr>
                <w:rFonts w:ascii="Arial" w:cs="Arial" w:eastAsia="Arial" w:hAnsi="Arial"/>
                <w:sz w:val="9"/>
                <w:szCs w:val="9"/>
                <w:b w:val="1"/>
                <w:bCs w:val="1"/>
                <w:color w:val="auto"/>
                <w:w w:val="89"/>
              </w:rPr>
              <w:t>(a)</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 xml:space="preserve">(Note Issuer) </w:t>
            </w:r>
            <w:r>
              <w:rPr>
                <w:rFonts w:ascii="Arial" w:cs="Arial" w:eastAsia="Arial" w:hAnsi="Arial"/>
                <w:sz w:val="9"/>
                <w:szCs w:val="9"/>
                <w:b w:val="1"/>
                <w:bCs w:val="1"/>
                <w:color w:val="auto"/>
                <w:w w:val="93"/>
              </w:rPr>
              <w:t>(a)</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320" w:type="dxa"/>
            <w:vAlign w:val="bottom"/>
            <w:gridSpan w:val="3"/>
          </w:tcPr>
          <w:p>
            <w:pPr>
              <w:ind w:left="20"/>
              <w:spacing w:after="0" w:line="172" w:lineRule="exact"/>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32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Unrealized loss on derivatives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33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3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00" w:type="dxa"/>
            <w:vAlign w:val="bottom"/>
            <w:gridSpan w:val="2"/>
          </w:tcPr>
          <w:p>
            <w:pPr>
              <w:ind w:left="160"/>
              <w:spacing w:after="0" w:line="156" w:lineRule="exact"/>
              <w:rPr>
                <w:sz w:val="20"/>
                <w:szCs w:val="20"/>
                <w:color w:val="auto"/>
              </w:rPr>
            </w:pPr>
            <w:r>
              <w:rPr>
                <w:rFonts w:ascii="Arial" w:cs="Arial" w:eastAsia="Arial" w:hAnsi="Arial"/>
                <w:sz w:val="18"/>
                <w:szCs w:val="18"/>
                <w:color w:val="auto"/>
              </w:rPr>
              <w:t>Less: Comprehensive income (loss)</w:t>
            </w: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attributable to noncontrolling interests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3300" w:type="dxa"/>
            <w:vAlign w:val="bottom"/>
            <w:gridSpan w:val="2"/>
            <w:shd w:val="clear" w:color="auto" w:fill="CCEEFF"/>
          </w:tcPr>
          <w:p>
            <w:pPr>
              <w:ind w:left="160"/>
              <w:spacing w:after="0" w:line="156" w:lineRule="exact"/>
              <w:rPr>
                <w:sz w:val="20"/>
                <w:szCs w:val="20"/>
                <w:color w:val="auto"/>
              </w:rPr>
            </w:pPr>
            <w:r>
              <w:rPr>
                <w:rFonts w:ascii="Arial" w:cs="Arial" w:eastAsia="Arial" w:hAnsi="Arial"/>
                <w:sz w:val="18"/>
                <w:szCs w:val="18"/>
                <w:b w:val="1"/>
                <w:bCs w:val="1"/>
                <w:color w:val="auto"/>
              </w:rPr>
              <w:t>Comprehensive Loss Attributable to</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Clearway Energy LLC</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Clearway</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3"/>
                <w:szCs w:val="13"/>
                <w:color w:val="auto"/>
              </w:rPr>
            </w:pPr>
          </w:p>
        </w:tc>
        <w:tc>
          <w:tcPr>
            <w:tcW w:w="1100" w:type="dxa"/>
            <w:vAlign w:val="bottom"/>
          </w:tcPr>
          <w:p>
            <w:pPr>
              <w:jc w:val="right"/>
              <w:ind w:right="60"/>
              <w:spacing w:after="0" w:line="158" w:lineRule="exact"/>
              <w:rPr>
                <w:sz w:val="20"/>
                <w:szCs w:val="20"/>
                <w:color w:val="auto"/>
              </w:rPr>
            </w:pPr>
            <w:r>
              <w:rPr>
                <w:rFonts w:ascii="Arial" w:cs="Arial" w:eastAsia="Arial" w:hAnsi="Arial"/>
                <w:sz w:val="14"/>
                <w:szCs w:val="14"/>
                <w:b w:val="1"/>
                <w:bCs w:val="1"/>
                <w:color w:val="auto"/>
                <w:w w:val="94"/>
              </w:rPr>
              <w:t>Non-Guarantor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9"/>
                <w:szCs w:val="9"/>
                <w:b w:val="1"/>
                <w:bCs w:val="1"/>
                <w:color w:val="auto"/>
              </w:rPr>
              <w:t>(a)</w:t>
            </w:r>
          </w:p>
        </w:tc>
        <w:tc>
          <w:tcPr>
            <w:tcW w:w="180" w:type="dxa"/>
            <w:vAlign w:val="bottom"/>
          </w:tcPr>
          <w:p>
            <w:pPr>
              <w:spacing w:after="0"/>
              <w:rPr>
                <w:sz w:val="13"/>
                <w:szCs w:val="13"/>
                <w:color w:val="auto"/>
              </w:rPr>
            </w:pPr>
          </w:p>
        </w:tc>
        <w:tc>
          <w:tcPr>
            <w:tcW w:w="118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3480" w:type="dxa"/>
            <w:vAlign w:val="bottom"/>
          </w:tcPr>
          <w:p>
            <w:pPr>
              <w:spacing w:after="0"/>
              <w:rPr>
                <w:sz w:val="16"/>
                <w:szCs w:val="16"/>
                <w:color w:val="auto"/>
              </w:rPr>
            </w:pPr>
          </w:p>
        </w:tc>
        <w:tc>
          <w:tcPr>
            <w:tcW w:w="10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9"/>
              </w:rPr>
              <w:t>Energy LLC</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Subsidiaries</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480" w:type="dxa"/>
            <w:vAlign w:val="bottom"/>
          </w:tcPr>
          <w:p>
            <w:pPr>
              <w:ind w:left="13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gridSpan w:val="5"/>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4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125</w:t>
            </w: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59"/>
        </w:trPr>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262</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54"/>
        </w:trPr>
        <w:tc>
          <w:tcPr>
            <w:tcW w:w="3480" w:type="dxa"/>
            <w:vAlign w:val="bottom"/>
          </w:tcPr>
          <w:p>
            <w:pPr>
              <w:ind w:left="180"/>
              <w:spacing w:after="0"/>
              <w:rPr>
                <w:sz w:val="20"/>
                <w:szCs w:val="20"/>
                <w:color w:val="auto"/>
              </w:rPr>
            </w:pPr>
            <w:r>
              <w:rPr>
                <w:rFonts w:ascii="Arial" w:cs="Arial" w:eastAsia="Arial" w:hAnsi="Arial"/>
                <w:sz w:val="16"/>
                <w:szCs w:val="16"/>
                <w:color w:val="auto"/>
              </w:rPr>
              <w:t>Accounts receivable — trade</w:t>
            </w:r>
          </w:p>
        </w:tc>
        <w:tc>
          <w:tcPr>
            <w:tcW w:w="14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114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59"/>
        </w:trPr>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 — affiliate</w:t>
            </w: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3"/>
        </w:trPr>
        <w:tc>
          <w:tcPr>
            <w:tcW w:w="3480" w:type="dxa"/>
            <w:vAlign w:val="bottom"/>
          </w:tcPr>
          <w:p>
            <w:pPr>
              <w:ind w:left="180"/>
              <w:spacing w:after="0"/>
              <w:rPr>
                <w:sz w:val="20"/>
                <w:szCs w:val="20"/>
                <w:color w:val="auto"/>
              </w:rPr>
            </w:pPr>
            <w:r>
              <w:rPr>
                <w:rFonts w:ascii="Arial" w:cs="Arial" w:eastAsia="Arial" w:hAnsi="Arial"/>
                <w:sz w:val="16"/>
                <w:szCs w:val="16"/>
                <w:color w:val="auto"/>
              </w:rPr>
              <w:t>Inventory</w:t>
            </w:r>
          </w:p>
        </w:tc>
        <w:tc>
          <w:tcPr>
            <w:tcW w:w="14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40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57"/>
        </w:trPr>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Prepayments and other current assets</w:t>
            </w: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31</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572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Net property, plant and equipment</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6,000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6,063</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480" w:type="dxa"/>
            <w:vAlign w:val="bottom"/>
          </w:tcPr>
          <w:p>
            <w:pPr>
              <w:ind w:left="180"/>
              <w:spacing w:after="0"/>
              <w:rPr>
                <w:sz w:val="20"/>
                <w:szCs w:val="20"/>
                <w:color w:val="auto"/>
              </w:rPr>
            </w:pPr>
            <w:r>
              <w:rPr>
                <w:rFonts w:ascii="Arial" w:cs="Arial" w:eastAsia="Arial" w:hAnsi="Arial"/>
                <w:sz w:val="16"/>
                <w:szCs w:val="16"/>
                <w:color w:val="auto"/>
              </w:rPr>
              <w:t>Investment in consolidated subsidiaries</w:t>
            </w:r>
          </w:p>
        </w:tc>
        <w:tc>
          <w:tcPr>
            <w:tcW w:w="140" w:type="dxa"/>
            <w:vAlign w:val="bottom"/>
          </w:tcPr>
          <w:p>
            <w:pPr>
              <w:spacing w:after="0"/>
              <w:rPr>
                <w:sz w:val="22"/>
                <w:szCs w:val="22"/>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1,824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3,492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ind w:left="540"/>
              <w:spacing w:after="0"/>
              <w:rPr>
                <w:sz w:val="20"/>
                <w:szCs w:val="20"/>
                <w:color w:val="auto"/>
              </w:rPr>
            </w:pPr>
            <w:r>
              <w:rPr>
                <w:rFonts w:ascii="Arial" w:cs="Arial" w:eastAsia="Arial" w:hAnsi="Arial"/>
                <w:sz w:val="16"/>
                <w:szCs w:val="16"/>
                <w:color w:val="auto"/>
              </w:rPr>
              <w:t>(5,718)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investments in affiliates</w:t>
            </w: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479</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53"/>
        </w:trPr>
        <w:tc>
          <w:tcPr>
            <w:tcW w:w="348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1,418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59"/>
        </w:trPr>
        <w:tc>
          <w:tcPr>
            <w:tcW w:w="3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Right-of-use assets, net</w:t>
            </w: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222</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54"/>
        </w:trPr>
        <w:tc>
          <w:tcPr>
            <w:tcW w:w="3480" w:type="dxa"/>
            <w:vAlign w:val="bottom"/>
          </w:tcPr>
          <w:p>
            <w:pPr>
              <w:ind w:left="180"/>
              <w:spacing w:after="0"/>
              <w:rPr>
                <w:sz w:val="20"/>
                <w:szCs w:val="20"/>
                <w:color w:val="auto"/>
              </w:rPr>
            </w:pPr>
            <w:r>
              <w:rPr>
                <w:rFonts w:ascii="Arial" w:cs="Arial" w:eastAsia="Arial" w:hAnsi="Arial"/>
                <w:sz w:val="16"/>
                <w:szCs w:val="16"/>
                <w:color w:val="auto"/>
              </w:rPr>
              <w:t>Other non-current assets</w:t>
            </w:r>
          </w:p>
        </w:tc>
        <w:tc>
          <w:tcPr>
            <w:tcW w:w="14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100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53"/>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assets</w:t>
            </w: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1,824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754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2,219</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3,858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(5,718)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2,937</w:t>
            </w:r>
          </w:p>
        </w:tc>
        <w:tc>
          <w:tcPr>
            <w:tcW w:w="0" w:type="dxa"/>
            <w:vAlign w:val="bottom"/>
          </w:tcPr>
          <w:p>
            <w:pPr>
              <w:spacing w:after="0"/>
              <w:rPr>
                <w:sz w:val="1"/>
                <w:szCs w:val="1"/>
                <w:color w:val="auto"/>
              </w:rPr>
            </w:pPr>
          </w:p>
        </w:tc>
      </w:tr>
      <w:tr>
        <w:trPr>
          <w:trHeight w:val="247"/>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1,851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8,791</w:t>
            </w:r>
          </w:p>
        </w:tc>
        <w:tc>
          <w:tcPr>
            <w:tcW w:w="100" w:type="dxa"/>
            <w:vAlign w:val="bottom"/>
            <w:gridSpan w:val="2"/>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3,860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6"/>
                <w:szCs w:val="16"/>
                <w:color w:val="auto"/>
              </w:rPr>
              <w:t>(5,718)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9,605</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3798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Clearway Energy</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Clearway</w:t>
            </w: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Guarantor</w:t>
            </w:r>
          </w:p>
        </w:tc>
        <w:tc>
          <w:tcPr>
            <w:tcW w:w="11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Operating LLC</w:t>
            </w:r>
          </w:p>
        </w:tc>
        <w:tc>
          <w:tcPr>
            <w:tcW w:w="12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9"/>
                <w:szCs w:val="9"/>
                <w:b w:val="1"/>
                <w:bCs w:val="1"/>
                <w:color w:val="auto"/>
              </w:rPr>
              <w:t>(a)</w:t>
            </w:r>
          </w:p>
        </w:tc>
        <w:tc>
          <w:tcPr>
            <w:tcW w:w="140" w:type="dxa"/>
            <w:vAlign w:val="bottom"/>
          </w:tcPr>
          <w:p>
            <w:pPr>
              <w:spacing w:after="0"/>
              <w:rPr>
                <w:sz w:val="13"/>
                <w:szCs w:val="13"/>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10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6"/>
              </w:rPr>
              <w:t>Energy LLC</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3"/>
              </w:rPr>
              <w:t>Subsidiaries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3"/>
              </w:rPr>
              <w:t>(Note Issuer)</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LIABILITIES AND MEMBERS' EQUITY</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60" w:type="dxa"/>
            <w:vAlign w:val="bottom"/>
            <w:gridSpan w:val="5"/>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40" w:type="dxa"/>
            <w:vAlign w:val="bottom"/>
          </w:tcPr>
          <w:p>
            <w:pPr>
              <w:ind w:left="180"/>
              <w:spacing w:after="0"/>
              <w:rPr>
                <w:sz w:val="20"/>
                <w:szCs w:val="20"/>
                <w:color w:val="auto"/>
              </w:rPr>
            </w:pPr>
            <w:r>
              <w:rPr>
                <w:rFonts w:ascii="Arial" w:cs="Arial" w:eastAsia="Arial" w:hAnsi="Arial"/>
                <w:sz w:val="14"/>
                <w:szCs w:val="14"/>
                <w:color w:val="auto"/>
              </w:rPr>
              <w:t>Current portion of long-term debt — external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1,692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263"/>
        </w:trPr>
        <w:tc>
          <w:tcPr>
            <w:tcW w:w="3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portion of long-term debt — affiliate</w:t>
            </w: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50"/>
        </w:trPr>
        <w:tc>
          <w:tcPr>
            <w:tcW w:w="3740" w:type="dxa"/>
            <w:vAlign w:val="bottom"/>
          </w:tcPr>
          <w:p>
            <w:pPr>
              <w:ind w:left="180"/>
              <w:spacing w:after="0"/>
              <w:rPr>
                <w:sz w:val="20"/>
                <w:szCs w:val="20"/>
                <w:color w:val="auto"/>
              </w:rPr>
            </w:pPr>
            <w:r>
              <w:rPr>
                <w:rFonts w:ascii="Arial" w:cs="Arial" w:eastAsia="Arial" w:hAnsi="Arial"/>
                <w:sz w:val="14"/>
                <w:szCs w:val="14"/>
                <w:color w:val="auto"/>
              </w:rPr>
              <w:t>Accounts payable — trade</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63"/>
        </w:trPr>
        <w:tc>
          <w:tcPr>
            <w:tcW w:w="3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 — affiliate</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51"/>
        </w:trPr>
        <w:tc>
          <w:tcPr>
            <w:tcW w:w="3740" w:type="dxa"/>
            <w:vAlign w:val="bottom"/>
          </w:tcPr>
          <w:p>
            <w:pPr>
              <w:ind w:left="180"/>
              <w:spacing w:after="0"/>
              <w:rPr>
                <w:sz w:val="20"/>
                <w:szCs w:val="20"/>
                <w:color w:val="auto"/>
              </w:rPr>
            </w:pPr>
            <w:r>
              <w:rPr>
                <w:rFonts w:ascii="Arial" w:cs="Arial" w:eastAsia="Arial" w:hAnsi="Arial"/>
                <w:sz w:val="14"/>
                <w:szCs w:val="14"/>
                <w:color w:val="auto"/>
              </w:rPr>
              <w:t>Derivative instruments</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63"/>
        </w:trPr>
        <w:tc>
          <w:tcPr>
            <w:tcW w:w="3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interest expense</w:t>
            </w: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51"/>
        </w:trPr>
        <w:tc>
          <w:tcPr>
            <w:tcW w:w="3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56"/>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1,881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2,058</w:t>
            </w:r>
          </w:p>
        </w:tc>
        <w:tc>
          <w:tcPr>
            <w:tcW w:w="0" w:type="dxa"/>
            <w:vAlign w:val="bottom"/>
          </w:tcPr>
          <w:p>
            <w:pPr>
              <w:spacing w:after="0"/>
              <w:rPr>
                <w:sz w:val="1"/>
                <w:szCs w:val="1"/>
                <w:color w:val="auto"/>
              </w:rPr>
            </w:pPr>
          </w:p>
        </w:tc>
      </w:tr>
      <w:tr>
        <w:trPr>
          <w:trHeight w:val="177"/>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Other Liabilities</w:t>
            </w: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3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Long-term debt — external</w:t>
            </w: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3,424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1,532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4,956</w:t>
            </w:r>
          </w:p>
        </w:tc>
        <w:tc>
          <w:tcPr>
            <w:tcW w:w="0" w:type="dxa"/>
            <w:vAlign w:val="bottom"/>
          </w:tcPr>
          <w:p>
            <w:pPr>
              <w:spacing w:after="0"/>
              <w:rPr>
                <w:sz w:val="1"/>
                <w:szCs w:val="1"/>
                <w:color w:val="auto"/>
              </w:rPr>
            </w:pPr>
          </w:p>
        </w:tc>
      </w:tr>
      <w:tr>
        <w:trPr>
          <w:trHeight w:val="250"/>
        </w:trPr>
        <w:tc>
          <w:tcPr>
            <w:tcW w:w="3740" w:type="dxa"/>
            <w:vAlign w:val="bottom"/>
          </w:tcPr>
          <w:p>
            <w:pPr>
              <w:ind w:left="180"/>
              <w:spacing w:after="0"/>
              <w:rPr>
                <w:sz w:val="20"/>
                <w:szCs w:val="20"/>
                <w:color w:val="auto"/>
              </w:rPr>
            </w:pPr>
            <w:r>
              <w:rPr>
                <w:rFonts w:ascii="Arial" w:cs="Arial" w:eastAsia="Arial" w:hAnsi="Arial"/>
                <w:sz w:val="14"/>
                <w:szCs w:val="14"/>
                <w:color w:val="auto"/>
              </w:rPr>
              <w:t>Derivative instruments</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63"/>
        </w:trPr>
        <w:tc>
          <w:tcPr>
            <w:tcW w:w="3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Long-term lease liabilities</w:t>
            </w: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51"/>
        </w:trPr>
        <w:tc>
          <w:tcPr>
            <w:tcW w:w="3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non-current liabilities</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50"/>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non-current liabilities</w:t>
            </w: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3,831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1,541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5,374</w:t>
            </w:r>
          </w:p>
        </w:tc>
        <w:tc>
          <w:tcPr>
            <w:tcW w:w="0" w:type="dxa"/>
            <w:vAlign w:val="bottom"/>
          </w:tcPr>
          <w:p>
            <w:pPr>
              <w:spacing w:after="0"/>
              <w:rPr>
                <w:sz w:val="1"/>
                <w:szCs w:val="1"/>
                <w:color w:val="auto"/>
              </w:rPr>
            </w:pPr>
          </w:p>
        </w:tc>
      </w:tr>
      <w:tr>
        <w:trPr>
          <w:trHeight w:val="250"/>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140" w:type="dxa"/>
            <w:vAlign w:val="bottom"/>
          </w:tcPr>
          <w:p>
            <w:pPr>
              <w:spacing w:after="0"/>
              <w:rPr>
                <w:sz w:val="21"/>
                <w:szCs w:val="21"/>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5,712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1,711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7,432</w:t>
            </w:r>
          </w:p>
        </w:tc>
        <w:tc>
          <w:tcPr>
            <w:tcW w:w="0" w:type="dxa"/>
            <w:vAlign w:val="bottom"/>
          </w:tcPr>
          <w:p>
            <w:pPr>
              <w:spacing w:after="0"/>
              <w:rPr>
                <w:sz w:val="1"/>
                <w:szCs w:val="1"/>
                <w:color w:val="auto"/>
              </w:rPr>
            </w:pPr>
          </w:p>
        </w:tc>
      </w:tr>
      <w:tr>
        <w:trPr>
          <w:trHeight w:val="188"/>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Commitments and Contingencies</w:t>
            </w: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Members' Equity</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Contributed capital</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1,882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794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2,808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2,257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(5,859)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1,882</w:t>
            </w:r>
          </w:p>
        </w:tc>
        <w:tc>
          <w:tcPr>
            <w:tcW w:w="0" w:type="dxa"/>
            <w:vAlign w:val="bottom"/>
          </w:tcPr>
          <w:p>
            <w:pPr>
              <w:spacing w:after="0"/>
              <w:rPr>
                <w:sz w:val="1"/>
                <w:szCs w:val="1"/>
                <w:color w:val="auto"/>
              </w:rPr>
            </w:pPr>
          </w:p>
        </w:tc>
      </w:tr>
      <w:tr>
        <w:trPr>
          <w:trHeight w:val="250"/>
        </w:trPr>
        <w:tc>
          <w:tcPr>
            <w:tcW w:w="3740" w:type="dxa"/>
            <w:vAlign w:val="bottom"/>
          </w:tcPr>
          <w:p>
            <w:pPr>
              <w:ind w:left="180"/>
              <w:spacing w:after="0"/>
              <w:rPr>
                <w:sz w:val="20"/>
                <w:szCs w:val="20"/>
                <w:color w:val="auto"/>
              </w:rPr>
            </w:pPr>
            <w:r>
              <w:rPr>
                <w:rFonts w:ascii="Arial" w:cs="Arial" w:eastAsia="Arial" w:hAnsi="Arial"/>
                <w:sz w:val="14"/>
                <w:szCs w:val="14"/>
                <w:color w:val="auto"/>
              </w:rPr>
              <w:t>Retained earnings (Accumulated deficit)</w:t>
            </w:r>
          </w:p>
        </w:tc>
        <w:tc>
          <w:tcPr>
            <w:tcW w:w="140" w:type="dxa"/>
            <w:vAlign w:val="bottom"/>
          </w:tcPr>
          <w:p>
            <w:pPr>
              <w:spacing w:after="0"/>
              <w:rPr>
                <w:sz w:val="21"/>
                <w:szCs w:val="21"/>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63"/>
        </w:trPr>
        <w:tc>
          <w:tcPr>
            <w:tcW w:w="3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51"/>
        </w:trPr>
        <w:tc>
          <w:tcPr>
            <w:tcW w:w="3740" w:type="dxa"/>
            <w:vAlign w:val="bottom"/>
          </w:tcPr>
          <w:p>
            <w:pPr>
              <w:ind w:left="180"/>
              <w:spacing w:after="0"/>
              <w:rPr>
                <w:sz w:val="20"/>
                <w:szCs w:val="20"/>
                <w:color w:val="auto"/>
              </w:rPr>
            </w:pPr>
            <w:r>
              <w:rPr>
                <w:rFonts w:ascii="Arial" w:cs="Arial" w:eastAsia="Arial" w:hAnsi="Arial"/>
                <w:sz w:val="14"/>
                <w:szCs w:val="14"/>
                <w:color w:val="auto"/>
              </w:rPr>
              <w:t>Noncontrolling Interest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5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Members' Equity</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1,850</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813</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3,079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2,149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(5,718)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223"/>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Total Liabilities and Members’ Equity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1,851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8,791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3,860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(5,718)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9,605</w:t>
            </w:r>
          </w:p>
        </w:tc>
        <w:tc>
          <w:tcPr>
            <w:tcW w:w="0" w:type="dxa"/>
            <w:vAlign w:val="bottom"/>
          </w:tcPr>
          <w:p>
            <w:pPr>
              <w:spacing w:after="0"/>
              <w:rPr>
                <w:sz w:val="1"/>
                <w:szCs w:val="1"/>
                <w:color w:val="auto"/>
              </w:rPr>
            </w:pPr>
          </w:p>
        </w:tc>
      </w:tr>
      <w:tr>
        <w:trPr>
          <w:trHeight w:val="33"/>
        </w:trPr>
        <w:tc>
          <w:tcPr>
            <w:tcW w:w="3740" w:type="dxa"/>
            <w:vAlign w:val="bottom"/>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3798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Clearway Energy</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80" w:type="dxa"/>
            <w:vAlign w:val="bottom"/>
          </w:tcPr>
          <w:p>
            <w:pPr>
              <w:spacing w:after="0"/>
              <w:rPr>
                <w:sz w:val="12"/>
                <w:szCs w:val="12"/>
                <w:color w:val="auto"/>
              </w:rPr>
            </w:pPr>
          </w:p>
        </w:tc>
        <w:tc>
          <w:tcPr>
            <w:tcW w:w="11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(Note Issuer)</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5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Intercompany transactions between Clearway Energy</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LLC and subsidiaries</w:t>
            </w: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40" w:type="dxa"/>
            <w:vAlign w:val="bottom"/>
          </w:tcPr>
          <w:p>
            <w:pPr>
              <w:ind w:left="180"/>
              <w:spacing w:after="0"/>
              <w:rPr>
                <w:sz w:val="20"/>
                <w:szCs w:val="20"/>
                <w:color w:val="auto"/>
              </w:rPr>
            </w:pPr>
            <w:r>
              <w:rPr>
                <w:rFonts w:ascii="Arial" w:cs="Arial" w:eastAsia="Arial" w:hAnsi="Arial"/>
                <w:sz w:val="18"/>
                <w:szCs w:val="18"/>
                <w:color w:val="auto"/>
              </w:rPr>
              <w:t>Acquisition of interest in Oahu Partnership</w:t>
            </w:r>
          </w:p>
        </w:tc>
        <w:tc>
          <w:tcPr>
            <w:tcW w:w="28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Buyout of Wind TE Holdco noncontrolling interest</w:t>
            </w: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4540" w:type="dxa"/>
            <w:vAlign w:val="bottom"/>
          </w:tcPr>
          <w:p>
            <w:pPr>
              <w:ind w:left="30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Return of investment from unconsolidated affiliates</w:t>
            </w: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4540" w:type="dxa"/>
            <w:vAlign w:val="bottom"/>
          </w:tcPr>
          <w:p>
            <w:pPr>
              <w:ind w:left="180"/>
              <w:spacing w:after="0"/>
              <w:rPr>
                <w:sz w:val="20"/>
                <w:szCs w:val="20"/>
                <w:color w:val="auto"/>
              </w:rPr>
            </w:pPr>
            <w:r>
              <w:rPr>
                <w:rFonts w:ascii="Arial" w:cs="Arial" w:eastAsia="Arial" w:hAnsi="Arial"/>
                <w:sz w:val="18"/>
                <w:szCs w:val="18"/>
                <w:color w:val="auto"/>
              </w:rPr>
              <w:t>Net investments in unconsolidated affiliates</w:t>
            </w:r>
          </w:p>
        </w:tc>
        <w:tc>
          <w:tcPr>
            <w:tcW w:w="28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300"/>
              <w:spacing w:after="0" w:line="176" w:lineRule="exact"/>
              <w:rPr>
                <w:sz w:val="20"/>
                <w:szCs w:val="20"/>
                <w:color w:val="auto"/>
              </w:rPr>
            </w:pPr>
            <w:r>
              <w:rPr>
                <w:rFonts w:ascii="Arial" w:cs="Arial" w:eastAsia="Arial" w:hAnsi="Arial"/>
                <w:sz w:val="18"/>
                <w:szCs w:val="18"/>
                <w:color w:val="auto"/>
                <w:w w:val="93"/>
              </w:rPr>
              <w:t>Transfer of funds under intercompany cash management</w:t>
            </w:r>
          </w:p>
        </w:tc>
        <w:tc>
          <w:tcPr>
            <w:tcW w:w="280" w:type="dxa"/>
            <w:vAlign w:val="bottom"/>
          </w:tcPr>
          <w:p>
            <w:pPr>
              <w:spacing w:after="0"/>
              <w:rPr>
                <w:sz w:val="15"/>
                <w:szCs w:val="15"/>
                <w:color w:val="auto"/>
              </w:rPr>
            </w:pPr>
          </w:p>
        </w:tc>
        <w:tc>
          <w:tcPr>
            <w:tcW w:w="940" w:type="dxa"/>
            <w:vAlign w:val="bottom"/>
            <w:vMerge w:val="restart"/>
          </w:tcPr>
          <w:p>
            <w:pPr>
              <w:jc w:val="right"/>
              <w:ind w:right="7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8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arrangement</w:t>
            </w: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contributions from noncontrolling interests</w:t>
            </w: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4540" w:type="dxa"/>
            <w:vAlign w:val="bottom"/>
          </w:tcPr>
          <w:p>
            <w:pPr>
              <w:ind w:left="300"/>
              <w:spacing w:after="0"/>
              <w:rPr>
                <w:sz w:val="20"/>
                <w:szCs w:val="20"/>
                <w:color w:val="auto"/>
              </w:rPr>
            </w:pPr>
            <w:r>
              <w:rPr>
                <w:rFonts w:ascii="Arial" w:cs="Arial" w:eastAsia="Arial" w:hAnsi="Arial"/>
                <w:sz w:val="18"/>
                <w:szCs w:val="18"/>
                <w:color w:val="auto"/>
              </w:rPr>
              <w:t>(Payments of) proceeds from distributions</w:t>
            </w:r>
          </w:p>
        </w:tc>
        <w:tc>
          <w:tcPr>
            <w:tcW w:w="28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75"/>
        </w:trPr>
        <w:tc>
          <w:tcPr>
            <w:tcW w:w="45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3"/>
              </w:rPr>
              <w:t>Proceeds from the issuance of long-term debt-external. .</w:t>
            </w:r>
          </w:p>
        </w:tc>
        <w:tc>
          <w:tcPr>
            <w:tcW w:w="2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40" w:type="dxa"/>
            <w:vAlign w:val="bottom"/>
          </w:tcPr>
          <w:p>
            <w:pPr>
              <w:ind w:left="300"/>
              <w:spacing w:after="0"/>
              <w:rPr>
                <w:sz w:val="20"/>
                <w:szCs w:val="20"/>
                <w:color w:val="auto"/>
              </w:rPr>
            </w:pPr>
            <w:r>
              <w:rPr>
                <w:rFonts w:ascii="Arial" w:cs="Arial" w:eastAsia="Arial" w:hAnsi="Arial"/>
                <w:sz w:val="18"/>
                <w:szCs w:val="18"/>
                <w:color w:val="auto"/>
              </w:rPr>
              <w:t>Payments for long-term debt — external</w:t>
            </w:r>
          </w:p>
        </w:tc>
        <w:tc>
          <w:tcPr>
            <w:tcW w:w="28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Payments for long-term debt — affiliate</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5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4"/>
              </w:rPr>
              <w:t>Net Decrease in Cash, Cash Equivalents and Restricted</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280" w:type="dxa"/>
            <w:vAlign w:val="bottom"/>
          </w:tcPr>
          <w:p>
            <w:pPr>
              <w:spacing w:after="0"/>
              <w:rPr>
                <w:sz w:val="20"/>
                <w:szCs w:val="20"/>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5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7"/>
              </w:rPr>
              <w:t>Cash, Cash Equivalents and Restricted Cash at end of</w:t>
            </w:r>
          </w:p>
        </w:tc>
        <w:tc>
          <w:tcPr>
            <w:tcW w:w="28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5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period</w:t>
            </w:r>
          </w:p>
        </w:tc>
        <w:tc>
          <w:tcPr>
            <w:tcW w:w="28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118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vMerge w:val="continue"/>
            <w:shd w:val="clear" w:color="auto" w:fill="CCEEFF"/>
          </w:tcPr>
          <w:p>
            <w:pPr>
              <w:spacing w:after="0"/>
              <w:rPr>
                <w:sz w:val="22"/>
                <w:szCs w:val="22"/>
                <w:color w:val="auto"/>
              </w:rPr>
            </w:pPr>
          </w:p>
        </w:tc>
        <w:tc>
          <w:tcPr>
            <w:tcW w:w="1300" w:type="dxa"/>
            <w:vAlign w:val="bottom"/>
            <w:gridSpan w:val="2"/>
            <w:vMerge w:val="continue"/>
            <w:shd w:val="clear" w:color="auto" w:fill="CCEEFF"/>
          </w:tcPr>
          <w:p>
            <w:pPr>
              <w:spacing w:after="0"/>
              <w:rPr>
                <w:sz w:val="22"/>
                <w:szCs w:val="22"/>
                <w:color w:val="auto"/>
              </w:rPr>
            </w:pPr>
          </w:p>
        </w:tc>
        <w:tc>
          <w:tcPr>
            <w:tcW w:w="180" w:type="dxa"/>
            <w:vAlign w:val="bottom"/>
            <w:vMerge w:val="continue"/>
            <w:shd w:val="clear" w:color="auto" w:fill="CCEEFF"/>
          </w:tcPr>
          <w:p>
            <w:pPr>
              <w:spacing w:after="0"/>
              <w:rPr>
                <w:sz w:val="22"/>
                <w:szCs w:val="22"/>
                <w:color w:val="auto"/>
              </w:rPr>
            </w:pPr>
          </w:p>
        </w:tc>
        <w:tc>
          <w:tcPr>
            <w:tcW w:w="118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Note 11 — 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Company's 2019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Nebraska Public Power District Litigation</w:t>
      </w:r>
    </w:p>
    <w:p>
      <w:pPr>
        <w:spacing w:after="0" w:line="17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the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On April 13, 2020, the U.S. District Court granted the wind projects' motion for summary judgment and permanently enjoined NPPD from terminating the PPAs in reliance on the alleged events of default. The U.S. District Court decision is subject to a right to appeal and the case in the Knox County District Court remains pending, but has been stayed pending the outcome of the U.S. District Court case. The Company believes the allegations of NPPD are meritless and the Company is vigorously defending its rights under the PPAs.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Buckthorn Solar Litigation</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Buckthorn Westex believes the allegations of Georgetown are meritless, and Buckthorn Westex is vigorously defending its rights under the PPA.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 xml:space="preserve">Note 12 — </w:t>
      </w:r>
      <w:r>
        <w:rPr>
          <w:rFonts w:ascii="Arial" w:cs="Arial" w:eastAsia="Arial" w:hAnsi="Arial"/>
          <w:sz w:val="18"/>
          <w:szCs w:val="18"/>
          <w:b w:val="1"/>
          <w:bCs w:val="1"/>
          <w:i w:val="1"/>
          <w:iCs w:val="1"/>
          <w:color w:val="auto"/>
        </w:rPr>
        <w:t>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Leases</w:t>
      </w:r>
    </w:p>
    <w:p>
      <w:pPr>
        <w:spacing w:after="0" w:line="15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evaluates each arrangement at inception to determine if it contains a lease. All of the Company’s leases are operating leases as of March 31, 2020.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5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Company records its operating lease liabilities at the present value at lease commencement date of the lease payments over the lease term. Lease payments include fixed payment amounts, as well as variable rate payments based on an index initially measured at lease commencement date. Variable payments, including payments based on future performance and based on index changes, are recorded as the expense is incurred. The Company determines the relevant lease term by evaluating whether renewal and termination options are reasonably to certain to be exercised. The Company uses its incremental borrowing rate to calculate the present value of the lease payments, based on information available at the lease commencement date.</w:t>
      </w:r>
    </w:p>
    <w:p>
      <w:pPr>
        <w:spacing w:after="0" w:line="9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Company’s leases consist of land leases for numerous operating asset locations, real estate leases and equipment leases. The terms and conditions for these leases vary by the type of underlying asset.</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Lease expense was comprised of the following:</w:t>
      </w: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37465</wp:posOffset>
            </wp:positionV>
            <wp:extent cx="2425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45"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Three months ended March</w:t>
            </w:r>
          </w:p>
        </w:tc>
        <w:tc>
          <w:tcPr>
            <w:tcW w:w="160" w:type="dxa"/>
            <w:vAlign w:val="bottom"/>
          </w:tcPr>
          <w:p>
            <w:pPr>
              <w:spacing w:after="0"/>
              <w:rPr>
                <w:sz w:val="14"/>
                <w:szCs w:val="14"/>
                <w:color w:val="auto"/>
              </w:rPr>
            </w:pPr>
          </w:p>
        </w:tc>
        <w:tc>
          <w:tcPr>
            <w:tcW w:w="230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92"/>
        </w:trPr>
        <w:tc>
          <w:tcPr>
            <w:tcW w:w="96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jc w:val="right"/>
              <w:ind w:right="659"/>
              <w:spacing w:after="0"/>
              <w:rPr>
                <w:sz w:val="20"/>
                <w:szCs w:val="20"/>
                <w:color w:val="auto"/>
              </w:rPr>
            </w:pPr>
            <w:r>
              <w:rPr>
                <w:rFonts w:ascii="Arial" w:cs="Arial" w:eastAsia="Arial" w:hAnsi="Arial"/>
                <w:sz w:val="14"/>
                <w:szCs w:val="14"/>
                <w:b w:val="1"/>
                <w:bCs w:val="1"/>
                <w:color w:val="auto"/>
              </w:rPr>
              <w:t>31,2020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4680" w:type="dxa"/>
            <w:vAlign w:val="bottom"/>
            <w:tcBorders>
              <w:top w:val="single" w:sz="8" w:color="CCEEFF"/>
              <w:bottom w:val="single" w:sz="8" w:color="CCEEFF"/>
            </w:tcBorders>
            <w:shd w:val="clear" w:color="auto" w:fill="CCEEFF"/>
          </w:tcPr>
          <w:p>
            <w:pPr>
              <w:jc w:val="right"/>
              <w:ind w:right="2370"/>
              <w:spacing w:after="0"/>
              <w:rPr>
                <w:sz w:val="20"/>
                <w:szCs w:val="20"/>
                <w:color w:val="auto"/>
              </w:rPr>
            </w:pPr>
            <w:r>
              <w:rPr>
                <w:rFonts w:ascii="Arial" w:cs="Arial" w:eastAsia="Arial" w:hAnsi="Arial"/>
                <w:sz w:val="18"/>
                <w:szCs w:val="18"/>
                <w:color w:val="auto"/>
                <w:w w:val="97"/>
              </w:rPr>
              <w:t>Operating lease cost - Fixed</w:t>
            </w:r>
          </w:p>
        </w:tc>
        <w:tc>
          <w:tcPr>
            <w:tcW w:w="12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4680" w:type="dxa"/>
            <w:vAlign w:val="bottom"/>
          </w:tcPr>
          <w:p>
            <w:pPr>
              <w:jc w:val="right"/>
              <w:ind w:right="2190"/>
              <w:spacing w:after="0"/>
              <w:rPr>
                <w:sz w:val="20"/>
                <w:szCs w:val="20"/>
                <w:color w:val="auto"/>
              </w:rPr>
            </w:pPr>
            <w:r>
              <w:rPr>
                <w:rFonts w:ascii="Arial" w:cs="Arial" w:eastAsia="Arial" w:hAnsi="Arial"/>
                <w:sz w:val="18"/>
                <w:szCs w:val="18"/>
                <w:color w:val="auto"/>
                <w:w w:val="96"/>
              </w:rPr>
              <w:t>Operating lease cost - Variable</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Pr>
          <w:p>
            <w:pPr>
              <w:jc w:val="right"/>
              <w:ind w:right="39"/>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48"/>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jc w:val="right"/>
              <w:ind w:right="3150"/>
              <w:spacing w:after="0"/>
              <w:rPr>
                <w:sz w:val="20"/>
                <w:szCs w:val="20"/>
                <w:color w:val="auto"/>
              </w:rPr>
            </w:pPr>
            <w:r>
              <w:rPr>
                <w:rFonts w:ascii="Arial" w:cs="Arial" w:eastAsia="Arial" w:hAnsi="Arial"/>
                <w:sz w:val="18"/>
                <w:szCs w:val="18"/>
                <w:color w:val="auto"/>
              </w:rPr>
              <w:t>Total lease cost</w:t>
            </w: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40" w:type="dxa"/>
            <w:vAlign w:val="bottom"/>
            <w:gridSpan w:val="2"/>
            <w:vMerge w:val="restart"/>
          </w:tcPr>
          <w:p>
            <w:pPr>
              <w:jc w:val="right"/>
              <w:ind w:right="2390"/>
              <w:spacing w:after="0"/>
              <w:rPr>
                <w:sz w:val="20"/>
                <w:szCs w:val="20"/>
                <w:color w:val="auto"/>
              </w:rPr>
            </w:pPr>
            <w:r>
              <w:rPr>
                <w:rFonts w:ascii="Arial" w:cs="Arial" w:eastAsia="Arial" w:hAnsi="Arial"/>
                <w:sz w:val="18"/>
                <w:szCs w:val="18"/>
                <w:color w:val="auto"/>
                <w:w w:val="90"/>
              </w:rPr>
              <w:t>Operating lease information was as follows:</w:t>
            </w: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56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tcPr>
          <w:p>
            <w:pPr>
              <w:ind w:left="54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2"/>
          </w:tcPr>
          <w:p>
            <w:pPr>
              <w:ind w:left="5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7620</wp:posOffset>
            </wp:positionV>
            <wp:extent cx="2854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millions, except term and rate)</w:t>
      </w:r>
    </w:p>
    <w:p>
      <w:pPr>
        <w:spacing w:after="0" w:line="35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ROU Assets - operating leases, net</w:t>
      </w:r>
    </w:p>
    <w:p>
      <w:pPr>
        <w:spacing w:after="0" w:line="3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Short-term lease liability - operating leases </w:t>
      </w:r>
      <w:r>
        <w:rPr>
          <w:rFonts w:ascii="Arial" w:cs="Arial" w:eastAsia="Arial" w:hAnsi="Arial"/>
          <w:sz w:val="20"/>
          <w:szCs w:val="20"/>
          <w:color w:val="auto"/>
          <w:vertAlign w:val="superscript"/>
        </w:rPr>
        <w:t>(a)</w:t>
      </w:r>
    </w:p>
    <w:p>
      <w:pPr>
        <w:spacing w:after="0" w:line="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Long-term lease liability - operating leases</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 lease liability</w:t>
      </w:r>
    </w:p>
    <w:p>
      <w:pPr>
        <w:spacing w:after="0" w:line="29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Weighted average remaining lease term</w:t>
      </w:r>
    </w:p>
    <w:p>
      <w:pPr>
        <w:spacing w:after="0" w:line="7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Weighted average discount rate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Cash paid for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13798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54"/>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ind w:right="54"/>
              <w:spacing w:after="0"/>
              <w:rPr>
                <w:sz w:val="20"/>
                <w:szCs w:val="20"/>
                <w:color w:val="auto"/>
              </w:rPr>
            </w:pPr>
            <w:r>
              <w:rPr>
                <w:rFonts w:ascii="Arial" w:cs="Arial" w:eastAsia="Arial" w:hAnsi="Arial"/>
                <w:sz w:val="18"/>
                <w:szCs w:val="18"/>
                <w:color w:val="auto"/>
              </w:rPr>
              <w:t>223</w:t>
            </w:r>
          </w:p>
        </w:tc>
      </w:tr>
      <w:tr>
        <w:trPr>
          <w:trHeight w:val="27"/>
        </w:trPr>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2080" w:type="dxa"/>
            <w:vAlign w:val="bottom"/>
          </w:tcPr>
          <w:p>
            <w:pPr>
              <w:jc w:val="right"/>
              <w:ind w:right="5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jc w:val="right"/>
              <w:ind w:right="54"/>
              <w:spacing w:after="0"/>
              <w:rPr>
                <w:sz w:val="20"/>
                <w:szCs w:val="20"/>
                <w:color w:val="auto"/>
              </w:rPr>
            </w:pPr>
            <w:r>
              <w:rPr>
                <w:rFonts w:ascii="Arial" w:cs="Arial" w:eastAsia="Arial" w:hAnsi="Arial"/>
                <w:sz w:val="18"/>
                <w:szCs w:val="18"/>
                <w:color w:val="auto"/>
              </w:rPr>
              <w:t>7</w:t>
            </w:r>
          </w:p>
        </w:tc>
      </w:tr>
      <w:tr>
        <w:trPr>
          <w:trHeight w:val="270"/>
        </w:trPr>
        <w:tc>
          <w:tcPr>
            <w:tcW w:w="120" w:type="dxa"/>
            <w:vAlign w:val="bottom"/>
          </w:tcPr>
          <w:p>
            <w:pPr>
              <w:spacing w:after="0"/>
              <w:rPr>
                <w:sz w:val="23"/>
                <w:szCs w:val="23"/>
                <w:color w:val="auto"/>
              </w:rPr>
            </w:pPr>
          </w:p>
        </w:tc>
        <w:tc>
          <w:tcPr>
            <w:tcW w:w="2080" w:type="dxa"/>
            <w:vAlign w:val="bottom"/>
          </w:tcPr>
          <w:p>
            <w:pPr>
              <w:jc w:val="right"/>
              <w:ind w:right="54"/>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jc w:val="right"/>
              <w:ind w:right="54"/>
              <w:spacing w:after="0"/>
              <w:rPr>
                <w:sz w:val="20"/>
                <w:szCs w:val="20"/>
                <w:color w:val="auto"/>
              </w:rPr>
            </w:pPr>
            <w:r>
              <w:rPr>
                <w:rFonts w:ascii="Arial" w:cs="Arial" w:eastAsia="Arial" w:hAnsi="Arial"/>
                <w:sz w:val="18"/>
                <w:szCs w:val="18"/>
                <w:color w:val="auto"/>
              </w:rPr>
              <w:t>227</w:t>
            </w:r>
          </w:p>
        </w:tc>
      </w:tr>
      <w:tr>
        <w:trPr>
          <w:trHeight w:val="27"/>
        </w:trPr>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54"/>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ind w:right="54"/>
              <w:spacing w:after="0"/>
              <w:rPr>
                <w:sz w:val="20"/>
                <w:szCs w:val="20"/>
                <w:color w:val="auto"/>
              </w:rPr>
            </w:pPr>
            <w:r>
              <w:rPr>
                <w:rFonts w:ascii="Arial" w:cs="Arial" w:eastAsia="Arial" w:hAnsi="Arial"/>
                <w:sz w:val="18"/>
                <w:szCs w:val="18"/>
                <w:color w:val="auto"/>
              </w:rPr>
              <w:t>234</w:t>
            </w:r>
          </w:p>
        </w:tc>
      </w:tr>
      <w:tr>
        <w:trPr>
          <w:trHeight w:val="27"/>
        </w:trPr>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20" w:type="dxa"/>
            <w:vAlign w:val="bottom"/>
          </w:tcPr>
          <w:p>
            <w:pPr>
              <w:spacing w:after="0"/>
              <w:rPr>
                <w:sz w:val="23"/>
                <w:szCs w:val="23"/>
                <w:color w:val="auto"/>
              </w:rPr>
            </w:pPr>
          </w:p>
        </w:tc>
        <w:tc>
          <w:tcPr>
            <w:tcW w:w="2080" w:type="dxa"/>
            <w:vAlign w:val="bottom"/>
          </w:tcPr>
          <w:p>
            <w:pPr>
              <w:jc w:val="right"/>
              <w:ind w:right="33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jc w:val="right"/>
              <w:ind w:right="334"/>
              <w:spacing w:after="0"/>
              <w:rPr>
                <w:sz w:val="20"/>
                <w:szCs w:val="20"/>
                <w:color w:val="auto"/>
              </w:rPr>
            </w:pPr>
            <w:r>
              <w:rPr>
                <w:rFonts w:ascii="Arial" w:cs="Arial" w:eastAsia="Arial" w:hAnsi="Arial"/>
                <w:sz w:val="18"/>
                <w:szCs w:val="18"/>
                <w:color w:val="auto"/>
              </w:rPr>
              <w:t>4.4%</w:t>
            </w:r>
          </w:p>
        </w:tc>
      </w:tr>
      <w:tr>
        <w:trPr>
          <w:trHeight w:val="283"/>
        </w:trPr>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146"/>
        </w:trPr>
        <w:tc>
          <w:tcPr>
            <w:tcW w:w="120" w:type="dxa"/>
            <w:vAlign w:val="bottom"/>
          </w:tcPr>
          <w:p>
            <w:pPr>
              <w:spacing w:after="0"/>
              <w:rPr>
                <w:sz w:val="12"/>
                <w:szCs w:val="12"/>
                <w:color w:val="auto"/>
              </w:rPr>
            </w:pPr>
          </w:p>
        </w:tc>
        <w:tc>
          <w:tcPr>
            <w:tcW w:w="22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2"/>
                <w:szCs w:val="12"/>
                <w:color w:val="auto"/>
              </w:rPr>
            </w:pPr>
          </w:p>
        </w:tc>
        <w:tc>
          <w:tcPr>
            <w:tcW w:w="2060" w:type="dxa"/>
            <w:vAlign w:val="bottom"/>
          </w:tcPr>
          <w:p>
            <w:pPr>
              <w:jc w:val="right"/>
              <w:ind w:right="34"/>
              <w:spacing w:after="0" w:line="147" w:lineRule="exact"/>
              <w:rPr>
                <w:sz w:val="20"/>
                <w:szCs w:val="20"/>
                <w:color w:val="auto"/>
              </w:rPr>
            </w:pPr>
            <w:r>
              <w:rPr>
                <w:rFonts w:ascii="Arial" w:cs="Arial" w:eastAsia="Arial" w:hAnsi="Arial"/>
                <w:sz w:val="14"/>
                <w:szCs w:val="14"/>
                <w:b w:val="1"/>
                <w:bCs w:val="1"/>
                <w:color w:val="auto"/>
                <w:w w:val="93"/>
              </w:rPr>
              <w:t>Three months ended March 31,</w:t>
            </w:r>
          </w:p>
        </w:tc>
      </w:tr>
      <w:tr>
        <w:trPr>
          <w:trHeight w:val="192"/>
        </w:trPr>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2019</w:t>
            </w:r>
          </w:p>
        </w:tc>
      </w:tr>
      <w:tr>
        <w:trPr>
          <w:trHeight w:val="243"/>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5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ind w:right="54"/>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-3465195</wp:posOffset>
            </wp:positionH>
            <wp:positionV relativeFrom="paragraph">
              <wp:posOffset>-1953895</wp:posOffset>
            </wp:positionV>
            <wp:extent cx="632650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26505" cy="188595"/>
                    </a:xfrm>
                    <a:prstGeom prst="rect">
                      <a:avLst/>
                    </a:prstGeom>
                    <a:noFill/>
                  </pic:spPr>
                </pic:pic>
              </a:graphicData>
            </a:graphic>
          </wp:anchor>
        </w:drawing>
        <w:drawing>
          <wp:anchor simplePos="0" relativeHeight="251657728" behindDoc="1" locked="0" layoutInCell="0" allowOverlap="1">
            <wp:simplePos x="0" y="0"/>
            <wp:positionH relativeFrom="column">
              <wp:posOffset>-3465195</wp:posOffset>
            </wp:positionH>
            <wp:positionV relativeFrom="paragraph">
              <wp:posOffset>-1602740</wp:posOffset>
            </wp:positionV>
            <wp:extent cx="632650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26505" cy="171450"/>
                    </a:xfrm>
                    <a:prstGeom prst="rect">
                      <a:avLst/>
                    </a:prstGeom>
                    <a:noFill/>
                  </pic:spPr>
                </pic:pic>
              </a:graphicData>
            </a:graphic>
          </wp:anchor>
        </w:drawing>
        <w:drawing>
          <wp:anchor simplePos="0" relativeHeight="251657728" behindDoc="1" locked="0" layoutInCell="0" allowOverlap="1">
            <wp:simplePos x="0" y="0"/>
            <wp:positionH relativeFrom="column">
              <wp:posOffset>-3465195</wp:posOffset>
            </wp:positionH>
            <wp:positionV relativeFrom="paragraph">
              <wp:posOffset>-1259840</wp:posOffset>
            </wp:positionV>
            <wp:extent cx="6326505" cy="196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26505" cy="196850"/>
                    </a:xfrm>
                    <a:prstGeom prst="rect">
                      <a:avLst/>
                    </a:prstGeom>
                    <a:noFill/>
                  </pic:spPr>
                </pic:pic>
              </a:graphicData>
            </a:graphic>
          </wp:anchor>
        </w:drawing>
        <w:drawing>
          <wp:anchor simplePos="0" relativeHeight="251657728" behindDoc="1" locked="0" layoutInCell="0" allowOverlap="1">
            <wp:simplePos x="0" y="0"/>
            <wp:positionH relativeFrom="column">
              <wp:posOffset>-3465195</wp:posOffset>
            </wp:positionH>
            <wp:positionV relativeFrom="paragraph">
              <wp:posOffset>-728345</wp:posOffset>
            </wp:positionV>
            <wp:extent cx="6326505"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26505" cy="171450"/>
                    </a:xfrm>
                    <a:prstGeom prst="rect">
                      <a:avLst/>
                    </a:prstGeom>
                    <a:noFill/>
                  </pic:spPr>
                </pic:pic>
              </a:graphicData>
            </a:graphic>
          </wp:anchor>
        </w:drawing>
        <w:drawing>
          <wp:anchor simplePos="0" relativeHeight="251657728" behindDoc="1" locked="0" layoutInCell="0" allowOverlap="1">
            <wp:simplePos x="0" y="0"/>
            <wp:positionH relativeFrom="column">
              <wp:posOffset>-3465195</wp:posOffset>
            </wp:positionH>
            <wp:positionV relativeFrom="paragraph">
              <wp:posOffset>-162560</wp:posOffset>
            </wp:positionV>
            <wp:extent cx="6326505"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26505"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5140"/>
          </w:cols>
          <w:pgMar w:left="320" w:top="891" w:right="339" w:bottom="1440" w:gutter="0" w:footer="0" w:header="0"/>
          <w:type w:val="continuous"/>
        </w:sectPr>
      </w:pPr>
    </w:p>
    <w:p>
      <w:pPr>
        <w:spacing w:after="0" w:line="362" w:lineRule="exact"/>
        <w:rPr>
          <w:sz w:val="20"/>
          <w:szCs w:val="20"/>
          <w:color w:val="auto"/>
        </w:rPr>
      </w:pPr>
    </w:p>
    <w:p>
      <w:pPr>
        <w:ind w:left="180" w:right="180" w:hanging="91"/>
        <w:spacing w:after="0" w:line="273" w:lineRule="auto"/>
        <w:tabs>
          <w:tab w:leader="none" w:pos="239" w:val="left"/>
        </w:tabs>
        <w:numPr>
          <w:ilvl w:val="0"/>
          <w:numId w:val="20"/>
        </w:numPr>
        <w:rPr>
          <w:rFonts w:ascii="Arial" w:cs="Arial" w:eastAsia="Arial" w:hAnsi="Arial"/>
          <w:sz w:val="9"/>
          <w:szCs w:val="9"/>
          <w:color w:val="auto"/>
        </w:rPr>
      </w:pPr>
      <w:r>
        <w:rPr>
          <w:rFonts w:ascii="Arial" w:cs="Arial" w:eastAsia="Arial" w:hAnsi="Arial"/>
          <w:sz w:val="14"/>
          <w:szCs w:val="14"/>
          <w:color w:val="auto"/>
        </w:rPr>
        <w:t>Short-term lease liability balances are included within the accrued expenses and other current liabilities line item of the consolidated balance sheets as of March 31,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4" w:name="page45"/>
    <w:bookmarkEnd w:id="44"/>
    <w:p>
      <w:pPr>
        <w:ind w:left="420"/>
        <w:spacing w:after="0"/>
        <w:rPr>
          <w:sz w:val="20"/>
          <w:szCs w:val="20"/>
          <w:color w:val="auto"/>
        </w:rPr>
      </w:pPr>
      <w:r>
        <w:rPr>
          <w:rFonts w:ascii="Arial" w:cs="Arial" w:eastAsia="Arial" w:hAnsi="Arial"/>
          <w:sz w:val="18"/>
          <w:szCs w:val="18"/>
          <w:color w:val="auto"/>
        </w:rPr>
        <w:t>Maturities of operating lease liabilities as of March 31,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134620</wp:posOffset>
            </wp:positionV>
            <wp:extent cx="6943725"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43725" cy="163195"/>
                    </a:xfrm>
                    <a:prstGeom prst="rect">
                      <a:avLst/>
                    </a:prstGeom>
                    <a:noFill/>
                  </pic:spPr>
                </pic:pic>
              </a:graphicData>
            </a:graphic>
          </wp:anchor>
        </w:drawing>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(In millions)</w:t>
      </w:r>
    </w:p>
    <w:p>
      <w:pPr>
        <w:spacing w:after="0" w:line="72"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8740" w:type="dxa"/>
            <w:vAlign w:val="bottom"/>
          </w:tcPr>
          <w:p>
            <w:pPr>
              <w:ind w:left="200"/>
              <w:spacing w:after="0"/>
              <w:rPr>
                <w:sz w:val="20"/>
                <w:szCs w:val="20"/>
                <w:color w:val="auto"/>
              </w:rPr>
            </w:pPr>
            <w:r>
              <w:rPr>
                <w:rFonts w:ascii="Arial" w:cs="Arial" w:eastAsia="Arial" w:hAnsi="Arial"/>
                <w:sz w:val="18"/>
                <w:szCs w:val="18"/>
                <w:color w:val="auto"/>
              </w:rPr>
              <w:t>Remainder of 2020</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10</w:t>
            </w:r>
          </w:p>
        </w:tc>
      </w:tr>
      <w:tr>
        <w:trPr>
          <w:trHeight w:val="27"/>
        </w:trPr>
        <w:tc>
          <w:tcPr>
            <w:tcW w:w="8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2021</w:t>
            </w:r>
          </w:p>
        </w:tc>
        <w:tc>
          <w:tcPr>
            <w:tcW w:w="9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r>
      <w:tr>
        <w:trPr>
          <w:trHeight w:val="243"/>
        </w:trPr>
        <w:tc>
          <w:tcPr>
            <w:tcW w:w="8740" w:type="dxa"/>
            <w:vAlign w:val="bottom"/>
          </w:tcPr>
          <w:p>
            <w:pPr>
              <w:ind w:left="200"/>
              <w:spacing w:after="0"/>
              <w:rPr>
                <w:sz w:val="20"/>
                <w:szCs w:val="20"/>
                <w:color w:val="auto"/>
              </w:rPr>
            </w:pPr>
            <w:r>
              <w:rPr>
                <w:rFonts w:ascii="Arial" w:cs="Arial" w:eastAsia="Arial" w:hAnsi="Arial"/>
                <w:sz w:val="18"/>
                <w:szCs w:val="18"/>
                <w:color w:val="auto"/>
              </w:rPr>
              <w:t>2022</w:t>
            </w:r>
          </w:p>
        </w:tc>
        <w:tc>
          <w:tcPr>
            <w:tcW w:w="9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16</w:t>
            </w:r>
          </w:p>
        </w:tc>
      </w:tr>
      <w:tr>
        <w:trPr>
          <w:trHeight w:val="27"/>
        </w:trPr>
        <w:tc>
          <w:tcPr>
            <w:tcW w:w="8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2023</w:t>
            </w:r>
          </w:p>
        </w:tc>
        <w:tc>
          <w:tcPr>
            <w:tcW w:w="9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43"/>
        </w:trPr>
        <w:tc>
          <w:tcPr>
            <w:tcW w:w="8740" w:type="dxa"/>
            <w:vAlign w:val="bottom"/>
          </w:tcPr>
          <w:p>
            <w:pPr>
              <w:ind w:left="200"/>
              <w:spacing w:after="0"/>
              <w:rPr>
                <w:sz w:val="20"/>
                <w:szCs w:val="20"/>
                <w:color w:val="auto"/>
              </w:rPr>
            </w:pPr>
            <w:r>
              <w:rPr>
                <w:rFonts w:ascii="Arial" w:cs="Arial" w:eastAsia="Arial" w:hAnsi="Arial"/>
                <w:sz w:val="18"/>
                <w:szCs w:val="18"/>
                <w:color w:val="auto"/>
              </w:rPr>
              <w:t>2024</w:t>
            </w:r>
          </w:p>
        </w:tc>
        <w:tc>
          <w:tcPr>
            <w:tcW w:w="90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16</w:t>
            </w:r>
          </w:p>
        </w:tc>
      </w:tr>
      <w:tr>
        <w:trPr>
          <w:trHeight w:val="27"/>
        </w:trPr>
        <w:tc>
          <w:tcPr>
            <w:tcW w:w="8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300</w:t>
            </w:r>
          </w:p>
        </w:tc>
      </w:tr>
      <w:tr>
        <w:trPr>
          <w:trHeight w:val="237"/>
        </w:trPr>
        <w:tc>
          <w:tcPr>
            <w:tcW w:w="8740" w:type="dxa"/>
            <w:vAlign w:val="bottom"/>
          </w:tcPr>
          <w:p>
            <w:pPr>
              <w:ind w:left="200"/>
              <w:spacing w:after="0"/>
              <w:rPr>
                <w:sz w:val="20"/>
                <w:szCs w:val="20"/>
                <w:color w:val="auto"/>
              </w:rPr>
            </w:pPr>
            <w:r>
              <w:rPr>
                <w:rFonts w:ascii="Arial" w:cs="Arial" w:eastAsia="Arial" w:hAnsi="Arial"/>
                <w:sz w:val="18"/>
                <w:szCs w:val="18"/>
                <w:color w:val="auto"/>
              </w:rPr>
              <w:t>Total lease payments</w:t>
            </w:r>
          </w:p>
        </w:tc>
        <w:tc>
          <w:tcPr>
            <w:tcW w:w="9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373</w:t>
            </w:r>
          </w:p>
        </w:tc>
      </w:tr>
      <w:tr>
        <w:trPr>
          <w:trHeight w:val="27"/>
        </w:trPr>
        <w:tc>
          <w:tcPr>
            <w:tcW w:w="8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Less imputed interest</w:t>
            </w:r>
          </w:p>
        </w:tc>
        <w:tc>
          <w:tcPr>
            <w:tcW w:w="9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r>
      <w:tr>
        <w:trPr>
          <w:trHeight w:val="263"/>
        </w:trPr>
        <w:tc>
          <w:tcPr>
            <w:tcW w:w="8740" w:type="dxa"/>
            <w:vAlign w:val="bottom"/>
          </w:tcPr>
          <w:p>
            <w:pPr>
              <w:ind w:left="200"/>
              <w:spacing w:after="0"/>
              <w:rPr>
                <w:sz w:val="20"/>
                <w:szCs w:val="20"/>
                <w:color w:val="auto"/>
              </w:rPr>
            </w:pPr>
            <w:r>
              <w:rPr>
                <w:rFonts w:ascii="Arial" w:cs="Arial" w:eastAsia="Arial" w:hAnsi="Arial"/>
                <w:sz w:val="18"/>
                <w:szCs w:val="18"/>
                <w:color w:val="auto"/>
              </w:rPr>
              <w:t>Total lease liability - operating leases</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229</w:t>
            </w:r>
          </w:p>
        </w:tc>
      </w:tr>
      <w:tr>
        <w:trPr>
          <w:trHeight w:val="20"/>
        </w:trPr>
        <w:tc>
          <w:tcPr>
            <w:tcW w:w="8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Lessor</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The majority of the Company’s revenue is obtained through PPAs or other contractual agreements that are accounted for as leases. These leases are comprised of both fixed payments and variable payments contingent upon volumes or performance metrics. The terms of the leases are further described in Item 2 — MD&amp;A, </w:t>
      </w:r>
      <w:r>
        <w:rPr>
          <w:rFonts w:ascii="Arial" w:cs="Arial" w:eastAsia="Arial" w:hAnsi="Arial"/>
          <w:sz w:val="18"/>
          <w:szCs w:val="18"/>
          <w:i w:val="1"/>
          <w:iCs w:val="1"/>
          <w:color w:val="auto"/>
        </w:rPr>
        <w:t>Introduction, Environmental, Regulatory</w:t>
      </w:r>
      <w:r>
        <w:rPr>
          <w:rFonts w:ascii="Arial" w:cs="Arial" w:eastAsia="Arial" w:hAnsi="Arial"/>
          <w:sz w:val="18"/>
          <w:szCs w:val="18"/>
          <w:color w:val="auto"/>
        </w:rPr>
        <w:t xml:space="preserve"> of this Form 10-Q. Many of the leases have renewal options at the end of the lease term. Termination may be allowed under specific circumstances in the lease arrangements, such as under an event of default. All of the Company’s leases are operating leases. Certain of these leases have both lease and non-lease components, and the Company allocates the transaction price to the components based on standalone selling prices. As disclosed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the following amounts of energy and capacity revenue are related to the Company’s leases:</w:t>
      </w:r>
    </w:p>
    <w:p>
      <w:pPr>
        <w:spacing w:after="0" w:line="186" w:lineRule="exact"/>
        <w:rPr>
          <w:sz w:val="20"/>
          <w:szCs w:val="20"/>
          <w:color w:val="auto"/>
        </w:rPr>
      </w:pPr>
    </w:p>
    <w:tbl>
      <w:tblPr>
        <w:tblLayout w:type="fixed"/>
        <w:tblInd w:w="720" w:type="dxa"/>
        <w:tblCellMar>
          <w:top w:w="0" w:type="dxa"/>
          <w:left w:w="0" w:type="dxa"/>
          <w:bottom w:w="0" w:type="dxa"/>
          <w:right w:w="0" w:type="dxa"/>
        </w:tblCellMar>
      </w:tblPr>
      <w:tr>
        <w:trPr>
          <w:trHeight w:val="186"/>
        </w:trPr>
        <w:tc>
          <w:tcPr>
            <w:tcW w:w="3100" w:type="dxa"/>
            <w:vAlign w:val="bottom"/>
          </w:tcPr>
          <w:p>
            <w:pPr>
              <w:ind w:left="20"/>
              <w:spacing w:after="0"/>
              <w:rPr>
                <w:sz w:val="20"/>
                <w:szCs w:val="20"/>
                <w:color w:val="auto"/>
              </w:rPr>
            </w:pPr>
            <w:r>
              <w:rPr>
                <w:rFonts w:ascii="Arial" w:cs="Arial" w:eastAsia="Arial" w:hAnsi="Arial"/>
                <w:sz w:val="14"/>
                <w:szCs w:val="14"/>
                <w:b w:val="1"/>
                <w:bCs w:val="1"/>
                <w:color w:val="auto"/>
              </w:rPr>
              <w:t>Three months ended March 31, 2020</w:t>
            </w:r>
          </w:p>
        </w:tc>
        <w:tc>
          <w:tcPr>
            <w:tcW w:w="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8"/>
        </w:trPr>
        <w:tc>
          <w:tcPr>
            <w:tcW w:w="31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8"/>
                <w:szCs w:val="18"/>
                <w:color w:val="auto"/>
              </w:rPr>
            </w:pP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Conventional Generation</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Renewables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Thermal</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270"/>
        </w:trPr>
        <w:tc>
          <w:tcPr>
            <w:tcW w:w="310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Energy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115</w:t>
            </w:r>
          </w:p>
        </w:tc>
        <w:tc>
          <w:tcPr>
            <w:tcW w:w="120" w:type="dxa"/>
            <w:vAlign w:val="bottom"/>
            <w:tcBorders>
              <w:top w:val="single" w:sz="8" w:color="CCEEFF"/>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118</w:t>
            </w:r>
          </w:p>
        </w:tc>
      </w:tr>
      <w:tr>
        <w:trPr>
          <w:trHeight w:val="270"/>
        </w:trPr>
        <w:tc>
          <w:tcPr>
            <w:tcW w:w="3100" w:type="dxa"/>
            <w:vAlign w:val="bottom"/>
          </w:tcPr>
          <w:p>
            <w:pPr>
              <w:ind w:left="280"/>
              <w:spacing w:after="0"/>
              <w:rPr>
                <w:sz w:val="20"/>
                <w:szCs w:val="20"/>
                <w:color w:val="auto"/>
              </w:rPr>
            </w:pPr>
            <w:r>
              <w:rPr>
                <w:rFonts w:ascii="Arial" w:cs="Arial" w:eastAsia="Arial" w:hAnsi="Arial"/>
                <w:sz w:val="18"/>
                <w:szCs w:val="18"/>
                <w:color w:val="auto"/>
              </w:rPr>
              <w:t>Capacity revenue</w:t>
            </w:r>
          </w:p>
        </w:tc>
        <w:tc>
          <w:tcPr>
            <w:tcW w:w="140" w:type="dxa"/>
            <w:vAlign w:val="bottom"/>
          </w:tcPr>
          <w:p>
            <w:pPr>
              <w:spacing w:after="0"/>
              <w:rPr>
                <w:sz w:val="23"/>
                <w:szCs w:val="23"/>
                <w:color w:val="auto"/>
              </w:rPr>
            </w:pPr>
          </w:p>
        </w:tc>
        <w:tc>
          <w:tcPr>
            <w:tcW w:w="1740" w:type="dxa"/>
            <w:vAlign w:val="bottom"/>
          </w:tcPr>
          <w:p>
            <w:pPr>
              <w:jc w:val="right"/>
              <w:ind w:right="55"/>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3"/>
                <w:szCs w:val="23"/>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107</w:t>
            </w:r>
          </w:p>
        </w:tc>
      </w:tr>
      <w:tr>
        <w:trPr>
          <w:trHeight w:val="237"/>
        </w:trPr>
        <w:tc>
          <w:tcPr>
            <w:tcW w:w="31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Operating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109</w:t>
            </w:r>
          </w:p>
        </w:tc>
        <w:tc>
          <w:tcPr>
            <w:tcW w:w="12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115</w:t>
            </w:r>
          </w:p>
        </w:tc>
        <w:tc>
          <w:tcPr>
            <w:tcW w:w="12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225</w:t>
            </w:r>
          </w:p>
        </w:tc>
      </w:tr>
      <w:tr>
        <w:trPr>
          <w:trHeight w:val="27"/>
        </w:trPr>
        <w:tc>
          <w:tcPr>
            <w:tcW w:w="3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Three months ended March 31, 2019</w:t>
            </w: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8"/>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4"/>
                <w:szCs w:val="14"/>
                <w:b w:val="1"/>
                <w:bCs w:val="1"/>
                <w:color w:val="auto"/>
              </w:rPr>
              <w:t>Conventional Generation</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Renewables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r>
      <w:tr>
        <w:trPr>
          <w:trHeight w:val="270"/>
        </w:trPr>
        <w:tc>
          <w:tcPr>
            <w:tcW w:w="48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Energy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99</w:t>
            </w: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100</w:t>
            </w:r>
          </w:p>
        </w:tc>
      </w:tr>
      <w:tr>
        <w:trPr>
          <w:trHeight w:val="270"/>
        </w:trPr>
        <w:tc>
          <w:tcPr>
            <w:tcW w:w="48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Capacity revenue</w:t>
            </w:r>
          </w:p>
        </w:tc>
        <w:tc>
          <w:tcPr>
            <w:tcW w:w="1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79</w:t>
            </w:r>
          </w:p>
        </w:tc>
      </w:tr>
      <w:tr>
        <w:trPr>
          <w:trHeight w:val="237"/>
        </w:trPr>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99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179</w:t>
            </w:r>
          </w:p>
        </w:tc>
      </w:tr>
      <w:tr>
        <w:trPr>
          <w:trHeight w:val="27"/>
        </w:trPr>
        <w:tc>
          <w:tcPr>
            <w:tcW w:w="4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rent payments under the operating leases for the remaining periods as of March 31,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20" w:type="dxa"/>
            <w:vAlign w:val="bottom"/>
          </w:tcPr>
          <w:p>
            <w:pPr>
              <w:spacing w:after="0"/>
              <w:rPr>
                <w:sz w:val="18"/>
                <w:szCs w:val="18"/>
                <w:color w:val="auto"/>
              </w:rPr>
            </w:pPr>
          </w:p>
        </w:tc>
        <w:tc>
          <w:tcPr>
            <w:tcW w:w="29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3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418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ind w:left="1540"/>
              <w:spacing w:after="0"/>
              <w:rPr>
                <w:sz w:val="20"/>
                <w:szCs w:val="20"/>
                <w:color w:val="auto"/>
              </w:rPr>
            </w:pPr>
            <w:r>
              <w:rPr>
                <w:rFonts w:ascii="Arial" w:cs="Arial" w:eastAsia="Arial" w:hAnsi="Arial"/>
                <w:sz w:val="18"/>
                <w:szCs w:val="18"/>
                <w:color w:val="auto"/>
              </w:rPr>
              <w:t>2021</w:t>
            </w:r>
          </w:p>
        </w:tc>
        <w:tc>
          <w:tcPr>
            <w:tcW w:w="3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444</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gridSpan w:val="2"/>
          </w:tcPr>
          <w:p>
            <w:pPr>
              <w:spacing w:after="0"/>
              <w:rPr>
                <w:sz w:val="2"/>
                <w:szCs w:val="2"/>
                <w:color w:val="auto"/>
              </w:rPr>
            </w:pPr>
          </w:p>
        </w:tc>
        <w:tc>
          <w:tcPr>
            <w:tcW w:w="3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5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ind w:left="1540"/>
              <w:spacing w:after="0"/>
              <w:rPr>
                <w:sz w:val="20"/>
                <w:szCs w:val="20"/>
                <w:color w:val="auto"/>
              </w:rPr>
            </w:pPr>
            <w:r>
              <w:rPr>
                <w:rFonts w:ascii="Arial" w:cs="Arial" w:eastAsia="Arial" w:hAnsi="Arial"/>
                <w:sz w:val="18"/>
                <w:szCs w:val="18"/>
                <w:color w:val="auto"/>
              </w:rPr>
              <w:t>2023</w:t>
            </w:r>
          </w:p>
        </w:tc>
        <w:tc>
          <w:tcPr>
            <w:tcW w:w="3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gridSpan w:val="2"/>
          </w:tcPr>
          <w:p>
            <w:pPr>
              <w:spacing w:after="0"/>
              <w:rPr>
                <w:sz w:val="2"/>
                <w:szCs w:val="2"/>
                <w:color w:val="auto"/>
              </w:rPr>
            </w:pPr>
          </w:p>
        </w:tc>
        <w:tc>
          <w:tcPr>
            <w:tcW w:w="3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5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1"/>
                <w:szCs w:val="21"/>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1,605</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1520" w:type="dxa"/>
            <w:vAlign w:val="bottom"/>
          </w:tcPr>
          <w:p>
            <w:pPr>
              <w:spacing w:after="0"/>
              <w:rPr>
                <w:sz w:val="24"/>
                <w:szCs w:val="24"/>
                <w:color w:val="auto"/>
              </w:rPr>
            </w:pPr>
          </w:p>
        </w:tc>
        <w:tc>
          <w:tcPr>
            <w:tcW w:w="2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lease payments</w:t>
            </w:r>
          </w:p>
        </w:tc>
        <w:tc>
          <w:tcPr>
            <w:tcW w:w="4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3,222</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bottom w:val="single" w:sz="8" w:color="CCEEFF"/>
            </w:tcBorders>
            <w:vMerge w:val="restart"/>
          </w:tcPr>
          <w:p>
            <w:pPr>
              <w:jc w:val="right"/>
              <w:ind w:right="2250"/>
              <w:spacing w:after="0"/>
              <w:rPr>
                <w:sz w:val="20"/>
                <w:szCs w:val="20"/>
                <w:color w:val="auto"/>
              </w:rPr>
            </w:pPr>
            <w:r>
              <w:rPr>
                <w:rFonts w:ascii="Arial" w:cs="Arial" w:eastAsia="Arial" w:hAnsi="Arial"/>
                <w:sz w:val="18"/>
                <w:szCs w:val="18"/>
                <w:color w:val="auto"/>
              </w:rPr>
              <w:t>38</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1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Property, plant and equipment, net related to the Company’s operating leases were as follows:</w:t>
      </w:r>
    </w:p>
    <w:p>
      <w:pPr>
        <w:spacing w:after="0" w:line="199" w:lineRule="exact"/>
        <w:rPr>
          <w:sz w:val="20"/>
          <w:szCs w:val="20"/>
          <w:color w:val="auto"/>
        </w:rPr>
      </w:pPr>
    </w:p>
    <w:tbl>
      <w:tblPr>
        <w:tblLayout w:type="fixed"/>
        <w:tblInd w:w="680" w:type="dxa"/>
        <w:tblCellMar>
          <w:top w:w="0" w:type="dxa"/>
          <w:left w:w="0" w:type="dxa"/>
          <w:bottom w:w="0" w:type="dxa"/>
          <w:right w:w="0" w:type="dxa"/>
        </w:tblCellMar>
      </w:tblPr>
      <w:tr>
        <w:trPr>
          <w:trHeight w:val="237"/>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20"/>
                <w:szCs w:val="20"/>
                <w:color w:val="auto"/>
              </w:rPr>
            </w:pPr>
          </w:p>
        </w:tc>
        <w:tc>
          <w:tcPr>
            <w:tcW w:w="1480" w:type="dxa"/>
            <w:vAlign w:val="bottom"/>
          </w:tcPr>
          <w:p>
            <w:pPr>
              <w:ind w:left="80"/>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center"/>
              <w:ind w:left="615"/>
              <w:spacing w:after="0"/>
              <w:rPr>
                <w:sz w:val="20"/>
                <w:szCs w:val="20"/>
                <w:color w:val="auto"/>
              </w:rPr>
            </w:pPr>
            <w:r>
              <w:rPr>
                <w:rFonts w:ascii="Arial" w:cs="Arial" w:eastAsia="Arial" w:hAnsi="Arial"/>
                <w:sz w:val="18"/>
                <w:szCs w:val="18"/>
                <w:color w:val="auto"/>
                <w:w w:val="88"/>
              </w:rPr>
              <w:t>7,020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center"/>
              <w:ind w:left="761"/>
              <w:spacing w:after="0"/>
              <w:rPr>
                <w:sz w:val="20"/>
                <w:szCs w:val="20"/>
                <w:color w:val="auto"/>
              </w:rPr>
            </w:pPr>
            <w:r>
              <w:rPr>
                <w:rFonts w:ascii="Arial" w:cs="Arial" w:eastAsia="Arial" w:hAnsi="Arial"/>
                <w:sz w:val="16"/>
                <w:szCs w:val="16"/>
                <w:color w:val="auto"/>
                <w:w w:val="89"/>
              </w:rPr>
              <w:t>6,942</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21"/>
                <w:szCs w:val="21"/>
                <w:color w:val="auto"/>
              </w:rPr>
            </w:pPr>
          </w:p>
        </w:tc>
        <w:tc>
          <w:tcPr>
            <w:tcW w:w="1420" w:type="dxa"/>
            <w:vAlign w:val="bottom"/>
          </w:tcPr>
          <w:p>
            <w:pPr>
              <w:jc w:val="center"/>
              <w:ind w:left="575"/>
              <w:spacing w:after="0"/>
              <w:rPr>
                <w:sz w:val="20"/>
                <w:szCs w:val="20"/>
                <w:color w:val="auto"/>
              </w:rPr>
            </w:pPr>
            <w:r>
              <w:rPr>
                <w:rFonts w:ascii="Arial" w:cs="Arial" w:eastAsia="Arial" w:hAnsi="Arial"/>
                <w:sz w:val="18"/>
                <w:szCs w:val="18"/>
                <w:color w:val="auto"/>
                <w:w w:val="91"/>
              </w:rPr>
              <w:t>(1,732)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center"/>
              <w:ind w:left="721"/>
              <w:spacing w:after="0"/>
              <w:rPr>
                <w:sz w:val="20"/>
                <w:szCs w:val="20"/>
                <w:color w:val="auto"/>
              </w:rPr>
            </w:pPr>
            <w:r>
              <w:rPr>
                <w:rFonts w:ascii="Arial" w:cs="Arial" w:eastAsia="Arial" w:hAnsi="Arial"/>
                <w:sz w:val="16"/>
                <w:szCs w:val="16"/>
                <w:color w:val="auto"/>
                <w:w w:val="94"/>
              </w:rPr>
              <w:t>(1,649)</w:t>
            </w:r>
          </w:p>
        </w:tc>
      </w:tr>
      <w:tr>
        <w:trPr>
          <w:trHeight w:val="27"/>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6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property, plant and equipment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center"/>
              <w:ind w:left="615"/>
              <w:spacing w:after="0"/>
              <w:rPr>
                <w:sz w:val="20"/>
                <w:szCs w:val="20"/>
                <w:color w:val="auto"/>
              </w:rPr>
            </w:pPr>
            <w:r>
              <w:rPr>
                <w:rFonts w:ascii="Arial" w:cs="Arial" w:eastAsia="Arial" w:hAnsi="Arial"/>
                <w:sz w:val="18"/>
                <w:szCs w:val="18"/>
                <w:color w:val="auto"/>
                <w:w w:val="88"/>
              </w:rPr>
              <w:t>5,288</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center"/>
              <w:ind w:left="761"/>
              <w:spacing w:after="0"/>
              <w:rPr>
                <w:sz w:val="20"/>
                <w:szCs w:val="20"/>
                <w:color w:val="auto"/>
              </w:rPr>
            </w:pPr>
            <w:r>
              <w:rPr>
                <w:rFonts w:ascii="Arial" w:cs="Arial" w:eastAsia="Arial" w:hAnsi="Arial"/>
                <w:sz w:val="16"/>
                <w:szCs w:val="16"/>
                <w:color w:val="auto"/>
                <w:w w:val="89"/>
              </w:rPr>
              <w:t>5,293</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right"/>
        <w:ind w:right="3160"/>
        <w:spacing w:after="0" w:line="495" w:lineRule="auto"/>
        <w:rPr>
          <w:sz w:val="20"/>
          <w:szCs w:val="20"/>
          <w:color w:val="auto"/>
        </w:rPr>
      </w:pPr>
      <w:r>
        <w:rPr>
          <w:rFonts w:ascii="Arial" w:cs="Arial" w:eastAsia="Arial" w:hAnsi="Arial"/>
          <w:sz w:val="16"/>
          <w:szCs w:val="16"/>
          <w:b w:val="1"/>
          <w:bCs w:val="1"/>
          <w:color w:val="auto"/>
        </w:rPr>
        <w:t xml:space="preserve">ITEM 2 — Management's Discussion and Analysis of Financial Condition and the Results of Operations </w:t>
      </w:r>
      <w:r>
        <w:rPr>
          <w:rFonts w:ascii="Arial" w:cs="Arial" w:eastAsia="Arial" w:hAnsi="Arial"/>
          <w:sz w:val="16"/>
          <w:szCs w:val="16"/>
          <w:color w:val="auto"/>
        </w:rPr>
        <w:t>The following discussion analyzes the Company's historical financial condition and results of operations.</w:t>
      </w:r>
    </w:p>
    <w:p>
      <w:pPr>
        <w:spacing w:after="0" w:line="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As you read this discussion and analysis, refer to the Company's Consolidated Financial Statements to this Form 10-Q, which present the results of operations for the three months ended March 31, 2020 and 2019. Also refer to the </w:t>
      </w:r>
      <w:r>
        <w:rPr>
          <w:rFonts w:ascii="Arial" w:cs="Arial" w:eastAsia="Arial" w:hAnsi="Arial"/>
          <w:sz w:val="18"/>
          <w:szCs w:val="18"/>
          <w:color w:val="231F20"/>
        </w:rPr>
        <w:t>Company's</w:t>
      </w:r>
      <w:r>
        <w:rPr>
          <w:rFonts w:ascii="Arial" w:cs="Arial" w:eastAsia="Arial" w:hAnsi="Arial"/>
          <w:sz w:val="18"/>
          <w:szCs w:val="18"/>
          <w:color w:val="auto"/>
        </w:rPr>
        <w:t xml:space="preserve"> 2019 Form 10-K, which includes detailed discussions of various items impacting the Company's business, results of operations and financial condition.</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71" w:lineRule="exact"/>
        <w:rPr>
          <w:sz w:val="20"/>
          <w:szCs w:val="20"/>
          <w:color w:val="auto"/>
        </w:rPr>
      </w:pPr>
    </w:p>
    <w:p>
      <w:pPr>
        <w:ind w:left="1300" w:right="400" w:hanging="320"/>
        <w:spacing w:after="0" w:line="277" w:lineRule="auto"/>
        <w:tabs>
          <w:tab w:leader="none" w:pos="1295"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w:t>
      </w:r>
    </w:p>
    <w:p>
      <w:pPr>
        <w:spacing w:after="0" w:line="63" w:lineRule="exact"/>
        <w:rPr>
          <w:rFonts w:ascii="Arial" w:cs="Arial" w:eastAsia="Arial" w:hAnsi="Arial"/>
          <w:sz w:val="18"/>
          <w:szCs w:val="18"/>
          <w:color w:val="231F20"/>
        </w:rPr>
      </w:pPr>
    </w:p>
    <w:p>
      <w:pPr>
        <w:ind w:left="1300" w:right="880" w:hanging="320"/>
        <w:spacing w:after="0" w:line="277" w:lineRule="auto"/>
        <w:tabs>
          <w:tab w:leader="none" w:pos="1295"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8" w:lineRule="exact"/>
        <w:rPr>
          <w:rFonts w:ascii="Arial" w:cs="Arial" w:eastAsia="Arial" w:hAnsi="Arial"/>
          <w:sz w:val="18"/>
          <w:szCs w:val="18"/>
          <w:color w:val="231F20"/>
        </w:rPr>
      </w:pPr>
    </w:p>
    <w:p>
      <w:pPr>
        <w:ind w:left="1300" w:right="200" w:hanging="320"/>
        <w:spacing w:after="0" w:line="277" w:lineRule="auto"/>
        <w:tabs>
          <w:tab w:leader="none" w:pos="1295"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 and</w:t>
      </w:r>
    </w:p>
    <w:p>
      <w:pPr>
        <w:spacing w:after="0" w:line="8" w:lineRule="exact"/>
        <w:rPr>
          <w:rFonts w:ascii="Arial" w:cs="Arial" w:eastAsia="Arial" w:hAnsi="Arial"/>
          <w:sz w:val="18"/>
          <w:szCs w:val="18"/>
          <w:color w:val="231F20"/>
        </w:rPr>
      </w:pPr>
    </w:p>
    <w:p>
      <w:pPr>
        <w:ind w:left="1300" w:right="760" w:hanging="320"/>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86" w:right="4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6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III. Global Infrastructure Management, LLC is an independent fund manager of funds that invests in infrastructure assets in the energy and transport sectors, and Global Infrastructure Partners III is its third equity fund. The Company is sponsored by GIP through GIP's portfolio company, CEG.</w:t>
      </w:r>
    </w:p>
    <w:p>
      <w:pPr>
        <w:spacing w:after="0" w:line="19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The Company’s environmentally sound asset portfolio includes over 5,878 MW of wind, solar and natural gas-fired power generation facilities, as well as district energy systems. Through this diversified and contracted portfolio, the Company endeavors to provide its investors with stable and growing dividend income. Substantially all of the Company's generation assets are under long-term contractual arrangements for the output or capacity from these assets. The Company also owns </w:t>
      </w:r>
      <w:r>
        <w:rPr>
          <w:rFonts w:ascii="Arial" w:cs="Arial" w:eastAsia="Arial" w:hAnsi="Arial"/>
          <w:sz w:val="18"/>
          <w:szCs w:val="18"/>
          <w:color w:val="231F20"/>
        </w:rPr>
        <w:t>thermal infrastructure assets with an aggregate steam and chilled water capacity of 1,508 net MWt and electric generation</w:t>
      </w:r>
      <w:r>
        <w:rPr>
          <w:rFonts w:ascii="Arial" w:cs="Arial" w:eastAsia="Arial" w:hAnsi="Arial"/>
          <w:sz w:val="18"/>
          <w:szCs w:val="18"/>
          <w:color w:val="auto"/>
        </w:rPr>
        <w:t xml:space="preserve"> </w:t>
      </w:r>
      <w:r>
        <w:rPr>
          <w:rFonts w:ascii="Arial" w:cs="Arial" w:eastAsia="Arial" w:hAnsi="Arial"/>
          <w:sz w:val="18"/>
          <w:szCs w:val="18"/>
          <w:color w:val="231F20"/>
        </w:rPr>
        <w:t xml:space="preserve">capacity of 36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 </w:t>
      </w:r>
      <w:r>
        <w:rPr>
          <w:rFonts w:ascii="Arial" w:cs="Arial" w:eastAsia="Arial" w:hAnsi="Arial"/>
          <w:sz w:val="18"/>
          <w:szCs w:val="18"/>
          <w:color w:val="000000"/>
        </w:rPr>
        <w:t>The weighted average remaining contract duration of these offtake agreements was approximately</w:t>
      </w:r>
      <w:r>
        <w:rPr>
          <w:rFonts w:ascii="Arial" w:cs="Arial" w:eastAsia="Arial" w:hAnsi="Arial"/>
          <w:sz w:val="18"/>
          <w:szCs w:val="18"/>
          <w:color w:val="231F20"/>
        </w:rPr>
        <w:t xml:space="preserve"> 13 years as of March 31, 2020 </w:t>
      </w:r>
      <w:r>
        <w:rPr>
          <w:rFonts w:ascii="Arial" w:cs="Arial" w:eastAsia="Arial" w:hAnsi="Arial"/>
          <w:sz w:val="18"/>
          <w:szCs w:val="18"/>
          <w:color w:val="000000"/>
        </w:rPr>
        <w:t>based on CAFD</w:t>
      </w:r>
      <w:r>
        <w:rPr>
          <w:rFonts w:ascii="Arial" w:cs="Arial" w:eastAsia="Arial" w:hAnsi="Arial"/>
          <w:sz w:val="18"/>
          <w:szCs w:val="18"/>
          <w:color w:val="231F20"/>
        </w:rPr>
        <w:t>.</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2020, the Company's operating assets are comprised of the following projects: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Offtake Counterparty</w:t>
            </w:r>
          </w:p>
        </w:tc>
        <w:tc>
          <w:tcPr>
            <w:tcW w:w="120" w:type="dxa"/>
            <w:vAlign w:val="bottom"/>
            <w:vMerge w:val="restart"/>
          </w:tcPr>
          <w:p>
            <w:pPr>
              <w:spacing w:after="0"/>
              <w:rPr>
                <w:sz w:val="14"/>
                <w:szCs w:val="14"/>
                <w:color w:val="auto"/>
              </w:rPr>
            </w:pPr>
          </w:p>
        </w:tc>
        <w:tc>
          <w:tcPr>
            <w:tcW w:w="10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8"/>
        </w:trPr>
        <w:tc>
          <w:tcPr>
            <w:tcW w:w="4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Ownership</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9"/>
                <w:szCs w:val="9"/>
                <w:b w:val="1"/>
                <w:bCs w:val="1"/>
                <w:color w:val="auto"/>
              </w:rPr>
              <w:t>(a)</w:t>
            </w:r>
          </w:p>
        </w:tc>
        <w:tc>
          <w:tcPr>
            <w:tcW w:w="100" w:type="dxa"/>
            <w:vAlign w:val="bottom"/>
            <w:tcBorders>
              <w:bottom w:val="single" w:sz="8" w:color="CCEEFF"/>
            </w:tcBorders>
          </w:tcPr>
          <w:p>
            <w:pPr>
              <w:spacing w:after="0"/>
              <w:rPr>
                <w:sz w:val="16"/>
                <w:szCs w:val="16"/>
                <w:color w:val="auto"/>
              </w:rPr>
            </w:pPr>
          </w:p>
        </w:tc>
        <w:tc>
          <w:tcPr>
            <w:tcW w:w="3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Conventional</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Carlsbad .</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San Diego Gas &amp; Electric</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El Segundo</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0" w:type="dxa"/>
            <w:vAlign w:val="bottom"/>
          </w:tcPr>
          <w:p>
            <w:pPr>
              <w:spacing w:after="0"/>
              <w:rPr>
                <w:sz w:val="1"/>
                <w:szCs w:val="1"/>
                <w:color w:val="auto"/>
              </w:rPr>
            </w:pPr>
          </w:p>
        </w:tc>
      </w:tr>
      <w:tr>
        <w:trPr>
          <w:trHeight w:val="19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GenConn Devon</w:t>
            </w:r>
          </w:p>
        </w:tc>
        <w:tc>
          <w:tcPr>
            <w:tcW w:w="940" w:type="dxa"/>
            <w:vAlign w:val="bottom"/>
          </w:tcPr>
          <w:p>
            <w:pPr>
              <w:jc w:val="right"/>
              <w:spacing w:after="0"/>
              <w:rPr>
                <w:sz w:val="20"/>
                <w:szCs w:val="20"/>
                <w:color w:val="auto"/>
              </w:rPr>
            </w:pPr>
            <w:r>
              <w:rPr>
                <w:rFonts w:ascii="Arial" w:cs="Arial" w:eastAsia="Arial" w:hAnsi="Arial"/>
                <w:sz w:val="14"/>
                <w:szCs w:val="14"/>
                <w:color w:val="auto"/>
              </w:rPr>
              <w:t>50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Connecticut Light &amp; Power</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2040</w:t>
            </w: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GenConn Middletown</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Connecticut Light &amp; Power</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2041</w:t>
            </w:r>
          </w:p>
        </w:tc>
        <w:tc>
          <w:tcPr>
            <w:tcW w:w="0" w:type="dxa"/>
            <w:vAlign w:val="bottom"/>
          </w:tcPr>
          <w:p>
            <w:pPr>
              <w:spacing w:after="0"/>
              <w:rPr>
                <w:sz w:val="1"/>
                <w:szCs w:val="1"/>
                <w:color w:val="auto"/>
              </w:rPr>
            </w:pPr>
          </w:p>
        </w:tc>
      </w:tr>
      <w:tr>
        <w:trPr>
          <w:trHeight w:val="19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Marsh Landing</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Walnut Creek</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2023</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2,472</w:t>
            </w:r>
          </w:p>
        </w:tc>
        <w:tc>
          <w:tcPr>
            <w:tcW w:w="100" w:type="dxa"/>
            <w:vAlign w:val="bottom"/>
            <w:tcBorders>
              <w:bottom w:val="single" w:sz="8" w:color="CCEEFF"/>
            </w:tcBorders>
          </w:tcPr>
          <w:p>
            <w:pPr>
              <w:spacing w:after="0"/>
              <w:rPr>
                <w:sz w:val="17"/>
                <w:szCs w:val="17"/>
                <w:color w:val="auto"/>
              </w:rPr>
            </w:pPr>
          </w:p>
        </w:tc>
        <w:tc>
          <w:tcPr>
            <w:tcW w:w="3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Utility Scale Solar</w:t>
            </w: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Agua Caliente</w:t>
            </w:r>
          </w:p>
        </w:tc>
        <w:tc>
          <w:tcPr>
            <w:tcW w:w="94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Alpine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197"/>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Avenal</w:t>
            </w:r>
          </w:p>
        </w:tc>
        <w:tc>
          <w:tcPr>
            <w:tcW w:w="940" w:type="dxa"/>
            <w:vAlign w:val="bottom"/>
          </w:tcPr>
          <w:p>
            <w:pPr>
              <w:jc w:val="right"/>
              <w:spacing w:after="0"/>
              <w:rPr>
                <w:sz w:val="20"/>
                <w:szCs w:val="20"/>
                <w:color w:val="auto"/>
              </w:rPr>
            </w:pPr>
            <w:r>
              <w:rPr>
                <w:rFonts w:ascii="Arial" w:cs="Arial" w:eastAsia="Arial" w:hAnsi="Arial"/>
                <w:sz w:val="14"/>
                <w:szCs w:val="14"/>
                <w:color w:val="auto"/>
              </w:rPr>
              <w:t>50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Avra Valley</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Tucson Electric Power</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2032</w:t>
            </w:r>
          </w:p>
        </w:tc>
        <w:tc>
          <w:tcPr>
            <w:tcW w:w="0" w:type="dxa"/>
            <w:vAlign w:val="bottom"/>
          </w:tcPr>
          <w:p>
            <w:pPr>
              <w:spacing w:after="0"/>
              <w:rPr>
                <w:sz w:val="1"/>
                <w:szCs w:val="1"/>
                <w:color w:val="auto"/>
              </w:rPr>
            </w:pPr>
          </w:p>
        </w:tc>
      </w:tr>
      <w:tr>
        <w:trPr>
          <w:trHeight w:val="197"/>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Blythe</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Borrego</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San Diego Gas and Electric</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197"/>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 xml:space="preserve">Buckthorn Solar </w:t>
            </w:r>
            <w:r>
              <w:rPr>
                <w:rFonts w:ascii="Arial" w:cs="Arial" w:eastAsia="Arial" w:hAnsi="Arial"/>
                <w:sz w:val="9"/>
                <w:szCs w:val="9"/>
                <w:color w:val="auto"/>
              </w:rPr>
              <w:t>(b)</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City of Georgetown, TX</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2043</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CVSR</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197"/>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Desert Sunlight 250</w:t>
            </w: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2034</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Desert Sunlight 300</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197"/>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Kansas South</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Pacific Gas and Electric</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 xml:space="preserve">Kawailoa </w:t>
            </w:r>
            <w:r>
              <w:rPr>
                <w:rFonts w:ascii="Arial" w:cs="Arial" w:eastAsia="Arial" w:hAnsi="Arial"/>
                <w:sz w:val="9"/>
                <w:szCs w:val="9"/>
                <w:color w:val="auto"/>
              </w:rPr>
              <w:t>(b)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Hawaiian Electric Company</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2041</w:t>
            </w:r>
          </w:p>
        </w:tc>
        <w:tc>
          <w:tcPr>
            <w:tcW w:w="0" w:type="dxa"/>
            <w:vAlign w:val="bottom"/>
          </w:tcPr>
          <w:p>
            <w:pPr>
              <w:spacing w:after="0"/>
              <w:rPr>
                <w:sz w:val="1"/>
                <w:szCs w:val="1"/>
                <w:color w:val="auto"/>
              </w:rPr>
            </w:pPr>
          </w:p>
        </w:tc>
      </w:tr>
      <w:tr>
        <w:trPr>
          <w:trHeight w:val="197"/>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 xml:space="preserve">Oahu Solar Projects </w:t>
            </w:r>
            <w:r>
              <w:rPr>
                <w:rFonts w:ascii="Arial" w:cs="Arial" w:eastAsia="Arial" w:hAnsi="Arial"/>
                <w:sz w:val="9"/>
                <w:szCs w:val="9"/>
                <w:color w:val="auto"/>
              </w:rPr>
              <w:t>(b)</w:t>
            </w:r>
          </w:p>
        </w:tc>
        <w:tc>
          <w:tcPr>
            <w:tcW w:w="940" w:type="dxa"/>
            <w:vAlign w:val="bottom"/>
          </w:tcPr>
          <w:p>
            <w:pPr>
              <w:jc w:val="right"/>
              <w:spacing w:after="0"/>
              <w:rPr>
                <w:sz w:val="20"/>
                <w:szCs w:val="20"/>
                <w:color w:val="auto"/>
              </w:rPr>
            </w:pPr>
            <w:r>
              <w:rPr>
                <w:rFonts w:ascii="Arial" w:cs="Arial" w:eastAsia="Arial" w:hAnsi="Arial"/>
                <w:sz w:val="14"/>
                <w:szCs w:val="14"/>
                <w:color w:val="auto"/>
              </w:rPr>
              <w:t>95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Hawaiian Electric Company</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2041</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Roadrunner</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El Paso Electric</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97"/>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TA High Desert</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9"/>
                <w:szCs w:val="9"/>
                <w:color w:val="auto"/>
              </w:rPr>
              <w:t>(b) (e)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PacifiCorp</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2036</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1,157</w:t>
            </w:r>
          </w:p>
        </w:tc>
        <w:tc>
          <w:tcPr>
            <w:tcW w:w="100" w:type="dxa"/>
            <w:vAlign w:val="bottom"/>
            <w:tcBorders>
              <w:bottom w:val="single" w:sz="8" w:color="CCEEFF"/>
            </w:tcBorders>
          </w:tcPr>
          <w:p>
            <w:pPr>
              <w:spacing w:after="0"/>
              <w:rPr>
                <w:sz w:val="17"/>
                <w:szCs w:val="17"/>
                <w:color w:val="auto"/>
              </w:rPr>
            </w:pPr>
          </w:p>
        </w:tc>
        <w:tc>
          <w:tcPr>
            <w:tcW w:w="3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Distributed Solar</w:t>
            </w: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Apple I LLC Projects</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2032</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AZ DG Solar Projects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2025 - 2033</w:t>
            </w:r>
          </w:p>
        </w:tc>
        <w:tc>
          <w:tcPr>
            <w:tcW w:w="0" w:type="dxa"/>
            <w:vAlign w:val="bottom"/>
          </w:tcPr>
          <w:p>
            <w:pPr>
              <w:spacing w:after="0"/>
              <w:rPr>
                <w:sz w:val="1"/>
                <w:szCs w:val="1"/>
                <w:color w:val="auto"/>
              </w:rPr>
            </w:pPr>
          </w:p>
        </w:tc>
      </w:tr>
      <w:tr>
        <w:trPr>
          <w:trHeight w:val="197"/>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SPP Projects</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2026 - 2037</w:t>
            </w: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DG Projects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2023 - 2039</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7"/>
                <w:szCs w:val="17"/>
                <w:color w:val="auto"/>
              </w:rPr>
            </w:pPr>
          </w:p>
        </w:tc>
        <w:tc>
          <w:tcPr>
            <w:tcW w:w="3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Wind</w:t>
            </w: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Alta I</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7"/>
                <w:szCs w:val="17"/>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Alta II</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191"/>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Alta III</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Southern California Edison</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Projects</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c>
          <w:tcPr>
            <w:tcW w:w="28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Net Capacity</w:t>
            </w:r>
          </w:p>
        </w:tc>
        <w:tc>
          <w:tcPr>
            <w:tcW w:w="33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5"/>
              </w:rPr>
              <w:t>Offtake Counterparty</w:t>
            </w:r>
          </w:p>
        </w:tc>
        <w:tc>
          <w:tcPr>
            <w:tcW w:w="11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88"/>
        </w:trPr>
        <w:tc>
          <w:tcPr>
            <w:tcW w:w="4320" w:type="dxa"/>
            <w:vAlign w:val="bottom"/>
            <w:vMerge w:val="continue"/>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Ownership</w:t>
            </w:r>
          </w:p>
        </w:tc>
        <w:tc>
          <w:tcPr>
            <w:tcW w:w="28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9"/>
                <w:szCs w:val="9"/>
                <w:b w:val="1"/>
                <w:bCs w:val="1"/>
                <w:color w:val="auto"/>
              </w:rPr>
              <w:t>(a)</w:t>
            </w:r>
          </w:p>
        </w:tc>
        <w:tc>
          <w:tcPr>
            <w:tcW w:w="33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Alta IV</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102</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214"/>
        </w:trPr>
        <w:tc>
          <w:tcPr>
            <w:tcW w:w="4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Alta V</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168</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2035</w:t>
            </w:r>
          </w:p>
        </w:tc>
        <w:tc>
          <w:tcPr>
            <w:tcW w:w="0" w:type="dxa"/>
            <w:vAlign w:val="bottom"/>
          </w:tcPr>
          <w:p>
            <w:pPr>
              <w:spacing w:after="0"/>
              <w:rPr>
                <w:sz w:val="1"/>
                <w:szCs w:val="1"/>
                <w:color w:val="auto"/>
              </w:rPr>
            </w:pPr>
          </w:p>
        </w:tc>
      </w:tr>
      <w:tr>
        <w:trPr>
          <w:trHeight w:val="197"/>
        </w:trPr>
        <w:tc>
          <w:tcPr>
            <w:tcW w:w="4320" w:type="dxa"/>
            <w:vAlign w:val="bottom"/>
          </w:tcPr>
          <w:p>
            <w:pPr>
              <w:ind w:left="220"/>
              <w:spacing w:after="0"/>
              <w:rPr>
                <w:sz w:val="20"/>
                <w:szCs w:val="20"/>
                <w:color w:val="auto"/>
              </w:rPr>
            </w:pPr>
            <w:r>
              <w:rPr>
                <w:rFonts w:ascii="Arial" w:cs="Arial" w:eastAsia="Arial" w:hAnsi="Arial"/>
                <w:sz w:val="14"/>
                <w:szCs w:val="14"/>
                <w:color w:val="auto"/>
              </w:rPr>
              <w:t xml:space="preserve">Alta X </w:t>
            </w:r>
            <w:r>
              <w:rPr>
                <w:rFonts w:ascii="Arial" w:cs="Arial" w:eastAsia="Arial" w:hAnsi="Arial"/>
                <w:sz w:val="9"/>
                <w:szCs w:val="9"/>
                <w:color w:val="auto"/>
              </w:rPr>
              <w:t>(b)</w:t>
            </w: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137</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208"/>
        </w:trPr>
        <w:tc>
          <w:tcPr>
            <w:tcW w:w="4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Alta XI </w:t>
            </w:r>
            <w:r>
              <w:rPr>
                <w:rFonts w:ascii="Arial" w:cs="Arial" w:eastAsia="Arial" w:hAnsi="Arial"/>
                <w:sz w:val="9"/>
                <w:szCs w:val="9"/>
                <w:color w:val="auto"/>
              </w:rPr>
              <w:t>(b)</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2038</w:t>
            </w:r>
          </w:p>
        </w:tc>
        <w:tc>
          <w:tcPr>
            <w:tcW w:w="0" w:type="dxa"/>
            <w:vAlign w:val="bottom"/>
          </w:tcPr>
          <w:p>
            <w:pPr>
              <w:spacing w:after="0"/>
              <w:rPr>
                <w:sz w:val="1"/>
                <w:szCs w:val="1"/>
                <w:color w:val="auto"/>
              </w:rPr>
            </w:pPr>
          </w:p>
        </w:tc>
      </w:tr>
      <w:tr>
        <w:trPr>
          <w:trHeight w:val="197"/>
        </w:trPr>
        <w:tc>
          <w:tcPr>
            <w:tcW w:w="4320" w:type="dxa"/>
            <w:vAlign w:val="bottom"/>
          </w:tcPr>
          <w:p>
            <w:pPr>
              <w:ind w:left="220"/>
              <w:spacing w:after="0"/>
              <w:rPr>
                <w:sz w:val="20"/>
                <w:szCs w:val="20"/>
                <w:color w:val="auto"/>
              </w:rPr>
            </w:pPr>
            <w:r>
              <w:rPr>
                <w:rFonts w:ascii="Arial" w:cs="Arial" w:eastAsia="Arial" w:hAnsi="Arial"/>
                <w:sz w:val="14"/>
                <w:szCs w:val="14"/>
                <w:color w:val="auto"/>
              </w:rPr>
              <w:t>Buffalo Bear</w:t>
            </w: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3"/>
              </w:rPr>
              <w:t>Western Farmers Electric Co-operative</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2033</w:t>
            </w:r>
          </w:p>
        </w:tc>
        <w:tc>
          <w:tcPr>
            <w:tcW w:w="0" w:type="dxa"/>
            <w:vAlign w:val="bottom"/>
          </w:tcPr>
          <w:p>
            <w:pPr>
              <w:spacing w:after="0"/>
              <w:rPr>
                <w:sz w:val="1"/>
                <w:szCs w:val="1"/>
                <w:color w:val="auto"/>
              </w:rPr>
            </w:pPr>
          </w:p>
        </w:tc>
      </w:tr>
      <w:tr>
        <w:trPr>
          <w:trHeight w:val="208"/>
        </w:trPr>
        <w:tc>
          <w:tcPr>
            <w:tcW w:w="4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Crosswinds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3"/>
              </w:rPr>
              <w:t>Corn Belt Power Cooperative</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197"/>
        </w:trPr>
        <w:tc>
          <w:tcPr>
            <w:tcW w:w="4320" w:type="dxa"/>
            <w:vAlign w:val="bottom"/>
          </w:tcPr>
          <w:p>
            <w:pPr>
              <w:ind w:left="220"/>
              <w:spacing w:after="0"/>
              <w:rPr>
                <w:sz w:val="20"/>
                <w:szCs w:val="20"/>
                <w:color w:val="auto"/>
              </w:rPr>
            </w:pPr>
            <w:r>
              <w:rPr>
                <w:rFonts w:ascii="Arial" w:cs="Arial" w:eastAsia="Arial" w:hAnsi="Arial"/>
                <w:sz w:val="14"/>
                <w:szCs w:val="14"/>
                <w:color w:val="auto"/>
              </w:rPr>
              <w:t xml:space="preserve">Elbow Creek </w:t>
            </w:r>
            <w:r>
              <w:rPr>
                <w:rFonts w:ascii="Arial" w:cs="Arial" w:eastAsia="Arial" w:hAnsi="Arial"/>
                <w:sz w:val="9"/>
                <w:szCs w:val="9"/>
                <w:color w:val="auto"/>
              </w:rPr>
              <w:t>(b)</w:t>
            </w: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122</w:t>
            </w:r>
          </w:p>
        </w:tc>
        <w:tc>
          <w:tcPr>
            <w:tcW w:w="3340" w:type="dxa"/>
            <w:vAlign w:val="bottom"/>
          </w:tcPr>
          <w:p>
            <w:pPr>
              <w:jc w:val="center"/>
              <w:ind w:left="28"/>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208"/>
        </w:trPr>
        <w:tc>
          <w:tcPr>
            <w:tcW w:w="4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Elkhorn Ridge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97"/>
        </w:trPr>
        <w:tc>
          <w:tcPr>
            <w:tcW w:w="4320" w:type="dxa"/>
            <w:vAlign w:val="bottom"/>
          </w:tcPr>
          <w:p>
            <w:pPr>
              <w:ind w:left="220"/>
              <w:spacing w:after="0"/>
              <w:rPr>
                <w:sz w:val="20"/>
                <w:szCs w:val="20"/>
                <w:color w:val="auto"/>
              </w:rPr>
            </w:pPr>
            <w:r>
              <w:rPr>
                <w:rFonts w:ascii="Arial" w:cs="Arial" w:eastAsia="Arial" w:hAnsi="Arial"/>
                <w:sz w:val="14"/>
                <w:szCs w:val="14"/>
                <w:color w:val="auto"/>
              </w:rPr>
              <w:t>Forward</w:t>
            </w: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29</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Constellation NewEnergy, Inc.</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208"/>
        </w:trPr>
        <w:tc>
          <w:tcPr>
            <w:tcW w:w="4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Goat Wind</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Dow Pipeline Company</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2025</w:t>
            </w:r>
          </w:p>
        </w:tc>
        <w:tc>
          <w:tcPr>
            <w:tcW w:w="0" w:type="dxa"/>
            <w:vAlign w:val="bottom"/>
          </w:tcPr>
          <w:p>
            <w:pPr>
              <w:spacing w:after="0"/>
              <w:rPr>
                <w:sz w:val="1"/>
                <w:szCs w:val="1"/>
                <w:color w:val="auto"/>
              </w:rPr>
            </w:pPr>
          </w:p>
        </w:tc>
      </w:tr>
      <w:tr>
        <w:trPr>
          <w:trHeight w:val="197"/>
        </w:trPr>
        <w:tc>
          <w:tcPr>
            <w:tcW w:w="4320" w:type="dxa"/>
            <w:vAlign w:val="bottom"/>
          </w:tcPr>
          <w:p>
            <w:pPr>
              <w:ind w:left="220"/>
              <w:spacing w:after="0"/>
              <w:rPr>
                <w:sz w:val="20"/>
                <w:szCs w:val="20"/>
                <w:color w:val="auto"/>
              </w:rPr>
            </w:pPr>
            <w:r>
              <w:rPr>
                <w:rFonts w:ascii="Arial" w:cs="Arial" w:eastAsia="Arial" w:hAnsi="Arial"/>
                <w:sz w:val="14"/>
                <w:szCs w:val="14"/>
                <w:color w:val="auto"/>
              </w:rPr>
              <w:t>Hardin</w:t>
            </w:r>
          </w:p>
        </w:tc>
        <w:tc>
          <w:tcPr>
            <w:tcW w:w="1040" w:type="dxa"/>
            <w:vAlign w:val="bottom"/>
          </w:tcPr>
          <w:p>
            <w:pPr>
              <w:jc w:val="right"/>
              <w:spacing w:after="0"/>
              <w:rPr>
                <w:sz w:val="20"/>
                <w:szCs w:val="20"/>
                <w:color w:val="auto"/>
              </w:rPr>
            </w:pPr>
            <w:r>
              <w:rPr>
                <w:rFonts w:ascii="Arial" w:cs="Arial" w:eastAsia="Arial" w:hAnsi="Arial"/>
                <w:sz w:val="14"/>
                <w:szCs w:val="14"/>
                <w:color w:val="auto"/>
              </w:rPr>
              <w:t>99</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Interstate Power and Light Company</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208"/>
        </w:trPr>
        <w:tc>
          <w:tcPr>
            <w:tcW w:w="4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Laredo Ridge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80</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97"/>
        </w:trPr>
        <w:tc>
          <w:tcPr>
            <w:tcW w:w="4320" w:type="dxa"/>
            <w:vAlign w:val="bottom"/>
          </w:tcPr>
          <w:p>
            <w:pPr>
              <w:ind w:left="220"/>
              <w:spacing w:after="0"/>
              <w:rPr>
                <w:sz w:val="20"/>
                <w:szCs w:val="20"/>
                <w:color w:val="auto"/>
              </w:rPr>
            </w:pPr>
            <w:r>
              <w:rPr>
                <w:rFonts w:ascii="Arial" w:cs="Arial" w:eastAsia="Arial" w:hAnsi="Arial"/>
                <w:sz w:val="14"/>
                <w:szCs w:val="14"/>
                <w:color w:val="auto"/>
              </w:rPr>
              <w:t>Lookout</w:t>
            </w: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38</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Southern Maryland Electric Cooperative</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2030</w:t>
            </w:r>
          </w:p>
        </w:tc>
        <w:tc>
          <w:tcPr>
            <w:tcW w:w="0" w:type="dxa"/>
            <w:vAlign w:val="bottom"/>
          </w:tcPr>
          <w:p>
            <w:pPr>
              <w:spacing w:after="0"/>
              <w:rPr>
                <w:sz w:val="1"/>
                <w:szCs w:val="1"/>
                <w:color w:val="auto"/>
              </w:rPr>
            </w:pPr>
          </w:p>
        </w:tc>
      </w:tr>
      <w:tr>
        <w:trPr>
          <w:trHeight w:val="208"/>
        </w:trPr>
        <w:tc>
          <w:tcPr>
            <w:tcW w:w="4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Odin</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w:t>
            </w:r>
          </w:p>
        </w:tc>
        <w:tc>
          <w:tcPr>
            <w:tcW w:w="33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4"/>
              </w:rPr>
              <w:t>Missouri River Energy Services</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2028</w:t>
            </w:r>
          </w:p>
        </w:tc>
        <w:tc>
          <w:tcPr>
            <w:tcW w:w="0" w:type="dxa"/>
            <w:vAlign w:val="bottom"/>
          </w:tcPr>
          <w:p>
            <w:pPr>
              <w:spacing w:after="0"/>
              <w:rPr>
                <w:sz w:val="1"/>
                <w:szCs w:val="1"/>
                <w:color w:val="auto"/>
              </w:rPr>
            </w:pPr>
          </w:p>
        </w:tc>
      </w:tr>
      <w:tr>
        <w:trPr>
          <w:trHeight w:val="157"/>
        </w:trPr>
        <w:tc>
          <w:tcPr>
            <w:tcW w:w="4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340" w:type="dxa"/>
            <w:vAlign w:val="bottom"/>
          </w:tcPr>
          <w:p>
            <w:pPr>
              <w:jc w:val="center"/>
              <w:ind w:left="8"/>
              <w:spacing w:after="0" w:line="157" w:lineRule="exact"/>
              <w:rPr>
                <w:sz w:val="20"/>
                <w:szCs w:val="20"/>
                <w:color w:val="auto"/>
              </w:rPr>
            </w:pPr>
            <w:r>
              <w:rPr>
                <w:rFonts w:ascii="Arial" w:cs="Arial" w:eastAsia="Arial" w:hAnsi="Arial"/>
                <w:sz w:val="14"/>
                <w:szCs w:val="14"/>
                <w:color w:val="auto"/>
                <w:w w:val="93"/>
              </w:rPr>
              <w:t>Maryland Department of General Services and</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320" w:type="dxa"/>
            <w:vAlign w:val="bottom"/>
          </w:tcPr>
          <w:p>
            <w:pPr>
              <w:ind w:left="220"/>
              <w:spacing w:after="0"/>
              <w:rPr>
                <w:sz w:val="20"/>
                <w:szCs w:val="20"/>
                <w:color w:val="auto"/>
              </w:rPr>
            </w:pPr>
            <w:r>
              <w:rPr>
                <w:rFonts w:ascii="Arial" w:cs="Arial" w:eastAsia="Arial" w:hAnsi="Arial"/>
                <w:sz w:val="14"/>
                <w:szCs w:val="14"/>
                <w:color w:val="auto"/>
              </w:rPr>
              <w:t>Pinnacle</w:t>
            </w: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55</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6"/>
              </w:rPr>
              <w:t>University System of Maryland</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208"/>
        </w:trPr>
        <w:tc>
          <w:tcPr>
            <w:tcW w:w="4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San Juan Mesa</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3"/>
              </w:rPr>
              <w:t>Southwestern Public Service Company</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2025</w:t>
            </w:r>
          </w:p>
        </w:tc>
        <w:tc>
          <w:tcPr>
            <w:tcW w:w="0" w:type="dxa"/>
            <w:vAlign w:val="bottom"/>
          </w:tcPr>
          <w:p>
            <w:pPr>
              <w:spacing w:after="0"/>
              <w:rPr>
                <w:sz w:val="1"/>
                <w:szCs w:val="1"/>
                <w:color w:val="auto"/>
              </w:rPr>
            </w:pPr>
          </w:p>
        </w:tc>
      </w:tr>
      <w:tr>
        <w:trPr>
          <w:trHeight w:val="197"/>
        </w:trPr>
        <w:tc>
          <w:tcPr>
            <w:tcW w:w="4320" w:type="dxa"/>
            <w:vAlign w:val="bottom"/>
          </w:tcPr>
          <w:p>
            <w:pPr>
              <w:ind w:left="220"/>
              <w:spacing w:after="0"/>
              <w:rPr>
                <w:sz w:val="20"/>
                <w:szCs w:val="20"/>
                <w:color w:val="auto"/>
              </w:rPr>
            </w:pPr>
            <w:r>
              <w:rPr>
                <w:rFonts w:ascii="Arial" w:cs="Arial" w:eastAsia="Arial" w:hAnsi="Arial"/>
                <w:sz w:val="14"/>
                <w:szCs w:val="14"/>
                <w:color w:val="auto"/>
              </w:rPr>
              <w:t>Sleeping Bear</w:t>
            </w: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95</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4"/>
              </w:rPr>
              <w:t>Public Service Company of Oklahoma</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2032</w:t>
            </w:r>
          </w:p>
        </w:tc>
        <w:tc>
          <w:tcPr>
            <w:tcW w:w="0" w:type="dxa"/>
            <w:vAlign w:val="bottom"/>
          </w:tcPr>
          <w:p>
            <w:pPr>
              <w:spacing w:after="0"/>
              <w:rPr>
                <w:sz w:val="1"/>
                <w:szCs w:val="1"/>
                <w:color w:val="auto"/>
              </w:rPr>
            </w:pPr>
          </w:p>
        </w:tc>
      </w:tr>
      <w:tr>
        <w:trPr>
          <w:trHeight w:val="208"/>
        </w:trPr>
        <w:tc>
          <w:tcPr>
            <w:tcW w:w="4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South Trent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101</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1"/>
              </w:rPr>
              <w:t>AEP Energy Partners</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2029</w:t>
            </w:r>
          </w:p>
        </w:tc>
        <w:tc>
          <w:tcPr>
            <w:tcW w:w="0" w:type="dxa"/>
            <w:vAlign w:val="bottom"/>
          </w:tcPr>
          <w:p>
            <w:pPr>
              <w:spacing w:after="0"/>
              <w:rPr>
                <w:sz w:val="1"/>
                <w:szCs w:val="1"/>
                <w:color w:val="auto"/>
              </w:rPr>
            </w:pPr>
          </w:p>
        </w:tc>
      </w:tr>
      <w:tr>
        <w:trPr>
          <w:trHeight w:val="197"/>
        </w:trPr>
        <w:tc>
          <w:tcPr>
            <w:tcW w:w="4320" w:type="dxa"/>
            <w:vAlign w:val="bottom"/>
          </w:tcPr>
          <w:p>
            <w:pPr>
              <w:ind w:left="220"/>
              <w:spacing w:after="0"/>
              <w:rPr>
                <w:sz w:val="20"/>
                <w:szCs w:val="20"/>
                <w:color w:val="auto"/>
              </w:rPr>
            </w:pPr>
            <w:r>
              <w:rPr>
                <w:rFonts w:ascii="Arial" w:cs="Arial" w:eastAsia="Arial" w:hAnsi="Arial"/>
                <w:sz w:val="14"/>
                <w:szCs w:val="14"/>
                <w:color w:val="auto"/>
              </w:rPr>
              <w:t>Spanish Fork</w:t>
            </w: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3340" w:type="dxa"/>
            <w:vAlign w:val="bottom"/>
          </w:tcPr>
          <w:p>
            <w:pPr>
              <w:jc w:val="center"/>
              <w:ind w:left="8"/>
              <w:spacing w:after="0"/>
              <w:rPr>
                <w:sz w:val="20"/>
                <w:szCs w:val="20"/>
                <w:color w:val="auto"/>
              </w:rPr>
            </w:pPr>
            <w:r>
              <w:rPr>
                <w:rFonts w:ascii="Arial" w:cs="Arial" w:eastAsia="Arial" w:hAnsi="Arial"/>
                <w:sz w:val="14"/>
                <w:szCs w:val="14"/>
                <w:color w:val="auto"/>
                <w:w w:val="95"/>
              </w:rPr>
              <w:t>PacifiCorp</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2028</w:t>
            </w:r>
          </w:p>
        </w:tc>
        <w:tc>
          <w:tcPr>
            <w:tcW w:w="0" w:type="dxa"/>
            <w:vAlign w:val="bottom"/>
          </w:tcPr>
          <w:p>
            <w:pPr>
              <w:spacing w:after="0"/>
              <w:rPr>
                <w:sz w:val="1"/>
                <w:szCs w:val="1"/>
                <w:color w:val="auto"/>
              </w:rPr>
            </w:pPr>
          </w:p>
        </w:tc>
      </w:tr>
      <w:tr>
        <w:trPr>
          <w:trHeight w:val="208"/>
        </w:trPr>
        <w:tc>
          <w:tcPr>
            <w:tcW w:w="4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9"/>
                <w:szCs w:val="9"/>
                <w:color w:val="auto"/>
              </w:rPr>
              <w:t>(b)</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w:t>
            </w:r>
          </w:p>
        </w:tc>
        <w:tc>
          <w:tcPr>
            <w:tcW w:w="33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196"/>
        </w:trPr>
        <w:tc>
          <w:tcPr>
            <w:tcW w:w="4320" w:type="dxa"/>
            <w:vAlign w:val="bottom"/>
          </w:tcPr>
          <w:p>
            <w:pPr>
              <w:ind w:left="220"/>
              <w:spacing w:after="0"/>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9"/>
                <w:szCs w:val="9"/>
                <w:color w:val="auto"/>
              </w:rPr>
              <w:t>(b)</w:t>
            </w:r>
          </w:p>
        </w:tc>
        <w:tc>
          <w:tcPr>
            <w:tcW w:w="1040" w:type="dxa"/>
            <w:vAlign w:val="bottom"/>
          </w:tcPr>
          <w:p>
            <w:pPr>
              <w:jc w:val="right"/>
              <w:spacing w:after="0"/>
              <w:rPr>
                <w:sz w:val="20"/>
                <w:szCs w:val="20"/>
                <w:color w:val="auto"/>
              </w:rPr>
            </w:pPr>
            <w:r>
              <w:rPr>
                <w:rFonts w:ascii="Arial" w:cs="Arial" w:eastAsia="Arial" w:hAnsi="Arial"/>
                <w:sz w:val="14"/>
                <w:szCs w:val="14"/>
                <w:color w:val="auto"/>
              </w:rPr>
              <w:t>90.1</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3340" w:type="dxa"/>
            <w:vAlign w:val="bottom"/>
          </w:tcPr>
          <w:p>
            <w:pPr>
              <w:jc w:val="center"/>
              <w:ind w:left="28"/>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89"/>
              </w:rPr>
              <w:t>2039</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Taloga</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130</w:t>
            </w:r>
          </w:p>
        </w:tc>
        <w:tc>
          <w:tcPr>
            <w:tcW w:w="33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5"/>
              </w:rPr>
              <w:t>Oklahoma Gas &amp; Electric</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2031</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 xml:space="preserve">Wildorado </w:t>
            </w:r>
            <w:r>
              <w:rPr>
                <w:rFonts w:ascii="Arial" w:cs="Arial" w:eastAsia="Arial" w:hAnsi="Arial"/>
                <w:sz w:val="9"/>
                <w:szCs w:val="9"/>
                <w:color w:val="auto"/>
              </w:rPr>
              <w:t>(b)</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161</w:t>
            </w:r>
          </w:p>
        </w:tc>
        <w:tc>
          <w:tcPr>
            <w:tcW w:w="3340" w:type="dxa"/>
            <w:vAlign w:val="bottom"/>
            <w:tcBorders>
              <w:bottom w:val="single" w:sz="8" w:color="CCEEFF"/>
            </w:tcBorders>
          </w:tcPr>
          <w:p>
            <w:pPr>
              <w:jc w:val="center"/>
              <w:ind w:left="8"/>
              <w:spacing w:after="0"/>
              <w:rPr>
                <w:sz w:val="20"/>
                <w:szCs w:val="20"/>
                <w:color w:val="auto"/>
              </w:rPr>
            </w:pPr>
            <w:r>
              <w:rPr>
                <w:rFonts w:ascii="Arial" w:cs="Arial" w:eastAsia="Arial" w:hAnsi="Arial"/>
                <w:sz w:val="14"/>
                <w:szCs w:val="14"/>
                <w:color w:val="auto"/>
                <w:w w:val="93"/>
              </w:rPr>
              <w:t>Southwestern Public Service Company</w:t>
            </w:r>
          </w:p>
        </w:tc>
        <w:tc>
          <w:tcPr>
            <w:tcW w:w="1140" w:type="dxa"/>
            <w:vAlign w:val="bottom"/>
            <w:tcBorders>
              <w:bottom w:val="single" w:sz="8" w:color="CCEEFF"/>
            </w:tcBorders>
          </w:tcPr>
          <w:p>
            <w:pPr>
              <w:jc w:val="center"/>
              <w:ind w:left="28"/>
              <w:spacing w:after="0"/>
              <w:rPr>
                <w:sz w:val="20"/>
                <w:szCs w:val="20"/>
                <w:color w:val="auto"/>
              </w:rPr>
            </w:pPr>
            <w:r>
              <w:rPr>
                <w:rFonts w:ascii="Arial" w:cs="Arial" w:eastAsia="Arial" w:hAnsi="Arial"/>
                <w:sz w:val="14"/>
                <w:szCs w:val="14"/>
                <w:color w:val="auto"/>
                <w:w w:val="89"/>
              </w:rPr>
              <w:t>2027</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2,203</w:t>
            </w:r>
          </w:p>
        </w:tc>
        <w:tc>
          <w:tcPr>
            <w:tcW w:w="3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Thermal</w:t>
            </w:r>
          </w:p>
        </w:tc>
        <w:tc>
          <w:tcPr>
            <w:tcW w:w="10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34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Thermal Generation</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w:t>
            </w:r>
          </w:p>
        </w:tc>
        <w:tc>
          <w:tcPr>
            <w:tcW w:w="33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202"/>
        </w:trPr>
        <w:tc>
          <w:tcPr>
            <w:tcW w:w="43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34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xml:space="preserve">Total net generation capacity </w:t>
            </w:r>
            <w:r>
              <w:rPr>
                <w:rFonts w:ascii="Arial" w:cs="Arial" w:eastAsia="Arial" w:hAnsi="Arial"/>
                <w:sz w:val="9"/>
                <w:szCs w:val="9"/>
                <w:color w:val="auto"/>
              </w:rPr>
              <w:t>(c)</w:t>
            </w: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5,914</w:t>
            </w:r>
          </w:p>
        </w:tc>
        <w:tc>
          <w:tcPr>
            <w:tcW w:w="3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3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34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Thermal equivalent MWt</w:t>
            </w:r>
            <w:r>
              <w:rPr>
                <w:rFonts w:ascii="Arial" w:cs="Arial" w:eastAsia="Arial" w:hAnsi="Arial"/>
                <w:sz w:val="9"/>
                <w:szCs w:val="9"/>
                <w:color w:val="auto"/>
              </w:rPr>
              <w:t>(d)</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1,508</w:t>
            </w:r>
          </w:p>
        </w:tc>
        <w:tc>
          <w:tcPr>
            <w:tcW w:w="33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3798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9"/>
          <w:szCs w:val="9"/>
          <w:color w:val="auto"/>
        </w:rPr>
      </w:pPr>
      <w:r>
        <w:rPr>
          <w:rFonts w:ascii="Arial" w:cs="Arial" w:eastAsia="Arial" w:hAnsi="Arial"/>
          <w:sz w:val="14"/>
          <w:szCs w:val="14"/>
          <w:color w:val="auto"/>
        </w:rPr>
        <w:t>Net capacity represents the maximum, or rated, generating capacity of the facility multiplied by the Company's percentage ownership in the facility as of March 31, 2020.</w:t>
      </w:r>
    </w:p>
    <w:p>
      <w:pPr>
        <w:spacing w:after="0" w:line="13" w:lineRule="exact"/>
        <w:rPr>
          <w:rFonts w:ascii="Arial" w:cs="Arial" w:eastAsia="Arial" w:hAnsi="Arial"/>
          <w:sz w:val="9"/>
          <w:szCs w:val="9"/>
          <w:color w:val="auto"/>
        </w:rPr>
      </w:pPr>
    </w:p>
    <w:p>
      <w:pPr>
        <w:ind w:left="160" w:hanging="152"/>
        <w:spacing w:after="0"/>
        <w:tabs>
          <w:tab w:leader="none" w:pos="160" w:val="left"/>
        </w:tabs>
        <w:numPr>
          <w:ilvl w:val="0"/>
          <w:numId w:val="22"/>
        </w:numPr>
        <w:rPr>
          <w:rFonts w:ascii="Arial" w:cs="Arial" w:eastAsia="Arial" w:hAnsi="Arial"/>
          <w:sz w:val="9"/>
          <w:szCs w:val="9"/>
          <w:color w:val="auto"/>
        </w:rPr>
      </w:pPr>
      <w:r>
        <w:rPr>
          <w:rFonts w:ascii="Arial" w:cs="Arial" w:eastAsia="Arial" w:hAnsi="Arial"/>
          <w:sz w:val="14"/>
          <w:szCs w:val="14"/>
          <w:color w:val="auto"/>
        </w:rPr>
        <w:t xml:space="preserve">Projects are part of tax equity arrangements, as further described in Item 1 —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w:t>
      </w:r>
    </w:p>
    <w:p>
      <w:pPr>
        <w:spacing w:after="0" w:line="9" w:lineRule="exact"/>
        <w:rPr>
          <w:rFonts w:ascii="Arial" w:cs="Arial" w:eastAsia="Arial" w:hAnsi="Arial"/>
          <w:sz w:val="9"/>
          <w:szCs w:val="9"/>
          <w:color w:val="auto"/>
        </w:rPr>
      </w:pPr>
    </w:p>
    <w:p>
      <w:pPr>
        <w:ind w:firstLine="8"/>
        <w:spacing w:after="0" w:line="245" w:lineRule="auto"/>
        <w:tabs>
          <w:tab w:leader="none" w:pos="140" w:val="left"/>
        </w:tabs>
        <w:numPr>
          <w:ilvl w:val="0"/>
          <w:numId w:val="22"/>
        </w:numPr>
        <w:rPr>
          <w:rFonts w:ascii="Arial" w:cs="Arial" w:eastAsia="Arial" w:hAnsi="Arial"/>
          <w:sz w:val="9"/>
          <w:szCs w:val="9"/>
          <w:color w:val="auto"/>
        </w:rPr>
      </w:pPr>
      <w:r>
        <w:rPr>
          <w:rFonts w:ascii="Arial" w:cs="Arial" w:eastAsia="Arial" w:hAnsi="Arial"/>
          <w:sz w:val="14"/>
          <w:szCs w:val="14"/>
          <w:color w:val="auto"/>
        </w:rPr>
        <w:t>Clearway Energy, Inc.'s total generation capacity is net of 6 MWs for noncontrolling interest for Spring Canyon II and III. Clearway Energy, Inc.'s generation capacity including this noncontrolling interest was 5,917 MWs.</w:t>
      </w:r>
    </w:p>
    <w:p>
      <w:pPr>
        <w:ind w:firstLine="8"/>
        <w:spacing w:after="0" w:line="241" w:lineRule="auto"/>
        <w:tabs>
          <w:tab w:leader="none" w:pos="158" w:val="left"/>
        </w:tabs>
        <w:numPr>
          <w:ilvl w:val="0"/>
          <w:numId w:val="22"/>
        </w:numPr>
        <w:rPr>
          <w:rFonts w:ascii="Arial" w:cs="Arial" w:eastAsia="Arial" w:hAnsi="Arial"/>
          <w:sz w:val="9"/>
          <w:szCs w:val="9"/>
          <w:color w:val="auto"/>
        </w:rPr>
      </w:pPr>
      <w:r>
        <w:rPr>
          <w:rFonts w:ascii="Arial" w:cs="Arial" w:eastAsia="Arial" w:hAnsi="Arial"/>
          <w:sz w:val="14"/>
          <w:szCs w:val="14"/>
          <w:color w:val="auto"/>
        </w:rPr>
        <w:t>For thermal energy, net capacity represents MWt for steam or chilled water and excludes 19 MWt available under the right-to-use provisions contained in agreements between one of the Company's thermal facilities and certain of its customers.</w:t>
      </w:r>
    </w:p>
    <w:p>
      <w:pPr>
        <w:ind w:left="140" w:hanging="132"/>
        <w:spacing w:after="0"/>
        <w:tabs>
          <w:tab w:leader="none" w:pos="140" w:val="left"/>
        </w:tabs>
        <w:numPr>
          <w:ilvl w:val="0"/>
          <w:numId w:val="22"/>
        </w:numPr>
        <w:rPr>
          <w:rFonts w:ascii="Arial" w:cs="Arial" w:eastAsia="Arial" w:hAnsi="Arial"/>
          <w:sz w:val="9"/>
          <w:szCs w:val="9"/>
          <w:color w:val="auto"/>
        </w:rPr>
      </w:pPr>
      <w:r>
        <w:rPr>
          <w:rFonts w:ascii="Arial" w:cs="Arial" w:eastAsia="Arial" w:hAnsi="Arial"/>
          <w:sz w:val="14"/>
          <w:szCs w:val="14"/>
          <w:color w:val="auto"/>
        </w:rPr>
        <w:t>Represents interests in Four Brothers Solar, LLC, Granite Mountain Holdings, LLC, and Iron Springs Holdings, LLC, all acquired as part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of the March 2017 Drop Down Assets (ownership percentage is based upon cash to be distributed).</w:t>
      </w:r>
    </w:p>
    <w:p>
      <w:pPr>
        <w:spacing w:after="0" w:line="23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Additionally, the Company is party to partnerships the purpose of which is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320 MW based on cash to be distributed pursuant to the partnership agreements as of March 31, 2020. For further discussions, see Item 1 — Note 4,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of this Form 10-Q and Item 15 — Note 5, Investments Accounted for by the Equity Method and Variable Interest Entities to the consolidated financial statements included in the Company's 2019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Significant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 Gas and Electric Company Bankruptcy Update</w:t>
      </w:r>
    </w:p>
    <w:p>
      <w:pPr>
        <w:spacing w:after="0" w:line="185" w:lineRule="exact"/>
        <w:rPr>
          <w:sz w:val="20"/>
          <w:szCs w:val="20"/>
          <w:color w:val="auto"/>
        </w:rPr>
      </w:pPr>
    </w:p>
    <w:p>
      <w:pPr>
        <w:jc w:val="both"/>
        <w:ind w:left="340" w:hanging="332"/>
        <w:spacing w:after="0" w:line="283" w:lineRule="auto"/>
        <w:tabs>
          <w:tab w:leader="none" w:pos="328" w:val="left"/>
        </w:tabs>
        <w:numPr>
          <w:ilvl w:val="0"/>
          <w:numId w:val="23"/>
        </w:numPr>
        <w:rPr>
          <w:rFonts w:ascii="Arial" w:cs="Arial" w:eastAsia="Arial" w:hAnsi="Arial"/>
          <w:sz w:val="18"/>
          <w:szCs w:val="18"/>
          <w:color w:val="auto"/>
        </w:rPr>
      </w:pPr>
      <w:r>
        <w:rPr>
          <w:rFonts w:ascii="Arial" w:cs="Arial" w:eastAsia="Arial" w:hAnsi="Arial"/>
          <w:sz w:val="16"/>
          <w:szCs w:val="16"/>
          <w:color w:val="auto"/>
        </w:rPr>
        <w:t xml:space="preserve">During 2019, PG&amp;E, one of the Company's largest customers, filed for reorganization under Chapter 11 of the U.S. Bankruptcy Code in the U.S. Bankruptcy Court for the Northern District of California, or the Bankruptcy Court. On January 31, 2020, PG&amp;E filed with the Bankruptcy Court a Chapter 11 plan of reorganization, as amended, or the PG&amp;E Plan. The PG&amp;E Plan provides for PG&amp;E to assume all of its PPAs with the Company. There are many conditions that must be satisfied before the PG&amp;E Plan and assumption of the PPAs can become effective, including but not limited to approvals by various classes of creditors, the Bankruptcy Court, and the CPUC. A hearing before the Bankruptcy Court to consider whether the PG&amp;E Plan will be approved and confirmed is currently expected to occur on May 27, 2020. As of March 31, 2020, the Company had $1.37 billion of property, plant and equipment, net, $368 million investments in unconsolidated affiliates and $1.19 billion of borrowings with final maturity dates ranging from 2022 - 2037 related to subsidiaries that sell their output to PG&amp;E under the long-term contracts. These subsidiaries of the Company are parties to financing agreements consisting of non-recourse project-level debt and, in certain cases, non-recourse holding company debt. The PG&amp;E Bankruptcy has triggered defaults under the PPAs with PG&amp;E and such related financing agreements, as further discussed in Item 1 — Note 7, </w:t>
      </w:r>
      <w:r>
        <w:rPr>
          <w:rFonts w:ascii="Arial" w:cs="Arial" w:eastAsia="Arial" w:hAnsi="Arial"/>
          <w:sz w:val="16"/>
          <w:szCs w:val="16"/>
          <w:i w:val="1"/>
          <w:iCs w:val="1"/>
          <w:color w:val="auto"/>
        </w:rPr>
        <w:t>Long-term Debt</w:t>
      </w:r>
      <w:r>
        <w:rPr>
          <w:rFonts w:ascii="Arial" w:cs="Arial" w:eastAsia="Arial" w:hAnsi="Arial"/>
          <w:sz w:val="16"/>
          <w:szCs w:val="16"/>
          <w:color w:val="auto"/>
        </w:rPr>
        <w:t>. As a result, the Company recorded approximately $1.19 billion of principal, net of the related unamortized debt issuance costs, as short-term debt. As of May 7, 2020, the Company's contracts with PG&amp;E have operated in the normal course and the Company currently expects these contracts to continue as such. As of May 7, 2020, the Company has entered into forbearance agreements for certain project-level financing arrangements and continues to seek forbearance agreements for other project-level financing arrangements affected by the PG&amp;E Bankruptcy. The Company continues to assess the potential future impacts of the PG&amp;E Bankruptcy as events occur.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2020 Drop Down</w:t>
      </w:r>
    </w:p>
    <w:p>
      <w:pPr>
        <w:spacing w:after="0" w:line="171" w:lineRule="exact"/>
        <w:rPr>
          <w:sz w:val="20"/>
          <w:szCs w:val="20"/>
          <w:color w:val="auto"/>
        </w:rPr>
      </w:pPr>
    </w:p>
    <w:p>
      <w:pPr>
        <w:jc w:val="both"/>
        <w:ind w:left="340" w:hanging="332"/>
        <w:spacing w:after="0" w:line="286" w:lineRule="auto"/>
        <w:tabs>
          <w:tab w:leader="none" w:pos="336" w:val="left"/>
        </w:tabs>
        <w:numPr>
          <w:ilvl w:val="0"/>
          <w:numId w:val="24"/>
        </w:numPr>
        <w:rPr>
          <w:rFonts w:ascii="Arial" w:cs="Arial" w:eastAsia="Arial" w:hAnsi="Arial"/>
          <w:sz w:val="13"/>
          <w:szCs w:val="13"/>
          <w:i w:val="1"/>
          <w:iCs w:val="1"/>
          <w:color w:val="auto"/>
        </w:rPr>
      </w:pPr>
      <w:r>
        <w:rPr>
          <w:rFonts w:ascii="Arial" w:cs="Arial" w:eastAsia="Arial" w:hAnsi="Arial"/>
          <w:sz w:val="16"/>
          <w:szCs w:val="16"/>
          <w:color w:val="auto"/>
        </w:rPr>
        <w:t>On April 17, 2020, the Company entered into binding agreements related to the previously announced drop-down offer from CEG to enable the Company to acquire and invest in a portfolio of renewable energy projects. The following projects are included in the drop-down: (i) 100% of the equity interests in Rattlesnake Flat, LLC, which owns the Rattlesnake Wind Project, a 144 net MW wind facility located in Adams County, WA; (ii) CEG's interest in Repowering Partnership II LLC (Repowering 1.0), which would give the Company a 100% equity interest in Repowering 1.0; and</w:t>
      </w:r>
    </w:p>
    <w:p>
      <w:pPr>
        <w:spacing w:after="0" w:line="1" w:lineRule="exact"/>
        <w:rPr>
          <w:rFonts w:ascii="Arial" w:cs="Arial" w:eastAsia="Arial" w:hAnsi="Arial"/>
          <w:sz w:val="13"/>
          <w:szCs w:val="13"/>
          <w:i w:val="1"/>
          <w:iCs w:val="1"/>
          <w:color w:val="auto"/>
        </w:rPr>
      </w:pPr>
    </w:p>
    <w:p>
      <w:pPr>
        <w:jc w:val="both"/>
        <w:ind w:left="340" w:hanging="8"/>
        <w:spacing w:after="0" w:line="253" w:lineRule="auto"/>
        <w:tabs>
          <w:tab w:leader="none" w:pos="671"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new partnership with CEG to repower the Pinnacle Wind Project, a 55 net MW wind facility located in Mineral County, WV. The Company expects to invest approximately $241 million in corporate capital subject to closing adjustments for the above mentioned transactions. Closing is subject to the timing of projects achieving commercial operations. The investment at commercial operations excludes, subject to closing adjustments, an additional $27 million payment in 2031 at the Pinnacle Wind Repowering Partnership.</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Energy Center Dover LLC and Energy Center Smyrna LLC Assets</w:t>
      </w:r>
    </w:p>
    <w:p>
      <w:pPr>
        <w:spacing w:after="0" w:line="171" w:lineRule="exact"/>
        <w:rPr>
          <w:sz w:val="20"/>
          <w:szCs w:val="20"/>
          <w:color w:val="auto"/>
        </w:rPr>
      </w:pPr>
    </w:p>
    <w:p>
      <w:pPr>
        <w:ind w:left="340" w:hanging="332"/>
        <w:spacing w:after="0" w:line="277"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March 3, 2020, the Company, through Thermal LLC, sold 100% of its interests in Energy Center Dover LLC and Energy Center Smyrna LLC to DB Energy Assets, LLC.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3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 number of regulations that may affect the Company are under review, including the publishing of the Affordable Clean Energy (ACE) rule, state solar photovoltaic module (solar panel) disposal and recycling regulations, and proposed federal MBTA incidental take legislation and regulations. The Company will evaluate the impact of the legislation and regulations as they are revised but cannot fully predict the impact of each until anticipated revisions and legal challenges are resolved. To the extent the proposed legislation and regulations restrict or otherwise impact the Company's operations, the proposed legislation and regulations could have a negative impact on the Company's financial performance.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Affordable Clean Energy </w:t>
      </w:r>
      <w:r>
        <w:rPr>
          <w:rFonts w:ascii="Arial" w:cs="Arial" w:eastAsia="Arial" w:hAnsi="Arial"/>
          <w:sz w:val="21"/>
          <w:szCs w:val="21"/>
          <w:i w:val="1"/>
          <w:iCs w:val="1"/>
          <w:color w:val="auto"/>
        </w:rPr>
        <w:t>Rule</w:t>
      </w:r>
      <w:r>
        <w:rPr>
          <w:rFonts w:ascii="Arial" w:cs="Arial" w:eastAsia="Arial" w:hAnsi="Arial"/>
          <w:sz w:val="18"/>
          <w:szCs w:val="18"/>
          <w:i w:val="1"/>
          <w:iCs w:val="1"/>
          <w:color w:val="auto"/>
        </w:rPr>
        <w:t xml:space="preserve"> </w:t>
      </w:r>
      <w:r>
        <w:rPr>
          <w:rFonts w:ascii="Arial" w:cs="Arial" w:eastAsia="Arial" w:hAnsi="Arial"/>
          <w:sz w:val="18"/>
          <w:szCs w:val="18"/>
          <w:color w:val="auto"/>
        </w:rPr>
        <w:t>— The attention in recent years on GHG emissions has resulted in federal regulations and state legislative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action. In 2015, the EPA finalized the Clean Power Plan, or the CPP, which addressed GHG emissions from existing electric utility steam generating units. The CPP was challenged in court and in 2016 the U.S. Supreme Court stayed the CPP. In 2018, the EPA published the proposed ACE rule to replace the CPP. The ACE rule establishes emission guidelines for states to develop plans to address greenhouse gas emissions from existing power plants. The ACE rule also reinforces the states’ broad discretion in establishing and applying emissions standards to new emission sources. The ACE rule is currently being litigated in the D.C. Circuit.</w:t>
      </w:r>
    </w:p>
    <w:p>
      <w:pPr>
        <w:spacing w:after="0" w:line="13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i w:val="1"/>
          <w:iCs w:val="1"/>
          <w:color w:val="auto"/>
        </w:rPr>
        <w:t xml:space="preserve">Proposed State Solar Photovoltaic Module Disposal and Recycling Regulations </w:t>
      </w:r>
      <w:r>
        <w:rPr>
          <w:rFonts w:ascii="Arial" w:cs="Arial" w:eastAsia="Arial" w:hAnsi="Arial"/>
          <w:sz w:val="17"/>
          <w:szCs w:val="17"/>
          <w:color w:val="auto"/>
        </w:rPr>
        <w:t>— On October 1, 2015, California enacted SB 489, which authorized</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California’s Department of Toxic Substances Control to adopt regulations to designate discarded photovoltaic modules, which are classified as hazardous waste, as universal waste subject to universal waste management. On April 19, 2019, the department proposed regulations that would allow discarded photovoltaic modules to be managed as universal waste. Comments on the proposed rule were due by June 10, 2019, but the date was extended to January 8, 2020, as a result of text modifications. The final rule has not yet been published.</w:t>
      </w:r>
    </w:p>
    <w:p>
      <w:pPr>
        <w:spacing w:after="0" w:line="12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Proposed Federal MBTA Incidental Take Legislation and Regulations </w:t>
      </w:r>
      <w:r>
        <w:rPr>
          <w:rFonts w:ascii="Arial" w:cs="Arial" w:eastAsia="Arial" w:hAnsi="Arial"/>
          <w:sz w:val="17"/>
          <w:szCs w:val="17"/>
          <w:color w:val="auto"/>
        </w:rPr>
        <w:t>— On January 15, 2020, the House Natural Resources Committee voted to</w:t>
      </w:r>
      <w:r>
        <w:rPr>
          <w:rFonts w:ascii="Arial" w:cs="Arial" w:eastAsia="Arial" w:hAnsi="Arial"/>
          <w:sz w:val="17"/>
          <w:szCs w:val="17"/>
          <w:i w:val="1"/>
          <w:iCs w:val="1"/>
          <w:color w:val="auto"/>
        </w:rPr>
        <w:t xml:space="preserve"> </w:t>
      </w:r>
      <w:r>
        <w:rPr>
          <w:rFonts w:ascii="Arial" w:cs="Arial" w:eastAsia="Arial" w:hAnsi="Arial"/>
          <w:sz w:val="17"/>
          <w:szCs w:val="17"/>
          <w:color w:val="auto"/>
        </w:rPr>
        <w:t>advance a bill that would reinstate the interpretation that incidental take is prohibited under the MBTA, overriding the recent Trump-administration Solicitor’s Opinion M-37050 that held the MBTA only applies to intentional takings. The bill also develops a general permitting program that covers incidental take of migratory birds. To the extent that electric generation takes migratory birds, it typically is incidental to its operations.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On February 3, 2020, the U.S. Fish and Wildlife Service published in the </w:t>
      </w:r>
      <w:r>
        <w:rPr>
          <w:rFonts w:ascii="Arial" w:cs="Arial" w:eastAsia="Arial" w:hAnsi="Arial"/>
          <w:sz w:val="18"/>
          <w:szCs w:val="18"/>
          <w:i w:val="1"/>
          <w:iCs w:val="1"/>
          <w:color w:val="auto"/>
        </w:rPr>
        <w:t>Federal Register</w:t>
      </w:r>
      <w:r>
        <w:rPr>
          <w:rFonts w:ascii="Arial" w:cs="Arial" w:eastAsia="Arial" w:hAnsi="Arial"/>
          <w:sz w:val="18"/>
          <w:szCs w:val="18"/>
          <w:color w:val="auto"/>
        </w:rPr>
        <w:t xml:space="preserve"> a notice of proposed rulemaking to solicit public comment on a proposed regulation that would codify Solicitor’s Opinion M-37050 defining the scope of certain prohibitions under the MBTA. The proposed rule would clarify that criminal liability for pursuing, hunting, taking, capturing, or killing or attempting to take, capture or kill migratory birds is limited to actions directed at migratory birds, their nests, or their eggs. The proposed rule would have the effect of clarifying that these prohibitions do not extend to actions that only incidentally take or kill migratory birds as a result of otherwise lawful activities. Comments on the proposed rule were due by March 19, 2020. The final rule has not yet been published.</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 xml:space="preserve">The Company’s regulatory matters are described in the Company’s 2019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Company’s trends are described in the Company’s 2019 Form 10-K in Item 7,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Results of Operations - Trends Affecting Results of Operations and Future Business Performance.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Affecting Industry Conditions and the Company’s Business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also has modified certain business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support efforts to reduce the spread of COVID-19 and to conform to government restrictions and best practices encouraged by governmental and regulatory authorities.</w:t>
      </w:r>
    </w:p>
    <w:p>
      <w:pPr>
        <w:spacing w:after="0" w:line="12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There is considerable uncertainty regarding the extent to which COVID-19 will continue to spread and the extent and duration of governmental and other measures implemented to try to slow the spread of the virus, such as large-scale travel bans and restrictions, border closures, quarantines, shelter-in-place orders and business and government shutdowns. Restrictions of this nature may cause the Company, its suppliers and other business counterparties to experience operational delays and delays in the delivery of materials and supplies and may cause milestones or deadlines relating to various projects to be missed.</w:t>
      </w:r>
    </w:p>
    <w:p>
      <w:pPr>
        <w:spacing w:after="0" w:line="13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the date of this report, the Company has not experienced any material financial or operational impacts related to COVID-19. All of the Company’s facilities have remained operational. The Company believes that all of its accounts receivable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balances as of March 31, 2020 are collectible. The Company will continue to assess collectability based on any future developments.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The Company cannot predict the full impact that COVID-19 will have on the Company’s financial expectations, its financial condition, results of operations and cash flows, its ability to make distributions to its stockholders, the market prices of its common stock and its ability to satisfy its debt service obligations at this time, due to numerous uncertainties. The ultimate impacts will depend on future developments, including, among others, the ultimate geographic spread of the virus, the consequences of governmental and other measures designed to prevent the spread of the virus, the development of effective treatments, the duration of the outbreak, actions taken by governmental authorities, customers, suppliers and other third parties, workforce availability and the timing and extent to which normal economic and operating conditions resume. For additional discussion regarding risks associated with the COVID-19 pandemic, see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Three months ended March 31,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Borders>
              <w:bottom w:val="single" w:sz="8" w:color="auto"/>
            </w:tcBorders>
          </w:tcPr>
          <w:p>
            <w:pPr>
              <w:spacing w:after="0" w:line="155" w:lineRule="exact"/>
              <w:rPr>
                <w:sz w:val="20"/>
                <w:szCs w:val="20"/>
                <w:color w:val="auto"/>
              </w:rPr>
            </w:pPr>
            <w:r>
              <w:rPr>
                <w:rFonts w:ascii="Arial" w:cs="Arial" w:eastAsia="Arial" w:hAnsi="Arial"/>
                <w:sz w:val="16"/>
                <w:szCs w:val="16"/>
                <w:b w:val="1"/>
                <w:bCs w:val="1"/>
                <w:color w:val="auto"/>
                <w:w w:val="93"/>
              </w:rPr>
              <w:t>(In millions)</w:t>
            </w:r>
          </w:p>
        </w:tc>
        <w:tc>
          <w:tcPr>
            <w:tcW w:w="5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3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8"/>
        </w:trPr>
        <w:tc>
          <w:tcPr>
            <w:tcW w:w="682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Operating Revenues</w:t>
            </w: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682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Energy and capacity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gridSpan w:val="2"/>
          </w:tcPr>
          <w:p>
            <w:pPr>
              <w:ind w:left="100"/>
              <w:spacing w:after="0"/>
              <w:rPr>
                <w:sz w:val="20"/>
                <w:szCs w:val="20"/>
                <w:color w:val="auto"/>
              </w:rPr>
            </w:pPr>
            <w:r>
              <w:rPr>
                <w:rFonts w:ascii="Arial" w:cs="Arial" w:eastAsia="Arial" w:hAnsi="Arial"/>
                <w:sz w:val="17"/>
                <w:szCs w:val="17"/>
                <w:color w:val="auto"/>
              </w:rPr>
              <w:t>Other revenues</w:t>
            </w: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Contract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gridSpan w:val="2"/>
          </w:tcPr>
          <w:p>
            <w:pPr>
              <w:ind w:left="100"/>
              <w:spacing w:after="0"/>
              <w:rPr>
                <w:sz w:val="20"/>
                <w:szCs w:val="20"/>
                <w:color w:val="auto"/>
              </w:rPr>
            </w:pPr>
            <w:r>
              <w:rPr>
                <w:rFonts w:ascii="Arial" w:cs="Arial" w:eastAsia="Arial" w:hAnsi="Arial"/>
                <w:sz w:val="18"/>
                <w:szCs w:val="18"/>
                <w:color w:val="auto"/>
              </w:rPr>
              <w:t>Mark-to-market economic hedging activities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68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revenues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6820" w:type="dxa"/>
            <w:vAlign w:val="bottom"/>
            <w:gridSpan w:val="3"/>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Cost of fuels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gridSpan w:val="2"/>
          </w:tcPr>
          <w:p>
            <w:pPr>
              <w:ind w:left="100"/>
              <w:spacing w:after="0"/>
              <w:rPr>
                <w:sz w:val="20"/>
                <w:szCs w:val="20"/>
                <w:color w:val="auto"/>
              </w:rPr>
            </w:pPr>
            <w:r>
              <w:rPr>
                <w:rFonts w:ascii="Arial" w:cs="Arial" w:eastAsia="Arial" w:hAnsi="Arial"/>
                <w:sz w:val="18"/>
                <w:szCs w:val="18"/>
                <w:color w:val="auto"/>
              </w:rPr>
              <w:t>Operations and maintenance</w:t>
            </w: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Other costs of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gridSpan w:val="2"/>
          </w:tcPr>
          <w:p>
            <w:pPr>
              <w:ind w:left="100"/>
              <w:spacing w:after="0"/>
              <w:rPr>
                <w:sz w:val="20"/>
                <w:szCs w:val="20"/>
                <w:color w:val="auto"/>
              </w:rPr>
            </w:pPr>
            <w:r>
              <w:rPr>
                <w:rFonts w:ascii="Arial" w:cs="Arial" w:eastAsia="Arial" w:hAnsi="Arial"/>
                <w:sz w:val="18"/>
                <w:szCs w:val="18"/>
                <w:color w:val="auto"/>
              </w:rPr>
              <w:t>Depreciation, amortization and accretion</w:t>
            </w: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gridSpan w:val="2"/>
          </w:tcPr>
          <w:p>
            <w:pPr>
              <w:ind w:left="100"/>
              <w:spacing w:after="0"/>
              <w:rPr>
                <w:sz w:val="20"/>
                <w:szCs w:val="20"/>
                <w:color w:val="auto"/>
              </w:rPr>
            </w:pPr>
            <w:r>
              <w:rPr>
                <w:rFonts w:ascii="Arial" w:cs="Arial" w:eastAsia="Arial" w:hAnsi="Arial"/>
                <w:sz w:val="17"/>
                <w:szCs w:val="17"/>
                <w:color w:val="auto"/>
              </w:rPr>
              <w:t>Transaction and integration costs</w:t>
            </w: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8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Development costs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0" w:type="dxa"/>
            <w:vAlign w:val="bottom"/>
            <w:gridSpan w:val="2"/>
          </w:tcPr>
          <w:p>
            <w:pPr>
              <w:ind w:left="20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82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Equity in (losses) earnings of unconsolidated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gridSpan w:val="2"/>
          </w:tcPr>
          <w:p>
            <w:pPr>
              <w:ind w:left="10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Loss on debt extinguishment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gridSpan w:val="2"/>
          </w:tcPr>
          <w:p>
            <w:pPr>
              <w:ind w:left="10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68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7"/>
        </w:trPr>
        <w:tc>
          <w:tcPr>
            <w:tcW w:w="682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68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Less: Loss attributable to noncontrolling interests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3"/>
        </w:trPr>
        <w:tc>
          <w:tcPr>
            <w:tcW w:w="682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Loss Attributable to Clearway Energy LLC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320" w:top="891" w:right="5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34290</wp:posOffset>
            </wp:positionV>
            <wp:extent cx="6652260" cy="179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52260" cy="179705"/>
                    </a:xfrm>
                    <a:prstGeom prst="rect">
                      <a:avLst/>
                    </a:prstGeom>
                    <a:noFill/>
                  </pic:spPr>
                </pic:pic>
              </a:graphicData>
            </a:graphic>
          </wp:anchor>
        </w:drawing>
      </w:r>
    </w:p>
    <w:p>
      <w:pPr>
        <w:spacing w:after="0" w:line="8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 xml:space="preserve">Renewables MWh generated/sold (in thousands) </w:t>
      </w:r>
      <w:r>
        <w:rPr>
          <w:rFonts w:ascii="Arial" w:cs="Arial" w:eastAsia="Arial" w:hAnsi="Arial"/>
          <w:sz w:val="20"/>
          <w:szCs w:val="20"/>
          <w:color w:val="auto"/>
          <w:vertAlign w:val="superscript"/>
        </w:rPr>
        <w:t>(a)</w:t>
      </w:r>
    </w:p>
    <w:p>
      <w:pPr>
        <w:spacing w:after="0" w:line="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Thermal MWt sold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21590</wp:posOffset>
            </wp:positionV>
            <wp:extent cx="665226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Thermal MWh sold (in thousands)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 xml:space="preserve">Conventional MWh generated (in thousands) </w:t>
      </w:r>
      <w:r>
        <w:rPr>
          <w:rFonts w:ascii="Arial" w:cs="Arial" w:eastAsia="Arial" w:hAnsi="Arial"/>
          <w:sz w:val="20"/>
          <w:szCs w:val="20"/>
          <w:color w:val="auto"/>
          <w:vertAlign w:val="superscript"/>
        </w:rPr>
        <w:t>(a)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665226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52260" cy="171450"/>
                    </a:xfrm>
                    <a:prstGeom prst="rect">
                      <a:avLst/>
                    </a:prstGeom>
                    <a:noFill/>
                  </pic:spPr>
                </pic:pic>
              </a:graphicData>
            </a:graphic>
          </wp:anchor>
        </w:drawing>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Conventional equivalent availability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330200</wp:posOffset>
            </wp:positionV>
            <wp:extent cx="13201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50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31115</wp:posOffset>
            </wp:positionV>
            <wp:extent cx="18002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01" w:lineRule="exact"/>
        <w:rPr>
          <w:sz w:val="20"/>
          <w:szCs w:val="20"/>
          <w:color w:val="auto"/>
        </w:rPr>
      </w:pPr>
    </w:p>
    <w:p>
      <w:pPr>
        <w:ind w:left="80"/>
        <w:spacing w:after="0"/>
        <w:tabs>
          <w:tab w:leader="none" w:pos="15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63" w:lineRule="exact"/>
        <w:rPr>
          <w:sz w:val="20"/>
          <w:szCs w:val="20"/>
          <w:color w:val="auto"/>
        </w:rPr>
      </w:pPr>
    </w:p>
    <w:p>
      <w:pPr>
        <w:ind w:left="280"/>
        <w:spacing w:after="0"/>
        <w:tabs>
          <w:tab w:leader="none" w:pos="1720" w:val="left"/>
        </w:tabs>
        <w:rPr>
          <w:sz w:val="20"/>
          <w:szCs w:val="20"/>
          <w:color w:val="auto"/>
        </w:rPr>
      </w:pPr>
      <w:r>
        <w:rPr>
          <w:rFonts w:ascii="Arial" w:cs="Arial" w:eastAsia="Arial" w:hAnsi="Arial"/>
          <w:sz w:val="18"/>
          <w:szCs w:val="18"/>
          <w:color w:val="auto"/>
        </w:rPr>
        <w:t>1,676</w:t>
      </w:r>
      <w:r>
        <w:rPr>
          <w:sz w:val="20"/>
          <w:szCs w:val="20"/>
          <w:color w:val="auto"/>
        </w:rPr>
        <w:tab/>
      </w:r>
      <w:r>
        <w:rPr>
          <w:rFonts w:ascii="Arial" w:cs="Arial" w:eastAsia="Arial" w:hAnsi="Arial"/>
          <w:sz w:val="18"/>
          <w:szCs w:val="18"/>
          <w:color w:val="auto"/>
        </w:rPr>
        <w:t>1,449</w:t>
      </w:r>
    </w:p>
    <w:p>
      <w:pPr>
        <w:spacing w:after="0" w:line="63" w:lineRule="exact"/>
        <w:rPr>
          <w:sz w:val="20"/>
          <w:szCs w:val="20"/>
          <w:color w:val="auto"/>
        </w:rPr>
      </w:pPr>
    </w:p>
    <w:p>
      <w:pPr>
        <w:ind w:left="400"/>
        <w:spacing w:after="0"/>
        <w:tabs>
          <w:tab w:leader="none" w:pos="1860" w:val="left"/>
        </w:tabs>
        <w:rPr>
          <w:sz w:val="20"/>
          <w:szCs w:val="20"/>
          <w:color w:val="auto"/>
        </w:rPr>
      </w:pPr>
      <w:r>
        <w:rPr>
          <w:rFonts w:ascii="Arial" w:cs="Arial" w:eastAsia="Arial" w:hAnsi="Arial"/>
          <w:sz w:val="18"/>
          <w:szCs w:val="18"/>
          <w:color w:val="auto"/>
        </w:rPr>
        <w:t>605</w:t>
      </w:r>
      <w:r>
        <w:rPr>
          <w:sz w:val="20"/>
          <w:szCs w:val="20"/>
          <w:color w:val="auto"/>
        </w:rPr>
        <w:tab/>
      </w:r>
      <w:r>
        <w:rPr>
          <w:rFonts w:ascii="Arial" w:cs="Arial" w:eastAsia="Arial" w:hAnsi="Arial"/>
          <w:sz w:val="18"/>
          <w:szCs w:val="18"/>
          <w:color w:val="auto"/>
        </w:rPr>
        <w:t>644</w:t>
      </w:r>
    </w:p>
    <w:p>
      <w:pPr>
        <w:spacing w:after="0" w:line="63" w:lineRule="exact"/>
        <w:rPr>
          <w:sz w:val="20"/>
          <w:szCs w:val="20"/>
          <w:color w:val="auto"/>
        </w:rPr>
      </w:pPr>
    </w:p>
    <w:p>
      <w:pPr>
        <w:ind w:left="500"/>
        <w:spacing w:after="0"/>
        <w:tabs>
          <w:tab w:leader="none" w:pos="19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14</w:t>
      </w:r>
    </w:p>
    <w:p>
      <w:pPr>
        <w:spacing w:after="0" w:line="63" w:lineRule="exact"/>
        <w:rPr>
          <w:sz w:val="20"/>
          <w:szCs w:val="20"/>
          <w:color w:val="auto"/>
        </w:rPr>
      </w:pPr>
    </w:p>
    <w:p>
      <w:pPr>
        <w:ind w:left="1900" w:hanging="1492"/>
        <w:spacing w:after="0"/>
        <w:tabs>
          <w:tab w:leader="none" w:pos="1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111</w:t>
      </w:r>
    </w:p>
    <w:p>
      <w:pPr>
        <w:spacing w:after="0" w:line="63"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89.0 %</w:t>
      </w:r>
      <w:r>
        <w:rPr>
          <w:rFonts w:ascii="Arial" w:cs="Arial" w:eastAsia="Arial" w:hAnsi="Arial"/>
          <w:sz w:val="16"/>
          <w:szCs w:val="16"/>
          <w:color w:val="auto"/>
        </w:rPr>
        <w:t>89.0 %</w:t>
      </w:r>
    </w:p>
    <w:p>
      <w:pPr>
        <w:spacing w:after="0" w:line="215" w:lineRule="exact"/>
        <w:rPr>
          <w:sz w:val="20"/>
          <w:szCs w:val="20"/>
          <w:color w:val="auto"/>
        </w:rPr>
      </w:pPr>
    </w:p>
    <w:p>
      <w:pPr>
        <w:sectPr>
          <w:pgSz w:w="11900" w:h="16838" w:orient="portrait"/>
          <w:cols w:equalWidth="0" w:num="2">
            <w:col w:w="7840" w:space="720"/>
            <w:col w:w="2420"/>
          </w:cols>
          <w:pgMar w:left="320" w:top="891" w:right="59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400" w:hanging="149"/>
        <w:spacing w:after="0"/>
        <w:tabs>
          <w:tab w:leader="none" w:pos="400" w:val="left"/>
        </w:tabs>
        <w:numPr>
          <w:ilvl w:val="0"/>
          <w:numId w:val="27"/>
        </w:numPr>
        <w:rPr>
          <w:rFonts w:ascii="Arial" w:cs="Arial" w:eastAsia="Arial" w:hAnsi="Arial"/>
          <w:sz w:val="11"/>
          <w:szCs w:val="11"/>
          <w:color w:val="auto"/>
        </w:rPr>
      </w:pPr>
      <w:r>
        <w:rPr>
          <w:rFonts w:ascii="Arial" w:cs="Arial" w:eastAsia="Arial" w:hAnsi="Arial"/>
          <w:sz w:val="14"/>
          <w:szCs w:val="14"/>
          <w:color w:val="auto"/>
        </w:rPr>
        <w:t>Volumes do not include the MWh generated/sold by the Company's equity method investments.</w:t>
      </w:r>
    </w:p>
    <w:p>
      <w:pPr>
        <w:spacing w:after="0" w:line="13" w:lineRule="exact"/>
        <w:rPr>
          <w:rFonts w:ascii="Arial" w:cs="Arial" w:eastAsia="Arial" w:hAnsi="Arial"/>
          <w:sz w:val="11"/>
          <w:szCs w:val="11"/>
          <w:color w:val="auto"/>
        </w:rPr>
      </w:pPr>
    </w:p>
    <w:p>
      <w:pPr>
        <w:ind w:left="400" w:hanging="149"/>
        <w:spacing w:after="0"/>
        <w:tabs>
          <w:tab w:leader="none" w:pos="400" w:val="left"/>
        </w:tabs>
        <w:numPr>
          <w:ilvl w:val="0"/>
          <w:numId w:val="27"/>
        </w:numPr>
        <w:rPr>
          <w:rFonts w:ascii="Arial" w:cs="Arial" w:eastAsia="Arial" w:hAnsi="Arial"/>
          <w:sz w:val="9"/>
          <w:szCs w:val="9"/>
          <w:color w:val="auto"/>
        </w:rPr>
      </w:pPr>
      <w:r>
        <w:rPr>
          <w:rFonts w:ascii="Arial" w:cs="Arial" w:eastAsia="Arial" w:hAnsi="Arial"/>
          <w:sz w:val="12"/>
          <w:szCs w:val="12"/>
          <w:color w:val="auto"/>
        </w:rPr>
        <w:t>Volumes generated are not sold by the Company as the Conventional facilities sell capacity rather than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891" w:right="599" w:bottom="1440" w:gutter="0" w:footer="0" w:header="0"/>
          <w:type w:val="continuous"/>
        </w:sectPr>
      </w:pPr>
    </w:p>
    <w:bookmarkStart w:id="52" w:name="page53"/>
    <w:bookmarkEnd w:id="52"/>
    <w:p>
      <w:pPr>
        <w:ind w:right="2840"/>
        <w:spacing w:after="0" w:line="440" w:lineRule="auto"/>
        <w:rPr>
          <w:sz w:val="20"/>
          <w:szCs w:val="20"/>
          <w:color w:val="auto"/>
        </w:rPr>
      </w:pPr>
      <w:r>
        <w:rPr>
          <w:rFonts w:ascii="Arial" w:cs="Arial" w:eastAsia="Arial" w:hAnsi="Arial"/>
          <w:sz w:val="18"/>
          <w:szCs w:val="18"/>
          <w:b w:val="1"/>
          <w:bCs w:val="1"/>
          <w:color w:val="auto"/>
        </w:rPr>
        <w:t xml:space="preserve">Management’s Discussion of the Results of Operations for the Three Months Ended March 31, 2020 and 2019 </w:t>
      </w:r>
      <w:r>
        <w:rPr>
          <w:rFonts w:ascii="Arial" w:cs="Arial" w:eastAsia="Arial" w:hAnsi="Arial"/>
          <w:sz w:val="18"/>
          <w:szCs w:val="18"/>
          <w:b w:val="1"/>
          <w:bCs w:val="1"/>
          <w:i w:val="1"/>
          <w:iCs w:val="1"/>
          <w:color w:val="auto"/>
        </w:rPr>
        <w:t>Gross Margin</w:t>
      </w:r>
    </w:p>
    <w:p>
      <w:pPr>
        <w:spacing w:after="0" w:line="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below tables present the composition of gross margin, as well as the reconciliation to economic gross margin,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Conventional</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Generation</w:t>
            </w:r>
          </w:p>
        </w:tc>
        <w:tc>
          <w:tcPr>
            <w:tcW w:w="18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Renewables</w:t>
            </w:r>
          </w:p>
        </w:tc>
        <w:tc>
          <w:tcPr>
            <w:tcW w:w="2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Thermal</w:t>
            </w:r>
          </w:p>
        </w:tc>
        <w:tc>
          <w:tcPr>
            <w:tcW w:w="300" w:type="dxa"/>
            <w:vAlign w:val="bottom"/>
          </w:tcPr>
          <w:p>
            <w:pPr>
              <w:spacing w:after="0"/>
              <w:rPr>
                <w:sz w:val="18"/>
                <w:szCs w:val="18"/>
                <w:color w:val="auto"/>
              </w:rPr>
            </w:pPr>
          </w:p>
        </w:tc>
        <w:tc>
          <w:tcPr>
            <w:tcW w:w="1000" w:type="dxa"/>
            <w:vAlign w:val="bottom"/>
          </w:tcPr>
          <w:p>
            <w:pPr>
              <w:jc w:val="right"/>
              <w:ind w:right="39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March 31, 2020</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7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Energy and capacity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fuels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Contract amortization</w:t>
            </w:r>
          </w:p>
        </w:tc>
        <w:tc>
          <w:tcPr>
            <w:tcW w:w="1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Mark-to-market economic hedging activities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5700" w:type="dxa"/>
            <w:vAlign w:val="bottom"/>
          </w:tcPr>
          <w:p>
            <w:pPr>
              <w:ind w:left="220"/>
              <w:spacing w:after="0"/>
              <w:rPr>
                <w:sz w:val="20"/>
                <w:szCs w:val="20"/>
                <w:color w:val="auto"/>
              </w:rPr>
            </w:pPr>
            <w:r>
              <w:rPr>
                <w:rFonts w:ascii="Arial" w:cs="Arial" w:eastAsia="Arial" w:hAnsi="Arial"/>
                <w:sz w:val="18"/>
                <w:szCs w:val="18"/>
                <w:b w:val="1"/>
                <w:bCs w:val="1"/>
                <w:color w:val="auto"/>
              </w:rPr>
              <w:t>Gross margin</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102</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107</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Mark-to-market economic hedging activities</w:t>
            </w:r>
          </w:p>
        </w:tc>
        <w:tc>
          <w:tcPr>
            <w:tcW w:w="16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Economic gross margin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 2019</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Energy and capacity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Cost of fuels</w:t>
            </w:r>
          </w:p>
        </w:tc>
        <w:tc>
          <w:tcPr>
            <w:tcW w:w="16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Mark-to-market for economic hedging activities</w:t>
            </w:r>
          </w:p>
        </w:tc>
        <w:tc>
          <w:tcPr>
            <w:tcW w:w="16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Gross margin</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7"/>
        </w:trPr>
        <w:tc>
          <w:tcPr>
            <w:tcW w:w="5700" w:type="dxa"/>
            <w:vAlign w:val="bottom"/>
          </w:tcPr>
          <w:p>
            <w:pPr>
              <w:ind w:left="120"/>
              <w:spacing w:after="0"/>
              <w:rPr>
                <w:sz w:val="20"/>
                <w:szCs w:val="20"/>
                <w:color w:val="auto"/>
              </w:rPr>
            </w:pPr>
            <w:r>
              <w:rPr>
                <w:rFonts w:ascii="Arial" w:cs="Arial" w:eastAsia="Arial" w:hAnsi="Arial"/>
                <w:sz w:val="18"/>
                <w:szCs w:val="18"/>
                <w:color w:val="auto"/>
              </w:rPr>
              <w:t>Contract amortization</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Mark-to-market for economic hedging activities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5700" w:type="dxa"/>
            <w:vAlign w:val="bottom"/>
          </w:tcPr>
          <w:p>
            <w:pPr>
              <w:ind w:left="220"/>
              <w:spacing w:after="0"/>
              <w:rPr>
                <w:sz w:val="20"/>
                <w:szCs w:val="20"/>
                <w:color w:val="auto"/>
              </w:rPr>
            </w:pPr>
            <w:r>
              <w:rPr>
                <w:rFonts w:ascii="Arial" w:cs="Arial" w:eastAsia="Arial" w:hAnsi="Arial"/>
                <w:sz w:val="18"/>
                <w:szCs w:val="18"/>
                <w:b w:val="1"/>
                <w:bCs w:val="1"/>
                <w:color w:val="auto"/>
              </w:rPr>
              <w:t>Economic gross margin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3" w:name="page54"/>
    <w:bookmarkEnd w:id="53"/>
    <w:p>
      <w:pPr>
        <w:jc w:val="both"/>
        <w:ind w:firstLine="405"/>
        <w:spacing w:after="0" w:line="277" w:lineRule="auto"/>
        <w:rPr>
          <w:sz w:val="20"/>
          <w:szCs w:val="20"/>
          <w:color w:val="auto"/>
        </w:rPr>
      </w:pPr>
      <w:r>
        <w:rPr>
          <w:rFonts w:ascii="Arial" w:cs="Arial" w:eastAsia="Arial" w:hAnsi="Arial"/>
          <w:sz w:val="18"/>
          <w:szCs w:val="18"/>
          <w:color w:val="auto"/>
        </w:rPr>
        <w:t>Gross margin increased by $43 million during the three months ended March 31, 2020, compared to the same period in 2019, due to a combination of the drivers summarized in the table below: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80" w:type="dxa"/>
            <w:vAlign w:val="bottom"/>
          </w:tcPr>
          <w:p>
            <w:pPr>
              <w:spacing w:after="0"/>
              <w:rPr>
                <w:sz w:val="17"/>
                <w:szCs w:val="17"/>
                <w:color w:val="auto"/>
              </w:rPr>
            </w:pPr>
          </w:p>
        </w:tc>
        <w:tc>
          <w:tcPr>
            <w:tcW w:w="780" w:type="dxa"/>
            <w:vAlign w:val="bottom"/>
          </w:tcPr>
          <w:p>
            <w:pPr>
              <w:ind w:left="20"/>
              <w:spacing w:after="0"/>
              <w:rPr>
                <w:sz w:val="20"/>
                <w:szCs w:val="20"/>
                <w:color w:val="auto"/>
              </w:rPr>
            </w:pPr>
            <w:r>
              <w:rPr>
                <w:rFonts w:ascii="Arial" w:cs="Arial" w:eastAsia="Arial" w:hAnsi="Arial"/>
                <w:sz w:val="16"/>
                <w:szCs w:val="16"/>
                <w:b w:val="1"/>
                <w:bCs w:val="1"/>
                <w:color w:val="auto"/>
              </w:rPr>
              <w:t>Increase</w:t>
            </w:r>
          </w:p>
        </w:tc>
        <w:tc>
          <w:tcPr>
            <w:tcW w:w="360" w:type="dxa"/>
            <w:vAlign w:val="bottom"/>
          </w:tcPr>
          <w:p>
            <w:pPr>
              <w:spacing w:after="0"/>
              <w:rPr>
                <w:sz w:val="17"/>
                <w:szCs w:val="17"/>
                <w:color w:val="auto"/>
              </w:rPr>
            </w:pPr>
          </w:p>
        </w:tc>
        <w:tc>
          <w:tcPr>
            <w:tcW w:w="8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80" w:type="dxa"/>
            <w:vAlign w:val="bottom"/>
          </w:tcPr>
          <w:p>
            <w:pPr>
              <w:ind w:left="20"/>
              <w:spacing w:after="0"/>
              <w:rPr>
                <w:sz w:val="20"/>
                <w:szCs w:val="20"/>
                <w:color w:val="auto"/>
              </w:rPr>
            </w:pPr>
            <w:r>
              <w:rPr>
                <w:rFonts w:ascii="Arial" w:cs="Arial" w:eastAsia="Arial" w:hAnsi="Arial"/>
                <w:sz w:val="16"/>
                <w:szCs w:val="16"/>
                <w:b w:val="1"/>
                <w:bCs w:val="1"/>
                <w:color w:val="auto"/>
              </w:rPr>
              <w:t>Segment</w:t>
            </w:r>
          </w:p>
        </w:tc>
        <w:tc>
          <w:tcPr>
            <w:tcW w:w="780" w:type="dxa"/>
            <w:vAlign w:val="bottom"/>
          </w:tcPr>
          <w:p>
            <w:pPr>
              <w:ind w:left="20"/>
              <w:spacing w:after="0"/>
              <w:rPr>
                <w:sz w:val="20"/>
                <w:szCs w:val="20"/>
                <w:color w:val="auto"/>
              </w:rPr>
            </w:pPr>
            <w:r>
              <w:rPr>
                <w:rFonts w:ascii="Arial" w:cs="Arial" w:eastAsia="Arial" w:hAnsi="Arial"/>
                <w:sz w:val="16"/>
                <w:szCs w:val="16"/>
                <w:b w:val="1"/>
                <w:bCs w:val="1"/>
                <w:color w:val="auto"/>
                <w:w w:val="90"/>
              </w:rPr>
              <w:t>(Decrease)</w:t>
            </w:r>
          </w:p>
        </w:tc>
        <w:tc>
          <w:tcPr>
            <w:tcW w:w="36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Reason for Increase (Decrease)</w:t>
            </w:r>
          </w:p>
        </w:tc>
        <w:tc>
          <w:tcPr>
            <w:tcW w:w="0" w:type="dxa"/>
            <w:vAlign w:val="bottom"/>
          </w:tcPr>
          <w:p>
            <w:pPr>
              <w:spacing w:after="0"/>
              <w:rPr>
                <w:sz w:val="1"/>
                <w:szCs w:val="1"/>
                <w:color w:val="auto"/>
              </w:rPr>
            </w:pPr>
          </w:p>
        </w:tc>
      </w:tr>
      <w:tr>
        <w:trPr>
          <w:trHeight w:val="33"/>
        </w:trPr>
        <w:tc>
          <w:tcPr>
            <w:tcW w:w="1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Conventional</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9"/>
              </w:rPr>
              <w:t>23</w:t>
            </w:r>
          </w:p>
        </w:tc>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primarily due to the acquisition of the Carlsbad Energy Center on December 5, 2019</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360" w:type="dxa"/>
            <w:vAlign w:val="bottom"/>
          </w:tcPr>
          <w:p>
            <w:pPr>
              <w:ind w:left="180"/>
              <w:spacing w:after="0" w:line="176" w:lineRule="exact"/>
              <w:rPr>
                <w:sz w:val="20"/>
                <w:szCs w:val="20"/>
                <w:color w:val="auto"/>
              </w:rPr>
            </w:pPr>
            <w:r>
              <w:rPr>
                <w:rFonts w:ascii="Arial" w:cs="Arial" w:eastAsia="Arial" w:hAnsi="Arial"/>
                <w:sz w:val="18"/>
                <w:szCs w:val="18"/>
                <w:color w:val="auto"/>
                <w:w w:val="95"/>
              </w:rPr>
              <w:t>Primarily driven by an increase of $17 million in energy revenue due to higher energy production across the</w:t>
            </w:r>
          </w:p>
        </w:tc>
        <w:tc>
          <w:tcPr>
            <w:tcW w:w="0" w:type="dxa"/>
            <w:vAlign w:val="bottom"/>
          </w:tcPr>
          <w:p>
            <w:pPr>
              <w:spacing w:after="0"/>
              <w:rPr>
                <w:sz w:val="1"/>
                <w:szCs w:val="1"/>
                <w:color w:val="auto"/>
              </w:rPr>
            </w:pPr>
          </w:p>
        </w:tc>
      </w:tr>
      <w:tr>
        <w:trPr>
          <w:trHeight w:val="176"/>
        </w:trPr>
        <w:tc>
          <w:tcPr>
            <w:tcW w:w="1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Renewables:</w:t>
            </w:r>
          </w:p>
        </w:tc>
        <w:tc>
          <w:tcPr>
            <w:tcW w:w="780" w:type="dxa"/>
            <w:vAlign w:val="bottom"/>
          </w:tcPr>
          <w:p>
            <w:pPr>
              <w:spacing w:after="0"/>
              <w:rPr>
                <w:sz w:val="15"/>
                <w:szCs w:val="15"/>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w w:val="89"/>
              </w:rPr>
              <w:t>19</w:t>
            </w:r>
          </w:p>
        </w:tc>
        <w:tc>
          <w:tcPr>
            <w:tcW w:w="8360" w:type="dxa"/>
            <w:vAlign w:val="bottom"/>
          </w:tcPr>
          <w:p>
            <w:pPr>
              <w:ind w:left="20"/>
              <w:spacing w:after="0" w:line="176" w:lineRule="exact"/>
              <w:rPr>
                <w:sz w:val="20"/>
                <w:szCs w:val="20"/>
                <w:color w:val="auto"/>
              </w:rPr>
            </w:pPr>
            <w:r>
              <w:rPr>
                <w:rFonts w:ascii="Arial" w:cs="Arial" w:eastAsia="Arial" w:hAnsi="Arial"/>
                <w:sz w:val="18"/>
                <w:szCs w:val="18"/>
                <w:color w:val="auto"/>
                <w:w w:val="95"/>
              </w:rPr>
              <w:t>wind and solar portfolios, as well as $2 million in mark-to-market gain on the Elbow Creek forward power sale</w:t>
            </w:r>
          </w:p>
        </w:tc>
        <w:tc>
          <w:tcPr>
            <w:tcW w:w="0" w:type="dxa"/>
            <w:vAlign w:val="bottom"/>
          </w:tcPr>
          <w:p>
            <w:pPr>
              <w:spacing w:after="0"/>
              <w:rPr>
                <w:sz w:val="1"/>
                <w:szCs w:val="1"/>
                <w:color w:val="auto"/>
              </w:rPr>
            </w:pPr>
          </w:p>
        </w:tc>
      </w:tr>
      <w:tr>
        <w:trPr>
          <w:trHeight w:val="229"/>
        </w:trPr>
        <w:tc>
          <w:tcPr>
            <w:tcW w:w="168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contract</w:t>
            </w:r>
          </w:p>
        </w:tc>
        <w:tc>
          <w:tcPr>
            <w:tcW w:w="0" w:type="dxa"/>
            <w:vAlign w:val="bottom"/>
          </w:tcPr>
          <w:p>
            <w:pPr>
              <w:spacing w:after="0"/>
              <w:rPr>
                <w:sz w:val="1"/>
                <w:szCs w:val="1"/>
                <w:color w:val="auto"/>
              </w:rPr>
            </w:pPr>
          </w:p>
        </w:tc>
      </w:tr>
      <w:tr>
        <w:trPr>
          <w:trHeight w:val="176"/>
        </w:trPr>
        <w:tc>
          <w:tcPr>
            <w:tcW w:w="168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Thermal:</w:t>
            </w:r>
          </w:p>
        </w:tc>
        <w:tc>
          <w:tcPr>
            <w:tcW w:w="78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83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Increase of $2 million due to the Duquesne University District Energy System which was acquired on May 1,</w:t>
            </w:r>
          </w:p>
        </w:tc>
        <w:tc>
          <w:tcPr>
            <w:tcW w:w="0" w:type="dxa"/>
            <w:vAlign w:val="bottom"/>
          </w:tcPr>
          <w:p>
            <w:pPr>
              <w:spacing w:after="0"/>
              <w:rPr>
                <w:sz w:val="1"/>
                <w:szCs w:val="1"/>
                <w:color w:val="auto"/>
              </w:rPr>
            </w:pPr>
          </w:p>
        </w:tc>
      </w:tr>
      <w:tr>
        <w:trPr>
          <w:trHeight w:val="229"/>
        </w:trPr>
        <w:tc>
          <w:tcPr>
            <w:tcW w:w="1680" w:type="dxa"/>
            <w:vAlign w:val="bottom"/>
            <w:vMerge w:val="continue"/>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offset by a decrease due to the sale of the Energy Center Dover on March 2, 2020</w:t>
            </w:r>
          </w:p>
        </w:tc>
        <w:tc>
          <w:tcPr>
            <w:tcW w:w="0" w:type="dxa"/>
            <w:vAlign w:val="bottom"/>
          </w:tcPr>
          <w:p>
            <w:pPr>
              <w:spacing w:after="0"/>
              <w:rPr>
                <w:sz w:val="1"/>
                <w:szCs w:val="1"/>
                <w:color w:val="auto"/>
              </w:rPr>
            </w:pPr>
          </w:p>
        </w:tc>
      </w:tr>
      <w:tr>
        <w:trPr>
          <w:trHeight w:val="237"/>
        </w:trPr>
        <w:tc>
          <w:tcPr>
            <w:tcW w:w="168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43</w:t>
            </w:r>
          </w:p>
        </w:tc>
        <w:tc>
          <w:tcPr>
            <w:tcW w:w="8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Accretion Expense</w:t>
      </w:r>
    </w:p>
    <w:p>
      <w:pPr>
        <w:spacing w:after="0" w:line="158" w:lineRule="exact"/>
        <w:rPr>
          <w:sz w:val="20"/>
          <w:szCs w:val="20"/>
          <w:color w:val="auto"/>
        </w:rPr>
      </w:pPr>
    </w:p>
    <w:p>
      <w:pPr>
        <w:jc w:val="both"/>
        <w:ind w:firstLine="405"/>
        <w:spacing w:after="0" w:line="228" w:lineRule="auto"/>
        <w:rPr>
          <w:sz w:val="20"/>
          <w:szCs w:val="20"/>
          <w:color w:val="auto"/>
        </w:rPr>
      </w:pPr>
      <w:r>
        <w:rPr>
          <w:rFonts w:ascii="Arial" w:cs="Arial" w:eastAsia="Arial" w:hAnsi="Arial"/>
          <w:sz w:val="17"/>
          <w:szCs w:val="17"/>
          <w:color w:val="auto"/>
        </w:rPr>
        <w:t>Depreciation, amortization and accretion expense increased by $17 million during the three months ended March 31, 2020, compared to the same period in 2019, primarily due to depreciation expense increase of $8 million in the Renewables segment and $8 million in the Conventional segment. The increase in the Renewables segment was driven by the completion of the repowering activities at Elbow Creek and Wildorado projects in the fourth quarter of 2019 and first quarter of 2020, respectively, as well as the Oahu and Kawailoa solar facilities reaching COD in the second half of 2019. The increase in depreciation expense in the Conventional segment was due to the Carlsbad Energy Center acquisition in December 2019.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Equity in earnings of unconsolidated affiliates decreased by $16 million during the three months ended March 31, 2020, compared to the same period in 2019, driven by lower income allocated to the Company's interests in DGPV Holdco 3, partially offset by higher income allocated to the Company's interests in RPV Holdco. Losses for DGPV Holdco 3 were primarily driven by an increase in derivative interest expense, due to the change in LIBOR, for the three months ended March 31, 2020 compared to the three months ended March 31,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71"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8"/>
          <w:szCs w:val="18"/>
          <w:color w:val="auto"/>
        </w:rPr>
        <w:t>The Company recorded loss on debt extinguishment of $3 million for the three months ended March 31, 2020, which primarily relates to the redemption of the 2024 Senior Notes. On January 3, 2020, the Company redeemed the remaining $88 million outstanding of 2024 Senior Notes at a premium of 102.7% and as a result, it recorded a loss on extinguishment in the amount of $3 million, which also included the write off of previously deferred financing fees.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increased by $66 million during the three months ended March 31, 2020, compared to the same period in 2019, due to the following:</w:t>
      </w:r>
    </w:p>
    <w:p>
      <w:pPr>
        <w:sectPr>
          <w:pgSz w:w="11900" w:h="16838" w:orient="portrait"/>
          <w:cols w:equalWidth="0" w:num="1">
            <w:col w:w="11240"/>
          </w:cols>
          <w:pgMar w:left="320" w:top="895" w:right="339" w:bottom="1440" w:gutter="0" w:footer="0" w:header="0"/>
        </w:sectPr>
      </w:pPr>
    </w:p>
    <w:p>
      <w:pPr>
        <w:spacing w:after="0" w:line="8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34290</wp:posOffset>
            </wp:positionV>
            <wp:extent cx="679767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97675" cy="171450"/>
                    </a:xfrm>
                    <a:prstGeom prst="rect">
                      <a:avLst/>
                    </a:prstGeom>
                    <a:noFill/>
                  </pic:spPr>
                </pic:pic>
              </a:graphicData>
            </a:graphic>
          </wp:anchor>
        </w:drawing>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in fair value of interest rate swaps</w:t>
      </w:r>
    </w:p>
    <w:p>
      <w:pPr>
        <w:spacing w:after="0" w:line="23" w:lineRule="exact"/>
        <w:rPr>
          <w:sz w:val="20"/>
          <w:szCs w:val="20"/>
          <w:color w:val="auto"/>
        </w:rPr>
      </w:pPr>
    </w:p>
    <w:p>
      <w:pPr>
        <w:ind w:left="280" w:firstLine="162"/>
        <w:spacing w:after="0" w:line="224" w:lineRule="auto"/>
        <w:rPr>
          <w:sz w:val="20"/>
          <w:szCs w:val="20"/>
          <w:color w:val="auto"/>
        </w:rPr>
      </w:pPr>
      <w:r>
        <w:rPr>
          <w:rFonts w:ascii="Arial" w:cs="Arial" w:eastAsia="Arial" w:hAnsi="Arial"/>
          <w:sz w:val="18"/>
          <w:szCs w:val="18"/>
          <w:color w:val="auto"/>
        </w:rPr>
        <w:t>Additional interest expense of $9 million in the Conventional segment, primarily due to the Carlsbad Energy Center acquisition on December 5, 2019, which was partially offset by lower interest expense due to lower principal balances of project level debt in the remainder of the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635</wp:posOffset>
            </wp:positionV>
            <wp:extent cx="6797675" cy="196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9767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(Increase) Decrease</w:t>
      </w:r>
    </w:p>
    <w:p>
      <w:pPr>
        <w:spacing w:after="0" w:line="102" w:lineRule="exact"/>
        <w:rPr>
          <w:sz w:val="20"/>
          <w:szCs w:val="20"/>
          <w:color w:val="auto"/>
        </w:rPr>
      </w:pPr>
    </w:p>
    <w:p>
      <w:pPr>
        <w:ind w:left="1200" w:hanging="1200"/>
        <w:spacing w:after="0"/>
        <w:tabs>
          <w:tab w:leader="none" w:pos="12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(59)</w:t>
      </w:r>
    </w:p>
    <w:p>
      <w:pPr>
        <w:spacing w:after="0" w:line="397"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(7)</w:t>
      </w:r>
    </w:p>
    <w:p>
      <w:pPr>
        <w:spacing w:after="0" w:line="77" w:lineRule="exact"/>
        <w:rPr>
          <w:sz w:val="20"/>
          <w:szCs w:val="20"/>
          <w:color w:val="auto"/>
        </w:rPr>
      </w:pPr>
    </w:p>
    <w:p>
      <w:pPr>
        <w:ind w:left="1200" w:hanging="1200"/>
        <w:spacing w:after="0"/>
        <w:tabs>
          <w:tab w:leader="none" w:pos="1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72390</wp:posOffset>
            </wp:positionV>
            <wp:extent cx="11144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80" w:space="260"/>
            <w:col w:w="200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recorded $43 million of loss attributable to tax equity noncontrolling interests due to the application of the HLBV method, which was primarily driven by tax losses for depreciation allocated to tax equity investors for the Repowering project, as well as $2 million of loss attributable to a third party's interest in Kawailoa partnership. The loss was partially offset by income of $6 million attributable to CEG's interests in the Kawailoa, Oahu and Repowering partnerships. For the three months ended March 31, 2019, the Company had a loss of $67 million attributable to non-controlling interests with respect to its tax equity financing arrangements and the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7"/>
          <w:szCs w:val="17"/>
          <w:color w:val="000000"/>
        </w:rPr>
        <w:t>As a normal part of the Company's business, depending on market conditions,</w:t>
      </w:r>
      <w:r>
        <w:rPr>
          <w:rFonts w:ascii="Arial" w:cs="Arial" w:eastAsia="Arial" w:hAnsi="Arial"/>
          <w:sz w:val="17"/>
          <w:szCs w:val="17"/>
          <w:color w:val="231F20"/>
        </w:rPr>
        <w:t xml:space="preserve"> </w:t>
      </w:r>
      <w:r>
        <w:rPr>
          <w:rFonts w:ascii="Arial" w:cs="Arial" w:eastAsia="Arial" w:hAnsi="Arial"/>
          <w:sz w:val="17"/>
          <w:szCs w:val="17"/>
          <w:color w:val="000000"/>
        </w:rPr>
        <w:t>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Current Liquidity Position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2020</w:t>
      </w:r>
      <w:r>
        <w:rPr>
          <w:rFonts w:ascii="Arial" w:cs="Arial" w:eastAsia="Arial" w:hAnsi="Arial"/>
          <w:sz w:val="18"/>
          <w:szCs w:val="18"/>
          <w:color w:val="231F20"/>
        </w:rPr>
        <w:t xml:space="preserve"> and </w:t>
      </w:r>
      <w:r>
        <w:rPr>
          <w:rFonts w:ascii="Arial" w:cs="Arial" w:eastAsia="Arial" w:hAnsi="Arial"/>
          <w:sz w:val="18"/>
          <w:szCs w:val="18"/>
          <w:color w:val="000000"/>
        </w:rPr>
        <w:t>December 31, 2019</w:t>
      </w:r>
      <w:r>
        <w:rPr>
          <w:rFonts w:ascii="Arial" w:cs="Arial" w:eastAsia="Arial" w:hAnsi="Arial"/>
          <w:sz w:val="18"/>
          <w:szCs w:val="18"/>
          <w:color w:val="231F20"/>
        </w:rPr>
        <w:t>, the Company's liquidity was approximately $633 million and $839 million, respectively, comprised of cash, restricted cash and availability under the Company's revolving credit facility.</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6"/>
                <w:szCs w:val="16"/>
                <w:color w:val="auto"/>
              </w:rPr>
            </w:pPr>
          </w:p>
        </w:tc>
        <w:tc>
          <w:tcPr>
            <w:tcW w:w="1640" w:type="dxa"/>
            <w:vAlign w:val="bottom"/>
          </w:tcPr>
          <w:p>
            <w:pPr>
              <w:jc w:val="right"/>
              <w:ind w:right="272"/>
              <w:spacing w:after="0"/>
              <w:rPr>
                <w:sz w:val="20"/>
                <w:szCs w:val="20"/>
                <w:color w:val="auto"/>
              </w:rPr>
            </w:pPr>
            <w:r>
              <w:rPr>
                <w:rFonts w:ascii="Arial" w:cs="Arial" w:eastAsia="Arial" w:hAnsi="Arial"/>
                <w:sz w:val="14"/>
                <w:szCs w:val="14"/>
                <w:b w:val="1"/>
                <w:bCs w:val="1"/>
                <w:color w:val="auto"/>
                <w:w w:val="99"/>
              </w:rPr>
              <w:t>December 31, 2019</w:t>
            </w:r>
          </w:p>
        </w:tc>
      </w:tr>
      <w:tr>
        <w:trPr>
          <w:trHeight w:val="236"/>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360" w:type="dxa"/>
            <w:vAlign w:val="bottom"/>
          </w:tcPr>
          <w:p>
            <w:pPr>
              <w:ind w:left="200"/>
              <w:spacing w:after="0"/>
              <w:rPr>
                <w:sz w:val="20"/>
                <w:szCs w:val="20"/>
                <w:color w:val="auto"/>
              </w:rPr>
            </w:pPr>
            <w:r>
              <w:rPr>
                <w:rFonts w:ascii="Arial" w:cs="Arial" w:eastAsia="Arial" w:hAnsi="Arial"/>
                <w:sz w:val="18"/>
                <w:szCs w:val="18"/>
                <w:color w:val="auto"/>
              </w:rPr>
              <w:t>Clearway Energy LLC, excluding subsidiaries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27</w:t>
            </w:r>
          </w:p>
        </w:tc>
      </w:tr>
      <w:tr>
        <w:trPr>
          <w:trHeight w:val="27"/>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Restricted cash:</w:t>
            </w: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accounts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129</w:t>
            </w:r>
          </w:p>
        </w:tc>
      </w:tr>
      <w:tr>
        <w:trPr>
          <w:trHeight w:val="243"/>
        </w:trPr>
        <w:tc>
          <w:tcPr>
            <w:tcW w:w="7360" w:type="dxa"/>
            <w:vAlign w:val="bottom"/>
          </w:tcPr>
          <w:p>
            <w:pPr>
              <w:ind w:left="200"/>
              <w:spacing w:after="0"/>
              <w:rPr>
                <w:sz w:val="20"/>
                <w:szCs w:val="20"/>
                <w:color w:val="auto"/>
              </w:rPr>
            </w:pPr>
            <w:r>
              <w:rPr>
                <w:rFonts w:ascii="Arial" w:cs="Arial" w:eastAsia="Arial" w:hAnsi="Arial"/>
                <w:sz w:val="18"/>
                <w:szCs w:val="18"/>
                <w:color w:val="auto"/>
                <w:w w:val="98"/>
              </w:rPr>
              <w:t>Reserves, including debt service, distributions, performance obligations and other reserves</w:t>
            </w:r>
          </w:p>
        </w:tc>
        <w:tc>
          <w:tcPr>
            <w:tcW w:w="280" w:type="dxa"/>
            <w:vAlign w:val="bottom"/>
          </w:tcPr>
          <w:p>
            <w:pPr>
              <w:spacing w:after="0"/>
              <w:rPr>
                <w:sz w:val="21"/>
                <w:szCs w:val="21"/>
                <w:color w:val="auto"/>
              </w:rPr>
            </w:pP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133</w:t>
            </w:r>
          </w:p>
        </w:tc>
      </w:tr>
      <w:tr>
        <w:trPr>
          <w:trHeight w:val="27"/>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3"/>
        </w:trPr>
        <w:tc>
          <w:tcPr>
            <w:tcW w:w="7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414</w:t>
            </w:r>
          </w:p>
        </w:tc>
      </w:tr>
      <w:tr>
        <w:trPr>
          <w:trHeight w:val="237"/>
        </w:trPr>
        <w:tc>
          <w:tcPr>
            <w:tcW w:w="7360" w:type="dxa"/>
            <w:vAlign w:val="bottom"/>
          </w:tcPr>
          <w:p>
            <w:pPr>
              <w:ind w:left="200"/>
              <w:spacing w:after="0"/>
              <w:rPr>
                <w:sz w:val="20"/>
                <w:szCs w:val="20"/>
                <w:color w:val="auto"/>
              </w:rPr>
            </w:pPr>
            <w:r>
              <w:rPr>
                <w:rFonts w:ascii="Arial" w:cs="Arial" w:eastAsia="Arial" w:hAnsi="Arial"/>
                <w:sz w:val="18"/>
                <w:szCs w:val="18"/>
                <w:color w:val="auto"/>
              </w:rPr>
              <w:t>Revolving credit facility availability</w:t>
            </w:r>
          </w:p>
        </w:tc>
        <w:tc>
          <w:tcPr>
            <w:tcW w:w="2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425</w:t>
            </w:r>
          </w:p>
        </w:tc>
      </w:tr>
      <w:tr>
        <w:trPr>
          <w:trHeight w:val="27"/>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7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liquidity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839</w:t>
            </w:r>
          </w:p>
        </w:tc>
      </w:tr>
      <w:tr>
        <w:trPr>
          <w:trHeight w:val="20"/>
        </w:trPr>
        <w:tc>
          <w:tcPr>
            <w:tcW w:w="7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7"/>
          <w:szCs w:val="17"/>
          <w:color w:val="231F20"/>
        </w:rPr>
        <w:t xml:space="preserve">The Company's liquidity includes $270 million and $262 million of restricted cash balances as of March 31, 2020 and December 31, </w:t>
      </w:r>
      <w:r>
        <w:rPr>
          <w:rFonts w:ascii="Arial" w:cs="Arial" w:eastAsia="Arial" w:hAnsi="Arial"/>
          <w:sz w:val="17"/>
          <w:szCs w:val="17"/>
          <w:color w:val="000000"/>
        </w:rPr>
        <w:t>2019</w:t>
      </w:r>
      <w:r>
        <w:rPr>
          <w:rFonts w:ascii="Arial" w:cs="Arial" w:eastAsia="Arial" w:hAnsi="Arial"/>
          <w:sz w:val="17"/>
          <w:szCs w:val="17"/>
          <w:color w:val="231F20"/>
        </w:rPr>
        <w:t xml:space="preserve">, respectively. Restricted cash consists primarily of funds to satisfy the requirements of certain debt arrangements and funds held within the Company's projects that are restricted in their use. As of </w:t>
      </w:r>
      <w:r>
        <w:rPr>
          <w:rFonts w:ascii="Arial" w:cs="Arial" w:eastAsia="Arial" w:hAnsi="Arial"/>
          <w:sz w:val="17"/>
          <w:szCs w:val="17"/>
          <w:color w:val="000000"/>
        </w:rPr>
        <w:t>March 31, 2020, these restricted funds were comprised of $111 million designated to fund operating expenses,</w:t>
      </w:r>
      <w:r>
        <w:rPr>
          <w:rFonts w:ascii="Arial" w:cs="Arial" w:eastAsia="Arial" w:hAnsi="Arial"/>
          <w:sz w:val="17"/>
          <w:szCs w:val="17"/>
          <w:color w:val="231F20"/>
        </w:rPr>
        <w:t xml:space="preserve"> </w:t>
      </w:r>
      <w:r>
        <w:rPr>
          <w:rFonts w:ascii="Arial" w:cs="Arial" w:eastAsia="Arial" w:hAnsi="Arial"/>
          <w:sz w:val="17"/>
          <w:szCs w:val="17"/>
          <w:color w:val="000000"/>
        </w:rPr>
        <w:t>approximately $35 million designated for current debt service payments, and $46 million restricted for reserves including debt service, performance obligations and other reserves, as well as capital expenditures. The remaining $78 million is held in distribution reserve accounts, of which $68 million related to subsidiaries affected by the PG&amp;E Bankruptcy as discussed further below and may not be distributed during the pendency of the bankruptcy. Such subsidiaries had a total of $174 million in restricted cash as of March 31, 2020.</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6"/>
          <w:szCs w:val="16"/>
          <w:color w:val="221F1F"/>
        </w:rPr>
        <w:t xml:space="preserve">The Company had $180 million outstanding under the revolving credit facility and </w:t>
      </w:r>
      <w:r>
        <w:rPr>
          <w:rFonts w:ascii="Arial" w:cs="Arial" w:eastAsia="Arial" w:hAnsi="Arial"/>
          <w:sz w:val="16"/>
          <w:szCs w:val="16"/>
          <w:color w:val="231F20"/>
        </w:rPr>
        <w:t>$62 million in letters of credit outstanding</w:t>
      </w:r>
      <w:r>
        <w:rPr>
          <w:rFonts w:ascii="Arial" w:cs="Arial" w:eastAsia="Arial" w:hAnsi="Arial"/>
          <w:sz w:val="16"/>
          <w:szCs w:val="16"/>
          <w:color w:val="221F1F"/>
        </w:rPr>
        <w:t xml:space="preserve"> as of </w:t>
      </w:r>
      <w:r>
        <w:rPr>
          <w:rFonts w:ascii="Arial" w:cs="Arial" w:eastAsia="Arial" w:hAnsi="Arial"/>
          <w:sz w:val="16"/>
          <w:szCs w:val="16"/>
          <w:color w:val="000000"/>
        </w:rPr>
        <w:t>March 31, 2020</w:t>
      </w:r>
      <w:r>
        <w:rPr>
          <w:rFonts w:ascii="Arial" w:cs="Arial" w:eastAsia="Arial" w:hAnsi="Arial"/>
          <w:sz w:val="16"/>
          <w:szCs w:val="16"/>
          <w:color w:val="221F1F"/>
        </w:rPr>
        <w:t>.</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7"/>
          <w:szCs w:val="17"/>
          <w:color w:val="auto"/>
        </w:rPr>
        <w:t>During 2019, PG&amp;E, one of the Company's largest customers filed for bankruptcy under Chapter 11 of the U.S. Bankruptcy Code. The PG&amp;E Bankruptcy had no effect on availability under the Company’s revolving credit facility. However, the Company has non-recourse project-level debt related to each of its subsidiaries that sell their output to PG&amp;E under long-term PPAs. The PG&amp;E Bankruptcy filing is an event of default under the related financing agreements which caused uncertainty around the timing of when certain project-level cash distributions will be available to the Company. As of March 31, 2020, all project level cash balances for these subsidiaries were classified as restricted cash.</w:t>
      </w:r>
    </w:p>
    <w:p>
      <w:pPr>
        <w:spacing w:after="0" w:line="12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Energy, Inc. and CEG. Management continues to regularly monitor the Company's ability to finance the needs of its operating, financing and investing activity within the dictates of prudent balance sheet management.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p>
      <w:pPr>
        <w:ind w:left="420"/>
        <w:spacing w:after="0"/>
        <w:rPr>
          <w:sz w:val="20"/>
          <w:szCs w:val="20"/>
          <w:color w:val="auto"/>
        </w:rPr>
      </w:pPr>
      <w:r>
        <w:rPr>
          <w:rFonts w:ascii="Arial" w:cs="Arial" w:eastAsia="Arial" w:hAnsi="Arial"/>
          <w:sz w:val="18"/>
          <w:szCs w:val="18"/>
          <w:b w:val="1"/>
          <w:bCs w:val="1"/>
          <w:i w:val="1"/>
          <w:iCs w:val="1"/>
          <w:color w:val="auto"/>
        </w:rPr>
        <w:t>Credit Ratings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credit ratings for the Company and its Senior Notes as of March 31, 2020:</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S&amp;P</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Moody's</w:t>
            </w:r>
          </w:p>
        </w:tc>
      </w:tr>
      <w:tr>
        <w:trPr>
          <w:trHeight w:val="24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Clearway Energy, Inc.</w:t>
            </w:r>
          </w:p>
        </w:tc>
        <w:tc>
          <w:tcPr>
            <w:tcW w:w="15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Ba2</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5.75% Senior Notes, due 2025 .</w:t>
            </w:r>
          </w:p>
        </w:tc>
        <w:tc>
          <w:tcPr>
            <w:tcW w:w="1580" w:type="dxa"/>
            <w:vAlign w:val="bottom"/>
            <w:gridSpan w:val="2"/>
          </w:tcPr>
          <w:p>
            <w:pPr>
              <w:ind w:left="620"/>
              <w:spacing w:after="0"/>
              <w:rPr>
                <w:sz w:val="20"/>
                <w:szCs w:val="20"/>
                <w:color w:val="auto"/>
              </w:rPr>
            </w:pPr>
            <w:r>
              <w:rPr>
                <w:rFonts w:ascii="Arial" w:cs="Arial" w:eastAsia="Arial" w:hAnsi="Arial"/>
                <w:sz w:val="18"/>
                <w:szCs w:val="18"/>
                <w:color w:val="auto"/>
              </w:rPr>
              <w:t>BB</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Ba2</w:t>
            </w:r>
          </w:p>
        </w:tc>
      </w:tr>
      <w:tr>
        <w:trPr>
          <w:trHeight w:val="27"/>
        </w:trPr>
        <w:tc>
          <w:tcPr>
            <w:tcW w:w="8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5.000% Senior Notes, due 2026</w:t>
            </w:r>
          </w:p>
        </w:tc>
        <w:tc>
          <w:tcPr>
            <w:tcW w:w="15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Ba2</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4.750% Senior Notes, due 2028</w:t>
            </w:r>
          </w:p>
        </w:tc>
        <w:tc>
          <w:tcPr>
            <w:tcW w:w="1580" w:type="dxa"/>
            <w:vAlign w:val="bottom"/>
            <w:gridSpan w:val="2"/>
          </w:tcPr>
          <w:p>
            <w:pPr>
              <w:ind w:left="620"/>
              <w:spacing w:after="0"/>
              <w:rPr>
                <w:sz w:val="20"/>
                <w:szCs w:val="20"/>
                <w:color w:val="auto"/>
              </w:rPr>
            </w:pPr>
            <w:r>
              <w:rPr>
                <w:rFonts w:ascii="Arial" w:cs="Arial" w:eastAsia="Arial" w:hAnsi="Arial"/>
                <w:sz w:val="18"/>
                <w:szCs w:val="18"/>
                <w:color w:val="auto"/>
              </w:rPr>
              <w:t>BB</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Ba2</w:t>
            </w:r>
          </w:p>
        </w:tc>
      </w:tr>
    </w:tbl>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 Note 7, Long-term Debt, to this Form 10-Q and Note 10, </w:t>
      </w:r>
      <w:r>
        <w:rPr>
          <w:rFonts w:ascii="Arial" w:cs="Arial" w:eastAsia="Arial" w:hAnsi="Arial"/>
          <w:sz w:val="17"/>
          <w:szCs w:val="17"/>
          <w:i w:val="1"/>
          <w:iCs w:val="1"/>
          <w:color w:val="231F20"/>
        </w:rPr>
        <w:t>Long-term Debt</w:t>
      </w:r>
      <w:r>
        <w:rPr>
          <w:rFonts w:ascii="Arial" w:cs="Arial" w:eastAsia="Arial" w:hAnsi="Arial"/>
          <w:sz w:val="17"/>
          <w:szCs w:val="17"/>
          <w:color w:val="231F20"/>
        </w:rPr>
        <w:t xml:space="preserve">, to the consolidated financial statements included in the Company's </w:t>
      </w:r>
      <w:r>
        <w:rPr>
          <w:rFonts w:ascii="Arial" w:cs="Arial" w:eastAsia="Arial" w:hAnsi="Arial"/>
          <w:sz w:val="17"/>
          <w:szCs w:val="17"/>
          <w:color w:val="000000"/>
        </w:rPr>
        <w:t>2019 Form 10-K</w:t>
      </w:r>
      <w:r>
        <w:rPr>
          <w:rFonts w:ascii="Arial" w:cs="Arial" w:eastAsia="Arial" w:hAnsi="Arial"/>
          <w:sz w:val="17"/>
          <w:szCs w:val="17"/>
          <w:color w:val="231F20"/>
        </w:rPr>
        <w:t>, the Company's financing arrangements consist</w:t>
      </w:r>
      <w:r>
        <w:rPr>
          <w:rFonts w:ascii="Arial" w:cs="Arial" w:eastAsia="Arial" w:hAnsi="Arial"/>
          <w:sz w:val="17"/>
          <w:szCs w:val="17"/>
          <w:color w:val="000000"/>
        </w:rPr>
        <w:t xml:space="preserve"> corporate level debt, which includes Senior Notes, Convertible Notes and the revolving credit facility; the ATM Program; and project-level financings for its various assets.</w:t>
      </w:r>
    </w:p>
    <w:p>
      <w:pPr>
        <w:spacing w:after="0" w:line="12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 The Company has a total of $246 million available under the revolving credit facility as of March 31, 2020. The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will continue to be used for general corporate purposes including financing of future acquisitions and posting letters of credit.</w:t>
      </w:r>
    </w:p>
    <w:p>
      <w:pPr>
        <w:spacing w:after="0" w:line="116" w:lineRule="exact"/>
        <w:rPr>
          <w:sz w:val="20"/>
          <w:szCs w:val="20"/>
          <w:color w:val="auto"/>
        </w:rPr>
      </w:pPr>
    </w:p>
    <w:p>
      <w:pPr>
        <w:ind w:right="340" w:firstLine="405"/>
        <w:spacing w:after="0" w:line="263" w:lineRule="auto"/>
        <w:rPr>
          <w:sz w:val="20"/>
          <w:szCs w:val="20"/>
          <w:color w:val="auto"/>
        </w:rPr>
      </w:pPr>
      <w:r>
        <w:rPr>
          <w:rFonts w:ascii="Arial" w:cs="Arial" w:eastAsia="Arial" w:hAnsi="Arial"/>
          <w:sz w:val="18"/>
          <w:szCs w:val="18"/>
          <w:i w:val="1"/>
          <w:iCs w:val="1"/>
          <w:color w:val="auto"/>
        </w:rPr>
        <w:t xml:space="preserve">ATM Sales </w:t>
      </w:r>
      <w:r>
        <w:rPr>
          <w:rFonts w:ascii="Arial" w:cs="Arial" w:eastAsia="Arial" w:hAnsi="Arial"/>
          <w:sz w:val="18"/>
          <w:szCs w:val="18"/>
          <w:color w:val="auto"/>
        </w:rPr>
        <w:t>— During the quarter ended March 31, 2020, Clearway Energy, LLC issued and sold 478,384 shares of Class C common stock for net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$10,245,070. As of March 31, 2020, approximately $26 million of Class C common stock remains available for issuance under the ATM Program.</w:t>
      </w:r>
    </w:p>
    <w:p>
      <w:pPr>
        <w:spacing w:after="0" w:line="13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i w:val="1"/>
          <w:iCs w:val="1"/>
          <w:color w:val="auto"/>
        </w:rPr>
        <w:t xml:space="preserve">Sale of Energy Center Dover LLC and Energy Center Smyrna LLC Assets </w:t>
      </w:r>
      <w:r>
        <w:rPr>
          <w:rFonts w:ascii="Arial" w:cs="Arial" w:eastAsia="Arial" w:hAnsi="Arial"/>
          <w:sz w:val="18"/>
          <w:szCs w:val="18"/>
          <w:color w:val="auto"/>
        </w:rPr>
        <w:t>— On March 3, 2020, the Company, through Thermal LLC, sold 100% of</w:t>
      </w:r>
      <w:r>
        <w:rPr>
          <w:rFonts w:ascii="Arial" w:cs="Arial" w:eastAsia="Arial" w:hAnsi="Arial"/>
          <w:sz w:val="18"/>
          <w:szCs w:val="18"/>
          <w:i w:val="1"/>
          <w:iCs w:val="1"/>
          <w:color w:val="auto"/>
        </w:rPr>
        <w:t xml:space="preserve"> </w:t>
      </w:r>
      <w:r>
        <w:rPr>
          <w:rFonts w:ascii="Arial" w:cs="Arial" w:eastAsia="Arial" w:hAnsi="Arial"/>
          <w:sz w:val="18"/>
          <w:szCs w:val="18"/>
          <w:color w:val="auto"/>
        </w:rPr>
        <w:t>its interests in Energy Center Dover LLC and Energy Center Smyrna LLC to DB Energy Assets, LLC.</w:t>
      </w:r>
    </w:p>
    <w:p>
      <w:pPr>
        <w:spacing w:after="0" w:line="35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xml:space="preserve"> to the Consolidated Financial Statements; (ii) capital expenditures; (iii) acquisitions and investments; and (iv) distributions.</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w:t>
      </w:r>
    </w:p>
    <w:p>
      <w:pPr>
        <w:spacing w:after="0" w:line="11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For the three months ended March 31, 2020, the Company used approximately $40 million to fund capital expenditures, including growth expenditures of $32 million, $24 million of which were incurred in connection with the repowering of the Elbow Creek and Wildorado facilities completed in the first quarter of 2020, as well as $3 million in connection with Oahu and Kawailoa Partnerships. The Company also incurred $2 million of growth capital expenditures in the Thermal segment in connection with various development projects. For the three months ended March 31, 2019, the Company used approximately $16 million to fund capital expenditures, including growth expenditures of $12 million, primarily in the Renewables segment in connection with the Oahu Partnership entered by the Company on March 8, 2019, and to a lesser extent in the Thermal segment in connection with the Mylan development project.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7" w:name="page58"/>
    <w:bookmarkEnd w:id="57"/>
    <w:p>
      <w:pPr>
        <w:jc w:val="both"/>
        <w:ind w:firstLine="405"/>
        <w:spacing w:after="0" w:line="277" w:lineRule="auto"/>
        <w:rPr>
          <w:sz w:val="20"/>
          <w:szCs w:val="20"/>
          <w:color w:val="auto"/>
        </w:rPr>
      </w:pPr>
      <w:r>
        <w:rPr>
          <w:rFonts w:ascii="Arial" w:cs="Arial" w:eastAsia="Arial" w:hAnsi="Arial"/>
          <w:sz w:val="18"/>
          <w:szCs w:val="18"/>
          <w:color w:val="231F20"/>
        </w:rPr>
        <w:t xml:space="preserve">The Company estimates $32 million of maintenance expenditures for 2020. </w:t>
      </w:r>
      <w:r>
        <w:rPr>
          <w:rFonts w:ascii="Arial" w:cs="Arial" w:eastAsia="Arial" w:hAnsi="Arial"/>
          <w:sz w:val="18"/>
          <w:szCs w:val="18"/>
          <w:color w:val="000000"/>
        </w:rPr>
        <w:t>These estimates are subject to continuing review and adjustment. Actual</w:t>
      </w:r>
      <w:r>
        <w:rPr>
          <w:rFonts w:ascii="Arial" w:cs="Arial" w:eastAsia="Arial" w:hAnsi="Arial"/>
          <w:sz w:val="18"/>
          <w:szCs w:val="18"/>
          <w:color w:val="231F20"/>
        </w:rPr>
        <w:t xml:space="preserve"> </w:t>
      </w:r>
      <w:r>
        <w:rPr>
          <w:rFonts w:ascii="Arial" w:cs="Arial" w:eastAsia="Arial" w:hAnsi="Arial"/>
          <w:sz w:val="18"/>
          <w:szCs w:val="18"/>
          <w:color w:val="000000"/>
        </w:rPr>
        <w:t>capital expenditures may vary from these estimates.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April 2020 Drop Down</w:t>
      </w:r>
    </w:p>
    <w:p>
      <w:pPr>
        <w:spacing w:after="0" w:line="171"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On April 17, 2020, the Company entered into binding agreements to acquire and invest in a portfolio of the following projects: (i) 100% of the equity interests in Rattlesnake Flat, LLC, which owns the Rattlesnake Wind Project, a 144 net MW wind facility located in Adams County, WA; (ii) CEG's interest in Repowering Partnership II LLC (Repowering 1.0), which would give the Company a 100% equity interest in Repowering 1.0; and (iii) a new partnership with CEG to repower the Pinnacle Wind Project, a 55 net MW wind facility located in Mineral County, WV. The Company expects to invest approximately $241 million in corporate capital subject to closing adjustments for the above mentioned transactions.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Partnership with CEG</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three months ended March 31, 2020, the Company invested $7 million in distributed generation partnerships with CEG.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Cash Distributions to Clearway Energy, Inc. and CEG</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Distributions on t</w:t>
      </w:r>
      <w:r>
        <w:rPr>
          <w:rFonts w:ascii="Arial" w:cs="Arial" w:eastAsia="Arial" w:hAnsi="Arial"/>
          <w:sz w:val="18"/>
          <w:szCs w:val="18"/>
          <w:color w:val="000000"/>
        </w:rPr>
        <w:t>he units are subject to available capital, market conditions, and compliance with associated laws, regulations and other contractual</w:t>
      </w:r>
      <w:r>
        <w:rPr>
          <w:rFonts w:ascii="Arial" w:cs="Arial" w:eastAsia="Arial" w:hAnsi="Arial"/>
          <w:sz w:val="18"/>
          <w:szCs w:val="18"/>
          <w:color w:val="231F20"/>
        </w:rPr>
        <w:t xml:space="preserve"> </w:t>
      </w:r>
      <w:r>
        <w:rPr>
          <w:rFonts w:ascii="Arial" w:cs="Arial" w:eastAsia="Arial" w:hAnsi="Arial"/>
          <w:sz w:val="18"/>
          <w:szCs w:val="18"/>
          <w:color w:val="000000"/>
        </w:rPr>
        <w:t>obligations. The Company expects that, based on current circumstances, comparable cash distributions will continue to be paid in the foreseeable future. The Company will continue to evaluate its capital allocation approach during the pendency of the PG&amp;E Bankruptcy, including the Company’s ability to receive unrestricted project distributions.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distributions paid on the Company's Class A, B, C and D units during the three months ended March 31, 2020:</w:t>
      </w:r>
    </w:p>
    <w:p>
      <w:pPr>
        <w:spacing w:after="0" w:line="228"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First Quarter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23495</wp:posOffset>
            </wp:positionV>
            <wp:extent cx="5460365" cy="1797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460365" cy="179705"/>
                    </a:xfrm>
                    <a:prstGeom prst="rect">
                      <a:avLst/>
                    </a:prstGeom>
                    <a:noFill/>
                  </pic:spPr>
                </pic:pic>
              </a:graphicData>
            </a:graphic>
          </wp:anchor>
        </w:drawing>
      </w:r>
    </w:p>
    <w:p>
      <w:pPr>
        <w:spacing w:after="0" w:line="43" w:lineRule="exact"/>
        <w:rPr>
          <w:sz w:val="20"/>
          <w:szCs w:val="20"/>
          <w:color w:val="auto"/>
        </w:rPr>
      </w:pPr>
    </w:p>
    <w:p>
      <w:pPr>
        <w:ind w:left="1340"/>
        <w:spacing w:after="0"/>
        <w:tabs>
          <w:tab w:leader="none" w:pos="8580" w:val="left"/>
          <w:tab w:leader="none" w:pos="9460" w:val="left"/>
        </w:tabs>
        <w:rPr>
          <w:sz w:val="20"/>
          <w:szCs w:val="20"/>
          <w:color w:val="auto"/>
        </w:rPr>
      </w:pPr>
      <w:r>
        <w:rPr>
          <w:rFonts w:ascii="Arial" w:cs="Arial" w:eastAsia="Arial" w:hAnsi="Arial"/>
          <w:sz w:val="18"/>
          <w:szCs w:val="18"/>
          <w:color w:val="auto"/>
        </w:rPr>
        <w:t>Distributions per Class A, B, C and D unit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0.21</w:t>
      </w:r>
    </w:p>
    <w:p>
      <w:pPr>
        <w:spacing w:after="0" w:line="19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April 30, 2020, the Company declared a distribution on its Class A, Class B, Class C and Class D units of $0.21 per unit payable on June 15, 2020 to unit holders of record as of June 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reflects the changes in cash flows for the three months ended March 31, 2020, compared to the three months ended March 31, 2019:</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2920" w:type="dxa"/>
            <w:vAlign w:val="bottom"/>
            <w:gridSpan w:val="7"/>
          </w:tcPr>
          <w:p>
            <w:pPr>
              <w:jc w:val="right"/>
              <w:ind w:right="320"/>
              <w:spacing w:after="0"/>
              <w:rPr>
                <w:sz w:val="20"/>
                <w:szCs w:val="20"/>
                <w:color w:val="auto"/>
              </w:rPr>
            </w:pPr>
            <w:r>
              <w:rPr>
                <w:rFonts w:ascii="Arial" w:cs="Arial" w:eastAsia="Arial" w:hAnsi="Arial"/>
                <w:sz w:val="18"/>
                <w:szCs w:val="18"/>
                <w:b w:val="1"/>
                <w:bCs w:val="1"/>
                <w:color w:val="auto"/>
                <w:w w:val="97"/>
              </w:rPr>
              <w:t>Three months ended March 31,</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4"/>
              </w:rPr>
              <w:t>(In millions)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87"/>
              </w:rPr>
              <w:t>(17)</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729"/>
        </w:trPr>
        <w:tc>
          <w:tcPr>
            <w:tcW w:w="40" w:type="dxa"/>
            <w:vAlign w:val="bottom"/>
          </w:tcPr>
          <w:p>
            <w:pPr>
              <w:spacing w:after="0"/>
              <w:rPr>
                <w:sz w:val="24"/>
                <w:szCs w:val="24"/>
                <w:color w:val="auto"/>
              </w:rPr>
            </w:pPr>
          </w:p>
        </w:tc>
        <w:tc>
          <w:tcPr>
            <w:tcW w:w="71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shd w:val="clear" w:color="auto" w:fill="CCEEFF"/>
          </w:tcPr>
          <w:p>
            <w:pPr>
              <w:spacing w:after="0"/>
              <w:rPr>
                <w:sz w:val="22"/>
                <w:szCs w:val="22"/>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operating income adjusted for non-cash items</w:t>
            </w:r>
          </w:p>
        </w:tc>
        <w:tc>
          <w:tcPr>
            <w:tcW w:w="8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0020" w:type="dxa"/>
            <w:vAlign w:val="bottom"/>
            <w:gridSpan w:val="8"/>
          </w:tcPr>
          <w:p>
            <w:pPr>
              <w:ind w:left="140"/>
              <w:spacing w:after="0"/>
              <w:rPr>
                <w:sz w:val="20"/>
                <w:szCs w:val="20"/>
                <w:color w:val="auto"/>
              </w:rPr>
            </w:pPr>
            <w:r>
              <w:rPr>
                <w:rFonts w:ascii="Arial" w:cs="Arial" w:eastAsia="Arial" w:hAnsi="Arial"/>
                <w:sz w:val="18"/>
                <w:szCs w:val="18"/>
                <w:color w:val="auto"/>
                <w:w w:val="99"/>
              </w:rPr>
              <w:t>Increase in working capital driven primarily by the timing of accounts receivable collections and payment of accounts payable</w:t>
            </w:r>
          </w:p>
        </w:tc>
        <w:tc>
          <w:tcPr>
            <w:tcW w:w="18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Lower net distributions in 2020 compared to 2019</w:t>
            </w: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00" w:type="dxa"/>
            <w:vAlign w:val="bottom"/>
            <w:vMerge w:val="restart"/>
          </w:tcPr>
          <w:p>
            <w:pPr>
              <w:ind w:left="38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100" w:type="dxa"/>
            <w:vAlign w:val="bottom"/>
            <w:vMerge w:val="continu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71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Changes to net cash used in investing activities were driven by:</w:t>
            </w:r>
          </w:p>
        </w:tc>
        <w:tc>
          <w:tcPr>
            <w:tcW w:w="8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7960" w:type="dxa"/>
            <w:vAlign w:val="bottom"/>
            <w:gridSpan w:val="2"/>
            <w:shd w:val="clear" w:color="auto" w:fill="CCEEFF"/>
          </w:tcPr>
          <w:p>
            <w:pPr>
              <w:ind w:left="160"/>
              <w:spacing w:after="0" w:line="156" w:lineRule="exact"/>
              <w:rPr>
                <w:sz w:val="20"/>
                <w:szCs w:val="20"/>
                <w:color w:val="auto"/>
              </w:rPr>
            </w:pPr>
            <w:r>
              <w:rPr>
                <w:rFonts w:ascii="Arial" w:cs="Arial" w:eastAsia="Arial" w:hAnsi="Arial"/>
                <w:sz w:val="18"/>
                <w:szCs w:val="18"/>
                <w:color w:val="auto"/>
                <w:w w:val="91"/>
              </w:rPr>
              <w:t>Increase in growth capital expenditures in the Renewables segment driven primarily by the final repowering</w:t>
            </w: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costs at Elbow Creek and Wildorado, as well as the final construction costs for Oahu and Kawailoa projects .</w:t>
            </w: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4"/>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100" w:type="dxa"/>
            <w:vAlign w:val="bottom"/>
          </w:tcPr>
          <w:p>
            <w:pPr>
              <w:ind w:left="160"/>
              <w:spacing w:after="0"/>
              <w:rPr>
                <w:sz w:val="20"/>
                <w:szCs w:val="20"/>
                <w:color w:val="auto"/>
              </w:rPr>
            </w:pPr>
            <w:r>
              <w:rPr>
                <w:rFonts w:ascii="Arial" w:cs="Arial" w:eastAsia="Arial" w:hAnsi="Arial"/>
                <w:sz w:val="18"/>
                <w:szCs w:val="18"/>
                <w:color w:val="auto"/>
              </w:rPr>
              <w:t>Buy out of the existing tax equity partner of Wind TE Holdco on January 1, 2019. .</w:t>
            </w: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assets in the Thermal segment</w:t>
            </w: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10020" w:type="dxa"/>
            <w:vAlign w:val="bottom"/>
            <w:gridSpan w:val="8"/>
          </w:tcPr>
          <w:p>
            <w:pPr>
              <w:ind w:left="160"/>
              <w:spacing w:after="0"/>
              <w:rPr>
                <w:sz w:val="20"/>
                <w:szCs w:val="20"/>
                <w:color w:val="auto"/>
              </w:rPr>
            </w:pPr>
            <w:r>
              <w:rPr>
                <w:rFonts w:ascii="Arial" w:cs="Arial" w:eastAsia="Arial" w:hAnsi="Arial"/>
                <w:sz w:val="18"/>
                <w:szCs w:val="18"/>
                <w:color w:val="auto"/>
                <w:w w:val="96"/>
              </w:rPr>
              <w:t>Increase in investments in unconsolidated affiliates in 2020 primarily in the distributed generation combined with lower returns of</w:t>
            </w:r>
          </w:p>
        </w:tc>
        <w:tc>
          <w:tcPr>
            <w:tcW w:w="1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investment</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Partial payment to acquire the Class A interests in the Oahu Partnership and Kawailoa Partnership in 2019</w:t>
            </w: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ectPr>
          <w:pgSz w:w="11900" w:h="16838" w:orient="portrait"/>
          <w:cols w:equalWidth="0" w:num="1">
            <w:col w:w="11240"/>
          </w:cols>
          <w:pgMar w:left="320" w:top="891" w:right="339" w:bottom="1440" w:gutter="0" w:footer="0" w:header="0"/>
        </w:sectPr>
      </w:pP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Changes in net cash used in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79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Proceeds from borrowings under the revolving line of credit in the first quarter ended March 31, 2020 . . .</w:t>
      </w:r>
    </w:p>
    <w:p>
      <w:pPr>
        <w:spacing w:after="0" w:line="23" w:lineRule="exact"/>
        <w:rPr>
          <w:sz w:val="20"/>
          <w:szCs w:val="20"/>
          <w:color w:val="auto"/>
        </w:rPr>
      </w:pPr>
    </w:p>
    <w:p>
      <w:pPr>
        <w:ind w:left="40" w:right="460" w:firstLine="162"/>
        <w:spacing w:after="0" w:line="234" w:lineRule="auto"/>
        <w:rPr>
          <w:sz w:val="20"/>
          <w:szCs w:val="20"/>
          <w:color w:val="auto"/>
        </w:rPr>
      </w:pPr>
      <w:r>
        <w:rPr>
          <w:rFonts w:ascii="Arial" w:cs="Arial" w:eastAsia="Arial" w:hAnsi="Arial"/>
          <w:sz w:val="18"/>
          <w:szCs w:val="18"/>
          <w:color w:val="auto"/>
        </w:rPr>
        <w:t>Higher net contributions from noncontrolling interests in 2020 compared to 2019, primarily from tax equity contributions in the Wildorado 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wp:posOffset>
            </wp:positionV>
            <wp:extent cx="7106285" cy="419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06285" cy="419735"/>
                    </a:xfrm>
                    <a:prstGeom prst="rect">
                      <a:avLst/>
                    </a:prstGeom>
                    <a:noFill/>
                  </pic:spPr>
                </pic:pic>
              </a:graphicData>
            </a:graphic>
          </wp:anchor>
        </w:drawing>
      </w:r>
    </w:p>
    <w:p>
      <w:pPr>
        <w:jc w:val="both"/>
        <w:ind w:left="40" w:firstLine="162"/>
        <w:spacing w:after="0" w:line="287" w:lineRule="auto"/>
        <w:rPr>
          <w:sz w:val="20"/>
          <w:szCs w:val="20"/>
          <w:color w:val="auto"/>
        </w:rPr>
      </w:pPr>
      <w:r>
        <w:rPr>
          <w:rFonts w:ascii="Arial" w:cs="Arial" w:eastAsia="Arial" w:hAnsi="Arial"/>
          <w:sz w:val="16"/>
          <w:szCs w:val="16"/>
          <w:color w:val="auto"/>
        </w:rPr>
        <w:t>Higher repayments in 2020 primarily driven by the payoff of the Repowering construction loan in the amount of $260 million, as well final redemption of Senior Notes due 2024 in the amount of $88 million, partially offset by the repayment of 2019 Convertible Notes in the amount of $220 million during the first quarter of 2019 and proceeds from intercompany demand note entered into in February 2020</w:t>
      </w:r>
    </w:p>
    <w:p>
      <w:pPr>
        <w:spacing w:after="0" w:line="1" w:lineRule="exact"/>
        <w:rPr>
          <w:sz w:val="20"/>
          <w:szCs w:val="20"/>
          <w:color w:val="auto"/>
        </w:rPr>
      </w:pPr>
    </w:p>
    <w:p>
      <w:pPr>
        <w:ind w:left="40" w:right="240" w:firstLine="162"/>
        <w:spacing w:after="0" w:line="261" w:lineRule="auto"/>
        <w:rPr>
          <w:sz w:val="20"/>
          <w:szCs w:val="20"/>
          <w:color w:val="auto"/>
        </w:rPr>
      </w:pPr>
      <w:r>
        <w:rPr>
          <w:rFonts w:ascii="Arial" w:cs="Arial" w:eastAsia="Arial" w:hAnsi="Arial"/>
          <w:sz w:val="18"/>
          <w:szCs w:val="18"/>
          <w:color w:val="auto"/>
        </w:rPr>
        <w:t>Higher borrowings in 2020 due to construction draws in the Repowering Partnership II LLC, partially offset by significantly lower construction draws in the Oahu solar projects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7106285"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proceeds from equity issuance in 2020</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Increase in distributions paid to unit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968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0628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(In millions)</w:t>
      </w:r>
    </w:p>
    <w:p>
      <w:pPr>
        <w:spacing w:after="0" w:line="92" w:lineRule="exact"/>
        <w:rPr>
          <w:sz w:val="20"/>
          <w:szCs w:val="20"/>
          <w:color w:val="auto"/>
        </w:rPr>
      </w:pPr>
    </w:p>
    <w:p>
      <w:pPr>
        <w:ind w:left="840" w:hanging="831"/>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180</w:t>
      </w:r>
    </w:p>
    <w:p>
      <w:pPr>
        <w:spacing w:after="0" w:line="198"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135</w:t>
      </w:r>
    </w:p>
    <w:p>
      <w:pPr>
        <w:spacing w:after="0" w:line="200" w:lineRule="exact"/>
        <w:rPr>
          <w:sz w:val="20"/>
          <w:szCs w:val="20"/>
          <w:color w:val="auto"/>
        </w:rPr>
      </w:pPr>
    </w:p>
    <w:p>
      <w:pPr>
        <w:spacing w:after="0" w:line="25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(128)</w:t>
      </w:r>
    </w:p>
    <w:p>
      <w:pPr>
        <w:spacing w:after="0" w:line="2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27</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(3)</w:t>
      </w:r>
    </w:p>
    <w:p>
      <w:pPr>
        <w:spacing w:after="0" w:line="77" w:lineRule="exact"/>
        <w:rPr>
          <w:sz w:val="20"/>
          <w:szCs w:val="20"/>
          <w:color w:val="auto"/>
        </w:rPr>
      </w:pPr>
    </w:p>
    <w:p>
      <w:pPr>
        <w:ind w:left="840" w:hanging="831"/>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8058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100"/>
            <w:col w:w="1280"/>
          </w:cols>
          <w:pgMar w:left="320"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5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Variable interest in equity investments </w:t>
      </w:r>
      <w:r>
        <w:rPr>
          <w:rFonts w:ascii="Arial" w:cs="Arial" w:eastAsia="Arial" w:hAnsi="Arial"/>
          <w:sz w:val="17"/>
          <w:szCs w:val="17"/>
          <w:color w:val="auto"/>
        </w:rPr>
        <w:t>— As of March 31, 2020, the Company has several investments with an ownership interest percentage of 50%</w:t>
      </w:r>
      <w:r>
        <w:rPr>
          <w:rFonts w:ascii="Arial" w:cs="Arial" w:eastAsia="Arial" w:hAnsi="Arial"/>
          <w:sz w:val="17"/>
          <w:szCs w:val="17"/>
          <w:i w:val="1"/>
          <w:iCs w:val="1"/>
          <w:color w:val="auto"/>
        </w:rPr>
        <w:t xml:space="preserve"> </w:t>
      </w:r>
      <w:r>
        <w:rPr>
          <w:rFonts w:ascii="Arial" w:cs="Arial" w:eastAsia="Arial" w:hAnsi="Arial"/>
          <w:sz w:val="17"/>
          <w:szCs w:val="17"/>
          <w:color w:val="auto"/>
        </w:rPr>
        <w:t>or less in energy and energy-related entities that are accounted for under the equity method. DGPV Holdco 1 LLC, DGPV Holdco 2 LLC, DGPV Holdco 3 LLC, RPV Holdco 1 LLC and GenConn are variable interest entities for which the Company is not the primary beneficiary.</w:t>
      </w:r>
    </w:p>
    <w:p>
      <w:pPr>
        <w:spacing w:after="0" w:line="98"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Company's pro-rata share of non-recourse debt held by unconsolidated affiliates was approximately $877 million as of March 31, 2020. The Company's pro-rata share of non-recourse debt held by unconsolidated affiliates as it related to the projects affected by PG&amp;E bankruptcy was $408 million as of March 31, 2020. This indebtedness may restrict the ability of these subsidiaries to issue dividends or distributions to the Company.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Company has a variety of contractual obligations and other commercial commitments that represent prospective cash requirements in addition to the Company's capital expenditure programs, as disclosed in the Company's 2019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3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March 31, 2020</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March 31, 2020</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 1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Derivative Activity (Losses) Gains</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Fair value of contracts as of December 31, 2019</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80" w:type="dxa"/>
            <w:vAlign w:val="bottom"/>
            <w:gridSpan w:val="3"/>
          </w:tcPr>
          <w:p>
            <w:pPr>
              <w:ind w:left="180"/>
              <w:spacing w:after="0"/>
              <w:rPr>
                <w:sz w:val="20"/>
                <w:szCs w:val="20"/>
                <w:color w:val="auto"/>
              </w:rPr>
            </w:pPr>
            <w:r>
              <w:rPr>
                <w:rFonts w:ascii="Arial" w:cs="Arial" w:eastAsia="Arial" w:hAnsi="Arial"/>
                <w:sz w:val="18"/>
                <w:szCs w:val="18"/>
                <w:color w:val="auto"/>
              </w:rPr>
              <w:t>Contracts realized or otherwise settled during the period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right w:val="single" w:sz="8" w:color="CCEEFF"/>
            </w:tcBorders>
            <w:shd w:val="clear" w:color="auto" w:fill="CCEEFF"/>
          </w:tcPr>
          <w:p>
            <w:pPr>
              <w:spacing w:after="0"/>
              <w:rPr>
                <w:sz w:val="23"/>
                <w:szCs w:val="23"/>
                <w:color w:val="auto"/>
              </w:rPr>
            </w:pPr>
          </w:p>
        </w:tc>
        <w:tc>
          <w:tcPr>
            <w:tcW w:w="4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Changes in fair value</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Fair value of contracts as of March 31, 2020</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gridSpan w:val="8"/>
            <w:vMerge w:val="restart"/>
          </w:tcPr>
          <w:p>
            <w:pPr>
              <w:jc w:val="center"/>
              <w:ind w:right="360"/>
              <w:spacing w:after="0"/>
              <w:rPr>
                <w:sz w:val="20"/>
                <w:szCs w:val="20"/>
                <w:color w:val="auto"/>
              </w:rPr>
            </w:pPr>
            <w:r>
              <w:rPr>
                <w:rFonts w:ascii="Arial" w:cs="Arial" w:eastAsia="Arial" w:hAnsi="Arial"/>
                <w:sz w:val="14"/>
                <w:szCs w:val="14"/>
                <w:b w:val="1"/>
                <w:bCs w:val="1"/>
                <w:color w:val="auto"/>
                <w:w w:val="92"/>
              </w:rPr>
              <w:t>Fair value of contracts as of March 31, 2020</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4"/>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8"/>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Hierarchy (Losses) Gains</w:t>
            </w:r>
          </w:p>
        </w:tc>
        <w:tc>
          <w:tcPr>
            <w:tcW w:w="14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Year or Less</w:t>
            </w:r>
          </w:p>
        </w:tc>
        <w:tc>
          <w:tcPr>
            <w:tcW w:w="12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Greater Than</w:t>
            </w:r>
          </w:p>
        </w:tc>
        <w:tc>
          <w:tcPr>
            <w:tcW w:w="12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Greater Than</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8"/>
              </w:rPr>
              <w:t>Greater Than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5"/>
              </w:rPr>
              <w:t>Total Fair</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7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6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1 Year to 3 Years</w:t>
            </w:r>
          </w:p>
        </w:tc>
        <w:tc>
          <w:tcPr>
            <w:tcW w:w="126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89"/>
              </w:rPr>
              <w:t>3 Years to 5 Years</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2"/>
              </w:rPr>
              <w:t>5 Years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CCEEFF"/>
            </w:tcBorders>
          </w:tcPr>
          <w:p>
            <w:pPr>
              <w:spacing w:after="0"/>
              <w:rPr>
                <w:sz w:val="22"/>
                <w:szCs w:val="22"/>
                <w:color w:val="auto"/>
              </w:rPr>
            </w:pPr>
          </w:p>
        </w:tc>
        <w:tc>
          <w:tcPr>
            <w:tcW w:w="4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Level 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center"/>
              <w:ind w:left="494"/>
              <w:spacing w:after="0"/>
              <w:rPr>
                <w:sz w:val="20"/>
                <w:szCs w:val="20"/>
                <w:color w:val="auto"/>
              </w:rPr>
            </w:pPr>
            <w:r>
              <w:rPr>
                <w:rFonts w:ascii="Arial" w:cs="Arial" w:eastAsia="Arial" w:hAnsi="Arial"/>
                <w:sz w:val="18"/>
                <w:szCs w:val="18"/>
                <w:color w:val="auto"/>
                <w:w w:val="93"/>
              </w:rPr>
              <w:t>(38)</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Level 3</w:t>
            </w:r>
          </w:p>
        </w:tc>
        <w:tc>
          <w:tcPr>
            <w:tcW w:w="140" w:type="dxa"/>
            <w:vAlign w:val="bottom"/>
          </w:tcPr>
          <w:p>
            <w:pPr>
              <w:spacing w:after="0"/>
              <w:rPr>
                <w:sz w:val="21"/>
                <w:szCs w:val="21"/>
                <w:color w:val="auto"/>
              </w:rPr>
            </w:pPr>
          </w:p>
        </w:tc>
        <w:tc>
          <w:tcPr>
            <w:tcW w:w="1220" w:type="dxa"/>
            <w:vAlign w:val="bottom"/>
            <w:gridSpan w:val="2"/>
          </w:tcPr>
          <w:p>
            <w:pPr>
              <w:jc w:val="center"/>
              <w:ind w:left="354"/>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40" w:type="dxa"/>
            <w:vAlign w:val="bottom"/>
            <w:tcBorders>
              <w:bottom w:val="single" w:sz="8" w:color="CCEEFF"/>
            </w:tcBorders>
            <w:gridSpan w:val="2"/>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0" w:type="dxa"/>
            <w:vAlign w:val="bottom"/>
            <w:tcBorders>
              <w:right w:val="single" w:sz="8" w:color="CCEEFF"/>
            </w:tcBorders>
          </w:tcPr>
          <w:p>
            <w:pPr>
              <w:spacing w:after="0"/>
              <w:rPr>
                <w:sz w:val="24"/>
                <w:szCs w:val="24"/>
                <w:color w:val="auto"/>
              </w:rPr>
            </w:pPr>
          </w:p>
        </w:tc>
        <w:tc>
          <w:tcPr>
            <w:tcW w:w="4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center"/>
              <w:ind w:left="494"/>
              <w:spacing w:after="0"/>
              <w:rPr>
                <w:sz w:val="20"/>
                <w:szCs w:val="20"/>
                <w:color w:val="auto"/>
              </w:rPr>
            </w:pPr>
            <w:r>
              <w:rPr>
                <w:rFonts w:ascii="Arial" w:cs="Arial" w:eastAsia="Arial" w:hAnsi="Arial"/>
                <w:sz w:val="18"/>
                <w:szCs w:val="18"/>
                <w:color w:val="auto"/>
                <w:w w:val="93"/>
              </w:rPr>
              <w:t>(38)</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5"/>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34"/>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0" w:name="page61"/>
    <w:bookmarkEnd w:id="60"/>
    <w:p>
      <w:pPr>
        <w:jc w:val="both"/>
        <w:ind w:firstLine="405"/>
        <w:spacing w:after="0" w:line="301"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Quantitative and Qualitative Disclosures about Market Risk - Commodity Price Risk, the </w:t>
      </w:r>
      <w:r>
        <w:rPr>
          <w:rFonts w:ascii="Arial" w:cs="Arial" w:eastAsia="Arial" w:hAnsi="Arial"/>
          <w:sz w:val="16"/>
          <w:szCs w:val="16"/>
          <w:color w:val="000000"/>
        </w:rPr>
        <w:t>Company, measures the</w:t>
      </w:r>
      <w:r>
        <w:rPr>
          <w:rFonts w:ascii="Arial" w:cs="Arial" w:eastAsia="Arial" w:hAnsi="Arial"/>
          <w:sz w:val="16"/>
          <w:szCs w:val="16"/>
          <w:color w:val="231F20"/>
        </w:rPr>
        <w:t xml:space="preserve"> </w:t>
      </w:r>
      <w:r>
        <w:rPr>
          <w:rFonts w:ascii="Arial" w:cs="Arial" w:eastAsia="Arial" w:hAnsi="Arial"/>
          <w:sz w:val="16"/>
          <w:szCs w:val="16"/>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1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See Item — 1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Arial" w:cs="Arial" w:eastAsia="Arial" w:hAnsi="Arial"/>
          <w:sz w:val="18"/>
          <w:szCs w:val="18"/>
          <w:color w:val="000000"/>
        </w:rPr>
        <w:t>The following disclosures about market risk provide</w:t>
      </w:r>
      <w:r>
        <w:rPr>
          <w:rFonts w:ascii="Arial" w:cs="Arial" w:eastAsia="Arial" w:hAnsi="Arial"/>
          <w:sz w:val="18"/>
          <w:szCs w:val="18"/>
          <w:color w:val="231F20"/>
        </w:rPr>
        <w:t xml:space="preserve"> </w:t>
      </w:r>
      <w:r>
        <w:rPr>
          <w:rFonts w:ascii="Arial" w:cs="Arial" w:eastAsia="Arial" w:hAnsi="Arial"/>
          <w:sz w:val="18"/>
          <w:szCs w:val="18"/>
          <w:color w:val="000000"/>
        </w:rPr>
        <w:t xml:space="preserve">an update to, and should be read in conjunction with, Item 7A — </w:t>
      </w:r>
      <w:r>
        <w:rPr>
          <w:rFonts w:ascii="Arial" w:cs="Arial" w:eastAsia="Arial" w:hAnsi="Arial"/>
          <w:sz w:val="18"/>
          <w:szCs w:val="18"/>
          <w:i w:val="1"/>
          <w:iCs w:val="1"/>
          <w:color w:val="000000"/>
        </w:rPr>
        <w:t>Quantitative and Qualitative Disclosures About Market Risk,</w:t>
      </w:r>
      <w:r>
        <w:rPr>
          <w:rFonts w:ascii="Arial" w:cs="Arial" w:eastAsia="Arial" w:hAnsi="Arial"/>
          <w:sz w:val="18"/>
          <w:szCs w:val="18"/>
          <w:color w:val="000000"/>
        </w:rPr>
        <w:t xml:space="preserve"> of the Company's 2019 Form 10-K.</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 </w:t>
      </w:r>
      <w:r>
        <w:rPr>
          <w:rFonts w:ascii="Arial" w:cs="Arial" w:eastAsia="Arial" w:hAnsi="Arial"/>
          <w:sz w:val="17"/>
          <w:szCs w:val="17"/>
          <w:color w:val="000000"/>
        </w:rPr>
        <w:t>— Note 6</w:t>
      </w:r>
      <w:r>
        <w:rPr>
          <w:rFonts w:ascii="Arial" w:cs="Arial" w:eastAsia="Arial" w:hAnsi="Arial"/>
          <w:sz w:val="17"/>
          <w:szCs w:val="17"/>
          <w:color w:val="231F20"/>
        </w:rPr>
        <w:t xml:space="preserve">, </w:t>
      </w:r>
      <w:r>
        <w:rPr>
          <w:rFonts w:ascii="Arial" w:cs="Arial" w:eastAsia="Arial" w:hAnsi="Arial"/>
          <w:sz w:val="17"/>
          <w:szCs w:val="17"/>
          <w:color w:val="000000"/>
        </w:rPr>
        <w:t>Derivative Instruments and Hedging Activities</w:t>
      </w:r>
      <w:r>
        <w:rPr>
          <w:rFonts w:ascii="Arial" w:cs="Arial" w:eastAsia="Arial" w:hAnsi="Arial"/>
          <w:sz w:val="17"/>
          <w:szCs w:val="17"/>
          <w:color w:val="231F20"/>
        </w:rPr>
        <w:t>, for more information.</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 xml:space="preserve">Most of the Company's project subsidiaries enter into interest rate swaps, intended to hedge the risks associated with interest rates on non-recourse project level debt. See </w:t>
      </w:r>
      <w:r>
        <w:rPr>
          <w:rFonts w:ascii="Arial" w:cs="Arial" w:eastAsia="Arial" w:hAnsi="Arial"/>
          <w:sz w:val="17"/>
          <w:szCs w:val="17"/>
          <w:color w:val="000000"/>
        </w:rPr>
        <w:t>Note 10</w:t>
      </w:r>
      <w:r>
        <w:rPr>
          <w:rFonts w:ascii="Arial" w:cs="Arial" w:eastAsia="Arial" w:hAnsi="Arial"/>
          <w:sz w:val="17"/>
          <w:szCs w:val="17"/>
          <w:color w:val="231F20"/>
        </w:rPr>
        <w:t xml:space="preserve">, </w:t>
      </w:r>
      <w:r>
        <w:rPr>
          <w:rFonts w:ascii="Arial" w:cs="Arial" w:eastAsia="Arial" w:hAnsi="Arial"/>
          <w:sz w:val="17"/>
          <w:szCs w:val="17"/>
          <w:i w:val="1"/>
          <w:iCs w:val="1"/>
          <w:color w:val="000000"/>
        </w:rPr>
        <w:t>Long-term Debt</w:t>
      </w:r>
      <w:r>
        <w:rPr>
          <w:rFonts w:ascii="Arial" w:cs="Arial" w:eastAsia="Arial" w:hAnsi="Arial"/>
          <w:sz w:val="17"/>
          <w:szCs w:val="17"/>
          <w:i w:val="1"/>
          <w:iCs w:val="1"/>
          <w:color w:val="231F20"/>
        </w:rPr>
        <w:t>,</w:t>
      </w:r>
      <w:r>
        <w:rPr>
          <w:rFonts w:ascii="Arial" w:cs="Arial" w:eastAsia="Arial" w:hAnsi="Arial"/>
          <w:sz w:val="17"/>
          <w:szCs w:val="17"/>
          <w:color w:val="231F20"/>
        </w:rPr>
        <w:t xml:space="preserve"> to the Company's </w:t>
      </w:r>
      <w:r>
        <w:rPr>
          <w:rFonts w:ascii="Arial" w:cs="Arial" w:eastAsia="Arial" w:hAnsi="Arial"/>
          <w:sz w:val="17"/>
          <w:szCs w:val="17"/>
          <w:color w:val="000000"/>
        </w:rPr>
        <w:t>audited consolidated financial statements for the year ended December 31, 2019</w:t>
      </w:r>
      <w:r>
        <w:rPr>
          <w:rFonts w:ascii="Arial" w:cs="Arial" w:eastAsia="Arial" w:hAnsi="Arial"/>
          <w:sz w:val="17"/>
          <w:szCs w:val="17"/>
          <w:color w:val="231F20"/>
        </w:rPr>
        <w:t xml:space="preserve"> </w:t>
      </w:r>
      <w:r>
        <w:rPr>
          <w:rFonts w:ascii="Arial" w:cs="Arial" w:eastAsia="Arial" w:hAnsi="Arial"/>
          <w:sz w:val="17"/>
          <w:szCs w:val="17"/>
          <w:color w:val="000000"/>
        </w:rPr>
        <w:t xml:space="preserve">included in the 2019 Form 10-K </w:t>
      </w:r>
      <w:r>
        <w:rPr>
          <w:rFonts w:ascii="Arial" w:cs="Arial" w:eastAsia="Arial" w:hAnsi="Arial"/>
          <w:sz w:val="17"/>
          <w:szCs w:val="17"/>
          <w:color w:val="231F20"/>
        </w:rPr>
        <w:t>for more information about interest rate swaps of the Company's project subsidiaries.</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If all of the interest rate swaps had been discontinued on </w:t>
      </w:r>
      <w:r>
        <w:rPr>
          <w:rFonts w:ascii="Arial" w:cs="Arial" w:eastAsia="Arial" w:hAnsi="Arial"/>
          <w:sz w:val="18"/>
          <w:szCs w:val="18"/>
          <w:color w:val="000000"/>
        </w:rPr>
        <w:t>March 31, 2020</w:t>
      </w:r>
      <w:r>
        <w:rPr>
          <w:rFonts w:ascii="Arial" w:cs="Arial" w:eastAsia="Arial" w:hAnsi="Arial"/>
          <w:sz w:val="18"/>
          <w:szCs w:val="18"/>
          <w:color w:val="231F20"/>
        </w:rPr>
        <w:t xml:space="preserve">, the Company would have owed the counterparties </w:t>
      </w:r>
      <w:r>
        <w:rPr>
          <w:rFonts w:ascii="Arial" w:cs="Arial" w:eastAsia="Arial" w:hAnsi="Arial"/>
          <w:sz w:val="18"/>
          <w:szCs w:val="18"/>
          <w:color w:val="000000"/>
        </w:rPr>
        <w:t>$194 million</w:t>
      </w:r>
      <w:r>
        <w:rPr>
          <w:rFonts w:ascii="Arial" w:cs="Arial" w:eastAsia="Arial" w:hAnsi="Arial"/>
          <w:sz w:val="18"/>
          <w:szCs w:val="18"/>
          <w:color w:val="231F20"/>
        </w:rPr>
        <w:t>. Based on the credit ratings of the counterparties, the Company believes its exposure to credit risk due to nonperformance by counterparties to its hedge contracts to be insignificant.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 xml:space="preserve">The Company has long-term debt instruments that subject it to the risk of loss associated with movements in market interest rates. As of </w:t>
      </w:r>
      <w:r>
        <w:rPr>
          <w:rFonts w:ascii="Arial" w:cs="Arial" w:eastAsia="Arial" w:hAnsi="Arial"/>
          <w:sz w:val="16"/>
          <w:szCs w:val="16"/>
          <w:color w:val="000000"/>
        </w:rPr>
        <w:t>March 31,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2020</w:t>
      </w:r>
      <w:r>
        <w:rPr>
          <w:rFonts w:ascii="Arial" w:cs="Arial" w:eastAsia="Arial" w:hAnsi="Arial"/>
          <w:sz w:val="17"/>
          <w:szCs w:val="17"/>
          <w:color w:val="231F20"/>
        </w:rPr>
        <w:t>, a 1% change in interest rates would result in an approximately $4 million change in market interest expense on a rolling twelve-month basis.</w:t>
      </w:r>
    </w:p>
    <w:p>
      <w:pPr>
        <w:spacing w:after="0" w:line="16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2020</w:t>
      </w:r>
      <w:r>
        <w:rPr>
          <w:rFonts w:ascii="Arial" w:cs="Arial" w:eastAsia="Arial" w:hAnsi="Arial"/>
          <w:sz w:val="18"/>
          <w:szCs w:val="18"/>
          <w:color w:val="231F20"/>
        </w:rPr>
        <w:t xml:space="preserve">, the fair value of the Company's debt was $6,598 million and the carrying value was $6,634 million. The Company estimates that a 1% decrease in market interest rates would have increased the fair value of its long-term debt by approximately </w:t>
      </w:r>
      <w:r>
        <w:rPr>
          <w:rFonts w:ascii="Arial" w:cs="Arial" w:eastAsia="Arial" w:hAnsi="Arial"/>
          <w:sz w:val="18"/>
          <w:szCs w:val="18"/>
          <w:color w:val="000000"/>
        </w:rPr>
        <w:t>$298 million</w:t>
      </w:r>
      <w:r>
        <w:rPr>
          <w:rFonts w:ascii="Arial" w:cs="Arial" w:eastAsia="Arial" w:hAnsi="Arial"/>
          <w:sz w:val="18"/>
          <w:szCs w:val="18"/>
          <w:color w:val="231F20"/>
        </w:rPr>
        <w: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Based on a sensitivity analysis using simplified assumptions, the impact of a $0.50 per MMBtu increase or decrease in natural gas prices across the term of the derivative contracts would cause a change of approximately </w:t>
      </w:r>
      <w:r>
        <w:rPr>
          <w:rFonts w:ascii="Arial" w:cs="Arial" w:eastAsia="Arial" w:hAnsi="Arial"/>
          <w:sz w:val="18"/>
          <w:szCs w:val="18"/>
          <w:color w:val="000000"/>
        </w:rPr>
        <w:t>$1 million</w:t>
      </w:r>
      <w:r>
        <w:rPr>
          <w:rFonts w:ascii="Arial" w:cs="Arial" w:eastAsia="Arial" w:hAnsi="Arial"/>
          <w:sz w:val="18"/>
          <w:szCs w:val="18"/>
          <w:color w:val="231F20"/>
        </w:rPr>
        <w:t xml:space="preserve"> to the net value of derivatives as of </w:t>
      </w:r>
      <w:r>
        <w:rPr>
          <w:rFonts w:ascii="Arial" w:cs="Arial" w:eastAsia="Arial" w:hAnsi="Arial"/>
          <w:sz w:val="18"/>
          <w:szCs w:val="18"/>
          <w:color w:val="000000"/>
        </w:rPr>
        <w:t>March 31, 2020</w:t>
      </w:r>
      <w:r>
        <w:rPr>
          <w:rFonts w:ascii="Arial" w:cs="Arial" w:eastAsia="Arial" w:hAnsi="Arial"/>
          <w:sz w:val="18"/>
          <w:szCs w:val="18"/>
          <w:color w:val="231F20"/>
        </w:rPr>
        <w:t>. The impact of a $0.50 per MWh increase or decrease in power prices across the term of the derivatives contracts would cause a change of approximately $1 million to the net value of power derivatives as of March 31, 2020.</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2" w:name="page63"/>
    <w:bookmarkEnd w:id="62"/>
    <w:p>
      <w:pPr>
        <w:ind w:left="420"/>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 </w:t>
      </w:r>
      <w:r>
        <w:rPr>
          <w:rFonts w:ascii="Arial" w:cs="Arial" w:eastAsia="Arial" w:hAnsi="Arial"/>
          <w:sz w:val="18"/>
          <w:szCs w:val="18"/>
          <w:color w:val="000000"/>
        </w:rPr>
        <w:t>Note 1</w:t>
      </w:r>
      <w:r>
        <w:rPr>
          <w:rFonts w:ascii="Arial" w:cs="Arial" w:eastAsia="Arial" w:hAnsi="Arial"/>
          <w:sz w:val="18"/>
          <w:szCs w:val="18"/>
          <w:color w:val="231F20"/>
        </w:rPr>
        <w:t xml:space="preserve">, </w:t>
      </w:r>
      <w:r>
        <w:rPr>
          <w:rFonts w:ascii="Arial" w:cs="Arial" w:eastAsia="Arial" w:hAnsi="Arial"/>
          <w:sz w:val="18"/>
          <w:szCs w:val="18"/>
          <w:i w:val="1"/>
          <w:iCs w:val="1"/>
          <w:color w:val="000000"/>
        </w:rPr>
        <w:t>Nature of Business</w:t>
      </w:r>
      <w:r>
        <w:rPr>
          <w:rFonts w:ascii="Arial" w:cs="Arial" w:eastAsia="Arial" w:hAnsi="Arial"/>
          <w:sz w:val="18"/>
          <w:szCs w:val="18"/>
          <w:color w:val="231F20"/>
        </w:rPr>
        <w:t xml:space="preserve">, and </w:t>
      </w:r>
      <w:r>
        <w:rPr>
          <w:rFonts w:ascii="Arial" w:cs="Arial" w:eastAsia="Arial" w:hAnsi="Arial"/>
          <w:sz w:val="18"/>
          <w:szCs w:val="18"/>
          <w:color w:val="000000"/>
        </w:rPr>
        <w:t>Note 5</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during the quarter ended March 31, 2020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March 31, 2020, see Note 11,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 to this Form 10-Q.</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2019 Form 10-K. Except as presented below, there have been no material changes in the Company's risk factors since those reported in its 2019 Form 10-K.</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The ongoing coronavirus (COVID-19) outbreak could adversely affect the Company’s business, financial condition and results of operations.</w:t>
      </w:r>
    </w:p>
    <w:p>
      <w:pPr>
        <w:spacing w:after="0" w:line="18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ongoing coronavirus (COVID-19) outbreak, which the World Health Organization declared as a pandemic on March 11, 2020, has reached more than 200 countries and has continued to be a rapidly evolving situation. In response, the Company has modified certain business and workforce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conform to government restrictions and best practices encouraged by governmental and regulatory authorities. However, the quarantine of personnel or the inability to access the Company’s facilities or customer sites could adversely affect the Company’s operations. Also, the Company has a limited number of highly skilled employees for some of its operations. If a large proportion of the Company’s employees in those critical positions were to contract COVID-19 at the same time, the Company would rely upon its business continuity plans in an effort to continue operations at its facilities, but there is no certainty that such measures will be sufficient to mitigate the adverse impact to its operations that could result from shortages of highly skilled employees.</w:t>
      </w:r>
    </w:p>
    <w:p>
      <w:pPr>
        <w:spacing w:after="0" w:line="13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There is considerable uncertainty regarding the extent to which COVID-19 will continue to spread and the extent and duration of governmental and other measures implemented to try to slow the spread of the virus, such as large-scale travel bans and restrictions, border closures, quarantines, shelter-in-place orders and business and government shutdowns. Restrictions of this nature may cause the Company, its suppliers and other business counterparties to experience operational delays and delays in the delivery of materials and supplies and may cause milestones or deadlines relating to various projects to be missed. As a result, the Company could experience reductions in its sales and corresponding revenues in future periods. In addition, worsening economic conditions could result in the Company’s customers being unable or unwilling to fulfill their contractual obligations over time, or as contracts expire, to replace them with agreements on similar terms, which would impact the Company’s future financial performance. A significant decline in sales for the output the Company generates, whether due to decreases in consumer demand or disruption to its facilities or otherwise, would have a material adverse effect on the Company’s financial expectations, its financial condition, results of operations and cash flows, its ability to make distributions to its stockholders, the market prices of its common stock and its ability to satisfy its debt service obligations.</w:t>
      </w:r>
    </w:p>
    <w:p>
      <w:pPr>
        <w:spacing w:after="0" w:line="11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Additionally, the effects of COVID-19 on the global economy could adversely affect the Company’s ability to access the capital and other financial markets, and if so, the Company may need to consider alternative sources of funding for some of its operations and for working capital, which may increase its cost of, as well as adversely impact its access to, capital. These uncertain economic conditions may also result in the inability of the Company’s customers and other counterparties to make payments to the Company, on a timely basis or at all, which could adversely affect the Company’s financial expectations, its financial condition, results of operations and cash flows, its ability to make distributions to its stockholders, the market prices of its common stock and its ability to satisfy its debt service obligations.</w:t>
      </w:r>
    </w:p>
    <w:p>
      <w:pPr>
        <w:spacing w:after="0" w:line="13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cannot predict the full impact that COVID-19 will have on the Company’s financial expectations, its financial condition, results of operations and cash flows, its ability to make distributions to its stockholders, the market prices of its common stock and its ability to satisfy its debt service obligations at this time, due to numerous uncertainties. The ultimate impacts will depend on future developments, including, among others, the ultimate geographic spread of the virus, the consequences of governmental and other measures designed to prevent the spread of the virus, the development of effective treatments, the duration of the outbreak, actions taken by governmental actions taken by authorities, customers, suppliers and other third parties, workforce availability and the timing and extent to which normal economic and operating conditions resume.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4" w:name="page65"/>
    <w:bookmarkEnd w:id="64"/>
    <w:p>
      <w:pPr>
        <w:jc w:val="both"/>
        <w:ind w:firstLine="405"/>
        <w:spacing w:after="0" w:line="308" w:lineRule="auto"/>
        <w:rPr>
          <w:sz w:val="20"/>
          <w:szCs w:val="20"/>
          <w:color w:val="auto"/>
        </w:rPr>
      </w:pPr>
      <w:r>
        <w:rPr>
          <w:rFonts w:ascii="Arial" w:cs="Arial" w:eastAsia="Arial" w:hAnsi="Arial"/>
          <w:sz w:val="17"/>
          <w:szCs w:val="17"/>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9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located in Hawaii, in Texas within the footprint of ERCOT, or in Puerto Rico, all of the Company’s generating companies are public utilities under the FPA with market-based rate authority unless exempt from FPA public utility rate regulation. FERC's orders that grant market-based rate authority to wholesale power sellers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14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Company's market-based sales are subject to certain rules prohibiting manipulative or deceptive conduct, and if any of the Company's generating companies with market-based rate authority are deemed to have violated those rules, they could be subject to potential disgorgement of profits associated with the violation, penalties, suspension or revocation of market 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All of the Company's generating assets are operating either as EWGs or FUCOs as defined under the PUHCA, or as QFs as defined under the PURPA, as amended, and therefore are exempt from certain regulation under the PUHCA and the FPA. If a facility fails to maintain its status as an EWG, FUCO, or a QF or there are legislative or regulatory changes revoking or limiting the exemptions to the PUHCA and/or the FPA,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134"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6 — EXHIBITS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0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5720" w:type="dxa"/>
            <w:vAlign w:val="bottom"/>
            <w:gridSpan w:val="18"/>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8"/>
        </w:trPr>
        <w:tc>
          <w:tcPr>
            <w:tcW w:w="1000" w:type="dxa"/>
            <w:vAlign w:val="bottom"/>
          </w:tcPr>
          <w:p>
            <w:pPr>
              <w:spacing w:after="0"/>
              <w:rPr>
                <w:sz w:val="20"/>
                <w:szCs w:val="20"/>
                <w:color w:val="auto"/>
              </w:rPr>
            </w:pPr>
            <w:r>
              <w:rPr>
                <w:rFonts w:ascii="Arial" w:cs="Arial" w:eastAsia="Arial" w:hAnsi="Arial"/>
                <w:sz w:val="16"/>
                <w:szCs w:val="16"/>
                <w:color w:val="auto"/>
              </w:rPr>
              <w:t>4.1</w:t>
            </w:r>
          </w:p>
        </w:tc>
        <w:tc>
          <w:tcPr>
            <w:tcW w:w="5720" w:type="dxa"/>
            <w:vAlign w:val="bottom"/>
            <w:gridSpan w:val="18"/>
          </w:tcPr>
          <w:p>
            <w:pPr>
              <w:spacing w:after="0"/>
              <w:rPr>
                <w:rFonts w:ascii="Arial" w:cs="Arial" w:eastAsia="Arial" w:hAnsi="Arial"/>
                <w:sz w:val="16"/>
                <w:szCs w:val="16"/>
                <w:color w:val="0000FF"/>
                <w:w w:val="94"/>
              </w:rPr>
            </w:pPr>
            <w:hyperlink r:id="rId156">
              <w:r>
                <w:rPr>
                  <w:rFonts w:ascii="Arial" w:cs="Arial" w:eastAsia="Arial" w:hAnsi="Arial"/>
                  <w:sz w:val="16"/>
                  <w:szCs w:val="16"/>
                  <w:color w:val="0000FF"/>
                  <w:w w:val="94"/>
                </w:rPr>
                <w:t>Ninth Supplemental Indenture, dated as of January 6, 2020, among Clearway Energy</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5520" w:type="dxa"/>
            <w:vAlign w:val="bottom"/>
            <w:tcBorders>
              <w:top w:val="single" w:sz="8" w:color="0000FF"/>
            </w:tcBorders>
            <w:gridSpan w:val="13"/>
          </w:tcPr>
          <w:p>
            <w:pPr>
              <w:spacing w:after="0" w:line="155" w:lineRule="exact"/>
              <w:rPr>
                <w:rFonts w:ascii="Arial" w:cs="Arial" w:eastAsia="Arial" w:hAnsi="Arial"/>
                <w:sz w:val="16"/>
                <w:szCs w:val="16"/>
                <w:color w:val="0000FF"/>
                <w:w w:val="97"/>
              </w:rPr>
            </w:pPr>
            <w:hyperlink r:id="rId156">
              <w:r>
                <w:rPr>
                  <w:rFonts w:ascii="Arial" w:cs="Arial" w:eastAsia="Arial" w:hAnsi="Arial"/>
                  <w:sz w:val="16"/>
                  <w:szCs w:val="16"/>
                  <w:color w:val="0000FF"/>
                  <w:w w:val="97"/>
                </w:rPr>
                <w:t>Operating LLC, the guarantors named therein and Delaware Trust Company (as</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5180" w:type="dxa"/>
            <w:vAlign w:val="bottom"/>
            <w:tcBorders>
              <w:top w:val="single" w:sz="8" w:color="0000FF"/>
            </w:tcBorders>
            <w:gridSpan w:val="7"/>
          </w:tcPr>
          <w:p>
            <w:pPr>
              <w:spacing w:after="0"/>
              <w:rPr>
                <w:rFonts w:ascii="Arial" w:cs="Arial" w:eastAsia="Arial" w:hAnsi="Arial"/>
                <w:sz w:val="16"/>
                <w:szCs w:val="16"/>
                <w:u w:val="single" w:color="auto"/>
                <w:color w:val="0000FF"/>
              </w:rPr>
            </w:pPr>
            <w:hyperlink r:id="rId156">
              <w:r>
                <w:rPr>
                  <w:rFonts w:ascii="Arial" w:cs="Arial" w:eastAsia="Arial" w:hAnsi="Arial"/>
                  <w:sz w:val="16"/>
                  <w:szCs w:val="16"/>
                  <w:u w:val="single" w:color="auto"/>
                  <w:color w:val="0000FF"/>
                </w:rPr>
                <w:t>successor in interest to Law Debenture Trust Company of New York).</w:t>
              </w:r>
            </w:hyperlink>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000" w:type="dxa"/>
            <w:vAlign w:val="bottom"/>
          </w:tcPr>
          <w:p>
            <w:pPr>
              <w:spacing w:after="0"/>
              <w:rPr>
                <w:sz w:val="20"/>
                <w:szCs w:val="20"/>
                <w:color w:val="auto"/>
              </w:rPr>
            </w:pPr>
            <w:r>
              <w:rPr>
                <w:rFonts w:ascii="Arial" w:cs="Arial" w:eastAsia="Arial" w:hAnsi="Arial"/>
                <w:sz w:val="16"/>
                <w:szCs w:val="16"/>
                <w:color w:val="auto"/>
              </w:rPr>
              <w:t>4.2</w:t>
            </w:r>
          </w:p>
        </w:tc>
        <w:tc>
          <w:tcPr>
            <w:tcW w:w="5480" w:type="dxa"/>
            <w:vAlign w:val="bottom"/>
            <w:tcBorders>
              <w:bottom w:val="single" w:sz="8" w:color="0000FF"/>
            </w:tcBorders>
            <w:gridSpan w:val="11"/>
          </w:tcPr>
          <w:p>
            <w:pPr>
              <w:spacing w:after="0" w:line="165" w:lineRule="exact"/>
              <w:rPr>
                <w:rFonts w:ascii="Arial" w:cs="Arial" w:eastAsia="Arial" w:hAnsi="Arial"/>
                <w:sz w:val="16"/>
                <w:szCs w:val="16"/>
                <w:color w:val="0000FF"/>
                <w:w w:val="91"/>
              </w:rPr>
            </w:pPr>
            <w:hyperlink r:id="rId157">
              <w:r>
                <w:rPr>
                  <w:rFonts w:ascii="Arial" w:cs="Arial" w:eastAsia="Arial" w:hAnsi="Arial"/>
                  <w:sz w:val="16"/>
                  <w:szCs w:val="16"/>
                  <w:color w:val="0000FF"/>
                  <w:w w:val="91"/>
                </w:rPr>
                <w:t>Fifth Supplemental Indenture, dated as of January 6, 2020, among Clearway Energy</w:t>
              </w:r>
            </w:hyperlink>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5480" w:type="dxa"/>
            <w:vAlign w:val="bottom"/>
            <w:gridSpan w:val="11"/>
          </w:tcPr>
          <w:p>
            <w:pPr>
              <w:spacing w:after="0"/>
              <w:rPr>
                <w:rFonts w:ascii="Arial" w:cs="Arial" w:eastAsia="Arial" w:hAnsi="Arial"/>
                <w:sz w:val="16"/>
                <w:szCs w:val="16"/>
                <w:u w:val="single" w:color="auto"/>
                <w:color w:val="0000FF"/>
              </w:rPr>
            </w:pPr>
            <w:hyperlink r:id="rId157">
              <w:r>
                <w:rPr>
                  <w:rFonts w:ascii="Arial" w:cs="Arial" w:eastAsia="Arial" w:hAnsi="Arial"/>
                  <w:sz w:val="16"/>
                  <w:szCs w:val="16"/>
                  <w:u w:val="single" w:color="auto"/>
                  <w:color w:val="0000FF"/>
                </w:rPr>
                <w:t>Operating LLC, the guarantors named therein and Delaware Trust Company.</w:t>
              </w:r>
            </w:hyperlink>
          </w:p>
        </w:tc>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00" w:type="dxa"/>
            <w:vAlign w:val="bottom"/>
          </w:tcPr>
          <w:p>
            <w:pPr>
              <w:spacing w:after="0"/>
              <w:rPr>
                <w:sz w:val="20"/>
                <w:szCs w:val="20"/>
                <w:color w:val="auto"/>
              </w:rPr>
            </w:pPr>
            <w:r>
              <w:rPr>
                <w:rFonts w:ascii="Arial" w:cs="Arial" w:eastAsia="Arial" w:hAnsi="Arial"/>
                <w:sz w:val="16"/>
                <w:szCs w:val="16"/>
                <w:color w:val="auto"/>
              </w:rPr>
              <w:t>4.3</w:t>
            </w:r>
          </w:p>
        </w:tc>
        <w:tc>
          <w:tcPr>
            <w:tcW w:w="5720" w:type="dxa"/>
            <w:vAlign w:val="bottom"/>
            <w:gridSpan w:val="18"/>
          </w:tcPr>
          <w:p>
            <w:pPr>
              <w:spacing w:after="0"/>
              <w:rPr>
                <w:rFonts w:ascii="Arial" w:cs="Arial" w:eastAsia="Arial" w:hAnsi="Arial"/>
                <w:sz w:val="16"/>
                <w:szCs w:val="16"/>
                <w:color w:val="0000FF"/>
                <w:w w:val="95"/>
              </w:rPr>
            </w:pPr>
            <w:hyperlink r:id="rId158">
              <w:r>
                <w:rPr>
                  <w:rFonts w:ascii="Arial" w:cs="Arial" w:eastAsia="Arial" w:hAnsi="Arial"/>
                  <w:sz w:val="16"/>
                  <w:szCs w:val="16"/>
                  <w:color w:val="0000FF"/>
                  <w:w w:val="95"/>
                </w:rPr>
                <w:t>First Supplemental Indenture, dated as of January 6, 2020, among Clearway Energy</w:t>
              </w:r>
            </w:hyperlink>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5440" w:type="dxa"/>
            <w:vAlign w:val="bottom"/>
            <w:tcBorders>
              <w:top w:val="single" w:sz="8" w:color="0000FF"/>
            </w:tcBorders>
            <w:gridSpan w:val="9"/>
          </w:tcPr>
          <w:p>
            <w:pPr>
              <w:spacing w:after="0"/>
              <w:rPr>
                <w:rFonts w:ascii="Arial" w:cs="Arial" w:eastAsia="Arial" w:hAnsi="Arial"/>
                <w:sz w:val="16"/>
                <w:szCs w:val="16"/>
                <w:u w:val="single" w:color="auto"/>
                <w:color w:val="0000FF"/>
                <w:w w:val="99"/>
              </w:rPr>
            </w:pPr>
            <w:hyperlink r:id="rId158">
              <w:r>
                <w:rPr>
                  <w:rFonts w:ascii="Arial" w:cs="Arial" w:eastAsia="Arial" w:hAnsi="Arial"/>
                  <w:sz w:val="16"/>
                  <w:szCs w:val="16"/>
                  <w:u w:val="single" w:color="auto"/>
                  <w:color w:val="0000FF"/>
                  <w:w w:val="99"/>
                </w:rPr>
                <w:t>Operating LLC, the guarantors named therein and Delaware Trust Company.</w:t>
              </w:r>
            </w:hyperlink>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00" w:type="dxa"/>
            <w:vAlign w:val="bottom"/>
          </w:tcPr>
          <w:p>
            <w:pPr>
              <w:spacing w:after="0"/>
              <w:rPr>
                <w:sz w:val="20"/>
                <w:szCs w:val="20"/>
                <w:color w:val="auto"/>
              </w:rPr>
            </w:pPr>
            <w:r>
              <w:rPr>
                <w:rFonts w:ascii="Arial" w:cs="Arial" w:eastAsia="Arial" w:hAnsi="Arial"/>
                <w:sz w:val="16"/>
                <w:szCs w:val="16"/>
                <w:color w:val="auto"/>
              </w:rPr>
              <w:t>4.4</w:t>
            </w:r>
          </w:p>
        </w:tc>
        <w:tc>
          <w:tcPr>
            <w:tcW w:w="5660" w:type="dxa"/>
            <w:vAlign w:val="bottom"/>
            <w:tcBorders>
              <w:bottom w:val="single" w:sz="8" w:color="0000FF"/>
            </w:tcBorders>
            <w:gridSpan w:val="16"/>
          </w:tcPr>
          <w:p>
            <w:pPr>
              <w:spacing w:after="0"/>
              <w:rPr>
                <w:rFonts w:ascii="Arial" w:cs="Arial" w:eastAsia="Arial" w:hAnsi="Arial"/>
                <w:sz w:val="16"/>
                <w:szCs w:val="16"/>
                <w:color w:val="0000FF"/>
                <w:w w:val="90"/>
              </w:rPr>
            </w:pPr>
            <w:hyperlink r:id="rId159">
              <w:r>
                <w:rPr>
                  <w:rFonts w:ascii="Arial" w:cs="Arial" w:eastAsia="Arial" w:hAnsi="Arial"/>
                  <w:sz w:val="16"/>
                  <w:szCs w:val="16"/>
                  <w:color w:val="0000FF"/>
                  <w:w w:val="90"/>
                </w:rPr>
                <w:t>Tenth Supplemental Indenture, dated as of February 26, 2020, among Clearway Energy</w:t>
              </w:r>
            </w:hyperlink>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5660" w:type="dxa"/>
            <w:vAlign w:val="bottom"/>
            <w:gridSpan w:val="16"/>
          </w:tcPr>
          <w:p>
            <w:pPr>
              <w:spacing w:after="0" w:line="155" w:lineRule="exact"/>
              <w:rPr>
                <w:rFonts w:ascii="Arial" w:cs="Arial" w:eastAsia="Arial" w:hAnsi="Arial"/>
                <w:sz w:val="16"/>
                <w:szCs w:val="16"/>
                <w:color w:val="0000FF"/>
                <w:w w:val="99"/>
              </w:rPr>
            </w:pPr>
            <w:hyperlink r:id="rId159">
              <w:r>
                <w:rPr>
                  <w:rFonts w:ascii="Arial" w:cs="Arial" w:eastAsia="Arial" w:hAnsi="Arial"/>
                  <w:sz w:val="16"/>
                  <w:szCs w:val="16"/>
                  <w:color w:val="0000FF"/>
                  <w:w w:val="99"/>
                </w:rPr>
                <w:t>Operating LLC, the guarantors named therein and Delaware Trust Company (as</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5180" w:type="dxa"/>
            <w:vAlign w:val="bottom"/>
            <w:tcBorders>
              <w:top w:val="single" w:sz="8" w:color="0000FF"/>
            </w:tcBorders>
            <w:gridSpan w:val="7"/>
          </w:tcPr>
          <w:p>
            <w:pPr>
              <w:spacing w:after="0" w:line="155" w:lineRule="exact"/>
              <w:rPr>
                <w:rFonts w:ascii="Arial" w:cs="Arial" w:eastAsia="Arial" w:hAnsi="Arial"/>
                <w:sz w:val="16"/>
                <w:szCs w:val="16"/>
                <w:color w:val="0000FF"/>
              </w:rPr>
            </w:pPr>
            <w:hyperlink r:id="rId159">
              <w:r>
                <w:rPr>
                  <w:rFonts w:ascii="Arial" w:cs="Arial" w:eastAsia="Arial" w:hAnsi="Arial"/>
                  <w:sz w:val="16"/>
                  <w:szCs w:val="16"/>
                  <w:color w:val="0000FF"/>
                </w:rPr>
                <w:t>successor in interest to Law Debenture Trust Company of New York).</w:t>
              </w:r>
            </w:hyperlink>
          </w:p>
        </w:tc>
        <w:tc>
          <w:tcPr>
            <w:tcW w:w="10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6"/>
                <w:szCs w:val="16"/>
                <w:color w:val="auto"/>
              </w:rPr>
              <w:t>4.5</w:t>
            </w:r>
          </w:p>
        </w:tc>
        <w:tc>
          <w:tcPr>
            <w:tcW w:w="5720" w:type="dxa"/>
            <w:vAlign w:val="bottom"/>
            <w:gridSpan w:val="18"/>
          </w:tcPr>
          <w:p>
            <w:pPr>
              <w:spacing w:after="0"/>
              <w:rPr>
                <w:rFonts w:ascii="Arial" w:cs="Arial" w:eastAsia="Arial" w:hAnsi="Arial"/>
                <w:sz w:val="16"/>
                <w:szCs w:val="16"/>
                <w:color w:val="0000FF"/>
                <w:w w:val="92"/>
              </w:rPr>
            </w:pPr>
            <w:hyperlink r:id="rId160">
              <w:r>
                <w:rPr>
                  <w:rFonts w:ascii="Arial" w:cs="Arial" w:eastAsia="Arial" w:hAnsi="Arial"/>
                  <w:sz w:val="16"/>
                  <w:szCs w:val="16"/>
                  <w:color w:val="0000FF"/>
                  <w:w w:val="92"/>
                </w:rPr>
                <w:t>Sixth Supplemental Indenture, dated as of February 26, 2020, among Clearway Energy</w:t>
              </w:r>
            </w:hyperlink>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5640" w:type="dxa"/>
            <w:vAlign w:val="bottom"/>
            <w:tcBorders>
              <w:top w:val="single" w:sz="8" w:color="0000FF"/>
            </w:tcBorders>
            <w:gridSpan w:val="15"/>
          </w:tcPr>
          <w:p>
            <w:pPr>
              <w:spacing w:after="0"/>
              <w:rPr>
                <w:rFonts w:ascii="Arial" w:cs="Arial" w:eastAsia="Arial" w:hAnsi="Arial"/>
                <w:sz w:val="16"/>
                <w:szCs w:val="16"/>
                <w:u w:val="single" w:color="auto"/>
                <w:color w:val="0000FF"/>
              </w:rPr>
            </w:pPr>
            <w:hyperlink r:id="rId160">
              <w:r>
                <w:rPr>
                  <w:rFonts w:ascii="Arial" w:cs="Arial" w:eastAsia="Arial" w:hAnsi="Arial"/>
                  <w:sz w:val="16"/>
                  <w:szCs w:val="16"/>
                  <w:u w:val="single" w:color="auto"/>
                  <w:color w:val="0000FF"/>
                </w:rPr>
                <w:t>Operating LLC, the guarantors named therein and Delaware Trust Company.</w:t>
              </w:r>
            </w:hyperlink>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00" w:type="dxa"/>
            <w:vAlign w:val="bottom"/>
          </w:tcPr>
          <w:p>
            <w:pPr>
              <w:spacing w:after="0"/>
              <w:rPr>
                <w:sz w:val="20"/>
                <w:szCs w:val="20"/>
                <w:color w:val="auto"/>
              </w:rPr>
            </w:pPr>
            <w:r>
              <w:rPr>
                <w:rFonts w:ascii="Arial" w:cs="Arial" w:eastAsia="Arial" w:hAnsi="Arial"/>
                <w:sz w:val="16"/>
                <w:szCs w:val="16"/>
                <w:color w:val="auto"/>
              </w:rPr>
              <w:t>4.6</w:t>
            </w:r>
          </w:p>
        </w:tc>
        <w:tc>
          <w:tcPr>
            <w:tcW w:w="5280" w:type="dxa"/>
            <w:vAlign w:val="bottom"/>
            <w:tcBorders>
              <w:bottom w:val="single" w:sz="8" w:color="0000FF"/>
            </w:tcBorders>
            <w:gridSpan w:val="8"/>
          </w:tcPr>
          <w:p>
            <w:pPr>
              <w:spacing w:after="0"/>
              <w:rPr>
                <w:rFonts w:ascii="Arial" w:cs="Arial" w:eastAsia="Arial" w:hAnsi="Arial"/>
                <w:sz w:val="16"/>
                <w:szCs w:val="16"/>
                <w:color w:val="0000FF"/>
                <w:w w:val="90"/>
              </w:rPr>
            </w:pPr>
            <w:hyperlink r:id="rId161">
              <w:r>
                <w:rPr>
                  <w:rFonts w:ascii="Arial" w:cs="Arial" w:eastAsia="Arial" w:hAnsi="Arial"/>
                  <w:sz w:val="16"/>
                  <w:szCs w:val="16"/>
                  <w:color w:val="0000FF"/>
                  <w:w w:val="90"/>
                </w:rPr>
                <w:t>Second Supplemental Indenture, dated as of February 26, 2020, among Clearway</w:t>
              </w:r>
            </w:hyperlink>
          </w:p>
        </w:tc>
        <w:tc>
          <w:tcPr>
            <w:tcW w:w="180" w:type="dxa"/>
            <w:vAlign w:val="bottom"/>
            <w:gridSpan w:val="2"/>
          </w:tcPr>
          <w:p>
            <w:pPr>
              <w:spacing w:after="0"/>
              <w:rPr>
                <w:sz w:val="20"/>
                <w:szCs w:val="20"/>
                <w:color w:val="auto"/>
              </w:rPr>
            </w:pPr>
          </w:p>
        </w:tc>
        <w:tc>
          <w:tcPr>
            <w:tcW w:w="40" w:type="dxa"/>
            <w:vAlign w:val="bottom"/>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10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5720" w:type="dxa"/>
            <w:vAlign w:val="bottom"/>
            <w:gridSpan w:val="18"/>
          </w:tcPr>
          <w:p>
            <w:pPr>
              <w:spacing w:after="0"/>
              <w:rPr>
                <w:rFonts w:ascii="Arial" w:cs="Arial" w:eastAsia="Arial" w:hAnsi="Arial"/>
                <w:sz w:val="16"/>
                <w:szCs w:val="16"/>
                <w:u w:val="single" w:color="auto"/>
                <w:color w:val="0000FF"/>
                <w:w w:val="95"/>
              </w:rPr>
            </w:pPr>
            <w:hyperlink r:id="rId161">
              <w:r>
                <w:rPr>
                  <w:rFonts w:ascii="Arial" w:cs="Arial" w:eastAsia="Arial" w:hAnsi="Arial"/>
                  <w:sz w:val="16"/>
                  <w:szCs w:val="16"/>
                  <w:u w:val="single" w:color="auto"/>
                  <w:color w:val="0000FF"/>
                  <w:w w:val="95"/>
                </w:rPr>
                <w:t>Energy Operating LLC, the guarantors named therein and Delaware Trust Company.</w:t>
              </w:r>
            </w:hyperlink>
          </w:p>
        </w:tc>
        <w:tc>
          <w:tcPr>
            <w:tcW w:w="0" w:type="dxa"/>
            <w:vAlign w:val="bottom"/>
          </w:tcPr>
          <w:p>
            <w:pPr>
              <w:spacing w:after="0"/>
              <w:rPr>
                <w:sz w:val="1"/>
                <w:szCs w:val="1"/>
                <w:color w:val="auto"/>
              </w:rPr>
            </w:pPr>
          </w:p>
        </w:tc>
      </w:tr>
      <w:tr>
        <w:trPr>
          <w:trHeight w:val="287"/>
        </w:trPr>
        <w:tc>
          <w:tcPr>
            <w:tcW w:w="1000" w:type="dxa"/>
            <w:vAlign w:val="bottom"/>
          </w:tcPr>
          <w:p>
            <w:pPr>
              <w:spacing w:after="0"/>
              <w:rPr>
                <w:sz w:val="20"/>
                <w:szCs w:val="20"/>
                <w:color w:val="auto"/>
              </w:rPr>
            </w:pPr>
            <w:r>
              <w:rPr>
                <w:rFonts w:ascii="Arial" w:cs="Arial" w:eastAsia="Arial" w:hAnsi="Arial"/>
                <w:sz w:val="16"/>
                <w:szCs w:val="16"/>
                <w:color w:val="auto"/>
              </w:rPr>
              <w:t>10.1†</w:t>
            </w:r>
          </w:p>
        </w:tc>
        <w:tc>
          <w:tcPr>
            <w:tcW w:w="5720" w:type="dxa"/>
            <w:vAlign w:val="bottom"/>
            <w:gridSpan w:val="18"/>
          </w:tcPr>
          <w:p>
            <w:pPr>
              <w:spacing w:after="0"/>
              <w:rPr>
                <w:rFonts w:ascii="Arial" w:cs="Arial" w:eastAsia="Arial" w:hAnsi="Arial"/>
                <w:sz w:val="16"/>
                <w:szCs w:val="16"/>
                <w:color w:val="0000FF"/>
              </w:rPr>
            </w:pPr>
            <w:hyperlink r:id="rId162">
              <w:r>
                <w:rPr>
                  <w:rFonts w:ascii="Arial" w:cs="Arial" w:eastAsia="Arial" w:hAnsi="Arial"/>
                  <w:sz w:val="16"/>
                  <w:szCs w:val="16"/>
                  <w:u w:val="single" w:color="auto"/>
                  <w:color w:val="0000FF"/>
                </w:rPr>
                <w:t>Clearway Energy, Inc. Involuntary Severance Plan</w:t>
              </w:r>
              <w:r>
                <w:rPr>
                  <w:rFonts w:ascii="Arial" w:cs="Arial" w:eastAsia="Arial" w:hAnsi="Arial"/>
                  <w:sz w:val="16"/>
                  <w:szCs w:val="16"/>
                  <w:color w:val="0000FF"/>
                </w:rPr>
                <w:t>.</w:t>
              </w:r>
            </w:hyperlink>
          </w:p>
        </w:tc>
        <w:tc>
          <w:tcPr>
            <w:tcW w:w="0" w:type="dxa"/>
            <w:vAlign w:val="bottom"/>
          </w:tcPr>
          <w:p>
            <w:pPr>
              <w:spacing w:after="0"/>
              <w:rPr>
                <w:sz w:val="1"/>
                <w:szCs w:val="1"/>
                <w:color w:val="auto"/>
              </w:rPr>
            </w:pPr>
          </w:p>
        </w:tc>
      </w:tr>
      <w:tr>
        <w:trPr>
          <w:trHeight w:val="662"/>
        </w:trPr>
        <w:tc>
          <w:tcPr>
            <w:tcW w:w="1000" w:type="dxa"/>
            <w:vAlign w:val="bottom"/>
          </w:tcPr>
          <w:p>
            <w:pPr>
              <w:spacing w:after="0"/>
              <w:rPr>
                <w:sz w:val="20"/>
                <w:szCs w:val="20"/>
                <w:color w:val="auto"/>
              </w:rPr>
            </w:pPr>
            <w:r>
              <w:rPr>
                <w:rFonts w:ascii="Arial" w:cs="Arial" w:eastAsia="Arial" w:hAnsi="Arial"/>
                <w:sz w:val="16"/>
                <w:szCs w:val="16"/>
                <w:color w:val="auto"/>
              </w:rPr>
              <w:t>10.2†</w:t>
            </w:r>
          </w:p>
        </w:tc>
        <w:tc>
          <w:tcPr>
            <w:tcW w:w="5720" w:type="dxa"/>
            <w:vAlign w:val="bottom"/>
            <w:gridSpan w:val="18"/>
          </w:tcPr>
          <w:p>
            <w:pPr>
              <w:spacing w:after="0"/>
              <w:rPr>
                <w:rFonts w:ascii="Arial" w:cs="Arial" w:eastAsia="Arial" w:hAnsi="Arial"/>
                <w:sz w:val="16"/>
                <w:szCs w:val="16"/>
                <w:color w:val="0000FF"/>
                <w:w w:val="98"/>
              </w:rPr>
            </w:pPr>
            <w:hyperlink r:id="rId163">
              <w:r>
                <w:rPr>
                  <w:rFonts w:ascii="Arial" w:cs="Arial" w:eastAsia="Arial" w:hAnsi="Arial"/>
                  <w:sz w:val="16"/>
                  <w:szCs w:val="16"/>
                  <w:u w:val="single" w:color="auto"/>
                  <w:color w:val="0000FF"/>
                  <w:w w:val="98"/>
                </w:rPr>
                <w:t>Clearway Energy, Inc. Executive Change-in-Control and General Severance Plan</w:t>
              </w:r>
              <w:r>
                <w:rPr>
                  <w:rFonts w:ascii="Arial" w:cs="Arial" w:eastAsia="Arial" w:hAnsi="Arial"/>
                  <w:sz w:val="16"/>
                  <w:szCs w:val="16"/>
                  <w:color w:val="0000FF"/>
                  <w:w w:val="98"/>
                </w:rPr>
                <w:t>.</w:t>
              </w:r>
            </w:hyperlink>
          </w:p>
        </w:tc>
        <w:tc>
          <w:tcPr>
            <w:tcW w:w="0" w:type="dxa"/>
            <w:vAlign w:val="bottom"/>
          </w:tcPr>
          <w:p>
            <w:pPr>
              <w:spacing w:after="0"/>
              <w:rPr>
                <w:sz w:val="1"/>
                <w:szCs w:val="1"/>
                <w:color w:val="auto"/>
              </w:rPr>
            </w:pPr>
          </w:p>
        </w:tc>
      </w:tr>
      <w:tr>
        <w:trPr>
          <w:trHeight w:val="613"/>
        </w:trPr>
        <w:tc>
          <w:tcPr>
            <w:tcW w:w="1000" w:type="dxa"/>
            <w:vAlign w:val="bottom"/>
          </w:tcPr>
          <w:p>
            <w:pPr>
              <w:spacing w:after="0"/>
              <w:rPr>
                <w:sz w:val="20"/>
                <w:szCs w:val="20"/>
                <w:color w:val="auto"/>
              </w:rPr>
            </w:pPr>
            <w:r>
              <w:rPr>
                <w:rFonts w:ascii="Arial" w:cs="Arial" w:eastAsia="Arial" w:hAnsi="Arial"/>
                <w:sz w:val="16"/>
                <w:szCs w:val="16"/>
                <w:color w:val="auto"/>
              </w:rPr>
              <w:t>10.3†</w:t>
            </w:r>
          </w:p>
        </w:tc>
        <w:tc>
          <w:tcPr>
            <w:tcW w:w="5720" w:type="dxa"/>
            <w:vAlign w:val="bottom"/>
            <w:gridSpan w:val="18"/>
          </w:tcPr>
          <w:p>
            <w:pPr>
              <w:spacing w:after="0"/>
              <w:rPr>
                <w:rFonts w:ascii="Arial" w:cs="Arial" w:eastAsia="Arial" w:hAnsi="Arial"/>
                <w:sz w:val="16"/>
                <w:szCs w:val="16"/>
                <w:color w:val="0000FF"/>
                <w:w w:val="95"/>
              </w:rPr>
            </w:pPr>
            <w:hyperlink r:id="rId164">
              <w:r>
                <w:rPr>
                  <w:rFonts w:ascii="Arial" w:cs="Arial" w:eastAsia="Arial" w:hAnsi="Arial"/>
                  <w:sz w:val="16"/>
                  <w:szCs w:val="16"/>
                  <w:color w:val="0000FF"/>
                  <w:w w:val="95"/>
                </w:rPr>
                <w:t>Clearway Energy, Inc. Key Management Change-in-Control and General Severance</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5460" w:type="dxa"/>
            <w:vAlign w:val="bottom"/>
            <w:tcBorders>
              <w:top w:val="single" w:sz="8" w:color="0000FF"/>
            </w:tcBorders>
            <w:gridSpan w:val="10"/>
          </w:tcPr>
          <w:p>
            <w:pPr>
              <w:spacing w:after="0" w:line="155" w:lineRule="exact"/>
              <w:rPr>
                <w:rFonts w:ascii="Arial" w:cs="Arial" w:eastAsia="Arial" w:hAnsi="Arial"/>
                <w:sz w:val="16"/>
                <w:szCs w:val="16"/>
                <w:color w:val="0000FF"/>
              </w:rPr>
            </w:pPr>
            <w:hyperlink r:id="rId164">
              <w:r>
                <w:rPr>
                  <w:rFonts w:ascii="Arial" w:cs="Arial" w:eastAsia="Arial" w:hAnsi="Arial"/>
                  <w:sz w:val="16"/>
                  <w:szCs w:val="16"/>
                  <w:color w:val="0000FF"/>
                </w:rPr>
                <w:t>Plan</w:t>
              </w:r>
              <w:r>
                <w:rPr>
                  <w:rFonts w:ascii="Arial" w:cs="Arial" w:eastAsia="Arial" w:hAnsi="Arial"/>
                  <w:sz w:val="16"/>
                  <w:szCs w:val="16"/>
                  <w:color w:val="000000"/>
                </w:rPr>
                <w:t>.</w:t>
              </w:r>
            </w:hyperlink>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spacing w:after="0"/>
              <w:rPr>
                <w:sz w:val="20"/>
                <w:szCs w:val="20"/>
                <w:color w:val="auto"/>
              </w:rPr>
            </w:pPr>
            <w:r>
              <w:rPr>
                <w:rFonts w:ascii="Arial" w:cs="Arial" w:eastAsia="Arial" w:hAnsi="Arial"/>
                <w:sz w:val="16"/>
                <w:szCs w:val="16"/>
                <w:color w:val="auto"/>
              </w:rPr>
              <w:t>10.4*^</w:t>
            </w:r>
          </w:p>
        </w:tc>
        <w:tc>
          <w:tcPr>
            <w:tcW w:w="5720" w:type="dxa"/>
            <w:vAlign w:val="bottom"/>
            <w:gridSpan w:val="18"/>
          </w:tcPr>
          <w:p>
            <w:pPr>
              <w:spacing w:after="0"/>
              <w:rPr>
                <w:rFonts w:ascii="Arial" w:cs="Arial" w:eastAsia="Arial" w:hAnsi="Arial"/>
                <w:sz w:val="16"/>
                <w:szCs w:val="16"/>
                <w:color w:val="0000FF"/>
                <w:w w:val="94"/>
              </w:rPr>
            </w:pPr>
            <w:hyperlink r:id="rId165">
              <w:r>
                <w:rPr>
                  <w:rFonts w:ascii="Arial" w:cs="Arial" w:eastAsia="Arial" w:hAnsi="Arial"/>
                  <w:sz w:val="16"/>
                  <w:szCs w:val="16"/>
                  <w:color w:val="0000FF"/>
                  <w:w w:val="94"/>
                </w:rPr>
                <w:t>Purchase and Sale Agreement, dated as of April 17, 2020, by and between Clearway</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3"/>
          </w:tcPr>
          <w:p>
            <w:pPr>
              <w:spacing w:after="0" w:line="155" w:lineRule="exact"/>
              <w:rPr>
                <w:rFonts w:ascii="Arial" w:cs="Arial" w:eastAsia="Arial" w:hAnsi="Arial"/>
                <w:sz w:val="16"/>
                <w:szCs w:val="16"/>
                <w:color w:val="0000FF"/>
                <w:w w:val="93"/>
              </w:rPr>
            </w:pPr>
            <w:hyperlink r:id="rId165">
              <w:r>
                <w:rPr>
                  <w:rFonts w:ascii="Arial" w:cs="Arial" w:eastAsia="Arial" w:hAnsi="Arial"/>
                  <w:sz w:val="16"/>
                  <w:szCs w:val="16"/>
                  <w:color w:val="0000FF"/>
                  <w:w w:val="93"/>
                </w:rPr>
                <w:t>Energy Operating LLC and Clearway Renew LLC.</w:t>
              </w:r>
            </w:hyperlink>
          </w:p>
        </w:tc>
        <w:tc>
          <w:tcPr>
            <w:tcW w:w="2180" w:type="dxa"/>
            <w:vAlign w:val="bottom"/>
            <w:tcBorders>
              <w:top w:val="single" w:sz="8" w:color="0000FF"/>
            </w:tcBorders>
            <w:gridSpan w:val="9"/>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6"/>
                <w:szCs w:val="16"/>
                <w:color w:val="auto"/>
              </w:rPr>
              <w:t>10.5*^</w:t>
            </w:r>
          </w:p>
        </w:tc>
        <w:tc>
          <w:tcPr>
            <w:tcW w:w="5720" w:type="dxa"/>
            <w:vAlign w:val="bottom"/>
            <w:gridSpan w:val="18"/>
          </w:tcPr>
          <w:p>
            <w:pPr>
              <w:spacing w:after="0"/>
              <w:rPr>
                <w:rFonts w:ascii="Arial" w:cs="Arial" w:eastAsia="Arial" w:hAnsi="Arial"/>
                <w:sz w:val="16"/>
                <w:szCs w:val="16"/>
                <w:color w:val="0000FF"/>
                <w:w w:val="92"/>
              </w:rPr>
            </w:pPr>
            <w:hyperlink r:id="rId166">
              <w:r>
                <w:rPr>
                  <w:rFonts w:ascii="Arial" w:cs="Arial" w:eastAsia="Arial" w:hAnsi="Arial"/>
                  <w:sz w:val="16"/>
                  <w:szCs w:val="16"/>
                  <w:color w:val="0000FF"/>
                  <w:w w:val="92"/>
                </w:rPr>
                <w:t>Membership Interest Purchase Agreement, dated as of April 17, 2020, by and between</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4"/>
          </w:tcPr>
          <w:p>
            <w:pPr>
              <w:spacing w:after="0" w:line="155" w:lineRule="exact"/>
              <w:rPr>
                <w:rFonts w:ascii="Arial" w:cs="Arial" w:eastAsia="Arial" w:hAnsi="Arial"/>
                <w:sz w:val="16"/>
                <w:szCs w:val="16"/>
                <w:color w:val="0000FF"/>
                <w:w w:val="93"/>
              </w:rPr>
            </w:pPr>
            <w:hyperlink r:id="rId166">
              <w:r>
                <w:rPr>
                  <w:rFonts w:ascii="Arial" w:cs="Arial" w:eastAsia="Arial" w:hAnsi="Arial"/>
                  <w:sz w:val="16"/>
                  <w:szCs w:val="16"/>
                  <w:color w:val="0000FF"/>
                  <w:w w:val="93"/>
                </w:rPr>
                <w:t>Clearway Energy Operating LLC and SP Wind Holdings, LLC.</w:t>
              </w:r>
            </w:hyperlink>
          </w:p>
        </w:tc>
        <w:tc>
          <w:tcPr>
            <w:tcW w:w="1480" w:type="dxa"/>
            <w:vAlign w:val="bottom"/>
            <w:tcBorders>
              <w:top w:val="single" w:sz="8" w:color="0000FF"/>
            </w:tcBorders>
            <w:gridSpan w:val="10"/>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00" w:type="dxa"/>
            <w:vAlign w:val="bottom"/>
          </w:tcPr>
          <w:p>
            <w:pPr>
              <w:spacing w:after="0"/>
              <w:rPr>
                <w:sz w:val="20"/>
                <w:szCs w:val="20"/>
                <w:color w:val="auto"/>
              </w:rPr>
            </w:pPr>
            <w:r>
              <w:rPr>
                <w:rFonts w:ascii="Arial" w:cs="Arial" w:eastAsia="Arial" w:hAnsi="Arial"/>
                <w:sz w:val="16"/>
                <w:szCs w:val="16"/>
                <w:color w:val="auto"/>
              </w:rPr>
              <w:t>10.6*^</w:t>
            </w:r>
          </w:p>
        </w:tc>
        <w:tc>
          <w:tcPr>
            <w:tcW w:w="5600" w:type="dxa"/>
            <w:vAlign w:val="bottom"/>
            <w:tcBorders>
              <w:bottom w:val="single" w:sz="8" w:color="0000FF"/>
            </w:tcBorders>
            <w:gridSpan w:val="14"/>
          </w:tcPr>
          <w:p>
            <w:pPr>
              <w:spacing w:after="0"/>
              <w:rPr>
                <w:rFonts w:ascii="Arial" w:cs="Arial" w:eastAsia="Arial" w:hAnsi="Arial"/>
                <w:sz w:val="16"/>
                <w:szCs w:val="16"/>
                <w:color w:val="0000FF"/>
                <w:w w:val="90"/>
              </w:rPr>
            </w:pPr>
            <w:hyperlink r:id="rId167">
              <w:r>
                <w:rPr>
                  <w:rFonts w:ascii="Arial" w:cs="Arial" w:eastAsia="Arial" w:hAnsi="Arial"/>
                  <w:sz w:val="16"/>
                  <w:szCs w:val="16"/>
                  <w:color w:val="0000FF"/>
                  <w:w w:val="90"/>
                </w:rPr>
                <w:t>Membership Interest Purchase Agreement, dated as of April 17, 2020, by and between</w:t>
              </w:r>
            </w:hyperlink>
          </w:p>
        </w:tc>
        <w:tc>
          <w:tcPr>
            <w:tcW w:w="10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5600" w:type="dxa"/>
            <w:vAlign w:val="bottom"/>
            <w:gridSpan w:val="14"/>
          </w:tcPr>
          <w:p>
            <w:pPr>
              <w:spacing w:after="0" w:line="155" w:lineRule="exact"/>
              <w:rPr>
                <w:rFonts w:ascii="Arial" w:cs="Arial" w:eastAsia="Arial" w:hAnsi="Arial"/>
                <w:sz w:val="16"/>
                <w:szCs w:val="16"/>
                <w:color w:val="0000FF"/>
              </w:rPr>
            </w:pPr>
            <w:hyperlink r:id="rId167">
              <w:r>
                <w:rPr>
                  <w:rFonts w:ascii="Arial" w:cs="Arial" w:eastAsia="Arial" w:hAnsi="Arial"/>
                  <w:sz w:val="16"/>
                  <w:szCs w:val="16"/>
                  <w:color w:val="0000FF"/>
                </w:rPr>
                <w:t>CWSP Wildorado Elbow Holding LLC and Wind TE Holdco LLC.</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13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6"/>
                <w:szCs w:val="16"/>
                <w:color w:val="auto"/>
              </w:rPr>
              <w:t>10.7*^</w:t>
            </w:r>
          </w:p>
        </w:tc>
        <w:tc>
          <w:tcPr>
            <w:tcW w:w="5720" w:type="dxa"/>
            <w:vAlign w:val="bottom"/>
            <w:gridSpan w:val="18"/>
          </w:tcPr>
          <w:p>
            <w:pPr>
              <w:spacing w:after="0"/>
              <w:rPr>
                <w:rFonts w:ascii="Arial" w:cs="Arial" w:eastAsia="Arial" w:hAnsi="Arial"/>
                <w:sz w:val="16"/>
                <w:szCs w:val="16"/>
                <w:color w:val="0000FF"/>
                <w:w w:val="93"/>
              </w:rPr>
            </w:pPr>
            <w:hyperlink r:id="rId168">
              <w:r>
                <w:rPr>
                  <w:rFonts w:ascii="Arial" w:cs="Arial" w:eastAsia="Arial" w:hAnsi="Arial"/>
                  <w:sz w:val="16"/>
                  <w:szCs w:val="16"/>
                  <w:color w:val="0000FF"/>
                  <w:w w:val="93"/>
                </w:rPr>
                <w:t>Limited Liability Company Agreement of Pinnacle Repowering Partnership LLC, dated</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5700" w:type="dxa"/>
            <w:vAlign w:val="bottom"/>
            <w:tcBorders>
              <w:top w:val="single" w:sz="8" w:color="0000FF"/>
            </w:tcBorders>
            <w:gridSpan w:val="17"/>
          </w:tcPr>
          <w:p>
            <w:pPr>
              <w:spacing w:after="0" w:line="155" w:lineRule="exact"/>
              <w:rPr>
                <w:rFonts w:ascii="Arial" w:cs="Arial" w:eastAsia="Arial" w:hAnsi="Arial"/>
                <w:sz w:val="16"/>
                <w:szCs w:val="16"/>
                <w:color w:val="0000FF"/>
              </w:rPr>
            </w:pPr>
            <w:hyperlink r:id="rId168">
              <w:r>
                <w:rPr>
                  <w:rFonts w:ascii="Arial" w:cs="Arial" w:eastAsia="Arial" w:hAnsi="Arial"/>
                  <w:sz w:val="16"/>
                  <w:szCs w:val="16"/>
                  <w:color w:val="0000FF"/>
                </w:rPr>
                <w:t>as of April 17, 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6"/>
                <w:szCs w:val="16"/>
                <w:color w:val="auto"/>
              </w:rPr>
              <w:t>31.1</w:t>
            </w:r>
          </w:p>
        </w:tc>
        <w:tc>
          <w:tcPr>
            <w:tcW w:w="1340" w:type="dxa"/>
            <w:vAlign w:val="bottom"/>
            <w:gridSpan w:val="2"/>
            <w:shd w:val="clear" w:color="auto" w:fill="0000FF"/>
          </w:tcPr>
          <w:p>
            <w:pPr>
              <w:spacing w:after="0" w:line="20" w:lineRule="exact"/>
              <w:rPr>
                <w:sz w:val="1"/>
                <w:szCs w:val="1"/>
                <w:color w:val="auto"/>
              </w:rPr>
            </w:pPr>
          </w:p>
        </w:tc>
        <w:tc>
          <w:tcPr>
            <w:tcW w:w="43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000" w:type="dxa"/>
            <w:vAlign w:val="bottom"/>
            <w:vMerge w:val="continue"/>
          </w:tcPr>
          <w:p>
            <w:pPr>
              <w:spacing w:after="0"/>
              <w:rPr>
                <w:sz w:val="24"/>
                <w:szCs w:val="24"/>
                <w:color w:val="auto"/>
              </w:rPr>
            </w:pPr>
          </w:p>
        </w:tc>
        <w:tc>
          <w:tcPr>
            <w:tcW w:w="5720" w:type="dxa"/>
            <w:vAlign w:val="bottom"/>
            <w:gridSpan w:val="18"/>
          </w:tcPr>
          <w:p>
            <w:pPr>
              <w:spacing w:after="0"/>
              <w:rPr>
                <w:rFonts w:ascii="Arial" w:cs="Arial" w:eastAsia="Arial" w:hAnsi="Arial"/>
                <w:sz w:val="16"/>
                <w:szCs w:val="16"/>
                <w:u w:val="single" w:color="auto"/>
                <w:color w:val="0000FF"/>
              </w:rPr>
            </w:pPr>
            <w:hyperlink w:anchor="page70">
              <w:r>
                <w:rPr>
                  <w:rFonts w:ascii="Arial" w:cs="Arial" w:eastAsia="Arial" w:hAnsi="Arial"/>
                  <w:sz w:val="16"/>
                  <w:szCs w:val="16"/>
                  <w:u w:val="single" w:color="auto"/>
                  <w:color w:val="0000FF"/>
                </w:rPr>
                <w:t>Rule 13a-14(a)/15d-14(a) certification of Christopher S. Sotos.</w:t>
              </w:r>
            </w:hyperlink>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Arial" w:cs="Arial" w:eastAsia="Arial" w:hAnsi="Arial"/>
                <w:sz w:val="16"/>
                <w:szCs w:val="16"/>
                <w:color w:val="auto"/>
              </w:rPr>
              <w:t>31.2</w:t>
            </w:r>
          </w:p>
        </w:tc>
        <w:tc>
          <w:tcPr>
            <w:tcW w:w="5720" w:type="dxa"/>
            <w:vAlign w:val="bottom"/>
            <w:gridSpan w:val="18"/>
          </w:tcPr>
          <w:p>
            <w:pPr>
              <w:spacing w:after="0"/>
              <w:rPr>
                <w:rFonts w:ascii="Arial" w:cs="Arial" w:eastAsia="Arial" w:hAnsi="Arial"/>
                <w:sz w:val="16"/>
                <w:szCs w:val="16"/>
                <w:u w:val="single" w:color="auto"/>
                <w:color w:val="0000FF"/>
              </w:rPr>
            </w:pPr>
            <w:hyperlink w:anchor="page71">
              <w:r>
                <w:rPr>
                  <w:rFonts w:ascii="Arial" w:cs="Arial" w:eastAsia="Arial" w:hAnsi="Arial"/>
                  <w:sz w:val="16"/>
                  <w:szCs w:val="16"/>
                  <w:u w:val="single" w:color="auto"/>
                  <w:color w:val="0000FF"/>
                </w:rPr>
                <w:t>Rule 13a-14(a)/15d-14(a) certification of Chad Plotkin.</w:t>
              </w:r>
            </w:hyperlink>
          </w:p>
        </w:tc>
        <w:tc>
          <w:tcPr>
            <w:tcW w:w="0" w:type="dxa"/>
            <w:vAlign w:val="bottom"/>
          </w:tcPr>
          <w:p>
            <w:pPr>
              <w:spacing w:after="0"/>
              <w:rPr>
                <w:sz w:val="1"/>
                <w:szCs w:val="1"/>
                <w:color w:val="auto"/>
              </w:rPr>
            </w:pPr>
          </w:p>
        </w:tc>
      </w:tr>
      <w:tr>
        <w:trPr>
          <w:trHeight w:val="256"/>
        </w:trPr>
        <w:tc>
          <w:tcPr>
            <w:tcW w:w="1000" w:type="dxa"/>
            <w:vAlign w:val="bottom"/>
          </w:tcPr>
          <w:p>
            <w:pPr>
              <w:spacing w:after="0"/>
              <w:rPr>
                <w:sz w:val="20"/>
                <w:szCs w:val="20"/>
                <w:color w:val="auto"/>
              </w:rPr>
            </w:pPr>
            <w:r>
              <w:rPr>
                <w:rFonts w:ascii="Arial" w:cs="Arial" w:eastAsia="Arial" w:hAnsi="Arial"/>
                <w:sz w:val="16"/>
                <w:szCs w:val="16"/>
                <w:color w:val="auto"/>
              </w:rPr>
              <w:t>31.3</w:t>
            </w:r>
          </w:p>
        </w:tc>
        <w:tc>
          <w:tcPr>
            <w:tcW w:w="5720" w:type="dxa"/>
            <w:vAlign w:val="bottom"/>
            <w:gridSpan w:val="18"/>
          </w:tcPr>
          <w:p>
            <w:pPr>
              <w:spacing w:after="0"/>
              <w:rPr>
                <w:rFonts w:ascii="Arial" w:cs="Arial" w:eastAsia="Arial" w:hAnsi="Arial"/>
                <w:sz w:val="16"/>
                <w:szCs w:val="16"/>
                <w:u w:val="single" w:color="auto"/>
                <w:color w:val="0000FF"/>
              </w:rPr>
            </w:pPr>
            <w:hyperlink w:anchor="page72">
              <w:r>
                <w:rPr>
                  <w:rFonts w:ascii="Arial" w:cs="Arial" w:eastAsia="Arial" w:hAnsi="Arial"/>
                  <w:sz w:val="16"/>
                  <w:szCs w:val="16"/>
                  <w:u w:val="single" w:color="auto"/>
                  <w:color w:val="0000FF"/>
                </w:rPr>
                <w:t>Rule 13a-14(a)/15d-14(a) certification of Mary-Lee Stillwell.</w:t>
              </w:r>
            </w:hyperlink>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040" w:hanging="994"/>
        <w:spacing w:after="0"/>
        <w:tabs>
          <w:tab w:leader="none" w:pos="1040" w:val="left"/>
        </w:tabs>
        <w:numPr>
          <w:ilvl w:val="0"/>
          <w:numId w:val="32"/>
        </w:numPr>
        <w:rPr>
          <w:rFonts w:ascii="Arial" w:cs="Arial" w:eastAsia="Arial" w:hAnsi="Arial"/>
          <w:sz w:val="16"/>
          <w:szCs w:val="16"/>
          <w:u w:val="single" w:color="auto"/>
          <w:color w:val="0000FF"/>
        </w:rPr>
      </w:pPr>
      <w:hyperlink w:anchor="page73">
        <w:r>
          <w:rPr>
            <w:rFonts w:ascii="Arial" w:cs="Arial" w:eastAsia="Arial" w:hAnsi="Arial"/>
            <w:sz w:val="16"/>
            <w:szCs w:val="16"/>
            <w:u w:val="single" w:color="auto"/>
            <w:color w:val="0000FF"/>
          </w:rPr>
          <w:t>Section 1350 Certification.</w:t>
        </w:r>
      </w:hyperlink>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40" w:type="dxa"/>
            <w:vAlign w:val="bottom"/>
          </w:tcPr>
          <w:p>
            <w:pPr>
              <w:ind w:left="20"/>
              <w:spacing w:after="0"/>
              <w:rPr>
                <w:sz w:val="20"/>
                <w:szCs w:val="20"/>
                <w:color w:val="auto"/>
              </w:rPr>
            </w:pPr>
            <w:r>
              <w:rPr>
                <w:rFonts w:ascii="Arial" w:cs="Arial" w:eastAsia="Arial" w:hAnsi="Arial"/>
                <w:sz w:val="16"/>
                <w:szCs w:val="16"/>
                <w:color w:val="auto"/>
              </w:rPr>
              <w:t>INS</w:t>
            </w:r>
          </w:p>
        </w:tc>
        <w:tc>
          <w:tcPr>
            <w:tcW w:w="4000" w:type="dxa"/>
            <w:vAlign w:val="bottom"/>
          </w:tcPr>
          <w:p>
            <w:pPr>
              <w:ind w:left="200"/>
              <w:spacing w:after="0"/>
              <w:rPr>
                <w:sz w:val="20"/>
                <w:szCs w:val="20"/>
                <w:color w:val="auto"/>
              </w:rPr>
            </w:pPr>
            <w:r>
              <w:rPr>
                <w:rFonts w:ascii="Arial" w:cs="Arial" w:eastAsia="Arial" w:hAnsi="Arial"/>
                <w:sz w:val="16"/>
                <w:szCs w:val="16"/>
                <w:color w:val="auto"/>
              </w:rPr>
              <w:t>Inline XBRL Instance Document.</w:t>
            </w:r>
          </w:p>
        </w:tc>
      </w:tr>
      <w:tr>
        <w:trPr>
          <w:trHeight w:val="257"/>
        </w:trPr>
        <w:tc>
          <w:tcPr>
            <w:tcW w:w="800" w:type="dxa"/>
            <w:vAlign w:val="bottom"/>
            <w:gridSpan w:val="2"/>
          </w:tcPr>
          <w:p>
            <w:pPr>
              <w:spacing w:after="0"/>
              <w:rPr>
                <w:sz w:val="20"/>
                <w:szCs w:val="20"/>
                <w:color w:val="auto"/>
              </w:rPr>
            </w:pPr>
            <w:r>
              <w:rPr>
                <w:rFonts w:ascii="Arial" w:cs="Arial" w:eastAsia="Arial" w:hAnsi="Arial"/>
                <w:sz w:val="16"/>
                <w:szCs w:val="16"/>
                <w:color w:val="auto"/>
              </w:rPr>
              <w:t>101 SCH</w:t>
            </w:r>
          </w:p>
        </w:tc>
        <w:tc>
          <w:tcPr>
            <w:tcW w:w="4000" w:type="dxa"/>
            <w:vAlign w:val="bottom"/>
          </w:tcPr>
          <w:p>
            <w:pPr>
              <w:ind w:left="200"/>
              <w:spacing w:after="0"/>
              <w:rPr>
                <w:sz w:val="20"/>
                <w:szCs w:val="20"/>
                <w:color w:val="auto"/>
              </w:rPr>
            </w:pPr>
            <w:r>
              <w:rPr>
                <w:rFonts w:ascii="Arial" w:cs="Arial" w:eastAsia="Arial" w:hAnsi="Arial"/>
                <w:sz w:val="16"/>
                <w:szCs w:val="16"/>
                <w:color w:val="auto"/>
              </w:rPr>
              <w:t>Inline XBRL Taxonomy Extension Schema.</w:t>
            </w:r>
          </w:p>
        </w:tc>
      </w:tr>
      <w:tr>
        <w:trPr>
          <w:trHeight w:val="25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40" w:type="dxa"/>
            <w:vAlign w:val="bottom"/>
          </w:tcPr>
          <w:p>
            <w:pPr>
              <w:ind w:left="20"/>
              <w:spacing w:after="0"/>
              <w:rPr>
                <w:sz w:val="20"/>
                <w:szCs w:val="20"/>
                <w:color w:val="auto"/>
              </w:rPr>
            </w:pPr>
            <w:r>
              <w:rPr>
                <w:rFonts w:ascii="Arial" w:cs="Arial" w:eastAsia="Arial" w:hAnsi="Arial"/>
                <w:sz w:val="16"/>
                <w:szCs w:val="16"/>
                <w:color w:val="auto"/>
              </w:rPr>
              <w:t>CAL</w:t>
            </w:r>
          </w:p>
        </w:tc>
        <w:tc>
          <w:tcPr>
            <w:tcW w:w="4000" w:type="dxa"/>
            <w:vAlign w:val="bottom"/>
          </w:tcPr>
          <w:p>
            <w:pPr>
              <w:ind w:left="200"/>
              <w:spacing w:after="0"/>
              <w:rPr>
                <w:sz w:val="20"/>
                <w:szCs w:val="20"/>
                <w:color w:val="auto"/>
              </w:rPr>
            </w:pPr>
            <w:r>
              <w:rPr>
                <w:rFonts w:ascii="Arial" w:cs="Arial" w:eastAsia="Arial" w:hAnsi="Arial"/>
                <w:sz w:val="16"/>
                <w:szCs w:val="16"/>
                <w:color w:val="auto"/>
                <w:w w:val="95"/>
              </w:rPr>
              <w:t>Inline XBRL Taxonomy Extension Calculation Linkbase.</w:t>
            </w:r>
          </w:p>
        </w:tc>
      </w:tr>
      <w:tr>
        <w:trPr>
          <w:trHeight w:val="257"/>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40" w:type="dxa"/>
            <w:vAlign w:val="bottom"/>
          </w:tcPr>
          <w:p>
            <w:pPr>
              <w:ind w:left="20"/>
              <w:spacing w:after="0"/>
              <w:rPr>
                <w:sz w:val="20"/>
                <w:szCs w:val="20"/>
                <w:color w:val="auto"/>
              </w:rPr>
            </w:pPr>
            <w:r>
              <w:rPr>
                <w:rFonts w:ascii="Arial" w:cs="Arial" w:eastAsia="Arial" w:hAnsi="Arial"/>
                <w:sz w:val="16"/>
                <w:szCs w:val="16"/>
                <w:color w:val="auto"/>
              </w:rPr>
              <w:t>DEF</w:t>
            </w:r>
          </w:p>
        </w:tc>
        <w:tc>
          <w:tcPr>
            <w:tcW w:w="4000" w:type="dxa"/>
            <w:vAlign w:val="bottom"/>
          </w:tcPr>
          <w:p>
            <w:pPr>
              <w:ind w:left="200"/>
              <w:spacing w:after="0"/>
              <w:rPr>
                <w:sz w:val="20"/>
                <w:szCs w:val="20"/>
                <w:color w:val="auto"/>
              </w:rPr>
            </w:pPr>
            <w:r>
              <w:rPr>
                <w:rFonts w:ascii="Arial" w:cs="Arial" w:eastAsia="Arial" w:hAnsi="Arial"/>
                <w:sz w:val="16"/>
                <w:szCs w:val="16"/>
                <w:color w:val="auto"/>
                <w:w w:val="98"/>
              </w:rPr>
              <w:t>Inline XBRL Taxonomy Extension Definition Linkbase.</w:t>
            </w:r>
          </w:p>
        </w:tc>
      </w:tr>
      <w:tr>
        <w:trPr>
          <w:trHeight w:val="257"/>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40" w:type="dxa"/>
            <w:vAlign w:val="bottom"/>
          </w:tcPr>
          <w:p>
            <w:pPr>
              <w:ind w:left="20"/>
              <w:spacing w:after="0"/>
              <w:rPr>
                <w:sz w:val="20"/>
                <w:szCs w:val="20"/>
                <w:color w:val="auto"/>
              </w:rPr>
            </w:pPr>
            <w:r>
              <w:rPr>
                <w:rFonts w:ascii="Arial" w:cs="Arial" w:eastAsia="Arial" w:hAnsi="Arial"/>
                <w:sz w:val="16"/>
                <w:szCs w:val="16"/>
                <w:color w:val="auto"/>
              </w:rPr>
              <w:t>LAB</w:t>
            </w:r>
          </w:p>
        </w:tc>
        <w:tc>
          <w:tcPr>
            <w:tcW w:w="4000" w:type="dxa"/>
            <w:vAlign w:val="bottom"/>
          </w:tcPr>
          <w:p>
            <w:pPr>
              <w:ind w:left="200"/>
              <w:spacing w:after="0"/>
              <w:rPr>
                <w:sz w:val="20"/>
                <w:szCs w:val="20"/>
                <w:color w:val="auto"/>
              </w:rPr>
            </w:pPr>
            <w:r>
              <w:rPr>
                <w:rFonts w:ascii="Arial" w:cs="Arial" w:eastAsia="Arial" w:hAnsi="Arial"/>
                <w:sz w:val="16"/>
                <w:szCs w:val="16"/>
                <w:color w:val="auto"/>
              </w:rPr>
              <w:t>Inline XBRL Taxonomy Extension Label Linkbase.</w:t>
            </w:r>
          </w:p>
        </w:tc>
      </w:tr>
      <w:tr>
        <w:trPr>
          <w:trHeight w:val="25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40" w:type="dxa"/>
            <w:vAlign w:val="bottom"/>
          </w:tcPr>
          <w:p>
            <w:pPr>
              <w:ind w:left="20"/>
              <w:spacing w:after="0"/>
              <w:rPr>
                <w:sz w:val="20"/>
                <w:szCs w:val="20"/>
                <w:color w:val="auto"/>
              </w:rPr>
            </w:pPr>
            <w:r>
              <w:rPr>
                <w:rFonts w:ascii="Arial" w:cs="Arial" w:eastAsia="Arial" w:hAnsi="Arial"/>
                <w:sz w:val="16"/>
                <w:szCs w:val="16"/>
                <w:color w:val="auto"/>
              </w:rPr>
              <w:t>PRE</w:t>
            </w:r>
          </w:p>
        </w:tc>
        <w:tc>
          <w:tcPr>
            <w:tcW w:w="4000" w:type="dxa"/>
            <w:vAlign w:val="bottom"/>
          </w:tcPr>
          <w:p>
            <w:pPr>
              <w:ind w:left="200"/>
              <w:spacing w:after="0"/>
              <w:rPr>
                <w:sz w:val="20"/>
                <w:szCs w:val="20"/>
                <w:color w:val="auto"/>
              </w:rPr>
            </w:pPr>
            <w:r>
              <w:rPr>
                <w:rFonts w:ascii="Arial" w:cs="Arial" w:eastAsia="Arial" w:hAnsi="Arial"/>
                <w:sz w:val="16"/>
                <w:szCs w:val="16"/>
                <w:color w:val="auto"/>
                <w:w w:val="93"/>
              </w:rPr>
              <w:t>Inline XBRL Taxonomy Extension Presentation Linkbase.</w:t>
            </w:r>
          </w:p>
        </w:tc>
      </w:tr>
    </w:tbl>
    <w:p>
      <w:pPr>
        <w:spacing w:after="0" w:line="50" w:lineRule="exact"/>
        <w:rPr>
          <w:sz w:val="20"/>
          <w:szCs w:val="20"/>
          <w:color w:val="auto"/>
        </w:rPr>
      </w:pPr>
    </w:p>
    <w:p>
      <w:pPr>
        <w:ind w:left="1040" w:right="40" w:hanging="994"/>
        <w:spacing w:after="0" w:line="278"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Cover Page Interactive Data File (the cover page interactive data file does not appear in Exhibit 104 because its Inline XBRL tags are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77"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January 8, 2020.</w:t>
      </w:r>
    </w:p>
    <w:p>
      <w:pPr>
        <w:spacing w:after="0" w:line="85" w:lineRule="exact"/>
        <w:rPr>
          <w:sz w:val="20"/>
          <w:szCs w:val="20"/>
          <w:color w:val="auto"/>
        </w:rPr>
      </w:pPr>
    </w:p>
    <w:p>
      <w:pPr>
        <w:spacing w:after="0" w:line="342" w:lineRule="auto"/>
        <w:rPr>
          <w:sz w:val="20"/>
          <w:szCs w:val="20"/>
          <w:color w:val="auto"/>
        </w:rPr>
      </w:pPr>
      <w:r>
        <w:rPr>
          <w:rFonts w:ascii="Arial" w:cs="Arial" w:eastAsia="Arial" w:hAnsi="Arial"/>
          <w:sz w:val="14"/>
          <w:szCs w:val="14"/>
          <w:color w:val="auto"/>
        </w:rPr>
        <w:t>Incorporated herein by reference to Exhibit 4.2 to the Company’s Current Report on Form 8-K filed on January 8, 2020.</w:t>
      </w:r>
    </w:p>
    <w:p>
      <w:pPr>
        <w:spacing w:after="0" w:line="342" w:lineRule="auto"/>
        <w:rPr>
          <w:sz w:val="20"/>
          <w:szCs w:val="20"/>
          <w:color w:val="auto"/>
        </w:rPr>
      </w:pPr>
      <w:r>
        <w:rPr>
          <w:rFonts w:ascii="Arial" w:cs="Arial" w:eastAsia="Arial" w:hAnsi="Arial"/>
          <w:sz w:val="14"/>
          <w:szCs w:val="14"/>
          <w:color w:val="auto"/>
        </w:rPr>
        <w:t>Incorporated herein by reference to Exhibit 4.3 to the Company’s Current Report on Form 8-K filed on January 8, 2020.</w:t>
      </w:r>
    </w:p>
    <w:p>
      <w:pPr>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March 3, 2020.</w:t>
      </w:r>
    </w:p>
    <w:p>
      <w:pPr>
        <w:spacing w:after="0" w:line="85" w:lineRule="exact"/>
        <w:rPr>
          <w:sz w:val="20"/>
          <w:szCs w:val="20"/>
          <w:color w:val="auto"/>
        </w:rPr>
      </w:pPr>
    </w:p>
    <w:p>
      <w:pPr>
        <w:spacing w:after="0" w:line="342" w:lineRule="auto"/>
        <w:rPr>
          <w:sz w:val="20"/>
          <w:szCs w:val="20"/>
          <w:color w:val="auto"/>
        </w:rPr>
      </w:pPr>
      <w:r>
        <w:rPr>
          <w:rFonts w:ascii="Arial" w:cs="Arial" w:eastAsia="Arial" w:hAnsi="Arial"/>
          <w:sz w:val="14"/>
          <w:szCs w:val="14"/>
          <w:color w:val="auto"/>
        </w:rPr>
        <w:t>Incorporated herein by reference to Exhibit 4.2 to the Company’s Current Report on Form 8-K filed on March 3, 2020.</w:t>
      </w:r>
    </w:p>
    <w:p>
      <w:pPr>
        <w:spacing w:after="0" w:line="342" w:lineRule="auto"/>
        <w:rPr>
          <w:sz w:val="20"/>
          <w:szCs w:val="20"/>
          <w:color w:val="auto"/>
        </w:rPr>
      </w:pPr>
      <w:r>
        <w:rPr>
          <w:rFonts w:ascii="Arial" w:cs="Arial" w:eastAsia="Arial" w:hAnsi="Arial"/>
          <w:sz w:val="14"/>
          <w:szCs w:val="14"/>
          <w:color w:val="auto"/>
        </w:rPr>
        <w:t>Incorporated herein by reference to Exhibit 4.3 to the Company’s Current Report on Form 8-K filed on March 3, 2020.</w:t>
      </w:r>
    </w:p>
    <w:p>
      <w:pPr>
        <w:ind w:right="360"/>
        <w:spacing w:after="0" w:line="278" w:lineRule="auto"/>
        <w:rPr>
          <w:sz w:val="20"/>
          <w:szCs w:val="20"/>
          <w:color w:val="auto"/>
        </w:rPr>
      </w:pPr>
      <w:r>
        <w:rPr>
          <w:rFonts w:ascii="Arial" w:cs="Arial" w:eastAsia="Arial" w:hAnsi="Arial"/>
          <w:sz w:val="16"/>
          <w:szCs w:val="16"/>
          <w:color w:val="auto"/>
        </w:rPr>
        <w:t>Incorporated herein by reference to Exhibit 10.26 to the Company’s Annual Report on Form 10-K filed on March 2, 2020.</w:t>
      </w:r>
    </w:p>
    <w:p>
      <w:pPr>
        <w:spacing w:after="0" w:line="22" w:lineRule="exact"/>
        <w:rPr>
          <w:sz w:val="20"/>
          <w:szCs w:val="20"/>
          <w:color w:val="auto"/>
        </w:rPr>
      </w:pPr>
    </w:p>
    <w:p>
      <w:pPr>
        <w:ind w:right="360"/>
        <w:spacing w:after="0" w:line="278" w:lineRule="auto"/>
        <w:rPr>
          <w:sz w:val="20"/>
          <w:szCs w:val="20"/>
          <w:color w:val="auto"/>
        </w:rPr>
      </w:pPr>
      <w:r>
        <w:rPr>
          <w:rFonts w:ascii="Arial" w:cs="Arial" w:eastAsia="Arial" w:hAnsi="Arial"/>
          <w:sz w:val="16"/>
          <w:szCs w:val="16"/>
          <w:color w:val="auto"/>
        </w:rPr>
        <w:t>Incorporated herein by reference to Exhibit 10.27 to the Company’s Annual Report on Form 10-K filed on March 2, 2020.</w:t>
      </w:r>
    </w:p>
    <w:p>
      <w:pPr>
        <w:spacing w:after="0" w:line="22" w:lineRule="exact"/>
        <w:rPr>
          <w:sz w:val="20"/>
          <w:szCs w:val="20"/>
          <w:color w:val="auto"/>
        </w:rPr>
      </w:pPr>
    </w:p>
    <w:p>
      <w:pPr>
        <w:ind w:right="360"/>
        <w:spacing w:after="0" w:line="278" w:lineRule="auto"/>
        <w:rPr>
          <w:sz w:val="20"/>
          <w:szCs w:val="20"/>
          <w:color w:val="auto"/>
        </w:rPr>
      </w:pPr>
      <w:r>
        <w:rPr>
          <w:rFonts w:ascii="Arial" w:cs="Arial" w:eastAsia="Arial" w:hAnsi="Arial"/>
          <w:sz w:val="16"/>
          <w:szCs w:val="16"/>
          <w:color w:val="auto"/>
        </w:rPr>
        <w:t>Incorporated herein by reference to Exhibit 10.28 to the Company’s Annual Report on Form 10-K filed on March 2, 2020.</w:t>
      </w:r>
    </w:p>
    <w:p>
      <w:pPr>
        <w:spacing w:after="0" w:line="22" w:lineRule="exact"/>
        <w:rPr>
          <w:sz w:val="20"/>
          <w:szCs w:val="20"/>
          <w:color w:val="auto"/>
        </w:rPr>
      </w:pPr>
    </w:p>
    <w:p>
      <w:pPr>
        <w:ind w:right="40"/>
        <w:spacing w:after="0" w:line="342" w:lineRule="auto"/>
        <w:rPr>
          <w:sz w:val="20"/>
          <w:szCs w:val="20"/>
          <w:color w:val="auto"/>
        </w:rPr>
      </w:pPr>
      <w:r>
        <w:rPr>
          <w:rFonts w:ascii="Arial" w:cs="Arial" w:eastAsia="Arial" w:hAnsi="Arial"/>
          <w:sz w:val="14"/>
          <w:szCs w:val="14"/>
          <w:color w:val="auto"/>
        </w:rPr>
        <w:t>Incorporated herein by reference to Exhibit 10.1 to the Company's Current Report on Form 8-K filed on April 20, 2020.</w:t>
      </w:r>
    </w:p>
    <w:p>
      <w:pPr>
        <w:ind w:right="40"/>
        <w:spacing w:after="0" w:line="342" w:lineRule="auto"/>
        <w:rPr>
          <w:sz w:val="20"/>
          <w:szCs w:val="20"/>
          <w:color w:val="auto"/>
        </w:rPr>
      </w:pPr>
      <w:r>
        <w:rPr>
          <w:rFonts w:ascii="Arial" w:cs="Arial" w:eastAsia="Arial" w:hAnsi="Arial"/>
          <w:sz w:val="14"/>
          <w:szCs w:val="14"/>
          <w:color w:val="auto"/>
        </w:rPr>
        <w:t>Incorporated herein by reference to Exhibit 10.2 to the Company's Current Report on Form 8-K filed on April 20, 2020.</w:t>
      </w:r>
    </w:p>
    <w:p>
      <w:pPr>
        <w:ind w:right="40"/>
        <w:spacing w:after="0" w:line="342" w:lineRule="auto"/>
        <w:rPr>
          <w:sz w:val="20"/>
          <w:szCs w:val="20"/>
          <w:color w:val="auto"/>
        </w:rPr>
      </w:pPr>
      <w:r>
        <w:rPr>
          <w:rFonts w:ascii="Arial" w:cs="Arial" w:eastAsia="Arial" w:hAnsi="Arial"/>
          <w:sz w:val="14"/>
          <w:szCs w:val="14"/>
          <w:color w:val="auto"/>
        </w:rPr>
        <w:t>Incorporated herein by reference to Exhibit 10.3 to the Company's Current Report on Form 8-K filed on April 20, 2020.</w:t>
      </w:r>
    </w:p>
    <w:p>
      <w:pPr>
        <w:ind w:right="40"/>
        <w:spacing w:after="0" w:line="342" w:lineRule="auto"/>
        <w:rPr>
          <w:sz w:val="20"/>
          <w:szCs w:val="20"/>
          <w:color w:val="auto"/>
        </w:rPr>
      </w:pPr>
      <w:r>
        <w:rPr>
          <w:rFonts w:ascii="Arial" w:cs="Arial" w:eastAsia="Arial" w:hAnsi="Arial"/>
          <w:sz w:val="14"/>
          <w:szCs w:val="14"/>
          <w:color w:val="auto"/>
        </w:rPr>
        <w:t>Incorporated herein by reference to Exhibit 10.4 to the Company's Current Report on Form 8-K filed on April 20, 2020.</w:t>
      </w: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655" w:lineRule="exact"/>
        <w:rPr>
          <w:sz w:val="20"/>
          <w:szCs w:val="20"/>
          <w:color w:val="auto"/>
        </w:rPr>
      </w:pPr>
    </w:p>
    <w:p>
      <w:pPr>
        <w:sectPr>
          <w:pgSz w:w="11900" w:h="16838" w:orient="portrait"/>
          <w:cols w:equalWidth="0" w:num="2">
            <w:col w:w="6760" w:space="180"/>
            <w:col w:w="4220"/>
          </w:cols>
          <w:pgMar w:left="320" w:top="89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type w:val="continuous"/>
        </w:sectPr>
      </w:pPr>
    </w:p>
    <w:bookmarkStart w:id="67" w:name="page68"/>
    <w:bookmarkEnd w:id="67"/>
    <w:p>
      <w:pPr>
        <w:ind w:left="614" w:hanging="614"/>
        <w:spacing w:after="0"/>
        <w:tabs>
          <w:tab w:leader="none" w:pos="614"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Indicates exhibits that constitute compensatory plans or arrangements.</w:t>
      </w:r>
    </w:p>
    <w:p>
      <w:pPr>
        <w:spacing w:after="0" w:line="73" w:lineRule="exact"/>
        <w:rPr>
          <w:sz w:val="20"/>
          <w:szCs w:val="20"/>
          <w:color w:val="auto"/>
        </w:rPr>
      </w:pPr>
    </w:p>
    <w:p>
      <w:pPr>
        <w:ind w:left="614" w:right="420" w:hanging="614"/>
        <w:spacing w:after="0" w:line="319" w:lineRule="auto"/>
        <w:tabs>
          <w:tab w:leader="none" w:pos="614" w:val="left"/>
        </w:tabs>
        <w:numPr>
          <w:ilvl w:val="0"/>
          <w:numId w:val="35"/>
        </w:numPr>
        <w:rPr>
          <w:rFonts w:ascii="Arial" w:cs="Arial" w:eastAsia="Arial" w:hAnsi="Arial"/>
          <w:sz w:val="15"/>
          <w:szCs w:val="15"/>
          <w:color w:val="auto"/>
        </w:rPr>
      </w:pPr>
      <w:r>
        <w:rPr>
          <w:rFonts w:ascii="Arial" w:cs="Arial" w:eastAsia="Arial" w:hAnsi="Arial"/>
          <w:sz w:val="15"/>
          <w:szCs w:val="15"/>
          <w:color w:val="auto"/>
        </w:rPr>
        <w:t>Schedules and similar attachments to this Exhibit have been omitted pursuant to Item 601(a)(5) of Regulation S-K. The Company agrees to furnish supplementally a copy of any omitted schedule or exhibit to the U.S. Securities and Exchange Commission (the “SEC”) upon request.</w:t>
      </w:r>
    </w:p>
    <w:p>
      <w:pPr>
        <w:ind w:left="614" w:hanging="614"/>
        <w:spacing w:after="0" w:line="278" w:lineRule="auto"/>
        <w:tabs>
          <w:tab w:leader="none" w:pos="614" w:val="left"/>
        </w:tabs>
        <w:numPr>
          <w:ilvl w:val="0"/>
          <w:numId w:val="36"/>
        </w:numPr>
        <w:rPr>
          <w:rFonts w:ascii="Arial" w:cs="Arial" w:eastAsia="Arial" w:hAnsi="Arial"/>
          <w:sz w:val="16"/>
          <w:szCs w:val="16"/>
          <w:color w:val="auto"/>
        </w:rPr>
      </w:pPr>
      <w:r>
        <w:rPr>
          <w:rFonts w:ascii="Arial" w:cs="Arial" w:eastAsia="Arial" w:hAnsi="Arial"/>
          <w:sz w:val="16"/>
          <w:szCs w:val="16"/>
          <w:color w:val="auto"/>
        </w:rPr>
        <w:t>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514"/>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74"/>
          </w:cols>
          <w:pgMar w:left="346" w:top="1439" w:right="97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w:t>
      </w:r>
    </w:p>
    <w:p>
      <w:pPr>
        <w:sectPr>
          <w:pgSz w:w="11900" w:h="16838" w:orient="portrait"/>
          <w:cols w:equalWidth="0" w:num="1">
            <w:col w:w="11220"/>
          </w:cols>
          <w:pgMar w:left="320" w:top="891" w:right="35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7,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2854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Christopher S. Sotos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2854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Chad Plotkin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2854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Mary-Lee Stillwell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Accounting Officer</w:t>
      </w:r>
    </w:p>
    <w:p>
      <w:pPr>
        <w:spacing w:after="0"/>
        <w:rPr>
          <w:sz w:val="20"/>
          <w:szCs w:val="20"/>
          <w:color w:val="auto"/>
        </w:rPr>
      </w:pPr>
      <w:r>
        <w:rPr>
          <w:rFonts w:ascii="Arial" w:cs="Arial" w:eastAsia="Arial" w:hAnsi="Arial"/>
          <w:sz w:val="17"/>
          <w:szCs w:val="17"/>
          <w:i w:val="1"/>
          <w:iCs w:val="1"/>
          <w:color w:val="auto"/>
        </w:rPr>
        <w:t>(Principal Accounting Officer)</w:t>
      </w:r>
    </w:p>
    <w:p>
      <w:pPr>
        <w:spacing w:after="0" w:line="200" w:lineRule="exact"/>
        <w:rPr>
          <w:sz w:val="20"/>
          <w:szCs w:val="20"/>
          <w:color w:val="auto"/>
        </w:rPr>
      </w:pPr>
    </w:p>
    <w:p>
      <w:pPr>
        <w:sectPr>
          <w:pgSz w:w="11900" w:h="16838" w:orient="portrait"/>
          <w:cols w:equalWidth="0" w:num="2">
            <w:col w:w="6000" w:space="720"/>
            <w:col w:w="4500"/>
          </w:cols>
          <w:pgMar w:left="320" w:top="89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20"/>
          </w:cols>
          <w:pgMar w:left="320" w:top="891" w:right="359"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47"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31750</wp:posOffset>
            </wp:positionV>
            <wp:extent cx="18942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8"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Christopher S. Sotos</w:t>
      </w:r>
    </w:p>
    <w:p>
      <w:pPr>
        <w:ind w:left="7000"/>
        <w:spacing w:after="0" w:line="203" w:lineRule="auto"/>
        <w:rPr>
          <w:sz w:val="20"/>
          <w:szCs w:val="20"/>
          <w:color w:val="auto"/>
        </w:rPr>
      </w:pPr>
      <w:r>
        <w:rPr>
          <w:rFonts w:ascii="Arial" w:cs="Arial" w:eastAsia="Arial" w:hAnsi="Arial"/>
          <w:sz w:val="18"/>
          <w:szCs w:val="18"/>
          <w:i w:val="1"/>
          <w:iCs w:val="1"/>
          <w:color w:val="auto"/>
        </w:rPr>
        <w:t>Chief Executive Officer</w:t>
      </w:r>
    </w:p>
    <w:p>
      <w:pPr>
        <w:ind w:left="7000"/>
        <w:spacing w:after="0"/>
        <w:rPr>
          <w:sz w:val="20"/>
          <w:szCs w:val="20"/>
          <w:color w:val="auto"/>
        </w:rPr>
      </w:pPr>
      <w:r>
        <w:rPr>
          <w:rFonts w:ascii="Arial" w:cs="Arial" w:eastAsia="Arial" w:hAnsi="Arial"/>
          <w:sz w:val="18"/>
          <w:szCs w:val="18"/>
          <w:i w:val="1"/>
          <w:iCs w:val="1"/>
          <w:color w:val="auto"/>
        </w:rPr>
        <w:t>(Principal Executive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ectPr>
          <w:pgSz w:w="11900" w:h="16838" w:orient="portrait"/>
          <w:cols w:equalWidth="0" w:num="1">
            <w:col w:w="11240"/>
          </w:cols>
          <w:pgMar w:left="320" w:top="985"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47"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31750</wp:posOffset>
            </wp:positionV>
            <wp:extent cx="19716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Chad Plotkin</w:t>
      </w:r>
    </w:p>
    <w:p>
      <w:pPr>
        <w:ind w:left="6880"/>
        <w:spacing w:after="0" w:line="203" w:lineRule="auto"/>
        <w:rPr>
          <w:sz w:val="20"/>
          <w:szCs w:val="20"/>
          <w:color w:val="auto"/>
        </w:rPr>
      </w:pPr>
      <w:r>
        <w:rPr>
          <w:rFonts w:ascii="Arial" w:cs="Arial" w:eastAsia="Arial" w:hAnsi="Arial"/>
          <w:sz w:val="18"/>
          <w:szCs w:val="18"/>
          <w:i w:val="1"/>
          <w:iCs w:val="1"/>
          <w:color w:val="auto"/>
        </w:rPr>
        <w:t>Chief Financial Officer</w:t>
      </w:r>
    </w:p>
    <w:p>
      <w:pPr>
        <w:ind w:left="6880"/>
        <w:spacing w:after="0"/>
        <w:rPr>
          <w:sz w:val="20"/>
          <w:szCs w:val="20"/>
          <w:color w:val="auto"/>
        </w:rPr>
      </w:pPr>
      <w:r>
        <w:rPr>
          <w:rFonts w:ascii="Arial" w:cs="Arial" w:eastAsia="Arial" w:hAnsi="Arial"/>
          <w:sz w:val="18"/>
          <w:szCs w:val="18"/>
          <w:i w:val="1"/>
          <w:iCs w:val="1"/>
          <w:color w:val="auto"/>
        </w:rPr>
        <w:t>(Principal Financial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ectPr>
          <w:pgSz w:w="11900" w:h="16838" w:orient="portrait"/>
          <w:cols w:equalWidth="0" w:num="1">
            <w:col w:w="11240"/>
          </w:cols>
          <w:pgMar w:left="320" w:top="985"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Mary-Lee Stillwell, certify that:</w:t>
      </w:r>
    </w:p>
    <w:p>
      <w:pPr>
        <w:spacing w:after="0" w:line="347"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18091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1809115" cy="8890"/>
                    </a:xfrm>
                    <a:prstGeom prst="rect">
                      <a:avLst/>
                    </a:prstGeom>
                    <a:noFill/>
                  </pic:spPr>
                </pic:pic>
              </a:graphicData>
            </a:graphic>
          </wp:anchor>
        </w:drawing>
      </w:r>
    </w:p>
    <w:p>
      <w:pPr>
        <w:spacing w:after="0" w:line="28"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Mary-Lee Stillwell</w:t>
      </w:r>
    </w:p>
    <w:p>
      <w:pPr>
        <w:ind w:left="7300"/>
        <w:spacing w:after="0" w:line="203" w:lineRule="auto"/>
        <w:rPr>
          <w:sz w:val="20"/>
          <w:szCs w:val="20"/>
          <w:color w:val="auto"/>
        </w:rPr>
      </w:pPr>
      <w:r>
        <w:rPr>
          <w:rFonts w:ascii="Arial" w:cs="Arial" w:eastAsia="Arial" w:hAnsi="Arial"/>
          <w:sz w:val="18"/>
          <w:szCs w:val="18"/>
          <w:i w:val="1"/>
          <w:iCs w:val="1"/>
          <w:color w:val="auto"/>
        </w:rPr>
        <w:t>Chief Accounting Officer</w:t>
      </w:r>
    </w:p>
    <w:p>
      <w:pPr>
        <w:ind w:left="7300"/>
        <w:spacing w:after="0"/>
        <w:rPr>
          <w:sz w:val="20"/>
          <w:szCs w:val="20"/>
          <w:color w:val="auto"/>
        </w:rPr>
      </w:pPr>
      <w:r>
        <w:rPr>
          <w:rFonts w:ascii="Arial" w:cs="Arial" w:eastAsia="Arial" w:hAnsi="Arial"/>
          <w:sz w:val="18"/>
          <w:szCs w:val="18"/>
          <w:i w:val="1"/>
          <w:iCs w:val="1"/>
          <w:color w:val="auto"/>
        </w:rPr>
        <w:t>(Principal Accounting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ectPr>
          <w:pgSz w:w="11900" w:h="16838" w:orient="portrait"/>
          <w:cols w:equalWidth="0" w:num="1">
            <w:col w:w="11240"/>
          </w:cols>
          <w:pgMar w:left="320" w:top="89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Quarterly Report of Clearway Energy LLC on Form 10-Q for the quarter ended March 31, 2020,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3"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36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31750</wp:posOffset>
            </wp:positionV>
            <wp:extent cx="2425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Christopher S. Sotos</w:t>
      </w:r>
    </w:p>
    <w:p>
      <w:pPr>
        <w:spacing w:after="0" w:line="34"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Executive Officer</w:t>
      </w:r>
    </w:p>
    <w:p>
      <w:pPr>
        <w:ind w:left="59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6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31750</wp:posOffset>
            </wp:positionV>
            <wp:extent cx="2425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Chad Plotkin</w:t>
      </w:r>
    </w:p>
    <w:p>
      <w:pPr>
        <w:spacing w:after="0" w:line="34"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Financial Officer</w:t>
      </w:r>
    </w:p>
    <w:p>
      <w:pPr>
        <w:ind w:left="59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6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31750</wp:posOffset>
            </wp:positionV>
            <wp:extent cx="2425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Mary-Lee Stillwell</w:t>
      </w:r>
    </w:p>
    <w:p>
      <w:pPr>
        <w:spacing w:after="0" w:line="34"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Accounting Officer</w:t>
      </w:r>
    </w:p>
    <w:p>
      <w:pPr>
        <w:ind w:left="590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lvl w:ilvl="1">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lowerLetter"/>
      <w:start w:val="1"/>
    </w:lvl>
  </w:abstractNum>
  <w:abstractNum w:abstractNumId="3">
    <w:nsid w:val="721DA317"/>
    <w:multiLevelType w:val="hybridMultilevel"/>
    <w:lvl w:ilvl="0">
      <w:lvlJc w:val="left"/>
      <w:lvlText w:val="(%1)"/>
      <w:numFmt w:val="lowerLetter"/>
      <w:start w:val="1"/>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lowerLetter"/>
      <w:start w:val="1"/>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amp;"/>
      <w:numFmt w:val="bullet"/>
      <w:start w:val="1"/>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lvl w:ilvl="1">
      <w:lvlJc w:val="left"/>
      <w:lvlText w:val="(%2)"/>
      <w:numFmt w:val="lowerRoman"/>
      <w:start w:val="3"/>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177"/>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32"/>
    </w:lvl>
  </w:abstractNum>
  <w:abstractNum w:abstractNumId="32">
    <w:nsid w:val="3804823E"/>
    <w:multiLevelType w:val="hybridMultilevel"/>
    <w:lvl w:ilvl="0">
      <w:lvlJc w:val="left"/>
      <w:lvlText w:val="%1"/>
      <w:numFmt w:val="decimal"/>
      <w:start w:val="104"/>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56" Type="http://schemas.openxmlformats.org/officeDocument/2006/relationships/hyperlink" Target="http://www.sec.gov/Archives/edgar/data/1567683/000110465920002258/tm201233d1_ex4-1.htm" TargetMode="External"/><Relationship Id="rId157" Type="http://schemas.openxmlformats.org/officeDocument/2006/relationships/hyperlink" Target="http://www.sec.gov/Archives/edgar/data/1567683/000110465920002258/tm201233d1_ex4-2.htm" TargetMode="External"/><Relationship Id="rId158" Type="http://schemas.openxmlformats.org/officeDocument/2006/relationships/hyperlink" Target="http://www.sec.gov/Archives/edgar/data/1567683/000110465920002258/tm201233d1_ex4-3.htm" TargetMode="External"/><Relationship Id="rId159" Type="http://schemas.openxmlformats.org/officeDocument/2006/relationships/hyperlink" Target="http://www.sec.gov/Archives/edgar/data/1567683/000110465920028560/tm2011093d1_ex4-1.htm" TargetMode="External"/><Relationship Id="rId160" Type="http://schemas.openxmlformats.org/officeDocument/2006/relationships/hyperlink" Target="http://www.sec.gov/Archives/edgar/data/1567683/000110465920028560/tm2011093d1_ex4-2.htm" TargetMode="External"/><Relationship Id="rId161" Type="http://schemas.openxmlformats.org/officeDocument/2006/relationships/hyperlink" Target="http://www.sec.gov/Archives/edgar/data/1567683/000110465920028560/tm2011093d1_ex4-3.htm" TargetMode="External"/><Relationship Id="rId162" Type="http://schemas.openxmlformats.org/officeDocument/2006/relationships/hyperlink" Target="http://www.sec.gov/Archives/edgar/data/1567683/000156768320000008/clearwayincex102620191.htm" TargetMode="External"/><Relationship Id="rId163" Type="http://schemas.openxmlformats.org/officeDocument/2006/relationships/hyperlink" Target="http://www.sec.gov/Archives/edgar/data/1567683/000156768320000008/clearwayincex102720191.htm" TargetMode="External"/><Relationship Id="rId164" Type="http://schemas.openxmlformats.org/officeDocument/2006/relationships/hyperlink" Target="http://www.sec.gov/Archives/edgar/data/1567683/000156768320000008/clearwayincex102820191.htm" TargetMode="External"/><Relationship Id="rId165" Type="http://schemas.openxmlformats.org/officeDocument/2006/relationships/hyperlink" Target="http://www.sec.gov/Archives/edgar/data/1637757/000110465920048786/tm2016404d1_ex10-1.htm" TargetMode="External"/><Relationship Id="rId166" Type="http://schemas.openxmlformats.org/officeDocument/2006/relationships/hyperlink" Target="http://www.sec.gov/Archives/edgar/data/1637757/000110465920048786/tm2016404d1_ex10-2.htm" TargetMode="External"/><Relationship Id="rId167" Type="http://schemas.openxmlformats.org/officeDocument/2006/relationships/hyperlink" Target="http://www.sec.gov/Archives/edgar/data/1637757/000110465920048786/tm2016404d1_ex10-3.htm" TargetMode="External"/><Relationship Id="rId168" Type="http://schemas.openxmlformats.org/officeDocument/2006/relationships/hyperlink" Target="http://www.sec.gov/Archives/edgar/data/1637757/000110465920048786/tm2016404d1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2020-05-07T11:24:13Z</dcterms:created>
  <dcterms:modified xsi:type="dcterms:W3CDTF">2020-05-07T11:24:13Z</dcterms:modified>
</cp:coreProperties>
</file>