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9640d1_8k.htm"/>
      <w:bookmarkStart w:id="1" w:name="kstm242964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4112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November 20,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4"/>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C_edei--EntityFileNumber_c20241120"/>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C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300 Carnegie Center, </w:t>
      </w:r>
      <w:bookmarkStart w:id="9" w:name="xdx_903_edei--EntityAddressAddressLine2_"/>
      <w:bookmarkEnd w:id="9"/>
      <w:r>
        <w:rPr>
          <w:rFonts w:ascii="Times New Roman;Times;Serif" w:hAnsi="Times New Roman;Times;Serif"/>
          <w:b/>
          <w:i w:val="false"/>
          <w:caps w:val="false"/>
          <w:smallCaps w:val="false"/>
          <w:sz w:val="20"/>
        </w:rPr>
        <w:t xml:space="preserve">Suite 300, </w:t>
      </w:r>
      <w:bookmarkStart w:id="10" w:name="xdx_904_edei--EntityAddressCityOrTown_c2"/>
      <w:bookmarkEnd w:id="10"/>
      <w:r>
        <w:rPr>
          <w:rFonts w:ascii="Times New Roman;Times;Serif" w:hAnsi="Times New Roman;Times;Serif"/>
          <w:b/>
          <w:i w:val="false"/>
          <w:caps w:val="false"/>
          <w:smallCaps w:val="false"/>
          <w:sz w:val="20"/>
        </w:rPr>
        <w:t xml:space="preserve">Princeton, </w:t>
      </w:r>
      <w:bookmarkStart w:id="11" w:name="xdx_90B_edei--EntityAddressStateOrProvin"/>
      <w:bookmarkEnd w:id="11"/>
      <w:r>
        <w:rPr>
          <w:rFonts w:ascii="Times New Roman;Times;Serif" w:hAnsi="Times New Roman;Times;Serif"/>
          <w:b/>
          <w:i w:val="false"/>
          <w:caps w:val="false"/>
          <w:smallCaps w:val="false"/>
          <w:sz w:val="20"/>
        </w:rPr>
        <w:t xml:space="preserve">New Jersey </w:t>
      </w:r>
      <w:bookmarkStart w:id="12" w:name="xdx_907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41120__20"/>
      <w:bookmarkEnd w:id="13"/>
      <w:r>
        <w:rPr>
          <w:rFonts w:ascii="Times New Roman;Times;Serif" w:hAnsi="Times New Roman;Times;Serif"/>
          <w:b/>
          <w:i w:val="false"/>
          <w:caps w:val="false"/>
          <w:smallCaps w:val="false"/>
          <w:sz w:val="20"/>
        </w:rPr>
        <w:t xml:space="preserve">609) </w:t>
      </w:r>
      <w:bookmarkStart w:id="14" w:name="xdx_90C_edei--LocalPhoneNumber_c20241120"/>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E_edei--SolicitingMaterial_c202411"/>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3305"/>
        <w:gridCol w:w="1610"/>
        <w:gridCol w:w="2855"/>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3305" w:type="dxa"/>
            <w:tcBorders/>
            <w:tcMar>
              <w:bottom w:w="0" w:type="dxa"/>
            </w:tcMar>
            <w:vAlign w:val="center"/>
          </w:tcPr>
          <w:p>
            <w:pPr>
              <w:pStyle w:val="TableContents"/>
              <w:bidi w:val="0"/>
              <w:spacing w:before="0" w:after="283"/>
              <w:jc w:val="left"/>
              <w:rPr>
                <w:sz w:val="20"/>
              </w:rPr>
            </w:pPr>
            <w:bookmarkStart w:id="19" w:name="xdx_90F_edei--Security12bTitle_c20241120"/>
            <w:bookmarkEnd w:id="19"/>
            <w:r>
              <w:rPr>
                <w:sz w:val="20"/>
              </w:rPr>
              <w:t>Class A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8_edei--TradingSymbol_c20241120__2"/>
            <w:bookmarkEnd w:id="20"/>
            <w:r>
              <w:rPr>
                <w:sz w:val="20"/>
              </w:rPr>
              <w:t>CWEN.A</w:t>
            </w:r>
          </w:p>
        </w:tc>
        <w:tc>
          <w:tcPr>
            <w:tcW w:w="2855" w:type="dxa"/>
            <w:tcBorders/>
            <w:tcMar>
              <w:bottom w:w="0" w:type="dxa"/>
            </w:tcMar>
            <w:vAlign w:val="center"/>
          </w:tcPr>
          <w:p>
            <w:pPr>
              <w:pStyle w:val="TableContents"/>
              <w:bidi w:val="0"/>
              <w:spacing w:before="0" w:after="283"/>
              <w:jc w:val="center"/>
              <w:rPr>
                <w:sz w:val="20"/>
              </w:rPr>
            </w:pPr>
            <w:bookmarkStart w:id="21" w:name="xdx_902_edei--SecurityExchangeName_c2024"/>
            <w:bookmarkEnd w:id="21"/>
            <w:r>
              <w:rPr>
                <w:sz w:val="20"/>
              </w:rPr>
              <w:t>New York Stock Exchange</w:t>
            </w:r>
          </w:p>
        </w:tc>
      </w:tr>
      <w:tr>
        <w:trPr/>
        <w:tc>
          <w:tcPr>
            <w:tcW w:w="3305" w:type="dxa"/>
            <w:tcBorders/>
            <w:tcMar>
              <w:bottom w:w="0" w:type="dxa"/>
            </w:tcMar>
            <w:vAlign w:val="center"/>
          </w:tcPr>
          <w:p>
            <w:pPr>
              <w:pStyle w:val="TableContents"/>
              <w:bidi w:val="0"/>
              <w:spacing w:before="0" w:after="283"/>
              <w:jc w:val="left"/>
              <w:rPr>
                <w:sz w:val="20"/>
              </w:rPr>
            </w:pPr>
            <w:bookmarkStart w:id="22" w:name="xdx_901_edei--Security12bTitle_c20241120"/>
            <w:bookmarkEnd w:id="22"/>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3" w:name="xdx_90D_edei--TradingSymbol_c20241120__2"/>
            <w:bookmarkEnd w:id="23"/>
            <w:r>
              <w:rPr>
                <w:sz w:val="20"/>
              </w:rPr>
              <w:t>CWEN</w:t>
            </w:r>
          </w:p>
        </w:tc>
        <w:tc>
          <w:tcPr>
            <w:tcW w:w="2855" w:type="dxa"/>
            <w:tcBorders/>
            <w:tcMar>
              <w:bottom w:w="0" w:type="dxa"/>
            </w:tcMar>
            <w:vAlign w:val="center"/>
          </w:tcPr>
          <w:p>
            <w:pPr>
              <w:pStyle w:val="TableContents"/>
              <w:bidi w:val="0"/>
              <w:spacing w:before="0" w:after="283"/>
              <w:jc w:val="center"/>
              <w:rPr>
                <w:sz w:val="20"/>
              </w:rPr>
            </w:pPr>
            <w:bookmarkStart w:id="24" w:name="xdx_901_edei--SecurityExchangeName_c2024"/>
            <w:bookmarkEnd w:id="24"/>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A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b/>
                <w:sz w:val="20"/>
              </w:rPr>
            </w:pPr>
            <w:r>
              <w:rPr>
                <w:b/>
                <w:sz w:val="20"/>
              </w:rPr>
              <w:t>Item 5.02</w:t>
            </w:r>
          </w:p>
        </w:tc>
        <w:tc>
          <w:tcPr>
            <w:tcW w:w="9486" w:type="dxa"/>
            <w:tcBorders/>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received a notice of resignation from Guillaume Hédiard, informing the Company of his intention to resign from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the Company effective as of the close of business on December 4, 2024. Mr. Hédiard’s resignation from the Board was not the result of any disagreement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initiated a search process to find a replacement for Mr. Hédiard.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35"/>
        <w:gridCol w:w="3365"/>
        <w:gridCol w:w="75"/>
      </w:tblGrid>
      <w:tr>
        <w:trPr/>
        <w:tc>
          <w:tcPr>
            <w:tcW w:w="3700" w:type="dxa"/>
            <w:gridSpan w:val="2"/>
            <w:tcBorders/>
            <w:vAlign w:val="center"/>
          </w:tcPr>
          <w:p>
            <w:pPr>
              <w:pStyle w:val="TableContents"/>
              <w:bidi w:val="0"/>
              <w:spacing w:before="0" w:after="283"/>
              <w:jc w:val="left"/>
              <w:rPr>
                <w:b/>
                <w:sz w:val="20"/>
              </w:rPr>
            </w:pPr>
            <w:r>
              <w:rPr>
                <w:b/>
                <w:sz w:val="20"/>
              </w:rPr>
              <w:t>Clearway Energy,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33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Kevin P. Malcarney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sz w:val="20"/>
              </w:rPr>
            </w:pPr>
            <w:r>
              <w:rPr>
                <w:sz w:val="20"/>
              </w:rPr>
              <w:t>Kevin P. Malcarney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left"/>
              <w:rPr>
                <w:sz w:val="20"/>
              </w:rPr>
            </w:pPr>
            <w:r>
              <w:rPr>
                <w:sz w:val="20"/>
              </w:rPr>
              <w:t>General Counsel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463</Words>
  <Characters>2535</Characters>
  <CharactersWithSpaces>2999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