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7047865" cy="5353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353685"/>
                    </a:xfrm>
                    <a:prstGeom prst="rect">
                      <a:avLst/>
                    </a:prstGeom>
                    <a:noFill/>
                  </pic:spPr>
                </pic:pic>
              </a:graphicData>
            </a:graphic>
          </wp:anchor>
        </w:drawing>
      </w:r>
    </w:p>
    <w:p>
      <w:pPr>
        <w:spacing w:after="0" w:line="88"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Malcarney Kevin P.</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CLEARWAY ENERGY,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Clearway Energy,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CWEN</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04/15/2021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34"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6"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4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86"/>
        <w:spacing w:after="0"/>
        <w:rPr>
          <w:sz w:val="20"/>
          <w:szCs w:val="20"/>
          <w:color w:val="auto"/>
        </w:rPr>
      </w:pPr>
      <w:r>
        <w:rPr>
          <w:rFonts w:ascii="Arial" w:cs="Arial" w:eastAsia="Arial" w:hAnsi="Arial"/>
          <w:sz w:val="15"/>
          <w:szCs w:val="15"/>
          <w:color w:val="0000FF"/>
        </w:rPr>
        <w:t>SVP, Gen Counsel and Corp Secr</w:t>
      </w:r>
    </w:p>
    <w:p>
      <w:pPr>
        <w:spacing w:after="0" w:line="392" w:lineRule="exact"/>
        <w:rPr>
          <w:sz w:val="24"/>
          <w:szCs w:val="24"/>
          <w:color w:val="auto"/>
        </w:rPr>
      </w:pPr>
    </w:p>
    <w:p>
      <w:pPr>
        <w:sectPr>
          <w:pgSz w:w="11900" w:h="16838" w:orient="portrait"/>
          <w:cols w:equalWidth="0" w:num="3">
            <w:col w:w="3180" w:space="720"/>
            <w:col w:w="3114" w:space="720"/>
            <w:col w:w="3346"/>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720" w:type="dxa"/>
            <w:vAlign w:val="bottom"/>
            <w:gridSpan w:val="7"/>
          </w:tcPr>
          <w:p>
            <w:pPr>
              <w:jc w:val="right"/>
              <w:ind w:right="297"/>
              <w:spacing w:after="0" w:line="147" w:lineRule="exact"/>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tcPr>
          <w:p>
            <w:pPr>
              <w:ind w:left="260"/>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0" w:type="dxa"/>
            <w:vAlign w:val="bottom"/>
            <w:gridSpan w:val="10"/>
            <w:vMerge w:val="restart"/>
          </w:tcPr>
          <w:p>
            <w:pPr>
              <w:ind w:left="4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PRINCETON</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0000FF"/>
              </w:rPr>
              <w:t>NJ</w:t>
            </w:r>
          </w:p>
        </w:tc>
        <w:tc>
          <w:tcPr>
            <w:tcW w:w="1000" w:type="dxa"/>
            <w:vAlign w:val="bottom"/>
          </w:tcPr>
          <w:p>
            <w:pPr>
              <w:spacing w:after="0"/>
              <w:rPr>
                <w:sz w:val="10"/>
                <w:szCs w:val="10"/>
                <w:color w:val="auto"/>
              </w:rPr>
            </w:pPr>
          </w:p>
        </w:tc>
        <w:tc>
          <w:tcPr>
            <w:tcW w:w="560" w:type="dxa"/>
            <w:vAlign w:val="bottom"/>
            <w:vMerge w:val="restart"/>
          </w:tcPr>
          <w:p>
            <w:pPr>
              <w:spacing w:after="0"/>
              <w:rPr>
                <w:sz w:val="20"/>
                <w:szCs w:val="20"/>
                <w:color w:val="auto"/>
              </w:rPr>
            </w:pPr>
            <w:r>
              <w:rPr>
                <w:rFonts w:ascii="Arial" w:cs="Arial" w:eastAsia="Arial" w:hAnsi="Arial"/>
                <w:sz w:val="16"/>
                <w:szCs w:val="16"/>
                <w:color w:val="0000FF"/>
              </w:rPr>
              <w:t>08540</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52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100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4"/>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7180" w:type="dxa"/>
            <w:vAlign w:val="bottom"/>
            <w:tcBorders>
              <w:top w:val="single" w:sz="8" w:color="2C2C2C"/>
            </w:tcBorders>
            <w:gridSpan w:val="15"/>
          </w:tcPr>
          <w:p>
            <w:pPr>
              <w:ind w:left="8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280" w:type="dxa"/>
            <w:vAlign w:val="bottom"/>
            <w:gridSpan w:val="3"/>
          </w:tcPr>
          <w:p>
            <w:pPr>
              <w:ind w:left="24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ind w:left="240"/>
              <w:spacing w:after="0" w:line="124" w:lineRule="exact"/>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24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100" w:type="dxa"/>
            <w:vAlign w:val="bottom"/>
            <w:tcBorders>
              <w:bottom w:val="single" w:sz="8" w:color="2C2C2C"/>
            </w:tcBorders>
            <w:gridSpan w:val="6"/>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6"/>
                <w:szCs w:val="16"/>
                <w:color w:val="0000FF"/>
                <w:w w:val="98"/>
              </w:rPr>
              <w:t>Class C Common Stock, par value $.01 per</w:t>
            </w:r>
          </w:p>
        </w:tc>
        <w:tc>
          <w:tcPr>
            <w:tcW w:w="1280" w:type="dxa"/>
            <w:vAlign w:val="bottom"/>
            <w:gridSpan w:val="3"/>
            <w:vMerge w:val="restart"/>
          </w:tcPr>
          <w:p>
            <w:pPr>
              <w:jc w:val="right"/>
              <w:ind w:right="137"/>
              <w:spacing w:after="0"/>
              <w:rPr>
                <w:sz w:val="20"/>
                <w:szCs w:val="20"/>
                <w:color w:val="auto"/>
              </w:rPr>
            </w:pPr>
            <w:r>
              <w:rPr>
                <w:rFonts w:ascii="Arial" w:cs="Arial" w:eastAsia="Arial" w:hAnsi="Arial"/>
                <w:sz w:val="16"/>
                <w:szCs w:val="16"/>
                <w:color w:val="0000FF"/>
              </w:rPr>
              <w:t>04/15/2021</w:t>
            </w: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F</w:t>
            </w:r>
          </w:p>
        </w:tc>
        <w:tc>
          <w:tcPr>
            <w:tcW w:w="720" w:type="dxa"/>
            <w:vAlign w:val="bottom"/>
            <w:vMerge w:val="restart"/>
          </w:tcPr>
          <w:p>
            <w:pPr>
              <w:jc w:val="right"/>
              <w:ind w:right="76"/>
              <w:spacing w:after="0"/>
              <w:rPr>
                <w:sz w:val="20"/>
                <w:szCs w:val="20"/>
                <w:color w:val="auto"/>
              </w:rPr>
            </w:pPr>
            <w:r>
              <w:rPr>
                <w:rFonts w:ascii="Arial" w:cs="Arial" w:eastAsia="Arial" w:hAnsi="Arial"/>
                <w:sz w:val="16"/>
                <w:szCs w:val="16"/>
                <w:color w:val="0000FF"/>
              </w:rPr>
              <w:t>861</w:t>
            </w:r>
          </w:p>
        </w:tc>
        <w:tc>
          <w:tcPr>
            <w:tcW w:w="620" w:type="dxa"/>
            <w:vAlign w:val="bottom"/>
            <w:vMerge w:val="restart"/>
          </w:tcPr>
          <w:p>
            <w:pPr>
              <w:jc w:val="right"/>
              <w:ind w:right="97"/>
              <w:spacing w:after="0"/>
              <w:rPr>
                <w:sz w:val="20"/>
                <w:szCs w:val="20"/>
                <w:color w:val="auto"/>
              </w:rPr>
            </w:pPr>
            <w:r>
              <w:rPr>
                <w:rFonts w:ascii="Arial" w:cs="Arial" w:eastAsia="Arial" w:hAnsi="Arial"/>
                <w:sz w:val="16"/>
                <w:szCs w:val="16"/>
                <w:color w:val="0000FF"/>
              </w:rPr>
              <w:t>D</w:t>
            </w:r>
          </w:p>
        </w:tc>
        <w:tc>
          <w:tcPr>
            <w:tcW w:w="540" w:type="dxa"/>
            <w:vAlign w:val="bottom"/>
            <w:vMerge w:val="restart"/>
          </w:tcPr>
          <w:p>
            <w:pPr>
              <w:ind w:left="260"/>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1"/>
                <w:szCs w:val="21"/>
                <w:color w:val="auto"/>
              </w:rPr>
            </w:pPr>
          </w:p>
        </w:tc>
        <w:tc>
          <w:tcPr>
            <w:tcW w:w="1260" w:type="dxa"/>
            <w:vAlign w:val="bottom"/>
            <w:gridSpan w:val="3"/>
            <w:vMerge w:val="restart"/>
          </w:tcPr>
          <w:p>
            <w:pPr>
              <w:ind w:left="340"/>
              <w:spacing w:after="0"/>
              <w:rPr>
                <w:sz w:val="20"/>
                <w:szCs w:val="20"/>
                <w:color w:val="auto"/>
              </w:rPr>
            </w:pPr>
            <w:r>
              <w:rPr>
                <w:rFonts w:ascii="Arial" w:cs="Arial" w:eastAsia="Arial" w:hAnsi="Arial"/>
                <w:sz w:val="16"/>
                <w:szCs w:val="16"/>
                <w:color w:val="0000FF"/>
              </w:rPr>
              <w:t>39,649</w:t>
            </w:r>
            <w:r>
              <w:rPr>
                <w:rFonts w:ascii="Arial" w:cs="Arial" w:eastAsia="Arial" w:hAnsi="Arial"/>
                <w:sz w:val="21"/>
                <w:szCs w:val="21"/>
                <w:color w:val="008000"/>
                <w:vertAlign w:val="superscript"/>
              </w:rPr>
              <w:t>(2)</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6"/>
                <w:szCs w:val="16"/>
                <w:color w:val="0000FF"/>
              </w:rPr>
              <w:t>share</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00" w:type="dxa"/>
            <w:vAlign w:val="bottom"/>
            <w:tcBorders>
              <w:bottom w:val="single" w:sz="8" w:color="2C2C2C"/>
            </w:tcBorders>
            <w:gridSpan w:val="6"/>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6"/>
                <w:szCs w:val="16"/>
                <w:color w:val="0000FF"/>
                <w:w w:val="98"/>
              </w:rPr>
              <w:t>Class C Common Stock, par value $.01 per</w:t>
            </w:r>
          </w:p>
        </w:tc>
        <w:tc>
          <w:tcPr>
            <w:tcW w:w="1280" w:type="dxa"/>
            <w:vAlign w:val="bottom"/>
            <w:gridSpan w:val="3"/>
            <w:vMerge w:val="restart"/>
          </w:tcPr>
          <w:p>
            <w:pPr>
              <w:jc w:val="right"/>
              <w:ind w:right="137"/>
              <w:spacing w:after="0"/>
              <w:rPr>
                <w:sz w:val="20"/>
                <w:szCs w:val="20"/>
                <w:color w:val="auto"/>
              </w:rPr>
            </w:pPr>
            <w:r>
              <w:rPr>
                <w:rFonts w:ascii="Arial" w:cs="Arial" w:eastAsia="Arial" w:hAnsi="Arial"/>
                <w:sz w:val="16"/>
                <w:szCs w:val="16"/>
                <w:color w:val="0000FF"/>
              </w:rPr>
              <w:t>04/15/2021</w:t>
            </w: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0000FF"/>
              </w:rPr>
              <w:t>4,597</w:t>
            </w:r>
            <w:r>
              <w:rPr>
                <w:rFonts w:ascii="Arial" w:cs="Arial" w:eastAsia="Arial" w:hAnsi="Arial"/>
                <w:sz w:val="21"/>
                <w:szCs w:val="21"/>
                <w:color w:val="008000"/>
                <w:vertAlign w:val="superscript"/>
              </w:rPr>
              <w:t>(3)</w:t>
            </w:r>
          </w:p>
        </w:tc>
        <w:tc>
          <w:tcPr>
            <w:tcW w:w="620" w:type="dxa"/>
            <w:vAlign w:val="bottom"/>
            <w:vMerge w:val="restart"/>
          </w:tcPr>
          <w:p>
            <w:pPr>
              <w:jc w:val="right"/>
              <w:ind w:right="97"/>
              <w:spacing w:after="0"/>
              <w:rPr>
                <w:sz w:val="20"/>
                <w:szCs w:val="20"/>
                <w:color w:val="auto"/>
              </w:rPr>
            </w:pPr>
            <w:r>
              <w:rPr>
                <w:rFonts w:ascii="Arial" w:cs="Arial" w:eastAsia="Arial" w:hAnsi="Arial"/>
                <w:sz w:val="16"/>
                <w:szCs w:val="16"/>
                <w:color w:val="0000FF"/>
              </w:rPr>
              <w:t>A</w:t>
            </w:r>
          </w:p>
        </w:tc>
        <w:tc>
          <w:tcPr>
            <w:tcW w:w="54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40" w:type="dxa"/>
            <w:vAlign w:val="bottom"/>
          </w:tcPr>
          <w:p>
            <w:pPr>
              <w:spacing w:after="0"/>
              <w:rPr>
                <w:sz w:val="21"/>
                <w:szCs w:val="21"/>
                <w:color w:val="auto"/>
              </w:rPr>
            </w:pPr>
          </w:p>
        </w:tc>
        <w:tc>
          <w:tcPr>
            <w:tcW w:w="1260" w:type="dxa"/>
            <w:vAlign w:val="bottom"/>
            <w:gridSpan w:val="3"/>
            <w:vMerge w:val="restart"/>
          </w:tcPr>
          <w:p>
            <w:pPr>
              <w:ind w:left="340"/>
              <w:spacing w:after="0"/>
              <w:rPr>
                <w:sz w:val="20"/>
                <w:szCs w:val="20"/>
                <w:color w:val="auto"/>
              </w:rPr>
            </w:pPr>
            <w:r>
              <w:rPr>
                <w:rFonts w:ascii="Arial" w:cs="Arial" w:eastAsia="Arial" w:hAnsi="Arial"/>
                <w:sz w:val="16"/>
                <w:szCs w:val="16"/>
                <w:color w:val="0000FF"/>
              </w:rPr>
              <w:t>44,246</w:t>
            </w:r>
            <w:r>
              <w:rPr>
                <w:rFonts w:ascii="Arial" w:cs="Arial" w:eastAsia="Arial" w:hAnsi="Arial"/>
                <w:sz w:val="21"/>
                <w:szCs w:val="21"/>
                <w:color w:val="008000"/>
                <w:vertAlign w:val="superscript"/>
              </w:rPr>
              <w:t>(5)</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6"/>
                <w:szCs w:val="16"/>
                <w:color w:val="0000FF"/>
              </w:rPr>
              <w:t>share</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7"/>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4"/>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40" w:type="dxa"/>
            <w:vAlign w:val="bottom"/>
            <w:gridSpan w:val="11"/>
          </w:tcPr>
          <w:p>
            <w:pPr>
              <w:ind w:left="1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4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1"/>
                <w:szCs w:val="11"/>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4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58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6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6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jc w:val="right"/>
              <w:ind w:right="97"/>
              <w:spacing w:after="0"/>
              <w:rPr>
                <w:sz w:val="20"/>
                <w:szCs w:val="20"/>
                <w:color w:val="auto"/>
              </w:rPr>
            </w:pPr>
            <w:r>
              <w:rPr>
                <w:rFonts w:ascii="Arial" w:cs="Arial" w:eastAsia="Arial" w:hAnsi="Arial"/>
                <w:sz w:val="13"/>
                <w:szCs w:val="13"/>
                <w:color w:val="0000FF"/>
                <w:w w:val="96"/>
              </w:rPr>
              <w:t>Class C</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Relative</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20"/>
              <w:spacing w:after="0" w:line="139" w:lineRule="exact"/>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2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vMerge w:val="restart"/>
          </w:tcPr>
          <w:p>
            <w:pPr>
              <w:ind w:left="160"/>
              <w:spacing w:after="0" w:line="203" w:lineRule="exact"/>
              <w:rPr>
                <w:sz w:val="20"/>
                <w:szCs w:val="20"/>
                <w:color w:val="auto"/>
              </w:rPr>
            </w:pPr>
            <w:r>
              <w:rPr>
                <w:rFonts w:ascii="Arial" w:cs="Arial" w:eastAsia="Arial" w:hAnsi="Arial"/>
                <w:sz w:val="13"/>
                <w:szCs w:val="13"/>
                <w:color w:val="0000FF"/>
              </w:rPr>
              <w:t>9,387</w:t>
            </w:r>
            <w:r>
              <w:rPr>
                <w:rFonts w:ascii="Arial" w:cs="Arial" w:eastAsia="Arial" w:hAnsi="Arial"/>
                <w:sz w:val="21"/>
                <w:szCs w:val="21"/>
                <w:color w:val="008000"/>
                <w:vertAlign w:val="superscript"/>
              </w:rPr>
              <w:t>(6)</w:t>
            </w: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restart"/>
          </w:tcPr>
          <w:p>
            <w:pPr>
              <w:ind w:left="100"/>
              <w:spacing w:after="0" w:line="139"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ind w:left="20"/>
              <w:spacing w:after="0"/>
              <w:rPr>
                <w:sz w:val="20"/>
                <w:szCs w:val="20"/>
                <w:color w:val="auto"/>
              </w:rPr>
            </w:pPr>
            <w:r>
              <w:rPr>
                <w:rFonts w:ascii="Arial" w:cs="Arial" w:eastAsia="Arial" w:hAnsi="Arial"/>
                <w:sz w:val="16"/>
                <w:szCs w:val="16"/>
                <w:color w:val="0000FF"/>
              </w:rPr>
              <w:t>14,080</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220"/>
              <w:spacing w:after="0" w:line="203" w:lineRule="exact"/>
              <w:rPr>
                <w:sz w:val="20"/>
                <w:szCs w:val="20"/>
                <w:color w:val="auto"/>
              </w:rPr>
            </w:pPr>
            <w:r>
              <w:rPr>
                <w:rFonts w:ascii="Arial" w:cs="Arial" w:eastAsia="Arial" w:hAnsi="Arial"/>
                <w:sz w:val="13"/>
                <w:szCs w:val="13"/>
                <w:color w:val="0000FF"/>
              </w:rPr>
              <w:t>9,387</w:t>
            </w:r>
            <w:r>
              <w:rPr>
                <w:rFonts w:ascii="Arial" w:cs="Arial" w:eastAsia="Arial" w:hAnsi="Arial"/>
                <w:sz w:val="21"/>
                <w:szCs w:val="21"/>
                <w:color w:val="008000"/>
                <w:vertAlign w:val="superscript"/>
              </w:rPr>
              <w:t>(7)</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restart"/>
          </w:tcPr>
          <w:p>
            <w:pPr>
              <w:ind w:left="60"/>
              <w:spacing w:after="0" w:line="139" w:lineRule="exact"/>
              <w:rPr>
                <w:sz w:val="20"/>
                <w:szCs w:val="20"/>
                <w:color w:val="auto"/>
              </w:rPr>
            </w:pPr>
            <w:r>
              <w:rPr>
                <w:rFonts w:ascii="Arial" w:cs="Arial" w:eastAsia="Arial" w:hAnsi="Arial"/>
                <w:sz w:val="13"/>
                <w:szCs w:val="13"/>
                <w:color w:val="0000FF"/>
                <w:w w:val="94"/>
              </w:rPr>
              <w:t>Performance</w:t>
            </w:r>
          </w:p>
        </w:tc>
        <w:tc>
          <w:tcPr>
            <w:tcW w:w="5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vMerge w:val="restart"/>
          </w:tcPr>
          <w:p>
            <w:pPr>
              <w:ind w:left="240"/>
              <w:spacing w:after="0" w:line="139" w:lineRule="exact"/>
              <w:rPr>
                <w:sz w:val="20"/>
                <w:szCs w:val="20"/>
                <w:color w:val="auto"/>
              </w:rPr>
            </w:pPr>
            <w:r>
              <w:rPr>
                <w:rFonts w:ascii="Arial" w:cs="Arial" w:eastAsia="Arial" w:hAnsi="Arial"/>
                <w:sz w:val="13"/>
                <w:szCs w:val="13"/>
                <w:color w:val="0000FF"/>
              </w:rPr>
              <w:t>04/15/2021</w:t>
            </w: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restart"/>
          </w:tcPr>
          <w:p>
            <w:pPr>
              <w:jc w:val="right"/>
              <w:ind w:right="397"/>
              <w:spacing w:after="0" w:line="139" w:lineRule="exact"/>
              <w:rPr>
                <w:sz w:val="20"/>
                <w:szCs w:val="20"/>
                <w:color w:val="auto"/>
              </w:rPr>
            </w:pPr>
            <w:r>
              <w:rPr>
                <w:rFonts w:ascii="Arial" w:cs="Arial" w:eastAsia="Arial" w:hAnsi="Arial"/>
                <w:sz w:val="13"/>
                <w:szCs w:val="13"/>
                <w:color w:val="0000FF"/>
              </w:rPr>
              <w:t>A</w:t>
            </w:r>
          </w:p>
        </w:tc>
        <w:tc>
          <w:tcPr>
            <w:tcW w:w="7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gridSpan w:val="2"/>
            <w:vMerge w:val="restart"/>
          </w:tcPr>
          <w:p>
            <w:pPr>
              <w:ind w:left="40"/>
              <w:spacing w:after="0" w:line="139" w:lineRule="exact"/>
              <w:rPr>
                <w:sz w:val="20"/>
                <w:szCs w:val="20"/>
                <w:color w:val="auto"/>
              </w:rPr>
            </w:pPr>
            <w:r>
              <w:rPr>
                <w:rFonts w:ascii="Arial" w:cs="Arial" w:eastAsia="Arial" w:hAnsi="Arial"/>
                <w:sz w:val="13"/>
                <w:szCs w:val="13"/>
                <w:color w:val="0000FF"/>
              </w:rPr>
              <w:t>04/15/2024</w:t>
            </w:r>
          </w:p>
        </w:tc>
        <w:tc>
          <w:tcPr>
            <w:tcW w:w="720" w:type="dxa"/>
            <w:vAlign w:val="bottom"/>
            <w:vMerge w:val="restart"/>
          </w:tcPr>
          <w:p>
            <w:pPr>
              <w:ind w:left="20"/>
              <w:spacing w:after="0" w:line="139" w:lineRule="exact"/>
              <w:rPr>
                <w:sz w:val="20"/>
                <w:szCs w:val="20"/>
                <w:color w:val="auto"/>
              </w:rPr>
            </w:pPr>
            <w:r>
              <w:rPr>
                <w:rFonts w:ascii="Arial" w:cs="Arial" w:eastAsia="Arial" w:hAnsi="Arial"/>
                <w:sz w:val="13"/>
                <w:szCs w:val="13"/>
                <w:color w:val="0000FF"/>
              </w:rPr>
              <w:t>04/15/2024</w:t>
            </w: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vMerge w:val="continue"/>
          </w:tcPr>
          <w:p>
            <w:pPr>
              <w:spacing w:after="0"/>
              <w:rPr>
                <w:sz w:val="6"/>
                <w:szCs w:val="6"/>
                <w:color w:val="auto"/>
              </w:rPr>
            </w:pPr>
          </w:p>
        </w:tc>
        <w:tc>
          <w:tcPr>
            <w:tcW w:w="62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restart"/>
          </w:tcPr>
          <w:p>
            <w:pPr>
              <w:ind w:left="180"/>
              <w:spacing w:after="0" w:line="139" w:lineRule="exact"/>
              <w:rPr>
                <w:sz w:val="20"/>
                <w:szCs w:val="20"/>
                <w:color w:val="auto"/>
              </w:rPr>
            </w:pPr>
            <w:r>
              <w:rPr>
                <w:rFonts w:ascii="Arial" w:cs="Arial" w:eastAsia="Arial" w:hAnsi="Arial"/>
                <w:sz w:val="13"/>
                <w:szCs w:val="13"/>
                <w:color w:val="0000FF"/>
              </w:rPr>
              <w:t>par</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Units</w:t>
            </w: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value$.01</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900"/>
        <w:spacing w:after="0"/>
        <w:rPr>
          <w:sz w:val="20"/>
          <w:szCs w:val="20"/>
          <w:color w:val="auto"/>
        </w:rPr>
      </w:pPr>
      <w:r>
        <w:rPr>
          <w:rFonts w:ascii="Arial" w:cs="Arial" w:eastAsia="Arial" w:hAnsi="Arial"/>
          <w:sz w:val="13"/>
          <w:szCs w:val="13"/>
          <w:color w:val="0000FF"/>
        </w:rPr>
        <w:t>per share</w:t>
      </w:r>
    </w:p>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160" w:hanging="1"/>
        <w:spacing w:after="0" w:line="255"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April 15, 2020, Mr. Malcarney was issued 5,341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2021, 1,778 shares vested. Mr. Malcarney elected to satisfy his tax obligation upon the exchange of common stock for RSUs having a value on the date of the exchange equal to the withholding obligation. This form reflects the surrender of 861 shares of Class C Common Stock to satisfy the grantee's tax withholding obligation.</w:t>
      </w:r>
    </w:p>
    <w:p>
      <w:pPr>
        <w:spacing w:after="0" w:line="21" w:lineRule="exact"/>
        <w:rPr>
          <w:rFonts w:ascii="Arial" w:cs="Arial" w:eastAsia="Arial" w:hAnsi="Arial"/>
          <w:sz w:val="12"/>
          <w:szCs w:val="12"/>
          <w:color w:val="008000"/>
        </w:rPr>
      </w:pPr>
    </w:p>
    <w:p>
      <w:pPr>
        <w:jc w:val="both"/>
        <w:ind w:left="40" w:right="280" w:hanging="1"/>
        <w:spacing w:after="0" w:line="262"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79 DERs converted to Class C Common Stock, resulting in the reporting person holding 1,998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17" w:lineRule="exact"/>
        <w:rPr>
          <w:rFonts w:ascii="Arial" w:cs="Arial" w:eastAsia="Arial" w:hAnsi="Arial"/>
          <w:sz w:val="12"/>
          <w:szCs w:val="12"/>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RSUs issued to Mr. Malcarney under the LTIP.</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is equivalent in value to one share of Clearway Energy, Inc.'s Class C Common Stock, par value $.01 per share.</w:t>
      </w:r>
    </w:p>
    <w:p>
      <w:pPr>
        <w:spacing w:after="0" w:line="40" w:lineRule="exact"/>
        <w:rPr>
          <w:rFonts w:ascii="Arial" w:cs="Arial" w:eastAsia="Arial" w:hAnsi="Arial"/>
          <w:sz w:val="13"/>
          <w:szCs w:val="13"/>
          <w:color w:val="008000"/>
        </w:rPr>
      </w:pPr>
    </w:p>
    <w:p>
      <w:pPr>
        <w:ind w:left="40" w:right="220" w:hanging="1"/>
        <w:spacing w:after="0" w:line="242"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will receive from Clearway Energy, Inc. one such share of Class C Common Stock for each RSU that will vest ratably over a three-year period beginning on the first anniversary of the date of the grant.</w:t>
      </w:r>
    </w:p>
    <w:p>
      <w:pPr>
        <w:spacing w:after="0" w:line="28" w:lineRule="exact"/>
        <w:rPr>
          <w:rFonts w:ascii="Arial" w:cs="Arial" w:eastAsia="Arial" w:hAnsi="Arial"/>
          <w:sz w:val="13"/>
          <w:szCs w:val="13"/>
          <w:color w:val="008000"/>
        </w:rPr>
      </w:pPr>
    </w:p>
    <w:p>
      <w:pPr>
        <w:ind w:left="40" w:right="340" w:hanging="1"/>
        <w:spacing w:after="0" w:line="296" w:lineRule="auto"/>
        <w:tabs>
          <w:tab w:leader="none" w:pos="16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Reporting Person was issued 9,387 Relative Performance Stock Units ("RPSUs") by Clearway Energy, Inc. under the LTIP on April 15, 2021. The RPSUs will convert to shares of Clearway Energy, Inc. Class C Common Stock on April 15, 2024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p>
      <w:pPr>
        <w:spacing w:after="0" w:line="1" w:lineRule="exact"/>
        <w:rPr>
          <w:rFonts w:ascii="Arial" w:cs="Arial" w:eastAsia="Arial" w:hAnsi="Arial"/>
          <w:sz w:val="11"/>
          <w:szCs w:val="11"/>
          <w:color w:val="008000"/>
        </w:rPr>
      </w:pPr>
    </w:p>
    <w:p>
      <w:pPr>
        <w:ind w:left="40" w:right="140" w:hanging="1"/>
        <w:spacing w:after="0" w:line="252"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will receive (i) a maximum of 14,080 shares of Class C Common Stock if Company's TSR is ranked at or above the 75th percentile relative to a peer group of companies approved by the Company's Compensation Committee (the "Peer Group") for the performance period ("Maximum"); (ii) 9,387 shares of Class C Common Stock if Company's TSR is ranked at the 50th percentile relative to the Peer Group for the performance period (the "Target"); provided, however, if TSR is less than negative twenty percent (-20%), the Company's TSR must be ranked at the 60th percentile relative to the Peer Group for the performance period to receive the Target award; or (iii) 2,346 shares of Common Stock if Company's TSR is ranked at the 25th percentile relative to the Peer Group for the performance period (the "Threshold"). The Reporting Person will not receive any shares of Common Stock if Company's TSR is below the 25th percentile.</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50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92"/>
              </w:rPr>
              <w:t>/s/ Kevin P. Malcarney</w:t>
            </w:r>
          </w:p>
        </w:tc>
        <w:tc>
          <w:tcPr>
            <w:tcW w:w="70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89"/>
              </w:rPr>
              <w:t>04/19/2021</w:t>
            </w:r>
          </w:p>
        </w:tc>
      </w:tr>
      <w:tr>
        <w:trPr>
          <w:trHeight w:val="221"/>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27"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859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2021-04-19T16:17:48Z</dcterms:created>
  <dcterms:modified xsi:type="dcterms:W3CDTF">2021-04-19T16:17:48Z</dcterms:modified>
</cp:coreProperties>
</file>