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3,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LLC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517"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40" w:space="720"/>
            <w:col w:w="2720" w:space="720"/>
            <w:col w:w="3040"/>
          </w:cols>
          <w:pgMar w:left="320" w:top="517" w:right="339" w:bottom="1440" w:gutter="0" w:footer="0" w:header="0"/>
          <w:type w:val="continuous"/>
        </w:sectPr>
      </w:pPr>
    </w:p>
    <w:p>
      <w:pPr>
        <w:ind w:left="14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517" w:right="339" w:bottom="1440" w:gutter="0" w:footer="0" w:header="0"/>
          <w:type w:val="continuous"/>
        </w:sectPr>
      </w:pPr>
    </w:p>
    <w:p>
      <w:pPr>
        <w:spacing w:after="0" w:line="2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40" w:firstLine="8"/>
        <w:spacing w:after="0" w:line="498"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336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91"/>
              </w:rPr>
              <w:t>Trading Symbol(s)</w:t>
            </w:r>
          </w:p>
        </w:tc>
        <w:tc>
          <w:tcPr>
            <w:tcW w:w="418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70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3360" w:type="dxa"/>
            <w:vAlign w:val="bottom"/>
          </w:tcPr>
          <w:p>
            <w:pPr>
              <w:jc w:val="center"/>
              <w:ind w:left="430"/>
              <w:spacing w:after="0"/>
              <w:rPr>
                <w:sz w:val="20"/>
                <w:szCs w:val="20"/>
                <w:color w:val="auto"/>
              </w:rPr>
            </w:pPr>
            <w:r>
              <w:rPr>
                <w:rFonts w:ascii="Arial" w:cs="Arial" w:eastAsia="Arial" w:hAnsi="Arial"/>
                <w:sz w:val="18"/>
                <w:szCs w:val="18"/>
                <w:color w:val="auto"/>
                <w:w w:val="92"/>
              </w:rPr>
              <w:t>None</w:t>
            </w:r>
          </w:p>
        </w:tc>
        <w:tc>
          <w:tcPr>
            <w:tcW w:w="4180" w:type="dxa"/>
            <w:vAlign w:val="bottom"/>
          </w:tcPr>
          <w:p>
            <w:pPr>
              <w:jc w:val="center"/>
              <w:ind w:left="490"/>
              <w:spacing w:after="0"/>
              <w:rPr>
                <w:sz w:val="20"/>
                <w:szCs w:val="20"/>
                <w:color w:val="auto"/>
              </w:rPr>
            </w:pPr>
            <w:r>
              <w:rPr>
                <w:rFonts w:ascii="Arial" w:cs="Arial" w:eastAsia="Arial" w:hAnsi="Arial"/>
                <w:sz w:val="18"/>
                <w:szCs w:val="18"/>
                <w:color w:val="auto"/>
                <w:w w:val="92"/>
              </w:rPr>
              <w:t>None</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7600"/>
        <w:spacing w:after="0" w:line="207" w:lineRule="exact"/>
        <w:tabs>
          <w:tab w:leader="none" w:pos="97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Sixteenth Supplemental Indenture</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February 3, 2021, Clearway Energy Operating LLC (“Clearway Operating LLC”), a subsidiary of Clearway Energy LLC (“Clearway LLC”), the guarantors currently party to the 2026 Notes Indenture (defined below), CWSP Rattlesnake Holding LLC (the “Guaranteeing Subsidiary”) and Delaware Trust Company (as successor in interest to Law Debenture Trust Company of New York), as trustee (the “Trustee”), entered into the sixteenth supplemental indenture (the “Sixteenth Supplemental Indenture”), supplementing the indenture, dated as of August 18, 2016 (as amended or supplemented to the date hereof, the “2026 Notes Indenture”), by and among Clearway Operating LLC, the guarantors party thereto and the Trustee, pursuant to which Clearway Operating LLC issued $350,000,000 in aggregate principal amount of its 5.000% Senior Notes due 2026 (the “2026 Notes”). Pursuant to the Sixteenth Supplemental Indenture, the Guaranteeing Subsidiary became a guarantor of Clearway Operating LLC’s obligations under the 2026 Notes.</w:t>
      </w:r>
    </w:p>
    <w:p>
      <w:pPr>
        <w:spacing w:after="0" w:line="166"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foregoing description of the Sixteenth Supplemental Indenture does not purport to be complete and is qualified in its entirety by reference to the Sixteenth Supplemental Indenture, which is attached as Exhibit 4.1 to this Current Report on Form 8-K and is incorporated by reference herein.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Twelfth Supplemental Indenture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3, 2021, Clearway Operating LLC, the guarantors currently party to the 2025 Notes Indenture (defined below), the Guaranteeing Subsidiary and the Trustee also entered into the twelfth supplemental indenture (the “Twelfth Supplemental Indenture”), supplementing the indenture, dated as of October 1, 2018 (as amended or supplemented to the date hereof, the “2025 Notes Indenture”), by and among Clearway Operating LLC, the guarantors party thereto and the Trustee, pursuant to which Clearway Operating LLC issued $600,000,000 in aggregate principal amount of its 5.750% Senior Notes due 2025 (the “2025 Notes”). Pursuant to the Twelfth Supplemental Indenture, the Guaranteeing Subsidiary became a guarantor of Clearway Operating LLC’s obligations under the 2025 Notes.</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Twelfth Supplemental Indenture does not purport to be complete and is qualified in its entirety by reference to the Twelfth Supplemental Indenture, which is attached as Exhibit 4.2 to this Current Report on Form 8-K and is incorporated by reference herein.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Eighth Supplemental Indenture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3, 2021, Clearway Operating LLC, the guarantors currently party to the 2028 Notes Indenture (defined below), the Guaranteeing Subsidiary and the Trustee also entered into the eighth supplemental indenture (the “Eighth Supplemental Indenture”), supplementing the indenture, dated as of December 11, 2019 (as amended or supplemented to the date hereof, the “2028 Notes Indenture”), by and among Clearway Operating LLC, the guarantors party thereto and the Trustee, pursuant to which Clearway Operating LLC issued $850,000,000 in aggregate principal amount of its 4.750% Senior Notes due 2028 (the “2028 Notes”). Pursuant to the Eighth Supplemental Indenture, the Guaranteeing Subsidiary became a guarantor of Clearway Operating LLC’s obligations under the 2028 Notes.</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Eighth Supplemental Indenture does not purport to be complete and is qualified in its entirety by reference to the Eighth Supplemental Indenture, which is attached as Exhibit 4.3 to this Current Report on Form 8-K and is incorporated by reference herein.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1"/>
              </w:rPr>
              <w:t>Exhibit No.</w:t>
            </w:r>
          </w:p>
        </w:tc>
        <w:tc>
          <w:tcPr>
            <w:tcW w:w="240" w:type="dxa"/>
            <w:vAlign w:val="bottom"/>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7560" w:type="dxa"/>
            <w:vAlign w:val="bottom"/>
            <w:tcBorders>
              <w:bottom w:val="single" w:sz="8" w:color="auto"/>
            </w:tcBorders>
            <w:gridSpan w:val="2"/>
          </w:tcPr>
          <w:p>
            <w:pPr>
              <w:ind w:left="2280"/>
              <w:spacing w:after="0"/>
              <w:rPr>
                <w:sz w:val="20"/>
                <w:szCs w:val="20"/>
                <w:color w:val="auto"/>
              </w:rPr>
            </w:pPr>
            <w:r>
              <w:rPr>
                <w:rFonts w:ascii="Arial" w:cs="Arial" w:eastAsia="Arial" w:hAnsi="Arial"/>
                <w:sz w:val="18"/>
                <w:szCs w:val="18"/>
                <w:b w:val="1"/>
                <w:bCs w:val="1"/>
                <w:color w:val="auto"/>
              </w:rPr>
              <w:t>Document</w:t>
            </w:r>
          </w:p>
        </w:tc>
      </w:tr>
      <w:tr>
        <w:trPr>
          <w:trHeight w:val="385"/>
        </w:trPr>
        <w:tc>
          <w:tcPr>
            <w:tcW w:w="1240" w:type="dxa"/>
            <w:vAlign w:val="bottom"/>
          </w:tcPr>
          <w:p>
            <w:pPr>
              <w:jc w:val="right"/>
              <w:ind w:right="41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4.1</w:t>
              </w:r>
            </w:hyperlink>
          </w:p>
        </w:tc>
        <w:tc>
          <w:tcPr>
            <w:tcW w:w="240" w:type="dxa"/>
            <w:vAlign w:val="bottom"/>
          </w:tcPr>
          <w:p>
            <w:pPr>
              <w:spacing w:after="0"/>
              <w:rPr>
                <w:sz w:val="24"/>
                <w:szCs w:val="24"/>
                <w:color w:val="auto"/>
              </w:rPr>
            </w:pPr>
          </w:p>
        </w:tc>
        <w:tc>
          <w:tcPr>
            <w:tcW w:w="976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Sixteenth Supplemental Indenture, dated as of February 3, 2021, among Clearway Energy Operating LLC, the guarantors named</w:t>
              </w:r>
            </w:hyperlink>
          </w:p>
        </w:tc>
      </w:tr>
      <w:tr>
        <w:trPr>
          <w:trHeight w:val="222"/>
        </w:trPr>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60" w:type="dxa"/>
            <w:vAlign w:val="bottom"/>
            <w:gridSpan w:val="3"/>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therein and Delaware Trust Company (as successor in interest to Law Debenture Trust Company of New York).</w:t>
              </w:r>
            </w:hyperlink>
          </w:p>
        </w:tc>
      </w:tr>
      <w:tr>
        <w:trPr>
          <w:trHeight w:val="190"/>
        </w:trPr>
        <w:tc>
          <w:tcPr>
            <w:tcW w:w="1240" w:type="dxa"/>
            <w:vAlign w:val="bottom"/>
          </w:tcPr>
          <w:p>
            <w:pPr>
              <w:jc w:val="right"/>
              <w:ind w:right="410"/>
              <w:spacing w:after="0" w:line="190" w:lineRule="exact"/>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4.2</w:t>
              </w:r>
            </w:hyperlink>
          </w:p>
        </w:tc>
        <w:tc>
          <w:tcPr>
            <w:tcW w:w="240" w:type="dxa"/>
            <w:vAlign w:val="bottom"/>
          </w:tcPr>
          <w:p>
            <w:pPr>
              <w:spacing w:after="0"/>
              <w:rPr>
                <w:sz w:val="16"/>
                <w:szCs w:val="16"/>
                <w:color w:val="auto"/>
              </w:rPr>
            </w:pPr>
          </w:p>
        </w:tc>
        <w:tc>
          <w:tcPr>
            <w:tcW w:w="9760" w:type="dxa"/>
            <w:vAlign w:val="bottom"/>
            <w:gridSpan w:val="3"/>
          </w:tcPr>
          <w:p>
            <w:pPr>
              <w:spacing w:after="0" w:line="190"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Twelfth Supplemental Indenture, dated as of February 3, 2021, among Clearway Energy Operating LLC, the guarantors named therein</w:t>
              </w:r>
            </w:hyperlink>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and Delaware Trust Company.</w:t>
              </w:r>
            </w:hyperlink>
          </w:p>
        </w:tc>
        <w:tc>
          <w:tcPr>
            <w:tcW w:w="75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tcPr>
          <w:p>
            <w:pPr>
              <w:jc w:val="right"/>
              <w:ind w:right="410"/>
              <w:spacing w:after="0" w:line="196" w:lineRule="exact"/>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4.3</w:t>
              </w:r>
            </w:hyperlink>
          </w:p>
        </w:tc>
        <w:tc>
          <w:tcPr>
            <w:tcW w:w="240" w:type="dxa"/>
            <w:vAlign w:val="bottom"/>
          </w:tcPr>
          <w:p>
            <w:pPr>
              <w:spacing w:after="0"/>
              <w:rPr>
                <w:sz w:val="17"/>
                <w:szCs w:val="17"/>
                <w:color w:val="auto"/>
              </w:rPr>
            </w:pPr>
          </w:p>
        </w:tc>
        <w:tc>
          <w:tcPr>
            <w:tcW w:w="976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Eighth Supplemental Indenture, dated as of February 3, 2021, among Clearway Energy Operating LLC, the guarantors named therein</w:t>
              </w:r>
            </w:hyperlink>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and Delaware Trust Company.</w:t>
              </w:r>
            </w:hyperlink>
          </w:p>
        </w:tc>
        <w:tc>
          <w:tcPr>
            <w:tcW w:w="7560" w:type="dxa"/>
            <w:vAlign w:val="bottom"/>
            <w:gridSpan w:val="2"/>
          </w:tcPr>
          <w:p>
            <w:pPr>
              <w:spacing w:after="0"/>
              <w:rPr>
                <w:sz w:val="17"/>
                <w:szCs w:val="17"/>
                <w:color w:val="auto"/>
              </w:rPr>
            </w:pPr>
          </w:p>
        </w:tc>
      </w:tr>
    </w:tbl>
    <w:p>
      <w:pPr>
        <w:spacing w:after="0" w:line="13" w:lineRule="exact"/>
        <w:rPr>
          <w:sz w:val="20"/>
          <w:szCs w:val="20"/>
          <w:color w:val="auto"/>
        </w:rPr>
      </w:pPr>
    </w:p>
    <w:p>
      <w:pPr>
        <w:ind w:left="5580" w:right="3240" w:hanging="5086"/>
        <w:spacing w:after="0" w:line="778"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Clearway Energy LLC</w:t>
      </w:r>
    </w:p>
    <w:p>
      <w:pPr>
        <w:spacing w:after="0" w:line="2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5, 2021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4.1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SIXTEENTH SUPPLEMENTAL INDENTURE</w:t>
      </w:r>
    </w:p>
    <w:p>
      <w:pPr>
        <w:spacing w:after="0" w:line="22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SIXTEENTH SUPPLEMENTAL INDENTURE (this “</w:t>
      </w:r>
      <w:r>
        <w:rPr>
          <w:rFonts w:ascii="Arial" w:cs="Arial" w:eastAsia="Arial" w:hAnsi="Arial"/>
          <w:sz w:val="17"/>
          <w:szCs w:val="17"/>
          <w:i w:val="1"/>
          <w:iCs w:val="1"/>
          <w:color w:val="auto"/>
        </w:rPr>
        <w:t>Supplemental Indenture</w:t>
      </w:r>
      <w:r>
        <w:rPr>
          <w:rFonts w:ascii="Arial" w:cs="Arial" w:eastAsia="Arial" w:hAnsi="Arial"/>
          <w:sz w:val="17"/>
          <w:szCs w:val="17"/>
          <w:color w:val="auto"/>
        </w:rPr>
        <w:t>”), dated as of February 3, 2021, among CWSP Rattlesnake Holding LLC (the “</w:t>
      </w:r>
      <w:r>
        <w:rPr>
          <w:rFonts w:ascii="Arial" w:cs="Arial" w:eastAsia="Arial" w:hAnsi="Arial"/>
          <w:sz w:val="17"/>
          <w:szCs w:val="17"/>
          <w:i w:val="1"/>
          <w:iCs w:val="1"/>
          <w:color w:val="auto"/>
        </w:rPr>
        <w:t>Guaranteeing Subsidiary</w:t>
      </w:r>
      <w:r>
        <w:rPr>
          <w:rFonts w:ascii="Arial" w:cs="Arial" w:eastAsia="Arial" w:hAnsi="Arial"/>
          <w:sz w:val="17"/>
          <w:szCs w:val="17"/>
          <w:color w:val="auto"/>
        </w:rPr>
        <w:t>”), a subsidiary of Clearway Energy Operating LLC (or its permitted successor), a Delaware limited liability company (the “</w:t>
      </w:r>
      <w:r>
        <w:rPr>
          <w:rFonts w:ascii="Arial" w:cs="Arial" w:eastAsia="Arial" w:hAnsi="Arial"/>
          <w:sz w:val="17"/>
          <w:szCs w:val="17"/>
          <w:i w:val="1"/>
          <w:iCs w:val="1"/>
          <w:color w:val="auto"/>
        </w:rPr>
        <w:t>Company</w:t>
      </w:r>
      <w:r>
        <w:rPr>
          <w:rFonts w:ascii="Arial" w:cs="Arial" w:eastAsia="Arial" w:hAnsi="Arial"/>
          <w:sz w:val="17"/>
          <w:szCs w:val="17"/>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7"/>
          <w:szCs w:val="17"/>
          <w:i w:val="1"/>
          <w:iCs w:val="1"/>
          <w:color w:val="auto"/>
        </w:rPr>
        <w:t>Trustee</w:t>
      </w:r>
      <w:r>
        <w:rPr>
          <w:rFonts w:ascii="Arial" w:cs="Arial" w:eastAsia="Arial" w:hAnsi="Arial"/>
          <w:sz w:val="17"/>
          <w:szCs w:val="17"/>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18, 2016 providing for the issuance of 5.000% Senior Notes due 2026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4" w:lineRule="exact"/>
        <w:rPr>
          <w:sz w:val="20"/>
          <w:szCs w:val="20"/>
          <w:color w:val="auto"/>
        </w:rPr>
      </w:pPr>
    </w:p>
    <w:p>
      <w:pPr>
        <w:ind w:left="1280" w:hanging="624"/>
        <w:spacing w:after="0"/>
        <w:tabs>
          <w:tab w:leader="none" w:pos="1280" w:val="left"/>
        </w:tabs>
        <w:numPr>
          <w:ilvl w:val="0"/>
          <w:numId w:val="4"/>
        </w:numPr>
        <w:rPr>
          <w:rFonts w:ascii="Arial" w:cs="Arial" w:eastAsia="Arial" w:hAnsi="Arial"/>
          <w:sz w:val="17"/>
          <w:szCs w:val="17"/>
          <w:color w:val="010000"/>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010000"/>
        </w:rPr>
      </w:pPr>
    </w:p>
    <w:p>
      <w:pPr>
        <w:jc w:val="both"/>
        <w:ind w:firstLine="656"/>
        <w:spacing w:after="0" w:line="259" w:lineRule="auto"/>
        <w:tabs>
          <w:tab w:leader="none" w:pos="1246" w:val="left"/>
        </w:tabs>
        <w:numPr>
          <w:ilvl w:val="0"/>
          <w:numId w:val="4"/>
        </w:numPr>
        <w:rPr>
          <w:rFonts w:ascii="Arial" w:cs="Arial" w:eastAsia="Arial" w:hAnsi="Arial"/>
          <w:sz w:val="18"/>
          <w:szCs w:val="18"/>
          <w:color w:val="010000"/>
        </w:rPr>
      </w:pPr>
      <w:r>
        <w:rPr>
          <w:rFonts w:ascii="Arial" w:cs="Arial" w:eastAsia="Arial" w:hAnsi="Arial"/>
          <w:sz w:val="18"/>
          <w:szCs w:val="18"/>
          <w:color w:val="auto"/>
        </w:rPr>
        <w:t>AGREEMENT TO GUARANTEE. The Guaranteeing Subsidiary hereby becomes a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1288" w:val="left"/>
        </w:tabs>
        <w:numPr>
          <w:ilvl w:val="0"/>
          <w:numId w:val="4"/>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jc w:val="both"/>
        <w:ind w:left="-20" w:firstLine="656"/>
        <w:spacing w:after="0" w:line="263" w:lineRule="auto"/>
        <w:tabs>
          <w:tab w:leader="none" w:pos="1262" w:val="left"/>
        </w:tabs>
        <w:numPr>
          <w:ilvl w:val="0"/>
          <w:numId w:val="5"/>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3" w:lineRule="exact"/>
        <w:rPr>
          <w:rFonts w:ascii="Arial" w:cs="Arial" w:eastAsia="Arial" w:hAnsi="Arial"/>
          <w:sz w:val="18"/>
          <w:szCs w:val="18"/>
          <w:color w:val="010000"/>
        </w:rPr>
      </w:pPr>
    </w:p>
    <w:p>
      <w:pPr>
        <w:ind w:left="-20" w:right="20" w:firstLine="656"/>
        <w:spacing w:after="0" w:line="277" w:lineRule="auto"/>
        <w:tabs>
          <w:tab w:leader="none" w:pos="1257" w:val="left"/>
        </w:tabs>
        <w:numPr>
          <w:ilvl w:val="0"/>
          <w:numId w:val="5"/>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1320" w:hanging="684"/>
        <w:spacing w:after="0"/>
        <w:tabs>
          <w:tab w:leader="none" w:pos="1320" w:val="left"/>
        </w:tabs>
        <w:numPr>
          <w:ilvl w:val="0"/>
          <w:numId w:val="5"/>
        </w:numPr>
        <w:rPr>
          <w:rFonts w:ascii="Arial" w:cs="Arial" w:eastAsia="Arial" w:hAnsi="Arial"/>
          <w:sz w:val="18"/>
          <w:szCs w:val="18"/>
          <w:color w:val="010000"/>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010000"/>
        </w:rPr>
      </w:pPr>
    </w:p>
    <w:p>
      <w:pPr>
        <w:jc w:val="both"/>
        <w:ind w:left="-20" w:firstLine="656"/>
        <w:spacing w:after="0" w:line="263" w:lineRule="auto"/>
        <w:tabs>
          <w:tab w:leader="none" w:pos="1289" w:val="left"/>
        </w:tabs>
        <w:numPr>
          <w:ilvl w:val="0"/>
          <w:numId w:val="5"/>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3" w:lineRule="exact"/>
        <w:rPr>
          <w:rFonts w:ascii="Arial" w:cs="Arial" w:eastAsia="Arial" w:hAnsi="Arial"/>
          <w:sz w:val="18"/>
          <w:szCs w:val="18"/>
          <w:color w:val="010000"/>
        </w:rPr>
      </w:pPr>
    </w:p>
    <w:p>
      <w:pPr>
        <w:jc w:val="both"/>
        <w:ind w:left="-20" w:firstLine="656"/>
        <w:spacing w:after="0" w:line="259" w:lineRule="auto"/>
        <w:tabs>
          <w:tab w:leader="none" w:pos="1307" w:val="left"/>
        </w:tabs>
        <w:numPr>
          <w:ilvl w:val="0"/>
          <w:numId w:val="5"/>
        </w:numPr>
        <w:rPr>
          <w:rFonts w:ascii="Arial" w:cs="Arial" w:eastAsia="Arial" w:hAnsi="Arial"/>
          <w:sz w:val="18"/>
          <w:szCs w:val="18"/>
          <w:color w:val="010000"/>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6" w:lineRule="exact"/>
        <w:rPr>
          <w:rFonts w:ascii="Arial" w:cs="Arial" w:eastAsia="Arial" w:hAnsi="Arial"/>
          <w:sz w:val="18"/>
          <w:szCs w:val="18"/>
          <w:color w:val="010000"/>
        </w:rPr>
      </w:pPr>
    </w:p>
    <w:p>
      <w:pPr>
        <w:jc w:val="both"/>
        <w:ind w:left="-20" w:firstLine="656"/>
        <w:spacing w:after="0" w:line="268" w:lineRule="auto"/>
        <w:tabs>
          <w:tab w:leader="none" w:pos="1266" w:val="left"/>
        </w:tabs>
        <w:numPr>
          <w:ilvl w:val="0"/>
          <w:numId w:val="5"/>
        </w:numPr>
        <w:rPr>
          <w:rFonts w:ascii="Arial" w:cs="Arial" w:eastAsia="Arial" w:hAnsi="Arial"/>
          <w:sz w:val="17"/>
          <w:szCs w:val="17"/>
          <w:color w:val="010000"/>
        </w:rPr>
      </w:pPr>
      <w:r>
        <w:rPr>
          <w:rFonts w:ascii="Arial" w:cs="Arial" w:eastAsia="Arial" w:hAnsi="Arial"/>
          <w:sz w:val="17"/>
          <w:szCs w:val="17"/>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 person authorized on an incumbency certificate provided by the Company, any Guaranteeing Subsidiary or any other Guarantor to the Trustee shall be considered signed or executed by such person on behalf of the Company, such Guaranteeing Subsidiary, or such other Guarantor, as applicable. Each of the Company, the Guaranteeing Subsidiary,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5" w:name="page6"/>
    <w:bookmarkEnd w:id="5"/>
    <w:p>
      <w:pPr>
        <w:ind w:firstLine="1296"/>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CWSP RATTLESNAKE HOLDING LLC</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Chad Plotkin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-121920</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DGPV HOLDING LLC</w:t>
      </w:r>
    </w:p>
    <w:p>
      <w:pPr>
        <w:spacing w:after="0" w:line="21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Chad Plotkin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-121920</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Senior Vice President, Chief Financial Officer &amp;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Sixteenth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left="452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DAGGETT SOLAR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DG-CS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HONOLULU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LANGFORD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MESQUITE STAR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NIMH SOLAR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OCOTILLO WINDPOWER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ROSAMOND SOLAR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THERMAL INFRASTRUCTURE DEVELOPMENT HOLDINGS LLC</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UB FUEL CELL,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UTAH SOLAR MASTER HOLDCO LLC</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-121920</wp:posOffset>
            </wp:positionV>
            <wp:extent cx="32061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Sixteenth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740"/>
          </w:cols>
          <w:pgMar w:left="1440" w:top="908" w:right="7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DELAWARE TRUST COMPANY</w:t>
      </w:r>
    </w:p>
    <w:p>
      <w:pPr>
        <w:spacing w:after="0" w:line="225" w:lineRule="exact"/>
        <w:rPr>
          <w:sz w:val="20"/>
          <w:szCs w:val="20"/>
          <w:color w:val="auto"/>
        </w:rPr>
      </w:pPr>
    </w:p>
    <w:p>
      <w:pPr>
        <w:jc w:val="both"/>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Benjamin Hancock</w:t>
      </w:r>
    </w:p>
    <w:p>
      <w:pPr>
        <w:spacing w:after="0" w:line="36" w:lineRule="exact"/>
        <w:rPr>
          <w:sz w:val="20"/>
          <w:szCs w:val="20"/>
          <w:color w:val="auto"/>
        </w:rPr>
      </w:pPr>
    </w:p>
    <w:p>
      <w:pPr>
        <w:jc w:val="right"/>
        <w:ind w:right="8019"/>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206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ind w:right="25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Sixteenth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Exhibit 4.2</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TWELFTH SUPPLEMENTAL INDENTURE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TWELFTH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February 3, 2021, among CWSP Rattlesnake Holding LLC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 subsidiary of Clearway Energy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October 1, 2018 providing for the issuance of 5.750% Senior Notes due 2025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4" w:lineRule="exact"/>
        <w:rPr>
          <w:sz w:val="20"/>
          <w:szCs w:val="20"/>
          <w:color w:val="auto"/>
        </w:rPr>
      </w:pPr>
    </w:p>
    <w:p>
      <w:pPr>
        <w:ind w:left="1280" w:hanging="624"/>
        <w:spacing w:after="0"/>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jc w:val="both"/>
        <w:ind w:firstLine="656"/>
        <w:spacing w:after="0" w:line="259" w:lineRule="auto"/>
        <w:tabs>
          <w:tab w:leader="none" w:pos="1246" w:val="left"/>
        </w:tabs>
        <w:numPr>
          <w:ilvl w:val="0"/>
          <w:numId w:val="6"/>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becomes a party to the Indenture as a Guarantor and as such will have all the rights and be subject to all the Obligations and agreements of a Guarantor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7" w:lineRule="exact"/>
        <w:rPr>
          <w:rFonts w:ascii="Arial" w:cs="Arial" w:eastAsia="Arial" w:hAnsi="Arial"/>
          <w:sz w:val="18"/>
          <w:szCs w:val="18"/>
          <w:color w:val="auto"/>
        </w:rPr>
      </w:pPr>
    </w:p>
    <w:p>
      <w:pPr>
        <w:jc w:val="both"/>
        <w:ind w:firstLine="656"/>
        <w:spacing w:after="0" w:line="263" w:lineRule="auto"/>
        <w:tabs>
          <w:tab w:leader="none" w:pos="1282"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ind w:left="-656" w:firstLine="656"/>
        <w:spacing w:after="0" w:line="277" w:lineRule="auto"/>
        <w:tabs>
          <w:tab w:leader="none" w:pos="761" w:val="left"/>
        </w:tabs>
        <w:numPr>
          <w:ilvl w:val="0"/>
          <w:numId w:val="7"/>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684" w:hanging="684"/>
        <w:spacing w:after="0"/>
        <w:tabs>
          <w:tab w:leader="none" w:pos="684"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auto"/>
        </w:rPr>
      </w:pPr>
    </w:p>
    <w:p>
      <w:pPr>
        <w:jc w:val="both"/>
        <w:ind w:left="-656" w:firstLine="656"/>
        <w:spacing w:after="0" w:line="263" w:lineRule="auto"/>
        <w:tabs>
          <w:tab w:leader="none" w:pos="69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3" w:lineRule="exact"/>
        <w:rPr>
          <w:rFonts w:ascii="Arial" w:cs="Arial" w:eastAsia="Arial" w:hAnsi="Arial"/>
          <w:sz w:val="18"/>
          <w:szCs w:val="18"/>
          <w:color w:val="auto"/>
        </w:rPr>
      </w:pPr>
    </w:p>
    <w:p>
      <w:pPr>
        <w:jc w:val="both"/>
        <w:ind w:left="-656" w:firstLine="656"/>
        <w:spacing w:after="0" w:line="259" w:lineRule="auto"/>
        <w:tabs>
          <w:tab w:leader="none" w:pos="671"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6" w:lineRule="exact"/>
        <w:rPr>
          <w:rFonts w:ascii="Arial" w:cs="Arial" w:eastAsia="Arial" w:hAnsi="Arial"/>
          <w:sz w:val="18"/>
          <w:szCs w:val="18"/>
          <w:color w:val="auto"/>
        </w:rPr>
      </w:pPr>
    </w:p>
    <w:p>
      <w:pPr>
        <w:jc w:val="both"/>
        <w:ind w:left="-656" w:firstLine="656"/>
        <w:spacing w:after="0" w:line="268" w:lineRule="auto"/>
        <w:tabs>
          <w:tab w:leader="none" w:pos="631" w:val="left"/>
        </w:tabs>
        <w:numPr>
          <w:ilvl w:val="0"/>
          <w:numId w:val="7"/>
        </w:numPr>
        <w:rPr>
          <w:rFonts w:ascii="Arial" w:cs="Arial" w:eastAsia="Arial" w:hAnsi="Arial"/>
          <w:sz w:val="17"/>
          <w:szCs w:val="17"/>
          <w:color w:val="auto"/>
        </w:rPr>
      </w:pPr>
      <w:r>
        <w:rPr>
          <w:rFonts w:ascii="Arial" w:cs="Arial" w:eastAsia="Arial" w:hAnsi="Arial"/>
          <w:sz w:val="17"/>
          <w:szCs w:val="17"/>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 person authorized on an incumbency certificate provided by the Company, any Guaranteeing Subsidiary or any other Guarantor to the Trustee shall be considered signed or executed by such person on behalf of the Company, such Guaranteeing Subsidiary, or such other Guarantor, as applicable. Each of the Company, the Guaranteeing Subsidiary,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415925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0" w:name="page11"/>
    <w:bookmarkEnd w:id="10"/>
    <w:p>
      <w:pPr>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CWSP RATTLESNAKE HOLDING LLC</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DGPV HOLDING LLC</w:t>
      </w:r>
    </w:p>
    <w:p>
      <w:pPr>
        <w:spacing w:after="0" w:line="21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Vice President, Chief Financial Officer &amp; Treasurer</w:t>
      </w:r>
    </w:p>
    <w:p>
      <w:pPr>
        <w:spacing w:after="0" w:line="21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Twelfth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80"/>
          </w:cols>
          <w:pgMar w:left="320" w:top="908" w:right="899" w:bottom="1440" w:gutter="0" w:footer="0" w:header="0"/>
        </w:sectPr>
      </w:pPr>
    </w:p>
    <w:bookmarkStart w:id="11" w:name="page12"/>
    <w:bookmarkEnd w:id="11"/>
    <w:p>
      <w:pPr>
        <w:ind w:left="450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DAGGETT SOLAR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DG-CS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HONOLULU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LANGFORD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MESQUITE STAR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NIMH SOLAR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OCOTILLO WINDPOWER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ROSAMOND SOLAR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THERMAL INFRASTRUCTURE DEVELOPMENT HOLDINGS LLC</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UB FUEL CELL,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UTAH SOLAR MASTER HOLDCO LLC</w:t>
      </w:r>
    </w:p>
    <w:p>
      <w:pPr>
        <w:spacing w:after="0" w:line="21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Twelfth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720"/>
          </w:cols>
          <w:pgMar w:left="1440" w:top="908" w:right="7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DELAWARE TRUST COMPANY</w:t>
      </w:r>
    </w:p>
    <w:p>
      <w:pPr>
        <w:spacing w:after="0" w:line="225" w:lineRule="exact"/>
        <w:rPr>
          <w:sz w:val="20"/>
          <w:szCs w:val="20"/>
          <w:color w:val="auto"/>
        </w:rPr>
      </w:pPr>
    </w:p>
    <w:p>
      <w:pPr>
        <w:jc w:val="both"/>
        <w:spacing w:after="0"/>
        <w:tabs>
          <w:tab w:leader="none" w:pos="440" w:val="left"/>
        </w:tabs>
        <w:rPr>
          <w:sz w:val="20"/>
          <w:szCs w:val="20"/>
          <w:color w:val="auto"/>
        </w:rPr>
      </w:pPr>
      <w:r>
        <w:rPr>
          <w:rFonts w:ascii="Arial" w:cs="Arial" w:eastAsia="Arial" w:hAnsi="Arial"/>
          <w:sz w:val="18"/>
          <w:szCs w:val="18"/>
          <w:color w:val="auto"/>
        </w:rPr>
        <w:t>By:</w:t>
        <w:tab/>
        <w:t>/s/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jc w:val="right"/>
        <w:ind w:right="8119"/>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jc w:val="right"/>
        <w:ind w:right="26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Twelfth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3" w:name="page14"/>
    <w:bookmarkEnd w:id="13"/>
    <w:p>
      <w:pPr>
        <w:jc w:val="right"/>
        <w:spacing w:after="0"/>
        <w:rPr>
          <w:sz w:val="20"/>
          <w:szCs w:val="20"/>
          <w:color w:val="auto"/>
        </w:rPr>
      </w:pPr>
      <w:r>
        <w:rPr>
          <w:rFonts w:ascii="Arial" w:cs="Arial" w:eastAsia="Arial" w:hAnsi="Arial"/>
          <w:sz w:val="22"/>
          <w:szCs w:val="22"/>
          <w:b w:val="1"/>
          <w:bCs w:val="1"/>
          <w:color w:val="auto"/>
        </w:rPr>
        <w:t>Exhibit 4.3</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EIGHTH SUPPLEMENTAL INDENTURE</w:t>
      </w:r>
    </w:p>
    <w:p>
      <w:pPr>
        <w:spacing w:after="0" w:line="22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EIGHTH SUPPLEMENTAL INDENTURE (this “</w:t>
      </w:r>
      <w:r>
        <w:rPr>
          <w:rFonts w:ascii="Arial" w:cs="Arial" w:eastAsia="Arial" w:hAnsi="Arial"/>
          <w:sz w:val="17"/>
          <w:szCs w:val="17"/>
          <w:i w:val="1"/>
          <w:iCs w:val="1"/>
          <w:color w:val="auto"/>
        </w:rPr>
        <w:t>Supplemental Indenture</w:t>
      </w:r>
      <w:r>
        <w:rPr>
          <w:rFonts w:ascii="Arial" w:cs="Arial" w:eastAsia="Arial" w:hAnsi="Arial"/>
          <w:sz w:val="17"/>
          <w:szCs w:val="17"/>
          <w:color w:val="auto"/>
        </w:rPr>
        <w:t>”), dated as of February 3, 2021, among CWSP Rattlesnake Holding LLC (the “</w:t>
      </w:r>
      <w:r>
        <w:rPr>
          <w:rFonts w:ascii="Arial" w:cs="Arial" w:eastAsia="Arial" w:hAnsi="Arial"/>
          <w:sz w:val="17"/>
          <w:szCs w:val="17"/>
          <w:i w:val="1"/>
          <w:iCs w:val="1"/>
          <w:color w:val="auto"/>
        </w:rPr>
        <w:t>Guaranteeing Subsidiary</w:t>
      </w:r>
      <w:r>
        <w:rPr>
          <w:rFonts w:ascii="Arial" w:cs="Arial" w:eastAsia="Arial" w:hAnsi="Arial"/>
          <w:sz w:val="17"/>
          <w:szCs w:val="17"/>
          <w:color w:val="auto"/>
        </w:rPr>
        <w:t>”), a subsidiary of Clearway Energy Operating LLC (or its permitted successor), a Delaware limited liability company (the “</w:t>
      </w:r>
      <w:r>
        <w:rPr>
          <w:rFonts w:ascii="Arial" w:cs="Arial" w:eastAsia="Arial" w:hAnsi="Arial"/>
          <w:sz w:val="17"/>
          <w:szCs w:val="17"/>
          <w:i w:val="1"/>
          <w:iCs w:val="1"/>
          <w:color w:val="auto"/>
        </w:rPr>
        <w:t>Company</w:t>
      </w:r>
      <w:r>
        <w:rPr>
          <w:rFonts w:ascii="Arial" w:cs="Arial" w:eastAsia="Arial" w:hAnsi="Arial"/>
          <w:sz w:val="17"/>
          <w:szCs w:val="17"/>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7"/>
          <w:szCs w:val="17"/>
          <w:i w:val="1"/>
          <w:iCs w:val="1"/>
          <w:color w:val="auto"/>
        </w:rPr>
        <w:t>Trustee</w:t>
      </w:r>
      <w:r>
        <w:rPr>
          <w:rFonts w:ascii="Arial" w:cs="Arial" w:eastAsia="Arial" w:hAnsi="Arial"/>
          <w:sz w:val="17"/>
          <w:szCs w:val="17"/>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December 11, 2019 providing for the issuance of 4.750% Senior Notes due 2028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4" w:lineRule="exact"/>
        <w:rPr>
          <w:sz w:val="20"/>
          <w:szCs w:val="20"/>
          <w:color w:val="auto"/>
        </w:rPr>
      </w:pPr>
    </w:p>
    <w:p>
      <w:pPr>
        <w:ind w:left="1340" w:hanging="684"/>
        <w:spacing w:after="0"/>
        <w:tabs>
          <w:tab w:leader="none" w:pos="1340" w:val="left"/>
        </w:tabs>
        <w:numPr>
          <w:ilvl w:val="0"/>
          <w:numId w:val="8"/>
        </w:numPr>
        <w:rPr>
          <w:rFonts w:ascii="Arial" w:cs="Arial" w:eastAsia="Arial" w:hAnsi="Arial"/>
          <w:sz w:val="17"/>
          <w:szCs w:val="17"/>
          <w:color w:val="010000"/>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010000"/>
        </w:rPr>
      </w:pPr>
    </w:p>
    <w:p>
      <w:pPr>
        <w:jc w:val="both"/>
        <w:ind w:firstLine="656"/>
        <w:spacing w:after="0" w:line="259" w:lineRule="auto"/>
        <w:tabs>
          <w:tab w:leader="none" w:pos="1399" w:val="left"/>
        </w:tabs>
        <w:numPr>
          <w:ilvl w:val="0"/>
          <w:numId w:val="8"/>
        </w:numPr>
        <w:rPr>
          <w:rFonts w:ascii="Arial" w:cs="Arial" w:eastAsia="Arial" w:hAnsi="Arial"/>
          <w:sz w:val="18"/>
          <w:szCs w:val="18"/>
          <w:color w:val="010000"/>
        </w:rPr>
      </w:pPr>
      <w:r>
        <w:rPr>
          <w:rFonts w:ascii="Arial" w:cs="Arial" w:eastAsia="Arial" w:hAnsi="Arial"/>
          <w:sz w:val="18"/>
          <w:szCs w:val="18"/>
          <w:color w:val="auto"/>
        </w:rPr>
        <w:t>AGREEMENT TO GUARANTEE. The Guaranteeing Subsidiary hereby becomes a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1318" w:val="left"/>
        </w:tabs>
        <w:numPr>
          <w:ilvl w:val="0"/>
          <w:numId w:val="8"/>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jc w:val="both"/>
        <w:ind w:left="-656" w:firstLine="656"/>
        <w:spacing w:after="0" w:line="263" w:lineRule="auto"/>
        <w:tabs>
          <w:tab w:leader="none" w:pos="658" w:val="left"/>
        </w:tabs>
        <w:numPr>
          <w:ilvl w:val="0"/>
          <w:numId w:val="9"/>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3" w:lineRule="exact"/>
        <w:rPr>
          <w:rFonts w:ascii="Arial" w:cs="Arial" w:eastAsia="Arial" w:hAnsi="Arial"/>
          <w:sz w:val="18"/>
          <w:szCs w:val="18"/>
          <w:color w:val="010000"/>
        </w:rPr>
      </w:pPr>
    </w:p>
    <w:p>
      <w:pPr>
        <w:ind w:left="-656" w:firstLine="656"/>
        <w:spacing w:after="0" w:line="277" w:lineRule="auto"/>
        <w:tabs>
          <w:tab w:leader="none" w:pos="761" w:val="left"/>
        </w:tabs>
        <w:numPr>
          <w:ilvl w:val="0"/>
          <w:numId w:val="9"/>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684" w:hanging="684"/>
        <w:spacing w:after="0"/>
        <w:tabs>
          <w:tab w:leader="none" w:pos="684" w:val="left"/>
        </w:tabs>
        <w:numPr>
          <w:ilvl w:val="0"/>
          <w:numId w:val="9"/>
        </w:numPr>
        <w:rPr>
          <w:rFonts w:ascii="Arial" w:cs="Arial" w:eastAsia="Arial" w:hAnsi="Arial"/>
          <w:sz w:val="18"/>
          <w:szCs w:val="18"/>
          <w:color w:val="010000"/>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010000"/>
        </w:rPr>
      </w:pPr>
    </w:p>
    <w:p>
      <w:pPr>
        <w:jc w:val="both"/>
        <w:ind w:left="-656" w:firstLine="656"/>
        <w:spacing w:after="0" w:line="263" w:lineRule="auto"/>
        <w:tabs>
          <w:tab w:leader="none" w:pos="698" w:val="left"/>
        </w:tabs>
        <w:numPr>
          <w:ilvl w:val="0"/>
          <w:numId w:val="9"/>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3" w:lineRule="exact"/>
        <w:rPr>
          <w:rFonts w:ascii="Arial" w:cs="Arial" w:eastAsia="Arial" w:hAnsi="Arial"/>
          <w:sz w:val="18"/>
          <w:szCs w:val="18"/>
          <w:color w:val="010000"/>
        </w:rPr>
      </w:pPr>
    </w:p>
    <w:p>
      <w:pPr>
        <w:jc w:val="both"/>
        <w:ind w:left="-656" w:firstLine="656"/>
        <w:spacing w:after="0" w:line="259" w:lineRule="auto"/>
        <w:tabs>
          <w:tab w:leader="none" w:pos="671" w:val="left"/>
        </w:tabs>
        <w:numPr>
          <w:ilvl w:val="0"/>
          <w:numId w:val="9"/>
        </w:numPr>
        <w:rPr>
          <w:rFonts w:ascii="Arial" w:cs="Arial" w:eastAsia="Arial" w:hAnsi="Arial"/>
          <w:sz w:val="18"/>
          <w:szCs w:val="18"/>
          <w:color w:val="010000"/>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6" w:lineRule="exact"/>
        <w:rPr>
          <w:rFonts w:ascii="Arial" w:cs="Arial" w:eastAsia="Arial" w:hAnsi="Arial"/>
          <w:sz w:val="18"/>
          <w:szCs w:val="18"/>
          <w:color w:val="010000"/>
        </w:rPr>
      </w:pPr>
    </w:p>
    <w:p>
      <w:pPr>
        <w:jc w:val="both"/>
        <w:ind w:left="-656" w:firstLine="656"/>
        <w:spacing w:after="0" w:line="268" w:lineRule="auto"/>
        <w:tabs>
          <w:tab w:leader="none" w:pos="631" w:val="left"/>
        </w:tabs>
        <w:numPr>
          <w:ilvl w:val="0"/>
          <w:numId w:val="9"/>
        </w:numPr>
        <w:rPr>
          <w:rFonts w:ascii="Arial" w:cs="Arial" w:eastAsia="Arial" w:hAnsi="Arial"/>
          <w:sz w:val="17"/>
          <w:szCs w:val="17"/>
          <w:color w:val="010000"/>
        </w:rPr>
      </w:pPr>
      <w:r>
        <w:rPr>
          <w:rFonts w:ascii="Arial" w:cs="Arial" w:eastAsia="Arial" w:hAnsi="Arial"/>
          <w:sz w:val="17"/>
          <w:szCs w:val="17"/>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 person authorized on an incumbency certificate provided by the Company, any Guaranteeing Subsidiary or any other Guarantor to the Trustee shall be considered signed or executed by such person on behalf of the Company, such Guaranteeing Subsidiary, or such other Guarantor, as applicable. Each of the Company, the Guaranteeing Subsidiary,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415925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5" w:name="page16"/>
    <w:bookmarkEnd w:id="15"/>
    <w:p>
      <w:pPr>
        <w:ind w:firstLine="1296"/>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CWSP RATTLESNAKE HOLDING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DGPV HOLDING LLC</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Senior Vice President, Chief Financial Officer &amp;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Eighth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left="450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DAGGETT SOLAR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DG-CS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HONOLULU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LANGFORD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MESQUITE STAR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NIMH SOLAR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OCOTILLO WINDPOWER HOLDINGS</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ROSAMOND SOLAR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THERMAL INFRASTRUCTURE DEVELOPMENT HOLDINGS LLC</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UB FUEL CELL,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UTAH SOLAR MASTER HOLDCO LLC</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&amp; Treasurer</w:t>
      </w:r>
    </w:p>
    <w:p>
      <w:pPr>
        <w:spacing w:after="0" w:line="231"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Eighth Supplemental Indenture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452755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40"/>
          </w:cols>
          <w:pgMar w:left="1440" w:top="908" w:right="71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DELAWARE TRUST COMPANY</w:t>
      </w:r>
    </w:p>
    <w:p>
      <w:pPr>
        <w:spacing w:after="0" w:line="225" w:lineRule="exact"/>
        <w:rPr>
          <w:sz w:val="20"/>
          <w:szCs w:val="20"/>
          <w:color w:val="auto"/>
        </w:rPr>
      </w:pPr>
    </w:p>
    <w:p>
      <w:pPr>
        <w:jc w:val="both"/>
        <w:spacing w:after="0"/>
        <w:tabs>
          <w:tab w:leader="none" w:pos="440" w:val="left"/>
        </w:tabs>
        <w:rPr>
          <w:sz w:val="20"/>
          <w:szCs w:val="20"/>
          <w:color w:val="auto"/>
        </w:rPr>
      </w:pPr>
      <w:r>
        <w:rPr>
          <w:rFonts w:ascii="Arial" w:cs="Arial" w:eastAsia="Arial" w:hAnsi="Arial"/>
          <w:sz w:val="18"/>
          <w:szCs w:val="18"/>
          <w:color w:val="auto"/>
        </w:rPr>
        <w:t>By:</w:t>
        <w:tab/>
        <w:t>/s/ Benjamin Hancock</w:t>
      </w:r>
    </w:p>
    <w:p>
      <w:pPr>
        <w:spacing w:after="0" w:line="23" w:lineRule="exact"/>
        <w:rPr>
          <w:sz w:val="20"/>
          <w:szCs w:val="20"/>
          <w:color w:val="auto"/>
        </w:rPr>
      </w:pPr>
    </w:p>
    <w:p>
      <w:pPr>
        <w:jc w:val="right"/>
        <w:ind w:right="8119"/>
        <w:spacing w:after="0"/>
        <w:rPr>
          <w:sz w:val="20"/>
          <w:szCs w:val="20"/>
          <w:color w:val="auto"/>
        </w:rPr>
      </w:pPr>
      <w:r>
        <w:rPr>
          <w:rFonts w:ascii="Arial" w:cs="Arial" w:eastAsia="Arial" w:hAnsi="Arial"/>
          <w:sz w:val="18"/>
          <w:szCs w:val="18"/>
          <w:color w:val="auto"/>
        </w:rPr>
        <w:t>Authorized Signatory</w:t>
      </w:r>
    </w:p>
    <w:p>
      <w:pPr>
        <w:spacing w:after="0" w:line="211" w:lineRule="exact"/>
        <w:rPr>
          <w:sz w:val="20"/>
          <w:szCs w:val="20"/>
          <w:color w:val="auto"/>
        </w:rPr>
      </w:pPr>
    </w:p>
    <w:p>
      <w:pPr>
        <w:jc w:val="right"/>
        <w:ind w:right="26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Eighth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1"/>
      <w:numFmt w:val="decimal"/>
      <w:start w:val="104"/>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4"/>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5"/>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2021-02-05T15:51:28Z</dcterms:created>
  <dcterms:modified xsi:type="dcterms:W3CDTF">2021-02-05T15:51:28Z</dcterms:modified>
</cp:coreProperties>
</file>