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Courier New" w:cs="Courier New" w:eastAsia="Courier New" w:hAnsi="Courier New"/>
          <w:sz w:val="19"/>
          <w:szCs w:val="19"/>
          <w:color w:val="auto"/>
        </w:rPr>
        <w:t>us18539c1053_020119.txt</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SECURITIES AND EXCHANGE COMMISSION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Washington, D.C. 20549</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Under the Securities Exchange Act of 1934</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(Amendment No: 3 )</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CLEARWAY ENERGY INC CLASS A</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(Name of Issuer)</w:t>
      </w:r>
    </w:p>
    <w:p>
      <w:pPr>
        <w:spacing w:after="0" w:line="212" w:lineRule="exact"/>
        <w:rPr>
          <w:sz w:val="24"/>
          <w:szCs w:val="24"/>
          <w:color w:val="auto"/>
        </w:rPr>
      </w:pPr>
    </w:p>
    <w:p>
      <w:pPr>
        <w:ind w:left="106"/>
        <w:spacing w:after="0"/>
        <w:tabs>
          <w:tab w:leader="none" w:pos="1086" w:val="left"/>
        </w:tabs>
        <w:rPr>
          <w:sz w:val="20"/>
          <w:szCs w:val="20"/>
          <w:color w:val="auto"/>
        </w:rPr>
      </w:pPr>
      <w:r>
        <w:rPr>
          <w:rFonts w:ascii="Courier New" w:cs="Courier New" w:eastAsia="Courier New" w:hAnsi="Courier New"/>
          <w:sz w:val="19"/>
          <w:szCs w:val="19"/>
          <w:color w:val="auto"/>
        </w:rPr>
        <w:t>Class A</w:t>
      </w:r>
      <w:r>
        <w:rPr>
          <w:sz w:val="20"/>
          <w:szCs w:val="20"/>
          <w:color w:val="auto"/>
        </w:rPr>
        <w:tab/>
      </w:r>
      <w:r>
        <w:rPr>
          <w:rFonts w:ascii="Courier New" w:cs="Courier New" w:eastAsia="Courier New" w:hAnsi="Courier New"/>
          <w:sz w:val="18"/>
          <w:szCs w:val="18"/>
          <w:color w:val="auto"/>
        </w:rPr>
        <w:t>Common Stock</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(Title of Class of Securities)</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18539C105</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(CUSIP Number)</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December 31, 2018</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19" w:lineRule="exact"/>
        <w:rPr>
          <w:sz w:val="24"/>
          <w:szCs w:val="24"/>
          <w:color w:val="auto"/>
        </w:rPr>
      </w:pPr>
    </w:p>
    <w:p>
      <w:pPr>
        <w:ind w:left="6" w:right="4120"/>
        <w:spacing w:after="0" w:line="235" w:lineRule="auto"/>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20"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0" w:lineRule="exact"/>
        <w:rPr>
          <w:sz w:val="24"/>
          <w:szCs w:val="24"/>
          <w:color w:val="auto"/>
        </w:rPr>
      </w:pPr>
    </w:p>
    <w:p>
      <w:pPr>
        <w:spacing w:after="0" w:line="222" w:lineRule="exact"/>
        <w:rPr>
          <w:sz w:val="24"/>
          <w:szCs w:val="24"/>
          <w:color w:val="auto"/>
        </w:rPr>
      </w:pPr>
    </w:p>
    <w:p>
      <w:pPr>
        <w:ind w:left="6" w:right="4340"/>
        <w:spacing w:after="0" w:line="251"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w:t>
      </w:r>
    </w:p>
    <w:p>
      <w:pPr>
        <w:ind w:left="6"/>
        <w:spacing w:after="0" w:line="235" w:lineRule="auto"/>
        <w:rPr>
          <w:sz w:val="20"/>
          <w:szCs w:val="20"/>
          <w:color w:val="auto"/>
        </w:rPr>
      </w:pPr>
      <w:r>
        <w:rPr>
          <w:rFonts w:ascii="Courier New" w:cs="Courier New" w:eastAsia="Courier New" w:hAnsi="Courier New"/>
          <w:sz w:val="19"/>
          <w:szCs w:val="19"/>
          <w:color w:val="auto"/>
        </w:rPr>
        <w:t>would alter the disclosures provided in a prior cover page.</w:t>
      </w:r>
    </w:p>
    <w:p>
      <w:pPr>
        <w:spacing w:after="0" w:line="220" w:lineRule="exact"/>
        <w:rPr>
          <w:sz w:val="24"/>
          <w:szCs w:val="24"/>
          <w:color w:val="auto"/>
        </w:rPr>
      </w:pPr>
    </w:p>
    <w:p>
      <w:pPr>
        <w:ind w:left="6" w:right="4560"/>
        <w:spacing w:after="0" w:line="252"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6"/>
        <w:spacing w:after="0"/>
        <w:tabs>
          <w:tab w:leader="none" w:pos="1306" w:val="left"/>
        </w:tabs>
        <w:rPr>
          <w:sz w:val="20"/>
          <w:szCs w:val="20"/>
          <w:color w:val="auto"/>
        </w:rPr>
      </w:pPr>
      <w:r>
        <w:rPr>
          <w:rFonts w:ascii="Courier New" w:cs="Courier New" w:eastAsia="Courier New" w:hAnsi="Courier New"/>
          <w:sz w:val="19"/>
          <w:szCs w:val="19"/>
          <w:color w:val="auto"/>
        </w:rPr>
        <w:t>CUSIP No.</w:t>
      </w:r>
      <w:r>
        <w:rPr>
          <w:sz w:val="20"/>
          <w:szCs w:val="20"/>
          <w:color w:val="auto"/>
        </w:rPr>
        <w:tab/>
      </w:r>
      <w:r>
        <w:rPr>
          <w:rFonts w:ascii="Courier New" w:cs="Courier New" w:eastAsia="Courier New" w:hAnsi="Courier New"/>
          <w:sz w:val="18"/>
          <w:szCs w:val="18"/>
          <w:color w:val="auto"/>
        </w:rPr>
        <w:t>18539C105</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(1)Names of reporting persons. BlackRock, Inc.</w:t>
      </w:r>
    </w:p>
    <w:p>
      <w:pPr>
        <w:spacing w:after="0" w:line="200" w:lineRule="exact"/>
        <w:rPr>
          <w:sz w:val="24"/>
          <w:szCs w:val="24"/>
          <w:color w:val="auto"/>
        </w:rPr>
      </w:pPr>
    </w:p>
    <w:p>
      <w:pPr>
        <w:spacing w:after="0" w:line="227" w:lineRule="exact"/>
        <w:rPr>
          <w:sz w:val="24"/>
          <w:szCs w:val="24"/>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(a) [  ]</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(b) [X]</w:t>
      </w:r>
    </w:p>
    <w:p>
      <w:pPr>
        <w:spacing w:after="0" w:line="200" w:lineRule="exact"/>
        <w:rPr>
          <w:rFonts w:ascii="Courier New" w:cs="Courier New" w:eastAsia="Courier New" w:hAnsi="Courier New"/>
          <w:sz w:val="19"/>
          <w:szCs w:val="19"/>
          <w:color w:val="auto"/>
        </w:rPr>
      </w:pPr>
    </w:p>
    <w:p>
      <w:pPr>
        <w:spacing w:after="0" w:line="226"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Citizenship or place of organization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Delaware</w:t>
      </w:r>
    </w:p>
    <w:p>
      <w:pPr>
        <w:spacing w:after="0" w:line="219"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(5) Sole voting power</w:t>
      </w:r>
    </w:p>
    <w:p>
      <w:pPr>
        <w:sectPr>
          <w:pgSz w:w="12240" w:h="15840" w:orient="portrait"/>
          <w:cols w:equalWidth="0" w:num="1">
            <w:col w:w="10686"/>
          </w:cols>
          <w:pgMar w:left="114" w:top="109" w:right="1440" w:bottom="0" w:gutter="0" w:footer="0" w:header="0"/>
        </w:sectPr>
      </w:pPr>
    </w:p>
    <w:bookmarkStart w:id="1" w:name="page2"/>
    <w:bookmarkEnd w:id="1"/>
    <w:p>
      <w:pPr>
        <w:ind w:left="106"/>
        <w:spacing w:after="0" w:line="235" w:lineRule="auto"/>
        <w:rPr>
          <w:sz w:val="20"/>
          <w:szCs w:val="20"/>
          <w:color w:val="auto"/>
        </w:rPr>
      </w:pPr>
      <w:r>
        <w:rPr>
          <w:rFonts w:ascii="Courier New" w:cs="Courier New" w:eastAsia="Courier New" w:hAnsi="Courier New"/>
          <w:sz w:val="19"/>
          <w:szCs w:val="19"/>
          <w:color w:val="auto"/>
        </w:rPr>
        <w:t>3005926</w:t>
      </w:r>
    </w:p>
    <w:p>
      <w:pPr>
        <w:spacing w:after="0" w:line="213" w:lineRule="exact"/>
        <w:rPr>
          <w:sz w:val="20"/>
          <w:szCs w:val="20"/>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voting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780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dispositive power 3274679</w:t>
      </w:r>
    </w:p>
    <w:p>
      <w:pPr>
        <w:spacing w:after="0" w:line="7"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dispositive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356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 3274679</w:t>
      </w:r>
    </w:p>
    <w:p>
      <w:pPr>
        <w:spacing w:after="0" w:line="7"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if the aggregate amount in Row (9) excludes certain shares</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9.5%</w:t>
      </w:r>
    </w:p>
    <w:p>
      <w:pPr>
        <w:spacing w:after="0" w:line="213" w:lineRule="exact"/>
        <w:rPr>
          <w:sz w:val="20"/>
          <w:szCs w:val="20"/>
          <w:color w:val="auto"/>
        </w:rPr>
      </w:pPr>
    </w:p>
    <w:p>
      <w:pPr>
        <w:ind w:left="566" w:hanging="566"/>
        <w:spacing w:after="0"/>
        <w:tabs>
          <w:tab w:leader="none" w:pos="56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w:t>
      </w:r>
    </w:p>
    <w:p>
      <w:pPr>
        <w:spacing w:after="0" w:line="212" w:lineRule="exact"/>
        <w:rPr>
          <w:rFonts w:ascii="Courier New" w:cs="Courier New" w:eastAsia="Courier New" w:hAnsi="Courier New"/>
          <w:sz w:val="19"/>
          <w:szCs w:val="19"/>
          <w:color w:val="auto"/>
        </w:rPr>
      </w:pPr>
    </w:p>
    <w:p>
      <w:pPr>
        <w:ind w:left="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CLEARWAY ENERGY INC CLASS A</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300 CARNEGIE CENTER, SUIT 300</w:t>
      </w:r>
    </w:p>
    <w:p>
      <w:pPr>
        <w:ind w:left="6"/>
        <w:spacing w:after="0" w:line="238" w:lineRule="auto"/>
        <w:rPr>
          <w:sz w:val="20"/>
          <w:szCs w:val="20"/>
          <w:color w:val="auto"/>
        </w:rPr>
      </w:pPr>
      <w:r>
        <w:rPr>
          <w:rFonts w:ascii="Courier New" w:cs="Courier New" w:eastAsia="Courier New" w:hAnsi="Courier New"/>
          <w:sz w:val="19"/>
          <w:szCs w:val="19"/>
          <w:color w:val="auto"/>
        </w:rPr>
        <w:t>PRINCETON NY 08540</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2(a) Name of person filing:</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2(b) Address or principal business office or, if none, residence:</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ind w:left="6"/>
        <w:spacing w:after="0" w:line="238" w:lineRule="auto"/>
        <w:rPr>
          <w:sz w:val="20"/>
          <w:szCs w:val="20"/>
          <w:color w:val="auto"/>
        </w:rPr>
      </w:pPr>
      <w:r>
        <w:rPr>
          <w:rFonts w:ascii="Courier New" w:cs="Courier New" w:eastAsia="Courier New" w:hAnsi="Courier New"/>
          <w:sz w:val="19"/>
          <w:szCs w:val="19"/>
          <w:color w:val="auto"/>
        </w:rPr>
        <w:t>55 East 52nd Street</w:t>
      </w:r>
    </w:p>
    <w:p>
      <w:pPr>
        <w:ind w:left="6"/>
        <w:spacing w:after="0"/>
        <w:rPr>
          <w:sz w:val="20"/>
          <w:szCs w:val="20"/>
          <w:color w:val="auto"/>
        </w:rPr>
      </w:pPr>
      <w:r>
        <w:rPr>
          <w:rFonts w:ascii="Courier New" w:cs="Courier New" w:eastAsia="Courier New" w:hAnsi="Courier New"/>
          <w:sz w:val="19"/>
          <w:szCs w:val="19"/>
          <w:color w:val="auto"/>
        </w:rPr>
        <w:t>New York, NY 10055</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2(c) Citizenship:</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106"/>
        <w:spacing w:after="0"/>
        <w:rPr>
          <w:sz w:val="20"/>
          <w:szCs w:val="20"/>
          <w:color w:val="auto"/>
        </w:rPr>
      </w:pPr>
      <w:r>
        <w:rPr>
          <w:rFonts w:ascii="Courier New" w:cs="Courier New" w:eastAsia="Courier New" w:hAnsi="Courier New"/>
          <w:sz w:val="19"/>
          <w:szCs w:val="19"/>
          <w:color w:val="auto"/>
        </w:rPr>
        <w:t>See Item 4 of Cover Page</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2(d) Title of class of securities:</w:t>
      </w:r>
    </w:p>
    <w:p>
      <w:pPr>
        <w:ind w:left="6"/>
        <w:spacing w:after="0" w:line="238" w:lineRule="auto"/>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ind w:left="106"/>
        <w:spacing w:after="0"/>
        <w:tabs>
          <w:tab w:leader="none" w:pos="1086" w:val="left"/>
        </w:tabs>
        <w:rPr>
          <w:sz w:val="20"/>
          <w:szCs w:val="20"/>
          <w:color w:val="auto"/>
        </w:rPr>
      </w:pPr>
      <w:r>
        <w:rPr>
          <w:rFonts w:ascii="Courier New" w:cs="Courier New" w:eastAsia="Courier New" w:hAnsi="Courier New"/>
          <w:sz w:val="19"/>
          <w:szCs w:val="19"/>
          <w:color w:val="auto"/>
        </w:rPr>
        <w:t>Class A</w:t>
      </w:r>
      <w:r>
        <w:rPr>
          <w:sz w:val="20"/>
          <w:szCs w:val="20"/>
          <w:color w:val="auto"/>
        </w:rPr>
        <w:tab/>
      </w:r>
      <w:r>
        <w:rPr>
          <w:rFonts w:ascii="Courier New" w:cs="Courier New" w:eastAsia="Courier New" w:hAnsi="Courier New"/>
          <w:sz w:val="18"/>
          <w:szCs w:val="18"/>
          <w:color w:val="auto"/>
        </w:rPr>
        <w:t>Common Stock</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2(e) CUSIP No.:</w:t>
      </w:r>
    </w:p>
    <w:p>
      <w:pPr>
        <w:ind w:left="6"/>
        <w:spacing w:after="0" w:line="238" w:lineRule="auto"/>
        <w:rPr>
          <w:sz w:val="20"/>
          <w:szCs w:val="20"/>
          <w:color w:val="auto"/>
        </w:rPr>
      </w:pPr>
      <w:r>
        <w:rPr>
          <w:rFonts w:ascii="Courier New" w:cs="Courier New" w:eastAsia="Courier New" w:hAnsi="Courier New"/>
          <w:sz w:val="19"/>
          <w:szCs w:val="19"/>
          <w:color w:val="auto"/>
        </w:rPr>
        <w:t>See Cover Page</w:t>
      </w:r>
    </w:p>
    <w:p>
      <w:pPr>
        <w:sectPr>
          <w:pgSz w:w="12240" w:h="15840" w:orient="portrait"/>
          <w:cols w:equalWidth="0" w:num="1">
            <w:col w:w="10686"/>
          </w:cols>
          <w:pgMar w:left="114" w:top="0" w:right="1440" w:bottom="0" w:gutter="0" w:footer="0" w:header="0"/>
        </w:sectPr>
      </w:pPr>
    </w:p>
    <w:bookmarkStart w:id="2" w:name="page3"/>
    <w:bookmarkEnd w:id="2"/>
    <w:p>
      <w:pPr>
        <w:ind w:left="6"/>
        <w:spacing w:after="0"/>
        <w:rPr>
          <w:sz w:val="20"/>
          <w:szCs w:val="20"/>
          <w:color w:val="auto"/>
        </w:rPr>
      </w:pPr>
      <w:r>
        <w:rPr>
          <w:rFonts w:ascii="Courier New" w:cs="Courier New" w:eastAsia="Courier New" w:hAnsi="Courier New"/>
          <w:sz w:val="19"/>
          <w:szCs w:val="19"/>
          <w:color w:val="auto"/>
        </w:rPr>
        <w:t>Item 3.</w:t>
      </w:r>
    </w:p>
    <w:p>
      <w:pPr>
        <w:spacing w:after="0" w:line="219" w:lineRule="exact"/>
        <w:rPr>
          <w:sz w:val="20"/>
          <w:szCs w:val="20"/>
          <w:color w:val="auto"/>
        </w:rPr>
      </w:pPr>
    </w:p>
    <w:p>
      <w:pPr>
        <w:ind w:left="6" w:right="2460"/>
        <w:spacing w:after="0" w:line="235" w:lineRule="auto"/>
        <w:rPr>
          <w:sz w:val="20"/>
          <w:szCs w:val="20"/>
          <w:color w:val="auto"/>
        </w:rPr>
      </w:pPr>
      <w:r>
        <w:rPr>
          <w:rFonts w:ascii="Courier New" w:cs="Courier New" w:eastAsia="Courier New" w:hAnsi="Courier New"/>
          <w:sz w:val="19"/>
          <w:szCs w:val="19"/>
          <w:color w:val="auto"/>
        </w:rPr>
        <w:t>If this statement is filed pursuant to Rules 13d-1(b), or 13d-2(b) or (c), check whether the person filing is a:</w:t>
      </w:r>
    </w:p>
    <w:p>
      <w:pPr>
        <w:ind w:left="226" w:hanging="226"/>
        <w:spacing w:after="0"/>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Broker or dealer registered under Section 15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Bank as defined in Section 3(a)(6)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Insurance company as defined in Section 3(a)(19) of the Act;</w:t>
      </w:r>
    </w:p>
    <w:p>
      <w:pPr>
        <w:spacing w:after="0" w:line="5" w:lineRule="exact"/>
        <w:rPr>
          <w:rFonts w:ascii="Courier New" w:cs="Courier New" w:eastAsia="Courier New" w:hAnsi="Courier New"/>
          <w:sz w:val="19"/>
          <w:szCs w:val="19"/>
          <w:color w:val="auto"/>
        </w:rPr>
      </w:pPr>
    </w:p>
    <w:p>
      <w:pPr>
        <w:ind w:left="6" w:right="4460" w:hanging="6"/>
        <w:spacing w:after="0" w:line="235" w:lineRule="auto"/>
        <w:tabs>
          <w:tab w:leader="none" w:pos="229"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Investment company registered under Section 8 of the Investment Company Act of 1940;</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investment adviser in accordance with Rule 13d-1(b)(1)(ii)(E);</w:t>
      </w:r>
    </w:p>
    <w:p>
      <w:pPr>
        <w:spacing w:after="0" w:line="5" w:lineRule="exact"/>
        <w:rPr>
          <w:rFonts w:ascii="Courier New" w:cs="Courier New" w:eastAsia="Courier New" w:hAnsi="Courier New"/>
          <w:sz w:val="19"/>
          <w:szCs w:val="19"/>
          <w:color w:val="auto"/>
        </w:rPr>
      </w:pPr>
    </w:p>
    <w:p>
      <w:pPr>
        <w:ind w:left="1326" w:right="346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employee benefit plan or endowment fund in accordance with Rule 13d-1(b)(1)(ii)(F);</w:t>
      </w:r>
    </w:p>
    <w:p>
      <w:pPr>
        <w:spacing w:after="0" w:line="6" w:lineRule="exact"/>
        <w:rPr>
          <w:rFonts w:ascii="Courier New" w:cs="Courier New" w:eastAsia="Courier New" w:hAnsi="Courier New"/>
          <w:sz w:val="19"/>
          <w:szCs w:val="19"/>
          <w:color w:val="auto"/>
        </w:rPr>
      </w:pPr>
    </w:p>
    <w:p>
      <w:pPr>
        <w:ind w:left="1326" w:right="3460" w:hanging="1335"/>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[X] A parent holding company or control person in accordance with Rule 13d-1(b)(1)(ii)(G);</w:t>
      </w:r>
    </w:p>
    <w:p>
      <w:pPr>
        <w:spacing w:after="0" w:line="6" w:lineRule="exact"/>
        <w:rPr>
          <w:rFonts w:ascii="Courier New" w:cs="Courier New" w:eastAsia="Courier New" w:hAnsi="Courier New"/>
          <w:sz w:val="19"/>
          <w:szCs w:val="19"/>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savings associations as defined in Section 3(b) of the Federal Deposit Insurance Act (12 U.S.C. 1813);</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church plan that is excluded from the definition of an</w:t>
      </w:r>
    </w:p>
    <w:p>
      <w:pPr>
        <w:spacing w:after="0" w:line="5" w:lineRule="exact"/>
        <w:rPr>
          <w:rFonts w:ascii="Courier New" w:cs="Courier New" w:eastAsia="Courier New" w:hAnsi="Courier New"/>
          <w:sz w:val="19"/>
          <w:szCs w:val="19"/>
          <w:color w:val="auto"/>
        </w:rPr>
      </w:pPr>
    </w:p>
    <w:p>
      <w:pPr>
        <w:ind w:left="1326" w:right="190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under section 3(c)(14) of the Investment Company Act of 1940;</w:t>
      </w:r>
    </w:p>
    <w:p>
      <w:pPr>
        <w:spacing w:after="0" w:line="6" w:lineRule="exact"/>
        <w:rPr>
          <w:rFonts w:ascii="Courier New" w:cs="Courier New" w:eastAsia="Courier New" w:hAnsi="Courier New"/>
          <w:sz w:val="19"/>
          <w:szCs w:val="19"/>
          <w:color w:val="auto"/>
        </w:rPr>
      </w:pPr>
    </w:p>
    <w:p>
      <w:pPr>
        <w:ind w:left="1326" w:right="5680" w:hanging="1326"/>
        <w:spacing w:after="0" w:line="251" w:lineRule="auto"/>
        <w:tabs>
          <w:tab w:leader="none" w:pos="21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non-U.S. institution in accordance with Rule 240.13d-1(b)(1)(ii)(J);</w:t>
      </w:r>
    </w:p>
    <w:p>
      <w:pPr>
        <w:spacing w:after="0" w:line="1" w:lineRule="exact"/>
        <w:rPr>
          <w:rFonts w:ascii="Courier New" w:cs="Courier New" w:eastAsia="Courier New" w:hAnsi="Courier New"/>
          <w:sz w:val="18"/>
          <w:szCs w:val="18"/>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Group, in accordance with Rule 240.13d-1(b)(1)(ii)(K). If filing as a non-U.S. institution in accordance with</w:t>
      </w:r>
    </w:p>
    <w:p>
      <w:pPr>
        <w:spacing w:after="0" w:line="6" w:lineRule="exact"/>
        <w:rPr>
          <w:rFonts w:ascii="Courier New" w:cs="Courier New" w:eastAsia="Courier New" w:hAnsi="Courier New"/>
          <w:sz w:val="19"/>
          <w:szCs w:val="19"/>
          <w:color w:val="auto"/>
        </w:rPr>
      </w:pPr>
    </w:p>
    <w:p>
      <w:pPr>
        <w:ind w:left="1326" w:right="324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Rule 240.13d-1(b)(1)(ii)(J), please specify the type of institution:</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Provide the following information regarding the aggregate number</w:t>
      </w:r>
    </w:p>
    <w:p>
      <w:pPr>
        <w:ind w:left="6"/>
        <w:spacing w:after="0" w:line="238" w:lineRule="auto"/>
        <w:rPr>
          <w:sz w:val="20"/>
          <w:szCs w:val="20"/>
          <w:color w:val="auto"/>
        </w:rPr>
      </w:pPr>
      <w:r>
        <w:rPr>
          <w:rFonts w:ascii="Courier New" w:cs="Courier New" w:eastAsia="Courier New" w:hAnsi="Courier New"/>
          <w:sz w:val="19"/>
          <w:szCs w:val="19"/>
          <w:color w:val="auto"/>
        </w:rPr>
        <w:t>and percentage of the class of securities of the issuer identified in Item 1.</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Amount beneficially owned:</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3274679</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Percent of class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9.5%</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Number of shares as to which such person has: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3005926</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3274679</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ectPr>
          <w:pgSz w:w="12240" w:h="15840" w:orient="portrait"/>
          <w:cols w:equalWidth="0" w:num="1">
            <w:col w:w="10686"/>
          </w:cols>
          <w:pgMar w:left="114" w:top="1279" w:right="1440" w:bottom="1440" w:gutter="0" w:footer="0" w:header="0"/>
        </w:sectPr>
      </w:pPr>
    </w:p>
    <w:bookmarkStart w:id="3" w:name="page4"/>
    <w:bookmarkEnd w:id="3"/>
    <w:p>
      <w:pPr>
        <w:spacing w:after="0" w:line="235" w:lineRule="auto"/>
        <w:rPr>
          <w:sz w:val="20"/>
          <w:szCs w:val="20"/>
          <w:color w:val="auto"/>
        </w:rPr>
      </w:pPr>
      <w:r>
        <w:rPr>
          <w:rFonts w:ascii="Courier New" w:cs="Courier New" w:eastAsia="Courier New" w:hAnsi="Courier New"/>
          <w:sz w:val="19"/>
          <w:szCs w:val="19"/>
          <w:color w:val="auto"/>
        </w:rPr>
        <w:t>Item 5.</w:t>
      </w:r>
    </w:p>
    <w:p>
      <w:pPr>
        <w:spacing w:after="0" w:line="220"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6. Ownership of More than 5 Percent on Behalf of Another Person</w:t>
      </w:r>
    </w:p>
    <w:p>
      <w:pPr>
        <w:spacing w:after="0" w:line="219" w:lineRule="exact"/>
        <w:rPr>
          <w:sz w:val="20"/>
          <w:szCs w:val="20"/>
          <w:color w:val="auto"/>
        </w:rPr>
      </w:pPr>
    </w:p>
    <w:p>
      <w:pPr>
        <w:ind w:left="220" w:right="2240"/>
        <w:spacing w:after="0" w:line="237" w:lineRule="auto"/>
        <w:rPr>
          <w:sz w:val="20"/>
          <w:szCs w:val="20"/>
          <w:color w:val="auto"/>
        </w:rPr>
      </w:pPr>
      <w:r>
        <w:rPr>
          <w:rFonts w:ascii="Courier New" w:cs="Courier New" w:eastAsia="Courier New" w:hAnsi="Courier New"/>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25" w:lineRule="exact"/>
        <w:rPr>
          <w:sz w:val="20"/>
          <w:szCs w:val="20"/>
          <w:color w:val="auto"/>
        </w:rPr>
      </w:pPr>
    </w:p>
    <w:p>
      <w:pPr>
        <w:jc w:val="both"/>
        <w:ind w:left="320" w:right="3340" w:hanging="110"/>
        <w:spacing w:after="0" w:line="236" w:lineRule="auto"/>
        <w:rPr>
          <w:sz w:val="20"/>
          <w:szCs w:val="20"/>
          <w:color w:val="auto"/>
        </w:rPr>
      </w:pPr>
      <w:r>
        <w:rPr>
          <w:rFonts w:ascii="Courier New" w:cs="Courier New" w:eastAsia="Courier New" w:hAnsi="Courier New"/>
          <w:sz w:val="19"/>
          <w:szCs w:val="19"/>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9"/>
          <w:szCs w:val="19"/>
          <w:color w:val="auto"/>
        </w:rPr>
        <w:t>CLEARWAY ENERGY INC CLASS A.</w:t>
      </w:r>
    </w:p>
    <w:p>
      <w:pPr>
        <w:ind w:left="320"/>
        <w:spacing w:after="0" w:line="238" w:lineRule="auto"/>
        <w:rPr>
          <w:sz w:val="20"/>
          <w:szCs w:val="20"/>
          <w:color w:val="auto"/>
        </w:rPr>
      </w:pPr>
      <w:r>
        <w:rPr>
          <w:rFonts w:ascii="Courier New" w:cs="Courier New" w:eastAsia="Courier New" w:hAnsi="Courier New"/>
          <w:sz w:val="19"/>
          <w:szCs w:val="19"/>
          <w:color w:val="auto"/>
        </w:rPr>
        <w:t>No one person's interest in the common stock of</w:t>
      </w:r>
    </w:p>
    <w:p>
      <w:pPr>
        <w:ind w:left="320"/>
        <w:spacing w:after="0"/>
        <w:rPr>
          <w:sz w:val="20"/>
          <w:szCs w:val="20"/>
          <w:color w:val="auto"/>
        </w:rPr>
      </w:pPr>
      <w:r>
        <w:rPr>
          <w:rFonts w:ascii="Courier New" w:cs="Courier New" w:eastAsia="Courier New" w:hAnsi="Courier New"/>
          <w:sz w:val="19"/>
          <w:szCs w:val="19"/>
          <w:color w:val="auto"/>
        </w:rPr>
        <w:t>CLEARWAY ENERGY INC CLASS A</w:t>
      </w:r>
    </w:p>
    <w:p>
      <w:pPr>
        <w:ind w:left="320"/>
        <w:spacing w:after="0" w:line="237" w:lineRule="auto"/>
        <w:rPr>
          <w:sz w:val="20"/>
          <w:szCs w:val="20"/>
          <w:color w:val="auto"/>
        </w:rPr>
      </w:pPr>
      <w:r>
        <w:rPr>
          <w:rFonts w:ascii="Courier New" w:cs="Courier New" w:eastAsia="Courier New" w:hAnsi="Courier New"/>
          <w:sz w:val="19"/>
          <w:szCs w:val="19"/>
          <w:color w:val="auto"/>
        </w:rPr>
        <w:t>is more than five percent of the total outstanding common shares.</w:t>
      </w:r>
    </w:p>
    <w:p>
      <w:pPr>
        <w:spacing w:after="0" w:line="220" w:lineRule="exact"/>
        <w:rPr>
          <w:sz w:val="20"/>
          <w:szCs w:val="20"/>
          <w:color w:val="auto"/>
        </w:rPr>
      </w:pPr>
    </w:p>
    <w:p>
      <w:pPr>
        <w:ind w:right="3460"/>
        <w:spacing w:after="0" w:line="236"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Exhibit 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00" w:lineRule="exact"/>
        <w:rPr>
          <w:sz w:val="20"/>
          <w:szCs w:val="20"/>
          <w:color w:val="auto"/>
        </w:rPr>
      </w:pPr>
    </w:p>
    <w:p>
      <w:pPr>
        <w:spacing w:after="0" w:line="233" w:lineRule="exact"/>
        <w:rPr>
          <w:sz w:val="20"/>
          <w:szCs w:val="20"/>
          <w:color w:val="auto"/>
        </w:rPr>
      </w:pPr>
    </w:p>
    <w:p>
      <w:pPr>
        <w:ind w:right="2900"/>
        <w:spacing w:after="0" w:line="253" w:lineRule="auto"/>
        <w:rPr>
          <w:sz w:val="20"/>
          <w:szCs w:val="20"/>
          <w:color w:val="auto"/>
        </w:rPr>
      </w:pPr>
      <w:r>
        <w:rPr>
          <w:rFonts w:ascii="Courier New" w:cs="Courier New" w:eastAsia="Courier New" w:hAnsi="Courier New"/>
          <w:sz w:val="18"/>
          <w:szCs w:val="18"/>
          <w:color w:val="auto"/>
        </w:rPr>
        <w:t>If a group has filed this schedule pursuant to Rule 13d-1(b)(ii)(J),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9" w:lineRule="exact"/>
        <w:rPr>
          <w:sz w:val="20"/>
          <w:szCs w:val="20"/>
          <w:color w:val="auto"/>
        </w:rPr>
      </w:pPr>
    </w:p>
    <w:p>
      <w:pPr>
        <w:ind w:right="3020"/>
        <w:spacing w:after="0" w:line="253"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Item 5.</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10. Certifications</w:t>
      </w:r>
    </w:p>
    <w:p>
      <w:pPr>
        <w:spacing w:after="0" w:line="238" w:lineRule="auto"/>
        <w:rPr>
          <w:sz w:val="20"/>
          <w:szCs w:val="20"/>
          <w:color w:val="auto"/>
        </w:rPr>
      </w:pPr>
      <w:r>
        <w:rPr>
          <w:rFonts w:ascii="Courier New" w:cs="Courier New" w:eastAsia="Courier New" w:hAnsi="Courier New"/>
          <w:sz w:val="19"/>
          <w:szCs w:val="19"/>
          <w:color w:val="auto"/>
        </w:rPr>
        <w:t>By signing below I certify that, to the best of my knowledge and</w:t>
      </w:r>
    </w:p>
    <w:p>
      <w:pPr>
        <w:spacing w:after="0"/>
        <w:rPr>
          <w:sz w:val="20"/>
          <w:szCs w:val="20"/>
          <w:color w:val="auto"/>
        </w:rPr>
      </w:pPr>
      <w:r>
        <w:rPr>
          <w:rFonts w:ascii="Courier New" w:cs="Courier New" w:eastAsia="Courier New" w:hAnsi="Courier New"/>
          <w:sz w:val="19"/>
          <w:szCs w:val="19"/>
          <w:color w:val="auto"/>
        </w:rPr>
        <w:t>belief, the securities referred to above were acquired and are</w:t>
      </w:r>
    </w:p>
    <w:p>
      <w:pPr>
        <w:spacing w:after="0" w:line="237" w:lineRule="auto"/>
        <w:rPr>
          <w:sz w:val="20"/>
          <w:szCs w:val="20"/>
          <w:color w:val="auto"/>
        </w:rPr>
      </w:pPr>
      <w:r>
        <w:rPr>
          <w:rFonts w:ascii="Courier New" w:cs="Courier New" w:eastAsia="Courier New" w:hAnsi="Courier New"/>
          <w:sz w:val="19"/>
          <w:szCs w:val="19"/>
          <w:color w:val="auto"/>
        </w:rPr>
        <w:t>held in the ordinary course of business and were not acquired</w:t>
      </w:r>
    </w:p>
    <w:p>
      <w:pPr>
        <w:spacing w:after="0"/>
        <w:rPr>
          <w:sz w:val="20"/>
          <w:szCs w:val="20"/>
          <w:color w:val="auto"/>
        </w:rPr>
      </w:pPr>
      <w:r>
        <w:rPr>
          <w:rFonts w:ascii="Courier New" w:cs="Courier New" w:eastAsia="Courier New" w:hAnsi="Courier New"/>
          <w:sz w:val="19"/>
          <w:szCs w:val="19"/>
          <w:color w:val="auto"/>
        </w:rPr>
        <w:t>and are not held for the purpose of or with the effect of changing</w:t>
      </w:r>
    </w:p>
    <w:p>
      <w:pPr>
        <w:spacing w:after="0" w:line="237" w:lineRule="auto"/>
        <w:rPr>
          <w:sz w:val="20"/>
          <w:szCs w:val="20"/>
          <w:color w:val="auto"/>
        </w:rPr>
      </w:pPr>
      <w:r>
        <w:rPr>
          <w:rFonts w:ascii="Courier New" w:cs="Courier New" w:eastAsia="Courier New" w:hAnsi="Courier New"/>
          <w:sz w:val="19"/>
          <w:szCs w:val="19"/>
          <w:color w:val="auto"/>
        </w:rPr>
        <w:t>or influencing the control of the issuer of the securities and were</w:t>
      </w:r>
    </w:p>
    <w:p>
      <w:pPr>
        <w:spacing w:after="0"/>
        <w:rPr>
          <w:sz w:val="20"/>
          <w:szCs w:val="20"/>
          <w:color w:val="auto"/>
        </w:rPr>
      </w:pPr>
      <w:r>
        <w:rPr>
          <w:rFonts w:ascii="Courier New" w:cs="Courier New" w:eastAsia="Courier New" w:hAnsi="Courier New"/>
          <w:sz w:val="19"/>
          <w:szCs w:val="19"/>
          <w:color w:val="auto"/>
        </w:rPr>
        <w:t>not acquired and are not held in connection with or as a participant</w:t>
      </w:r>
    </w:p>
    <w:p>
      <w:pPr>
        <w:spacing w:after="0" w:line="237" w:lineRule="auto"/>
        <w:rPr>
          <w:sz w:val="20"/>
          <w:szCs w:val="20"/>
          <w:color w:val="auto"/>
        </w:rPr>
      </w:pPr>
      <w:r>
        <w:rPr>
          <w:rFonts w:ascii="Courier New" w:cs="Courier New" w:eastAsia="Courier New" w:hAnsi="Courier New"/>
          <w:sz w:val="19"/>
          <w:szCs w:val="19"/>
          <w:color w:val="auto"/>
        </w:rPr>
        <w:t>in any transaction having that purpose or effect.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February 1, 2019</w:t>
      </w:r>
    </w:p>
    <w:p>
      <w:pPr>
        <w:spacing w:after="0" w:line="238" w:lineRule="auto"/>
        <w:rPr>
          <w:sz w:val="20"/>
          <w:szCs w:val="20"/>
          <w:color w:val="auto"/>
        </w:rPr>
      </w:pPr>
      <w:r>
        <w:rPr>
          <w:rFonts w:ascii="Courier New" w:cs="Courier New" w:eastAsia="Courier New" w:hAnsi="Courier New"/>
          <w:sz w:val="19"/>
          <w:szCs w:val="19"/>
          <w:color w:val="auto"/>
        </w:rPr>
        <w:t>BlackRock, Inc.</w:t>
      </w:r>
    </w:p>
    <w:p>
      <w:pPr>
        <w:sectPr>
          <w:pgSz w:w="12240" w:h="15840" w:orient="portrait"/>
          <w:cols w:equalWidth="0" w:num="1">
            <w:col w:w="10680"/>
          </w:cols>
          <w:pgMar w:left="120" w:top="0" w:right="1440" w:bottom="0" w:gutter="0" w:footer="0" w:header="0"/>
        </w:sectPr>
      </w:pPr>
    </w:p>
    <w:bookmarkStart w:id="4" w:name="page5"/>
    <w:bookmarkEnd w:id="4"/>
    <w:p>
      <w:pPr>
        <w:spacing w:after="0"/>
        <w:tabs>
          <w:tab w:leader="none" w:pos="1300" w:val="left"/>
        </w:tabs>
        <w:rPr>
          <w:sz w:val="20"/>
          <w:szCs w:val="20"/>
          <w:color w:val="auto"/>
        </w:rPr>
      </w:pPr>
      <w:r>
        <w:rPr>
          <w:rFonts w:ascii="Courier New" w:cs="Courier New" w:eastAsia="Courier New" w:hAnsi="Courier New"/>
          <w:sz w:val="19"/>
          <w:szCs w:val="19"/>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Name/Title Attorney-In-Fact</w:t>
      </w:r>
    </w:p>
    <w:p>
      <w:pPr>
        <w:spacing w:after="0" w:line="200" w:lineRule="exact"/>
        <w:rPr>
          <w:sz w:val="20"/>
          <w:szCs w:val="20"/>
          <w:color w:val="auto"/>
        </w:rPr>
      </w:pPr>
    </w:p>
    <w:p>
      <w:pPr>
        <w:spacing w:after="0" w:line="233" w:lineRule="exact"/>
        <w:rPr>
          <w:sz w:val="20"/>
          <w:szCs w:val="20"/>
          <w:color w:val="auto"/>
        </w:rPr>
      </w:pPr>
    </w:p>
    <w:p>
      <w:pPr>
        <w:ind w:right="3240"/>
        <w:spacing w:after="0" w:line="251"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9"/>
          <w:szCs w:val="19"/>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120"/>
        <w:spacing w:after="0" w:line="235" w:lineRule="auto"/>
        <w:rPr>
          <w:sz w:val="20"/>
          <w:szCs w:val="20"/>
          <w:color w:val="auto"/>
        </w:rPr>
      </w:pPr>
      <w:r>
        <w:rPr>
          <w:rFonts w:ascii="Courier New" w:cs="Courier New" w:eastAsia="Courier New" w:hAnsi="Courier New"/>
          <w:sz w:val="19"/>
          <w:szCs w:val="19"/>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Subsidiary</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Courier New" w:cs="Courier New" w:eastAsia="Courier New" w:hAnsi="Courier New"/>
          <w:sz w:val="19"/>
          <w:szCs w:val="19"/>
          <w:color w:val="auto"/>
        </w:rPr>
        <w:t>BlackRock International Limited</w:t>
      </w:r>
    </w:p>
    <w:p>
      <w:pPr>
        <w:ind w:left="100"/>
        <w:spacing w:after="0" w:line="238" w:lineRule="auto"/>
        <w:rPr>
          <w:sz w:val="20"/>
          <w:szCs w:val="20"/>
          <w:color w:val="auto"/>
        </w:rPr>
      </w:pPr>
      <w:r>
        <w:rPr>
          <w:rFonts w:ascii="Courier New" w:cs="Courier New" w:eastAsia="Courier New" w:hAnsi="Courier New"/>
          <w:sz w:val="19"/>
          <w:szCs w:val="19"/>
          <w:color w:val="auto"/>
        </w:rPr>
        <w:t>BlackRock Advisors, LLC</w:t>
      </w:r>
    </w:p>
    <w:p>
      <w:pPr>
        <w:ind w:left="100"/>
        <w:spacing w:after="0"/>
        <w:rPr>
          <w:sz w:val="20"/>
          <w:szCs w:val="20"/>
          <w:color w:val="auto"/>
        </w:rPr>
      </w:pPr>
      <w:r>
        <w:rPr>
          <w:rFonts w:ascii="Courier New" w:cs="Courier New" w:eastAsia="Courier New" w:hAnsi="Courier New"/>
          <w:sz w:val="19"/>
          <w:szCs w:val="19"/>
          <w:color w:val="auto"/>
        </w:rPr>
        <w:t>BlackRock (Netherlands) B.V.</w:t>
      </w:r>
    </w:p>
    <w:p>
      <w:pPr>
        <w:ind w:left="100"/>
        <w:spacing w:after="0" w:line="237" w:lineRule="auto"/>
        <w:rPr>
          <w:sz w:val="20"/>
          <w:szCs w:val="20"/>
          <w:color w:val="auto"/>
        </w:rPr>
      </w:pPr>
      <w:r>
        <w:rPr>
          <w:rFonts w:ascii="Courier New" w:cs="Courier New" w:eastAsia="Courier New" w:hAnsi="Courier New"/>
          <w:sz w:val="19"/>
          <w:szCs w:val="19"/>
          <w:color w:val="auto"/>
        </w:rPr>
        <w:t>BlackRock Institutional Trust Company, National Association</w:t>
      </w:r>
    </w:p>
    <w:p>
      <w:pPr>
        <w:ind w:left="100"/>
        <w:spacing w:after="0"/>
        <w:rPr>
          <w:sz w:val="20"/>
          <w:szCs w:val="20"/>
          <w:color w:val="auto"/>
        </w:rPr>
      </w:pPr>
      <w:r>
        <w:rPr>
          <w:rFonts w:ascii="Courier New" w:cs="Courier New" w:eastAsia="Courier New" w:hAnsi="Courier New"/>
          <w:sz w:val="19"/>
          <w:szCs w:val="19"/>
          <w:color w:val="auto"/>
        </w:rPr>
        <w:t>BlackRock Asset Management Ireland Limited</w:t>
      </w:r>
    </w:p>
    <w:p>
      <w:pPr>
        <w:ind w:left="100"/>
        <w:spacing w:after="0" w:line="237" w:lineRule="auto"/>
        <w:rPr>
          <w:sz w:val="20"/>
          <w:szCs w:val="20"/>
          <w:color w:val="auto"/>
        </w:rPr>
      </w:pPr>
      <w:r>
        <w:rPr>
          <w:rFonts w:ascii="Courier New" w:cs="Courier New" w:eastAsia="Courier New" w:hAnsi="Courier New"/>
          <w:sz w:val="19"/>
          <w:szCs w:val="19"/>
          <w:color w:val="auto"/>
        </w:rPr>
        <w:t>BlackRock Financial Management, Inc.</w:t>
      </w:r>
    </w:p>
    <w:p>
      <w:pPr>
        <w:ind w:left="100"/>
        <w:spacing w:after="0"/>
        <w:rPr>
          <w:sz w:val="20"/>
          <w:szCs w:val="20"/>
          <w:color w:val="auto"/>
        </w:rPr>
      </w:pPr>
      <w:r>
        <w:rPr>
          <w:rFonts w:ascii="Courier New" w:cs="Courier New" w:eastAsia="Courier New" w:hAnsi="Courier New"/>
          <w:sz w:val="19"/>
          <w:szCs w:val="19"/>
          <w:color w:val="auto"/>
        </w:rPr>
        <w:t>BlackRock Japan Co., Ltd.</w:t>
      </w:r>
    </w:p>
    <w:p>
      <w:pPr>
        <w:ind w:left="100"/>
        <w:spacing w:after="0" w:line="237" w:lineRule="auto"/>
        <w:rPr>
          <w:sz w:val="20"/>
          <w:szCs w:val="20"/>
          <w:color w:val="auto"/>
        </w:rPr>
      </w:pPr>
      <w:r>
        <w:rPr>
          <w:rFonts w:ascii="Courier New" w:cs="Courier New" w:eastAsia="Courier New" w:hAnsi="Courier New"/>
          <w:sz w:val="19"/>
          <w:szCs w:val="19"/>
          <w:color w:val="auto"/>
        </w:rPr>
        <w:t>BlackRock Asset Management Schweiz AG</w:t>
      </w:r>
    </w:p>
    <w:p>
      <w:pPr>
        <w:ind w:left="100"/>
        <w:spacing w:after="0"/>
        <w:rPr>
          <w:sz w:val="20"/>
          <w:szCs w:val="20"/>
          <w:color w:val="auto"/>
        </w:rPr>
      </w:pPr>
      <w:r>
        <w:rPr>
          <w:rFonts w:ascii="Courier New" w:cs="Courier New" w:eastAsia="Courier New" w:hAnsi="Courier New"/>
          <w:sz w:val="19"/>
          <w:szCs w:val="19"/>
          <w:color w:val="auto"/>
        </w:rPr>
        <w:t>BlackRock Investment Management, LLC</w:t>
      </w:r>
    </w:p>
    <w:p>
      <w:pPr>
        <w:ind w:left="100"/>
        <w:spacing w:after="0" w:line="237" w:lineRule="auto"/>
        <w:rPr>
          <w:sz w:val="20"/>
          <w:szCs w:val="20"/>
          <w:color w:val="auto"/>
        </w:rPr>
      </w:pPr>
      <w:r>
        <w:rPr>
          <w:rFonts w:ascii="Courier New" w:cs="Courier New" w:eastAsia="Courier New" w:hAnsi="Courier New"/>
          <w:sz w:val="19"/>
          <w:szCs w:val="19"/>
          <w:color w:val="auto"/>
        </w:rPr>
        <w:t>BlackRock Investment Management (UK) Limited</w:t>
      </w:r>
    </w:p>
    <w:p>
      <w:pPr>
        <w:ind w:left="100"/>
        <w:spacing w:after="0"/>
        <w:rPr>
          <w:sz w:val="20"/>
          <w:szCs w:val="20"/>
          <w:color w:val="auto"/>
        </w:rPr>
      </w:pPr>
      <w:r>
        <w:rPr>
          <w:rFonts w:ascii="Courier New" w:cs="Courier New" w:eastAsia="Courier New" w:hAnsi="Courier New"/>
          <w:sz w:val="19"/>
          <w:szCs w:val="19"/>
          <w:color w:val="auto"/>
        </w:rPr>
        <w:t>BlackRock Asset Management Canada Limited</w:t>
      </w:r>
    </w:p>
    <w:p>
      <w:pPr>
        <w:ind w:left="100"/>
        <w:spacing w:after="0" w:line="237" w:lineRule="auto"/>
        <w:rPr>
          <w:sz w:val="20"/>
          <w:szCs w:val="20"/>
          <w:color w:val="auto"/>
        </w:rPr>
      </w:pPr>
      <w:r>
        <w:rPr>
          <w:rFonts w:ascii="Courier New" w:cs="Courier New" w:eastAsia="Courier New" w:hAnsi="Courier New"/>
          <w:sz w:val="19"/>
          <w:szCs w:val="19"/>
          <w:color w:val="auto"/>
        </w:rPr>
        <w:t>BlackRock Investment Management (Australia) Limited</w:t>
      </w:r>
    </w:p>
    <w:p>
      <w:pPr>
        <w:ind w:left="100"/>
        <w:spacing w:after="0"/>
        <w:rPr>
          <w:sz w:val="20"/>
          <w:szCs w:val="20"/>
          <w:color w:val="auto"/>
        </w:rPr>
      </w:pPr>
      <w:r>
        <w:rPr>
          <w:rFonts w:ascii="Courier New" w:cs="Courier New" w:eastAsia="Courier New" w:hAnsi="Courier New"/>
          <w:sz w:val="19"/>
          <w:szCs w:val="19"/>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9"/>
          <w:szCs w:val="19"/>
          <w:color w:val="auto"/>
        </w:rPr>
        <w:t>shares of the security class being reported on this</w:t>
      </w:r>
    </w:p>
    <w:p>
      <w:pPr>
        <w:spacing w:after="0"/>
        <w:rPr>
          <w:sz w:val="20"/>
          <w:szCs w:val="20"/>
          <w:color w:val="auto"/>
        </w:rPr>
      </w:pPr>
      <w:r>
        <w:rPr>
          <w:rFonts w:ascii="Courier New" w:cs="Courier New" w:eastAsia="Courier New" w:hAnsi="Courier New"/>
          <w:sz w:val="19"/>
          <w:szCs w:val="19"/>
          <w:color w:val="auto"/>
        </w:rPr>
        <w:t>Schedule 13G.</w:t>
      </w:r>
    </w:p>
    <w:p>
      <w:pPr>
        <w:spacing w:after="0" w:line="237" w:lineRule="auto"/>
        <w:rPr>
          <w:sz w:val="20"/>
          <w:szCs w:val="20"/>
          <w:color w:val="auto"/>
        </w:rPr>
      </w:pPr>
      <w:r>
        <w:rPr>
          <w:rFonts w:ascii="Courier New" w:cs="Courier New" w:eastAsia="Courier New" w:hAnsi="Courier New"/>
          <w:sz w:val="19"/>
          <w:szCs w:val="19"/>
          <w:color w:val="auto"/>
        </w:rPr>
        <w:t>Exhibit B</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POWER OF ATTORNEY</w:t>
      </w:r>
    </w:p>
    <w:p>
      <w:pPr>
        <w:spacing w:after="0" w:line="219" w:lineRule="exact"/>
        <w:rPr>
          <w:sz w:val="20"/>
          <w:szCs w:val="20"/>
          <w:color w:val="auto"/>
        </w:rPr>
      </w:pPr>
    </w:p>
    <w:p>
      <w:pPr>
        <w:ind w:right="3020"/>
        <w:spacing w:after="0" w:line="237" w:lineRule="auto"/>
        <w:rPr>
          <w:sz w:val="20"/>
          <w:szCs w:val="20"/>
          <w:color w:val="auto"/>
        </w:rPr>
      </w:pPr>
      <w:r>
        <w:rPr>
          <w:rFonts w:ascii="Courier New" w:cs="Courier New" w:eastAsia="Courier New" w:hAnsi="Courier New"/>
          <w:sz w:val="19"/>
          <w:szCs w:val="19"/>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8" w:lineRule="exact"/>
        <w:rPr>
          <w:sz w:val="20"/>
          <w:szCs w:val="20"/>
          <w:color w:val="auto"/>
        </w:rPr>
      </w:pPr>
    </w:p>
    <w:p>
      <w:pPr>
        <w:ind w:right="2120"/>
        <w:spacing w:after="0" w:line="251" w:lineRule="auto"/>
        <w:rPr>
          <w:sz w:val="20"/>
          <w:szCs w:val="20"/>
          <w:color w:val="auto"/>
        </w:rPr>
      </w:pPr>
      <w:r>
        <w:rPr>
          <w:rFonts w:ascii="Courier New" w:cs="Courier New" w:eastAsia="Courier New" w:hAnsi="Courier New"/>
          <w:sz w:val="18"/>
          <w:szCs w:val="18"/>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4" w:lineRule="exact"/>
        <w:rPr>
          <w:sz w:val="20"/>
          <w:szCs w:val="20"/>
          <w:color w:val="auto"/>
        </w:rPr>
      </w:pPr>
    </w:p>
    <w:p>
      <w:pPr>
        <w:ind w:right="2680"/>
        <w:spacing w:after="0" w:line="254" w:lineRule="auto"/>
        <w:rPr>
          <w:sz w:val="20"/>
          <w:szCs w:val="20"/>
          <w:color w:val="auto"/>
        </w:rPr>
      </w:pPr>
      <w:r>
        <w:rPr>
          <w:rFonts w:ascii="Courier New" w:cs="Courier New" w:eastAsia="Courier New" w:hAnsi="Courier New"/>
          <w:sz w:val="18"/>
          <w:szCs w:val="18"/>
          <w:color w:val="auto"/>
        </w:rPr>
        <w:t>be necessary or appropriate to comply with ownership or control-person reporting requirements imposed by any United States or non-United States governmental or regulatory authority, Including without limitation</w:t>
      </w:r>
    </w:p>
    <w:p>
      <w:pPr>
        <w:sectPr>
          <w:pgSz w:w="12240" w:h="15840" w:orient="portrait"/>
          <w:cols w:equalWidth="0" w:num="1">
            <w:col w:w="10680"/>
          </w:cols>
          <w:pgMar w:left="120" w:top="209" w:right="1440" w:bottom="0" w:gutter="0" w:footer="0" w:header="0"/>
        </w:sectPr>
      </w:pPr>
    </w:p>
    <w:bookmarkStart w:id="5" w:name="page6"/>
    <w:bookmarkEnd w:id="5"/>
    <w:p>
      <w:pPr>
        <w:ind w:right="3020"/>
        <w:spacing w:after="0" w:line="236" w:lineRule="auto"/>
        <w:rPr>
          <w:sz w:val="20"/>
          <w:szCs w:val="20"/>
          <w:color w:val="auto"/>
        </w:rPr>
      </w:pPr>
      <w:r>
        <w:rPr>
          <w:rFonts w:ascii="Courier New" w:cs="Courier New" w:eastAsia="Courier New" w:hAnsi="Courier New"/>
          <w:sz w:val="19"/>
          <w:szCs w:val="19"/>
          <w:color w:val="auto"/>
        </w:rPr>
        <w:t>Forms 3, 4, 5, 13D, 13F, 13G and 13H and any amendments to any of the Foregoing as may be required to be filed with the Securities and Exchange Commission, and delivering, furnishing or filing any</w:t>
      </w:r>
    </w:p>
    <w:p>
      <w:pPr>
        <w:spacing w:after="0" w:line="7" w:lineRule="exact"/>
        <w:rPr>
          <w:sz w:val="20"/>
          <w:szCs w:val="20"/>
          <w:color w:val="auto"/>
        </w:rPr>
      </w:pPr>
    </w:p>
    <w:p>
      <w:pPr>
        <w:ind w:right="3120"/>
        <w:spacing w:after="0" w:line="251" w:lineRule="auto"/>
        <w:rPr>
          <w:sz w:val="20"/>
          <w:szCs w:val="20"/>
          <w:color w:val="auto"/>
        </w:rPr>
      </w:pPr>
      <w:r>
        <w:rPr>
          <w:rFonts w:ascii="Courier New" w:cs="Courier New" w:eastAsia="Courier New" w:hAnsi="Courier New"/>
          <w:sz w:val="18"/>
          <w:szCs w:val="18"/>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3" w:lineRule="exact"/>
        <w:rPr>
          <w:sz w:val="20"/>
          <w:szCs w:val="20"/>
          <w:color w:val="auto"/>
        </w:rPr>
      </w:pPr>
    </w:p>
    <w:p>
      <w:pPr>
        <w:ind w:right="3120"/>
        <w:spacing w:after="0" w:line="237" w:lineRule="auto"/>
        <w:rPr>
          <w:sz w:val="20"/>
          <w:szCs w:val="20"/>
          <w:color w:val="auto"/>
        </w:rPr>
      </w:pPr>
      <w:r>
        <w:rPr>
          <w:rFonts w:ascii="Courier New" w:cs="Courier New" w:eastAsia="Courier New" w:hAnsi="Courier New"/>
          <w:sz w:val="19"/>
          <w:szCs w:val="19"/>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22"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36" w:lineRule="exact"/>
        <w:rPr>
          <w:sz w:val="20"/>
          <w:szCs w:val="20"/>
          <w:color w:val="auto"/>
        </w:rPr>
      </w:pPr>
    </w:p>
    <w:p>
      <w:pPr>
        <w:jc w:val="both"/>
        <w:ind w:right="4020"/>
        <w:spacing w:after="0" w:line="25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2nd day of January, 2019.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By:_ /s/ Daniel Waltcher</w:t>
      </w:r>
    </w:p>
    <w:p>
      <w:pPr>
        <w:spacing w:after="0" w:line="238" w:lineRule="auto"/>
        <w:rPr>
          <w:sz w:val="20"/>
          <w:szCs w:val="20"/>
          <w:color w:val="auto"/>
        </w:rPr>
      </w:pPr>
      <w:r>
        <w:rPr>
          <w:rFonts w:ascii="Courier New" w:cs="Courier New" w:eastAsia="Courier New" w:hAnsi="Courier New"/>
          <w:sz w:val="19"/>
          <w:szCs w:val="19"/>
          <w:color w:val="auto"/>
        </w:rPr>
        <w:t>Name: Daniel Waltcher</w:t>
      </w:r>
    </w:p>
    <w:p>
      <w:pPr>
        <w:spacing w:after="0"/>
        <w:rPr>
          <w:sz w:val="20"/>
          <w:szCs w:val="20"/>
          <w:color w:val="auto"/>
        </w:rPr>
      </w:pPr>
      <w:r>
        <w:rPr>
          <w:rFonts w:ascii="Courier New" w:cs="Courier New" w:eastAsia="Courier New" w:hAnsi="Courier New"/>
          <w:sz w:val="19"/>
          <w:szCs w:val="19"/>
          <w:color w:val="auto"/>
        </w:rPr>
        <w:t>Title: Deputy General Counsel</w:t>
      </w:r>
    </w:p>
    <w:sectPr>
      <w:pgSz w:w="12240" w:h="15840" w:orient="portrait"/>
      <w:cols w:equalWidth="0" w:num="1">
        <w:col w:w="10680"/>
      </w:cols>
      <w:pgMar w:left="120" w:top="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2019-12-19T21:05:51Z</dcterms:created>
  <dcterms:modified xsi:type="dcterms:W3CDTF">2019-12-19T21:05:51Z</dcterms:modified>
</cp:coreProperties>
</file>