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16" w:lineRule="exact"/>
        <w:rPr>
          <w:sz w:val="24"/>
          <w:szCs w:val="24"/>
          <w:color w:val="auto"/>
        </w:rPr>
      </w:pPr>
    </w:p>
    <w:p>
      <w:pPr>
        <w:jc w:val="center"/>
        <w:ind w:left="68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940"/>
        <w:spacing w:after="0"/>
        <w:rPr>
          <w:sz w:val="20"/>
          <w:szCs w:val="20"/>
          <w:color w:val="auto"/>
        </w:rPr>
      </w:pPr>
      <w:r>
        <w:rPr>
          <w:rFonts w:ascii="Arial" w:cs="Arial" w:eastAsia="Arial" w:hAnsi="Arial"/>
          <w:sz w:val="18"/>
          <w:szCs w:val="18"/>
          <w:color w:val="auto"/>
        </w:rPr>
        <w:t>Commission File Number 333-203369</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NRG Yield LLC</w:t>
      </w:r>
    </w:p>
    <w:p>
      <w:pPr>
        <w:spacing w:after="0" w:line="30"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 Carnegie Center, Princeton, NJ 08540; 609-524-4500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5.375% Senior Notes due 2024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Guarantees related to the 5.375% Senior Notes due 2024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 of securities covered by this Form)</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440"/>
          </w:cols>
          <w:pgMar w:left="240" w:top="458" w:right="219" w:bottom="1440" w:gutter="0" w:footer="0" w:header="0"/>
        </w:sect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2">
            <w:col w:w="3940" w:space="660"/>
            <w:col w:w="6840"/>
          </w:cols>
          <w:pgMar w:left="240" w:top="458" w:right="219" w:bottom="1440" w:gutter="0" w:footer="0" w:header="0"/>
          <w:type w:val="continuous"/>
        </w:sectPr>
      </w:pPr>
    </w:p>
    <w:p>
      <w:pPr>
        <w:spacing w:after="0" w:line="2" w:lineRule="exact"/>
        <w:rPr>
          <w:sz w:val="24"/>
          <w:szCs w:val="24"/>
          <w:color w:val="auto"/>
        </w:rPr>
      </w:pPr>
    </w:p>
    <w:p>
      <w:pPr>
        <w:ind w:right="140" w:firstLine="5"/>
        <w:spacing w:after="0" w:line="249"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Section 15(d) of the Securities Exchange Act of 1934, as amended (the “Exchange Act”), the duty of the Company to file reports under Section 15 of the Exchange Act was suspended commencing with the fiscal year beginning January 1, 2016, because the securities were held of record by less than 300 persons as of that date. The Company intends to continue to file Exchange Act reports with the Commission on a voluntary basis in order to satisfy the reporting covenant in the indenture governing the securities.</w:t>
      </w:r>
    </w:p>
    <w:p>
      <w:pPr>
        <w:spacing w:after="0" w:line="19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 163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208280</wp:posOffset>
            </wp:positionV>
            <wp:extent cx="727138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right="320" w:firstLine="316"/>
        <w:spacing w:after="0" w:line="261" w:lineRule="auto"/>
        <w:rPr>
          <w:sz w:val="20"/>
          <w:szCs w:val="20"/>
          <w:color w:val="auto"/>
        </w:rPr>
      </w:pPr>
      <w:r>
        <w:rPr>
          <w:rFonts w:ascii="Arial" w:cs="Arial" w:eastAsia="Arial" w:hAnsi="Arial"/>
          <w:sz w:val="18"/>
          <w:szCs w:val="18"/>
          <w:color w:val="auto"/>
        </w:rPr>
        <w:t>Pursuant to the requirements of the Securities Exchange Act of 1934, NRG Yield LLC has caused this certification/notice to be signed on its behalf by the undersigned duly authorized person.</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840" w:type="dxa"/>
            <w:vAlign w:val="bottom"/>
            <w:gridSpan w:val="2"/>
          </w:tcPr>
          <w:p>
            <w:pPr>
              <w:ind w:left="380"/>
              <w:spacing w:after="0"/>
              <w:rPr>
                <w:sz w:val="20"/>
                <w:szCs w:val="20"/>
                <w:color w:val="auto"/>
              </w:rPr>
            </w:pPr>
            <w:r>
              <w:rPr>
                <w:rFonts w:ascii="Arial" w:cs="Arial" w:eastAsia="Arial" w:hAnsi="Arial"/>
                <w:sz w:val="18"/>
                <w:szCs w:val="18"/>
                <w:color w:val="auto"/>
              </w:rPr>
              <w:t>NRG YIELD LLC</w:t>
            </w:r>
          </w:p>
        </w:tc>
        <w:tc>
          <w:tcPr>
            <w:tcW w:w="40" w:type="dxa"/>
            <w:vAlign w:val="bottom"/>
          </w:tcPr>
          <w:p>
            <w:pPr>
              <w:spacing w:after="0"/>
              <w:rPr>
                <w:sz w:val="19"/>
                <w:szCs w:val="19"/>
                <w:color w:val="auto"/>
              </w:rPr>
            </w:pPr>
          </w:p>
        </w:tc>
      </w:tr>
      <w:tr>
        <w:trPr>
          <w:trHeight w:val="421"/>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Date:   January 13, 2016</w:t>
            </w:r>
          </w:p>
        </w:tc>
        <w:tc>
          <w:tcPr>
            <w:tcW w:w="7840" w:type="dxa"/>
            <w:vAlign w:val="bottom"/>
            <w:gridSpan w:val="2"/>
          </w:tcPr>
          <w:p>
            <w:pPr>
              <w:ind w:left="380"/>
              <w:spacing w:after="0"/>
              <w:rPr>
                <w:sz w:val="20"/>
                <w:szCs w:val="20"/>
                <w:color w:val="auto"/>
              </w:rPr>
            </w:pPr>
            <w:r>
              <w:rPr>
                <w:rFonts w:ascii="Arial" w:cs="Arial" w:eastAsia="Arial" w:hAnsi="Arial"/>
                <w:sz w:val="18"/>
                <w:szCs w:val="18"/>
                <w:color w:val="auto"/>
              </w:rPr>
              <w:t>By:   /s/ Brian E. Curci</w:t>
            </w:r>
          </w:p>
        </w:tc>
        <w:tc>
          <w:tcPr>
            <w:tcW w:w="40" w:type="dxa"/>
            <w:vAlign w:val="bottom"/>
          </w:tcPr>
          <w:p>
            <w:pPr>
              <w:spacing w:after="0"/>
              <w:rPr>
                <w:sz w:val="24"/>
                <w:szCs w:val="24"/>
                <w:color w:val="auto"/>
              </w:rPr>
            </w:pPr>
          </w:p>
        </w:tc>
      </w:tr>
      <w:tr>
        <w:trPr>
          <w:trHeight w:val="192"/>
        </w:trPr>
        <w:tc>
          <w:tcPr>
            <w:tcW w:w="660" w:type="dxa"/>
            <w:vAlign w:val="bottom"/>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6980" w:type="dxa"/>
            <w:vAlign w:val="bottom"/>
            <w:tcBorders>
              <w:top w:val="single" w:sz="8" w:color="auto"/>
            </w:tcBorders>
          </w:tcPr>
          <w:p>
            <w:pPr>
              <w:ind w:left="20"/>
              <w:spacing w:after="0" w:line="192" w:lineRule="exact"/>
              <w:rPr>
                <w:sz w:val="20"/>
                <w:szCs w:val="20"/>
                <w:color w:val="auto"/>
              </w:rPr>
            </w:pPr>
            <w:r>
              <w:rPr>
                <w:rFonts w:ascii="Arial" w:cs="Arial" w:eastAsia="Arial" w:hAnsi="Arial"/>
                <w:sz w:val="18"/>
                <w:szCs w:val="18"/>
                <w:color w:val="auto"/>
              </w:rPr>
              <w:t>Brian E. Curci</w:t>
            </w:r>
          </w:p>
        </w:tc>
        <w:tc>
          <w:tcPr>
            <w:tcW w:w="40" w:type="dxa"/>
            <w:vAlign w:val="bottom"/>
          </w:tcPr>
          <w:p>
            <w:pPr>
              <w:spacing w:after="0"/>
              <w:rPr>
                <w:sz w:val="16"/>
                <w:szCs w:val="16"/>
                <w:color w:val="auto"/>
              </w:rPr>
            </w:pPr>
          </w:p>
        </w:tc>
      </w:tr>
      <w:tr>
        <w:trPr>
          <w:trHeight w:val="222"/>
        </w:trPr>
        <w:tc>
          <w:tcPr>
            <w:tcW w:w="6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19"/>
                <w:szCs w:val="19"/>
                <w:color w:val="auto"/>
              </w:rPr>
            </w:pPr>
          </w:p>
        </w:tc>
      </w:tr>
      <w:tr>
        <w:trPr>
          <w:trHeight w:val="326"/>
        </w:trPr>
        <w:tc>
          <w:tcPr>
            <w:tcW w:w="6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40"/>
      </w:cols>
      <w:pgMar w:left="240" w:top="458"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2019-12-09T03:24:31Z</dcterms:created>
  <dcterms:modified xsi:type="dcterms:W3CDTF">2019-12-09T03:24:31Z</dcterms:modified>
</cp:coreProperties>
</file>