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60"/>
          </w:cols>
          <w:pgMar w:left="240" w:top="544" w:right="299" w:bottom="0" w:gutter="0" w:footer="0" w:header="0"/>
          <w:type w:val="continuous"/>
        </w:sectPr>
      </w:pPr>
    </w:p>
    <w:p>
      <w:pPr>
        <w:spacing w:after="0" w:line="2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500"/>
        <w:spacing w:after="0"/>
        <w:tabs>
          <w:tab w:leader="none" w:pos="106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60" w:firstLine="648"/>
        <w:spacing w:after="0" w:line="291" w:lineRule="auto"/>
        <w:rPr>
          <w:sz w:val="20"/>
          <w:szCs w:val="20"/>
          <w:color w:val="auto"/>
        </w:rPr>
      </w:pPr>
      <w:r>
        <w:rPr>
          <w:rFonts w:ascii="Arial" w:cs="Arial" w:eastAsia="Arial" w:hAnsi="Arial"/>
          <w:sz w:val="16"/>
          <w:szCs w:val="16"/>
          <w:color w:val="auto"/>
        </w:rPr>
        <w:t>On October 1, 2018, Clearway Energy Operating LLC (“Clearway Operating”), a subsidiary of Clearway Energy, Inc., completed the sale of $600 million aggregate principal amount of 5.750% senior notes due 2025 (the “Senior Notes”) pursuant to the terms of the purchase agreement, dated September 17, 2018 (the “Purchase Agreement”), among Clearway Operating, the guarantors named therein, and the initial purchasers set forth on Schedule A thereto (the “Initial Purchasers”). The Senior Notes were issued under an Indenture, dated October 1, 2018 (the “Indenture”), among Clearway Operating, the guarantors named therein and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April 15 and October 15 of each year beginning on April 15, 2019 until their maturity date of October 15, 2025.</w:t>
      </w:r>
    </w:p>
    <w:p>
      <w:pPr>
        <w:spacing w:after="0" w:line="16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70"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25% in principal amount of the then outstanding series of Senior Notes may declare all the Senior Notes of such series to be due and payable immediately.</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160" w:firstLine="648"/>
        <w:spacing w:after="0" w:line="276" w:lineRule="auto"/>
        <w:rPr>
          <w:sz w:val="20"/>
          <w:szCs w:val="20"/>
          <w:color w:val="auto"/>
        </w:rPr>
      </w:pPr>
      <w:r>
        <w:rPr>
          <w:rFonts w:ascii="Arial" w:cs="Arial" w:eastAsia="Arial" w:hAnsi="Arial"/>
          <w:sz w:val="17"/>
          <w:szCs w:val="17"/>
          <w:color w:val="auto"/>
        </w:rPr>
        <w:t>The Senior Notes were sold to the Initial Purchasers for resale to qualified institutional buyers under Rule 144A and to persons outside the United States under Regulation S. Pursuant to the terms of the registration rights agreement, dated October 1, 2018 (the “Registration Rights Agreement”), among Clearway Operating, the guarantors named therein, and RBC Capital Markets, LLC, as representative of the Initial Purchasers, Clearway Operating has agreed to offer to exchange substantially identical senior notes that have been registered under the Securities Act of 1933, as amended (the “Securities Act”), for the Senior Notes, or, in certain circumstances, to register resales of the Senior Notes.</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foregoing descriptions do not purport to be complete and are qualified by reference to the Indenture, the form of Senior Note and the Registration Rights Agreement, which are filed as exhibits 4.1, 4.2 and 4.3, respectively, to this Current Report on Form 8-K and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0" w:type="dxa"/>
            <w:vAlign w:val="bottom"/>
            <w:gridSpan w:val="5"/>
            <w:vMerge w:val="restart"/>
          </w:tcPr>
          <w:p>
            <w:pPr>
              <w:ind w:left="39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200" w:type="dxa"/>
            <w:vAlign w:val="bottom"/>
            <w:tcBorders>
              <w:bottom w:val="single" w:sz="8" w:color="auto"/>
            </w:tcBorders>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jc w:val="right"/>
              <w:ind w:right="377"/>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8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Indenture, dated October 1, 2018, among Clearway Energy Operating LLC, the guarantors named therein and Delaware Trust Company,</w:t>
              </w:r>
            </w:hyperlink>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3">
              <w:r>
                <w:rPr>
                  <w:rFonts w:ascii="Arial" w:cs="Arial" w:eastAsia="Arial" w:hAnsi="Arial"/>
                  <w:sz w:val="18"/>
                  <w:szCs w:val="18"/>
                  <w:color w:val="0000EE"/>
                  <w:w w:val="83"/>
                </w:rPr>
                <w:t>as trustee.</w:t>
              </w:r>
            </w:hyperlink>
          </w:p>
        </w:tc>
        <w:tc>
          <w:tcPr>
            <w:tcW w:w="92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right"/>
              <w:ind w:right="377"/>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Form of 5.750% Senior Notes due 2025 (incorporated by reference to Exhibit 4.1 filed herewith).</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right"/>
              <w:ind w:right="377"/>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Registration Rights Agreement, dated October 1, 2018, among Clearway Energy Operating LLC, the guarantors named therein and RBC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Capital Markets, LLC, as representative of the initial purchasers.</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640" w:type="dxa"/>
            <w:vAlign w:val="bottom"/>
            <w:tcBorders>
              <w:top w:val="single" w:sz="8" w:color="0000EE"/>
            </w:tcBorders>
            <w:gridSpan w:val="2"/>
          </w:tcPr>
          <w:p>
            <w:pPr>
              <w:jc w:val="right"/>
              <w:ind w:right="328"/>
              <w:spacing w:after="0"/>
              <w:rPr>
                <w:sz w:val="20"/>
                <w:szCs w:val="20"/>
                <w:color w:val="auto"/>
              </w:rPr>
            </w:pPr>
            <w:r>
              <w:rPr>
                <w:rFonts w:ascii="Arial" w:cs="Arial" w:eastAsia="Arial" w:hAnsi="Arial"/>
                <w:sz w:val="18"/>
                <w:szCs w:val="18"/>
                <w:color w:val="auto"/>
              </w:rPr>
              <w:t>3</w:t>
            </w:r>
          </w:p>
        </w:tc>
        <w:tc>
          <w:tcPr>
            <w:tcW w:w="2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Kevin P. Malcarney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EACH OF THE GUARANTORS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503555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83185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8380" w:type="dxa"/>
            <w:vAlign w:val="bottom"/>
            <w:gridSpan w:val="3"/>
          </w:tcPr>
          <w:p>
            <w:pPr>
              <w:ind w:left="1500"/>
              <w:spacing w:after="0"/>
              <w:rPr>
                <w:sz w:val="20"/>
                <w:szCs w:val="20"/>
                <w:color w:val="auto"/>
              </w:rPr>
            </w:pPr>
            <w:r>
              <w:rPr>
                <w:rFonts w:ascii="Arial" w:cs="Arial" w:eastAsia="Arial" w:hAnsi="Arial"/>
                <w:sz w:val="18"/>
                <w:szCs w:val="18"/>
                <w:color w:val="auto"/>
              </w:rPr>
              <w:t>CROSS-REFERENCE TABLE*</w:t>
            </w:r>
          </w:p>
        </w:tc>
        <w:tc>
          <w:tcPr>
            <w:tcW w:w="0" w:type="dxa"/>
            <w:vAlign w:val="bottom"/>
          </w:tcPr>
          <w:p>
            <w:pPr>
              <w:spacing w:after="0"/>
              <w:rPr>
                <w:sz w:val="1"/>
                <w:szCs w:val="1"/>
                <w:color w:val="auto"/>
              </w:rPr>
            </w:pPr>
          </w:p>
        </w:tc>
      </w:tr>
      <w:tr>
        <w:trPr>
          <w:trHeight w:val="342"/>
        </w:trPr>
        <w:tc>
          <w:tcPr>
            <w:tcW w:w="3040" w:type="dxa"/>
            <w:vAlign w:val="bottom"/>
          </w:tcPr>
          <w:p>
            <w:pPr>
              <w:spacing w:after="0"/>
              <w:rPr>
                <w:sz w:val="20"/>
                <w:szCs w:val="20"/>
                <w:color w:val="auto"/>
              </w:rPr>
            </w:pPr>
            <w:r>
              <w:rPr>
                <w:rFonts w:ascii="Arial" w:cs="Arial" w:eastAsia="Arial" w:hAnsi="Arial"/>
                <w:sz w:val="14"/>
                <w:szCs w:val="14"/>
                <w:b w:val="1"/>
                <w:bCs w:val="1"/>
                <w:color w:val="auto"/>
              </w:rPr>
              <w:t>Trust Indenture</w:t>
            </w:r>
          </w:p>
        </w:tc>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Indenture Section</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Act Section</w:t>
            </w:r>
          </w:p>
        </w:tc>
        <w:tc>
          <w:tcPr>
            <w:tcW w:w="58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310(a)(1)</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(a)(2)</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(a)(3)</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(a)(4)</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(a)(5)</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311(a)</w:t>
            </w:r>
          </w:p>
        </w:tc>
        <w:tc>
          <w:tcPr>
            <w:tcW w:w="8380" w:type="dxa"/>
            <w:vAlign w:val="bottom"/>
            <w:gridSpan w:val="3"/>
          </w:tcPr>
          <w:p>
            <w:pPr>
              <w:jc w:val="center"/>
              <w:ind w:left="6030"/>
              <w:spacing w:after="0"/>
              <w:rPr>
                <w:sz w:val="20"/>
                <w:szCs w:val="20"/>
                <w:color w:val="auto"/>
              </w:rPr>
            </w:pPr>
            <w:r>
              <w:rPr>
                <w:rFonts w:ascii="Arial" w:cs="Arial" w:eastAsia="Arial" w:hAnsi="Arial"/>
                <w:sz w:val="18"/>
                <w:szCs w:val="18"/>
                <w:color w:val="auto"/>
                <w:w w:val="85"/>
              </w:rPr>
              <w:t>7.11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shd w:val="clear" w:color="auto" w:fill="CCEEFF"/>
          </w:tcPr>
          <w:p>
            <w:pPr>
              <w:jc w:val="center"/>
              <w:ind w:left="6030"/>
              <w:spacing w:after="0"/>
              <w:rPr>
                <w:sz w:val="20"/>
                <w:szCs w:val="20"/>
                <w:color w:val="auto"/>
              </w:rPr>
            </w:pPr>
            <w:r>
              <w:rPr>
                <w:rFonts w:ascii="Arial" w:cs="Arial" w:eastAsia="Arial" w:hAnsi="Arial"/>
                <w:sz w:val="18"/>
                <w:szCs w:val="18"/>
                <w:color w:val="auto"/>
                <w:w w:val="85"/>
              </w:rPr>
              <w:t>7.11</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(c)</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312(a)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2.05</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8"/>
              </w:rPr>
              <w:t>12.03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313(a)</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7.06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(b)(1)</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10.03</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(b)(2)</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9"/>
              </w:rPr>
              <w:t>7.06; 7.07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0"/>
              </w:rPr>
              <w:t>7.06; 10.03; 12.02</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(d)</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7.06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314(a)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0"/>
              </w:rPr>
              <w:t>4.03; 12.02; 12.05</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8"/>
              </w:rPr>
              <w:t>10.02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(c)(1)</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(c)(2)</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(c)(3)</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(d)</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0"/>
              </w:rPr>
              <w:t>10.03; 10.04; 10.05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12.05</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(f)</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315(a)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7.01</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30"/>
              <w:spacing w:after="0"/>
              <w:rPr>
                <w:sz w:val="20"/>
                <w:szCs w:val="20"/>
                <w:color w:val="auto"/>
              </w:rPr>
            </w:pPr>
            <w:r>
              <w:rPr>
                <w:rFonts w:ascii="Arial" w:cs="Arial" w:eastAsia="Arial" w:hAnsi="Arial"/>
                <w:sz w:val="18"/>
                <w:szCs w:val="18"/>
                <w:color w:val="auto"/>
                <w:w w:val="90"/>
              </w:rPr>
              <w:t>7.05; 12.02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7.01</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(d)</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7.01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w:t>
            </w:r>
          </w:p>
        </w:tc>
        <w:tc>
          <w:tcPr>
            <w:tcW w:w="8380" w:type="dxa"/>
            <w:vAlign w:val="bottom"/>
            <w:gridSpan w:val="3"/>
            <w:shd w:val="clear" w:color="auto" w:fill="CCEEFF"/>
          </w:tcPr>
          <w:p>
            <w:pPr>
              <w:jc w:val="center"/>
              <w:ind w:left="6030"/>
              <w:spacing w:after="0"/>
              <w:rPr>
                <w:sz w:val="20"/>
                <w:szCs w:val="20"/>
                <w:color w:val="auto"/>
              </w:rPr>
            </w:pPr>
            <w:r>
              <w:rPr>
                <w:rFonts w:ascii="Arial" w:cs="Arial" w:eastAsia="Arial" w:hAnsi="Arial"/>
                <w:sz w:val="18"/>
                <w:szCs w:val="18"/>
                <w:color w:val="auto"/>
                <w:w w:val="85"/>
              </w:rPr>
              <w:t>6.11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316(a) (last sentence)</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2.10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(a)(1)(A)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6.05</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(a)(1)(B)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6.04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(a)(2)</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6.07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317(a)(1)</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6.08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(a)(2)</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6.09</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2.04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318(a)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12.01</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 means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This Cross Reference Table is not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5"/>
              </w:rPr>
              <w:t>TABLE OF CONTENTS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8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11"/>
        </w:trPr>
        <w:tc>
          <w:tcPr>
            <w:tcW w:w="1180" w:type="dxa"/>
            <w:vAlign w:val="bottom"/>
          </w:tcPr>
          <w:p>
            <w:pPr>
              <w:spacing w:after="0"/>
              <w:rPr>
                <w:sz w:val="24"/>
                <w:szCs w:val="24"/>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6"/>
              </w:rPr>
              <w:t>ARTICLE 1</w:t>
            </w:r>
          </w:p>
        </w:tc>
        <w:tc>
          <w:tcPr>
            <w:tcW w:w="1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7"/>
              </w:rPr>
              <w:t>DEFINITIONS AND INCORPORATION</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4"/>
              </w:rPr>
              <w:t>BY REFERENCE</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1.01</w:t>
            </w:r>
          </w:p>
        </w:tc>
        <w:tc>
          <w:tcPr>
            <w:tcW w:w="910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1.02</w:t>
            </w:r>
          </w:p>
        </w:tc>
        <w:tc>
          <w:tcPr>
            <w:tcW w:w="9100" w:type="dxa"/>
            <w:vAlign w:val="bottom"/>
          </w:tcPr>
          <w:p>
            <w:pPr>
              <w:ind w:left="280"/>
              <w:spacing w:after="0"/>
              <w:rPr>
                <w:sz w:val="20"/>
                <w:szCs w:val="20"/>
                <w:color w:val="auto"/>
              </w:rPr>
            </w:pPr>
            <w:r>
              <w:rPr>
                <w:rFonts w:ascii="Arial" w:cs="Arial" w:eastAsia="Arial" w:hAnsi="Arial"/>
                <w:sz w:val="18"/>
                <w:szCs w:val="18"/>
                <w:color w:val="auto"/>
              </w:rPr>
              <w:t>Other 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1.03</w:t>
            </w:r>
          </w:p>
        </w:tc>
        <w:tc>
          <w:tcPr>
            <w:tcW w:w="9100" w:type="dxa"/>
            <w:vAlign w:val="bottom"/>
          </w:tcPr>
          <w:p>
            <w:pPr>
              <w:ind w:left="280"/>
              <w:spacing w:after="0"/>
              <w:rPr>
                <w:sz w:val="20"/>
                <w:szCs w:val="20"/>
                <w:color w:val="auto"/>
              </w:rPr>
            </w:pPr>
            <w:r>
              <w:rPr>
                <w:rFonts w:ascii="Arial" w:cs="Arial" w:eastAsia="Arial" w:hAnsi="Arial"/>
                <w:sz w:val="18"/>
                <w:szCs w:val="18"/>
                <w:color w:val="auto"/>
              </w:rPr>
              <w:t>Incorporation by Reference of Trust Indenture Act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1.04</w:t>
            </w:r>
          </w:p>
        </w:tc>
        <w:tc>
          <w:tcPr>
            <w:tcW w:w="9100" w:type="dxa"/>
            <w:vAlign w:val="bottom"/>
          </w:tcPr>
          <w:p>
            <w:pPr>
              <w:ind w:left="280"/>
              <w:spacing w:after="0"/>
              <w:rPr>
                <w:sz w:val="20"/>
                <w:szCs w:val="20"/>
                <w:color w:val="auto"/>
              </w:rPr>
            </w:pPr>
            <w:r>
              <w:rPr>
                <w:rFonts w:ascii="Arial" w:cs="Arial" w:eastAsia="Arial" w:hAnsi="Arial"/>
                <w:sz w:val="18"/>
                <w:szCs w:val="18"/>
                <w:color w:val="auto"/>
              </w:rPr>
              <w:t>Rules of Construction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6"/>
              </w:rPr>
              <w:t>ARTICLE 2</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6"/>
              </w:rPr>
              <w:t>THE ISSUANCE OF NOTES AND ADDITIONAL SECURITIES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2.01</w:t>
            </w:r>
          </w:p>
        </w:tc>
        <w:tc>
          <w:tcPr>
            <w:tcW w:w="9100" w:type="dxa"/>
            <w:vAlign w:val="bottom"/>
          </w:tcPr>
          <w:p>
            <w:pPr>
              <w:ind w:left="280"/>
              <w:spacing w:after="0"/>
              <w:rPr>
                <w:sz w:val="20"/>
                <w:szCs w:val="20"/>
                <w:color w:val="auto"/>
              </w:rPr>
            </w:pPr>
            <w:r>
              <w:rPr>
                <w:rFonts w:ascii="Arial" w:cs="Arial" w:eastAsia="Arial" w:hAnsi="Arial"/>
                <w:sz w:val="18"/>
                <w:szCs w:val="18"/>
                <w:color w:val="auto"/>
              </w:rPr>
              <w:t>Form and Dating of Notes; Creation of Additional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2.02</w:t>
            </w:r>
          </w:p>
        </w:tc>
        <w:tc>
          <w:tcPr>
            <w:tcW w:w="9100" w:type="dxa"/>
            <w:vAlign w:val="bottom"/>
          </w:tcPr>
          <w:p>
            <w:pPr>
              <w:ind w:left="280"/>
              <w:spacing w:after="0"/>
              <w:rPr>
                <w:sz w:val="20"/>
                <w:szCs w:val="20"/>
                <w:color w:val="auto"/>
              </w:rPr>
            </w:pPr>
            <w:r>
              <w:rPr>
                <w:rFonts w:ascii="Arial" w:cs="Arial" w:eastAsia="Arial" w:hAnsi="Arial"/>
                <w:sz w:val="18"/>
                <w:szCs w:val="18"/>
                <w:color w:val="auto"/>
              </w:rPr>
              <w:t>Execution and Authentication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2.03</w:t>
            </w:r>
          </w:p>
        </w:tc>
        <w:tc>
          <w:tcPr>
            <w:tcW w:w="9100" w:type="dxa"/>
            <w:vAlign w:val="bottom"/>
          </w:tcPr>
          <w:p>
            <w:pPr>
              <w:ind w:left="280"/>
              <w:spacing w:after="0"/>
              <w:rPr>
                <w:sz w:val="20"/>
                <w:szCs w:val="20"/>
                <w:color w:val="auto"/>
              </w:rPr>
            </w:pPr>
            <w:r>
              <w:rPr>
                <w:rFonts w:ascii="Arial" w:cs="Arial" w:eastAsia="Arial" w:hAnsi="Arial"/>
                <w:sz w:val="18"/>
                <w:szCs w:val="18"/>
                <w:color w:val="auto"/>
              </w:rPr>
              <w:t>Registrar and Paying Agent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2.04</w:t>
            </w:r>
          </w:p>
        </w:tc>
        <w:tc>
          <w:tcPr>
            <w:tcW w:w="9100" w:type="dxa"/>
            <w:vAlign w:val="bottom"/>
          </w:tcPr>
          <w:p>
            <w:pPr>
              <w:ind w:left="280"/>
              <w:spacing w:after="0"/>
              <w:rPr>
                <w:sz w:val="20"/>
                <w:szCs w:val="20"/>
                <w:color w:val="auto"/>
              </w:rPr>
            </w:pPr>
            <w:r>
              <w:rPr>
                <w:rFonts w:ascii="Arial" w:cs="Arial" w:eastAsia="Arial" w:hAnsi="Arial"/>
                <w:sz w:val="18"/>
                <w:szCs w:val="18"/>
                <w:color w:val="auto"/>
              </w:rPr>
              <w:t>Paying Agent to Hold Money in Trust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2.05</w:t>
            </w:r>
          </w:p>
        </w:tc>
        <w:tc>
          <w:tcPr>
            <w:tcW w:w="9100" w:type="dxa"/>
            <w:vAlign w:val="bottom"/>
          </w:tcPr>
          <w:p>
            <w:pPr>
              <w:ind w:left="280"/>
              <w:spacing w:after="0"/>
              <w:rPr>
                <w:sz w:val="20"/>
                <w:szCs w:val="20"/>
                <w:color w:val="auto"/>
              </w:rPr>
            </w:pPr>
            <w:r>
              <w:rPr>
                <w:rFonts w:ascii="Arial" w:cs="Arial" w:eastAsia="Arial" w:hAnsi="Arial"/>
                <w:sz w:val="18"/>
                <w:szCs w:val="18"/>
                <w:color w:val="auto"/>
              </w:rPr>
              <w:t>Holder Lists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2.06</w:t>
            </w:r>
          </w:p>
        </w:tc>
        <w:tc>
          <w:tcPr>
            <w:tcW w:w="9100" w:type="dxa"/>
            <w:vAlign w:val="bottom"/>
          </w:tcPr>
          <w:p>
            <w:pPr>
              <w:ind w:left="280"/>
              <w:spacing w:after="0"/>
              <w:rPr>
                <w:sz w:val="20"/>
                <w:szCs w:val="20"/>
                <w:color w:val="auto"/>
              </w:rPr>
            </w:pPr>
            <w:r>
              <w:rPr>
                <w:rFonts w:ascii="Arial" w:cs="Arial" w:eastAsia="Arial" w:hAnsi="Arial"/>
                <w:sz w:val="18"/>
                <w:szCs w:val="18"/>
                <w:color w:val="auto"/>
              </w:rPr>
              <w:t>Transfer and Exchange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2.07</w:t>
            </w:r>
          </w:p>
        </w:tc>
        <w:tc>
          <w:tcPr>
            <w:tcW w:w="9100" w:type="dxa"/>
            <w:vAlign w:val="bottom"/>
          </w:tcPr>
          <w:p>
            <w:pPr>
              <w:ind w:left="280"/>
              <w:spacing w:after="0"/>
              <w:rPr>
                <w:sz w:val="20"/>
                <w:szCs w:val="20"/>
                <w:color w:val="auto"/>
              </w:rPr>
            </w:pPr>
            <w:r>
              <w:rPr>
                <w:rFonts w:ascii="Arial" w:cs="Arial" w:eastAsia="Arial" w:hAnsi="Arial"/>
                <w:sz w:val="18"/>
                <w:szCs w:val="18"/>
                <w:color w:val="auto"/>
              </w:rPr>
              <w:t>Issuance of Additional Notes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2.08</w:t>
            </w:r>
          </w:p>
        </w:tc>
        <w:tc>
          <w:tcPr>
            <w:tcW w:w="9100" w:type="dxa"/>
            <w:vAlign w:val="bottom"/>
          </w:tcPr>
          <w:p>
            <w:pPr>
              <w:ind w:left="280"/>
              <w:spacing w:after="0"/>
              <w:rPr>
                <w:sz w:val="20"/>
                <w:szCs w:val="20"/>
                <w:color w:val="auto"/>
              </w:rPr>
            </w:pPr>
            <w:r>
              <w:rPr>
                <w:rFonts w:ascii="Arial" w:cs="Arial" w:eastAsia="Arial" w:hAnsi="Arial"/>
                <w:sz w:val="18"/>
                <w:szCs w:val="18"/>
                <w:color w:val="auto"/>
              </w:rPr>
              <w:t>Replacement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2.09</w:t>
            </w:r>
          </w:p>
        </w:tc>
        <w:tc>
          <w:tcPr>
            <w:tcW w:w="9100" w:type="dxa"/>
            <w:vAlign w:val="bottom"/>
          </w:tcPr>
          <w:p>
            <w:pPr>
              <w:ind w:left="280"/>
              <w:spacing w:after="0"/>
              <w:rPr>
                <w:sz w:val="20"/>
                <w:szCs w:val="20"/>
                <w:color w:val="auto"/>
              </w:rPr>
            </w:pPr>
            <w:r>
              <w:rPr>
                <w:rFonts w:ascii="Arial" w:cs="Arial" w:eastAsia="Arial" w:hAnsi="Arial"/>
                <w:sz w:val="18"/>
                <w:szCs w:val="18"/>
                <w:color w:val="auto"/>
              </w:rPr>
              <w:t>Outstanding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2.10</w:t>
            </w:r>
          </w:p>
        </w:tc>
        <w:tc>
          <w:tcPr>
            <w:tcW w:w="9100" w:type="dxa"/>
            <w:vAlign w:val="bottom"/>
          </w:tcPr>
          <w:p>
            <w:pPr>
              <w:ind w:left="280"/>
              <w:spacing w:after="0"/>
              <w:rPr>
                <w:sz w:val="20"/>
                <w:szCs w:val="20"/>
                <w:color w:val="auto"/>
              </w:rPr>
            </w:pPr>
            <w:r>
              <w:rPr>
                <w:rFonts w:ascii="Arial" w:cs="Arial" w:eastAsia="Arial" w:hAnsi="Arial"/>
                <w:sz w:val="18"/>
                <w:szCs w:val="18"/>
                <w:color w:val="auto"/>
              </w:rPr>
              <w:t>Treasury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2.11</w:t>
            </w:r>
          </w:p>
        </w:tc>
        <w:tc>
          <w:tcPr>
            <w:tcW w:w="910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2.12</w:t>
            </w:r>
          </w:p>
        </w:tc>
        <w:tc>
          <w:tcPr>
            <w:tcW w:w="9100" w:type="dxa"/>
            <w:vAlign w:val="bottom"/>
          </w:tcPr>
          <w:p>
            <w:pPr>
              <w:ind w:left="280"/>
              <w:spacing w:after="0"/>
              <w:rPr>
                <w:sz w:val="20"/>
                <w:szCs w:val="20"/>
                <w:color w:val="auto"/>
              </w:rPr>
            </w:pPr>
            <w:r>
              <w:rPr>
                <w:rFonts w:ascii="Arial" w:cs="Arial" w:eastAsia="Arial" w:hAnsi="Arial"/>
                <w:sz w:val="18"/>
                <w:szCs w:val="18"/>
                <w:color w:val="auto"/>
              </w:rPr>
              <w:t>Cancellation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2.13</w:t>
            </w:r>
          </w:p>
        </w:tc>
        <w:tc>
          <w:tcPr>
            <w:tcW w:w="9100" w:type="dxa"/>
            <w:vAlign w:val="bottom"/>
          </w:tcPr>
          <w:p>
            <w:pPr>
              <w:ind w:left="280"/>
              <w:spacing w:after="0"/>
              <w:rPr>
                <w:sz w:val="20"/>
                <w:szCs w:val="20"/>
                <w:color w:val="auto"/>
              </w:rPr>
            </w:pPr>
            <w:r>
              <w:rPr>
                <w:rFonts w:ascii="Arial" w:cs="Arial" w:eastAsia="Arial" w:hAnsi="Arial"/>
                <w:sz w:val="18"/>
                <w:szCs w:val="18"/>
                <w:color w:val="auto"/>
              </w:rPr>
              <w:t>Defaulted Interest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100" w:type="dxa"/>
            <w:vAlign w:val="bottom"/>
          </w:tcPr>
          <w:p>
            <w:pPr>
              <w:ind w:left="4140"/>
              <w:spacing w:after="0"/>
              <w:rPr>
                <w:sz w:val="20"/>
                <w:szCs w:val="20"/>
                <w:color w:val="auto"/>
              </w:rPr>
            </w:pPr>
            <w:r>
              <w:rPr>
                <w:rFonts w:ascii="Arial" w:cs="Arial" w:eastAsia="Arial" w:hAnsi="Arial"/>
                <w:sz w:val="18"/>
                <w:szCs w:val="18"/>
                <w:color w:val="auto"/>
              </w:rPr>
              <w:t>ARTICLE 3</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5"/>
              </w:rPr>
              <w:t>REDEMPTION AND PREPAYMENT</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3.01</w:t>
            </w:r>
          </w:p>
        </w:tc>
        <w:tc>
          <w:tcPr>
            <w:tcW w:w="9100" w:type="dxa"/>
            <w:vAlign w:val="bottom"/>
          </w:tcPr>
          <w:p>
            <w:pPr>
              <w:ind w:left="280"/>
              <w:spacing w:after="0"/>
              <w:rPr>
                <w:sz w:val="20"/>
                <w:szCs w:val="20"/>
                <w:color w:val="auto"/>
              </w:rPr>
            </w:pPr>
            <w:r>
              <w:rPr>
                <w:rFonts w:ascii="Arial" w:cs="Arial" w:eastAsia="Arial" w:hAnsi="Arial"/>
                <w:sz w:val="18"/>
                <w:szCs w:val="18"/>
                <w:color w:val="auto"/>
              </w:rPr>
              <w:t>Notices to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3.02</w:t>
            </w:r>
          </w:p>
        </w:tc>
        <w:tc>
          <w:tcPr>
            <w:tcW w:w="9100" w:type="dxa"/>
            <w:vAlign w:val="bottom"/>
          </w:tcPr>
          <w:p>
            <w:pPr>
              <w:ind w:left="280"/>
              <w:spacing w:after="0"/>
              <w:rPr>
                <w:sz w:val="20"/>
                <w:szCs w:val="20"/>
                <w:color w:val="auto"/>
              </w:rPr>
            </w:pPr>
            <w:r>
              <w:rPr>
                <w:rFonts w:ascii="Arial" w:cs="Arial" w:eastAsia="Arial" w:hAnsi="Arial"/>
                <w:sz w:val="18"/>
                <w:szCs w:val="18"/>
                <w:color w:val="auto"/>
              </w:rPr>
              <w:t>Selection of Notes to Be Redeemed or Purchased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3.03</w:t>
            </w:r>
          </w:p>
        </w:tc>
        <w:tc>
          <w:tcPr>
            <w:tcW w:w="9100" w:type="dxa"/>
            <w:vAlign w:val="bottom"/>
          </w:tcPr>
          <w:p>
            <w:pPr>
              <w:ind w:left="280"/>
              <w:spacing w:after="0"/>
              <w:rPr>
                <w:sz w:val="20"/>
                <w:szCs w:val="20"/>
                <w:color w:val="auto"/>
              </w:rPr>
            </w:pPr>
            <w:r>
              <w:rPr>
                <w:rFonts w:ascii="Arial" w:cs="Arial" w:eastAsia="Arial" w:hAnsi="Arial"/>
                <w:sz w:val="18"/>
                <w:szCs w:val="18"/>
                <w:color w:val="auto"/>
              </w:rPr>
              <w:t>Notice of Redemption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3.04</w:t>
            </w:r>
          </w:p>
        </w:tc>
        <w:tc>
          <w:tcPr>
            <w:tcW w:w="9100" w:type="dxa"/>
            <w:vAlign w:val="bottom"/>
          </w:tcPr>
          <w:p>
            <w:pPr>
              <w:ind w:left="280"/>
              <w:spacing w:after="0"/>
              <w:rPr>
                <w:sz w:val="20"/>
                <w:szCs w:val="20"/>
                <w:color w:val="auto"/>
              </w:rPr>
            </w:pPr>
            <w:r>
              <w:rPr>
                <w:rFonts w:ascii="Arial" w:cs="Arial" w:eastAsia="Arial" w:hAnsi="Arial"/>
                <w:sz w:val="18"/>
                <w:szCs w:val="18"/>
                <w:color w:val="auto"/>
              </w:rPr>
              <w:t>Effect of Notice of Redemption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3.05</w:t>
            </w:r>
          </w:p>
        </w:tc>
        <w:tc>
          <w:tcPr>
            <w:tcW w:w="9100" w:type="dxa"/>
            <w:vAlign w:val="bottom"/>
          </w:tcPr>
          <w:p>
            <w:pPr>
              <w:ind w:left="280"/>
              <w:spacing w:after="0"/>
              <w:rPr>
                <w:sz w:val="20"/>
                <w:szCs w:val="20"/>
                <w:color w:val="auto"/>
              </w:rPr>
            </w:pPr>
            <w:r>
              <w:rPr>
                <w:rFonts w:ascii="Arial" w:cs="Arial" w:eastAsia="Arial" w:hAnsi="Arial"/>
                <w:sz w:val="18"/>
                <w:szCs w:val="18"/>
                <w:color w:val="auto"/>
              </w:rPr>
              <w:t>Deposit of Redemption or Purchase Price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3.06</w:t>
            </w:r>
          </w:p>
        </w:tc>
        <w:tc>
          <w:tcPr>
            <w:tcW w:w="9100" w:type="dxa"/>
            <w:vAlign w:val="bottom"/>
          </w:tcPr>
          <w:p>
            <w:pPr>
              <w:ind w:left="280"/>
              <w:spacing w:after="0"/>
              <w:rPr>
                <w:sz w:val="20"/>
                <w:szCs w:val="20"/>
                <w:color w:val="auto"/>
              </w:rPr>
            </w:pPr>
            <w:r>
              <w:rPr>
                <w:rFonts w:ascii="Arial" w:cs="Arial" w:eastAsia="Arial" w:hAnsi="Arial"/>
                <w:sz w:val="18"/>
                <w:szCs w:val="18"/>
                <w:color w:val="auto"/>
              </w:rPr>
              <w:t>Notes Redeemed or Purchased in Part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3.07</w:t>
            </w:r>
          </w:p>
        </w:tc>
        <w:tc>
          <w:tcPr>
            <w:tcW w:w="9100" w:type="dxa"/>
            <w:vAlign w:val="bottom"/>
          </w:tcPr>
          <w:p>
            <w:pPr>
              <w:ind w:left="280"/>
              <w:spacing w:after="0"/>
              <w:rPr>
                <w:sz w:val="20"/>
                <w:szCs w:val="20"/>
                <w:color w:val="auto"/>
              </w:rPr>
            </w:pPr>
            <w:r>
              <w:rPr>
                <w:rFonts w:ascii="Arial" w:cs="Arial" w:eastAsia="Arial" w:hAnsi="Arial"/>
                <w:sz w:val="18"/>
                <w:szCs w:val="18"/>
                <w:color w:val="auto"/>
              </w:rPr>
              <w:t>Optional Redemption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3.08</w:t>
            </w:r>
          </w:p>
        </w:tc>
        <w:tc>
          <w:tcPr>
            <w:tcW w:w="9100" w:type="dxa"/>
            <w:vAlign w:val="bottom"/>
          </w:tcPr>
          <w:p>
            <w:pPr>
              <w:ind w:left="280"/>
              <w:spacing w:after="0"/>
              <w:rPr>
                <w:sz w:val="20"/>
                <w:szCs w:val="20"/>
                <w:color w:val="auto"/>
              </w:rPr>
            </w:pPr>
            <w:r>
              <w:rPr>
                <w:rFonts w:ascii="Arial" w:cs="Arial" w:eastAsia="Arial" w:hAnsi="Arial"/>
                <w:sz w:val="18"/>
                <w:szCs w:val="18"/>
                <w:color w:val="auto"/>
              </w:rPr>
              <w:t>Mandatory Redemption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100" w:type="dxa"/>
            <w:vAlign w:val="bottom"/>
          </w:tcPr>
          <w:p>
            <w:pPr>
              <w:ind w:left="4140"/>
              <w:spacing w:after="0"/>
              <w:rPr>
                <w:sz w:val="20"/>
                <w:szCs w:val="20"/>
                <w:color w:val="auto"/>
              </w:rPr>
            </w:pPr>
            <w:r>
              <w:rPr>
                <w:rFonts w:ascii="Arial" w:cs="Arial" w:eastAsia="Arial" w:hAnsi="Arial"/>
                <w:sz w:val="18"/>
                <w:szCs w:val="18"/>
                <w:color w:val="auto"/>
              </w:rPr>
              <w:t>ARTICLE 4</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8"/>
              </w:rPr>
              <w:t>COVENANTS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4.01</w:t>
            </w:r>
          </w:p>
        </w:tc>
        <w:tc>
          <w:tcPr>
            <w:tcW w:w="9100" w:type="dxa"/>
            <w:vAlign w:val="bottom"/>
          </w:tcPr>
          <w:p>
            <w:pPr>
              <w:ind w:left="280"/>
              <w:spacing w:after="0"/>
              <w:rPr>
                <w:sz w:val="20"/>
                <w:szCs w:val="20"/>
                <w:color w:val="auto"/>
              </w:rPr>
            </w:pPr>
            <w:r>
              <w:rPr>
                <w:rFonts w:ascii="Arial" w:cs="Arial" w:eastAsia="Arial" w:hAnsi="Arial"/>
                <w:sz w:val="18"/>
                <w:szCs w:val="18"/>
                <w:color w:val="auto"/>
              </w:rPr>
              <w:t>Payment of Notes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4.02</w:t>
            </w:r>
          </w:p>
        </w:tc>
        <w:tc>
          <w:tcPr>
            <w:tcW w:w="910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4.03</w:t>
            </w:r>
          </w:p>
        </w:tc>
        <w:tc>
          <w:tcPr>
            <w:tcW w:w="9100" w:type="dxa"/>
            <w:vAlign w:val="bottom"/>
          </w:tcPr>
          <w:p>
            <w:pPr>
              <w:ind w:left="280"/>
              <w:spacing w:after="0"/>
              <w:rPr>
                <w:sz w:val="20"/>
                <w:szCs w:val="20"/>
                <w:color w:val="auto"/>
              </w:rPr>
            </w:pPr>
            <w:r>
              <w:rPr>
                <w:rFonts w:ascii="Arial" w:cs="Arial" w:eastAsia="Arial" w:hAnsi="Arial"/>
                <w:sz w:val="18"/>
                <w:szCs w:val="18"/>
                <w:color w:val="auto"/>
              </w:rPr>
              <w:t>Reports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4.04</w:t>
            </w:r>
          </w:p>
        </w:tc>
        <w:tc>
          <w:tcPr>
            <w:tcW w:w="9100" w:type="dxa"/>
            <w:vAlign w:val="bottom"/>
          </w:tcPr>
          <w:p>
            <w:pPr>
              <w:ind w:left="280"/>
              <w:spacing w:after="0"/>
              <w:rPr>
                <w:sz w:val="20"/>
                <w:szCs w:val="20"/>
                <w:color w:val="auto"/>
              </w:rPr>
            </w:pPr>
            <w:r>
              <w:rPr>
                <w:rFonts w:ascii="Arial" w:cs="Arial" w:eastAsia="Arial" w:hAnsi="Arial"/>
                <w:sz w:val="18"/>
                <w:szCs w:val="18"/>
                <w:color w:val="auto"/>
              </w:rPr>
              <w:t>Compliance Certificate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4.05</w:t>
            </w:r>
          </w:p>
        </w:tc>
        <w:tc>
          <w:tcPr>
            <w:tcW w:w="9100" w:type="dxa"/>
            <w:vAlign w:val="bottom"/>
          </w:tcPr>
          <w:p>
            <w:pPr>
              <w:ind w:left="280"/>
              <w:spacing w:after="0"/>
              <w:rPr>
                <w:sz w:val="20"/>
                <w:szCs w:val="20"/>
                <w:color w:val="auto"/>
              </w:rPr>
            </w:pPr>
            <w:r>
              <w:rPr>
                <w:rFonts w:ascii="Arial" w:cs="Arial" w:eastAsia="Arial" w:hAnsi="Arial"/>
                <w:sz w:val="18"/>
                <w:szCs w:val="18"/>
                <w:color w:val="auto"/>
              </w:rPr>
              <w:t>Taxes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4.06</w:t>
            </w:r>
          </w:p>
        </w:tc>
        <w:tc>
          <w:tcPr>
            <w:tcW w:w="9100" w:type="dxa"/>
            <w:vAlign w:val="bottom"/>
          </w:tcPr>
          <w:p>
            <w:pPr>
              <w:ind w:left="280"/>
              <w:spacing w:after="0"/>
              <w:rPr>
                <w:sz w:val="20"/>
                <w:szCs w:val="20"/>
                <w:color w:val="auto"/>
              </w:rPr>
            </w:pPr>
            <w:r>
              <w:rPr>
                <w:rFonts w:ascii="Arial" w:cs="Arial" w:eastAsia="Arial" w:hAnsi="Arial"/>
                <w:sz w:val="18"/>
                <w:szCs w:val="18"/>
                <w:color w:val="auto"/>
              </w:rPr>
              <w:t>Stay, Extension and Usury Laws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4.07</w:t>
            </w:r>
          </w:p>
        </w:tc>
        <w:tc>
          <w:tcPr>
            <w:tcW w:w="9100" w:type="dxa"/>
            <w:vAlign w:val="bottom"/>
          </w:tcPr>
          <w:p>
            <w:pPr>
              <w:ind w:left="280"/>
              <w:spacing w:after="0"/>
              <w:rPr>
                <w:sz w:val="20"/>
                <w:szCs w:val="20"/>
                <w:color w:val="auto"/>
              </w:rPr>
            </w:pPr>
            <w:r>
              <w:rPr>
                <w:rFonts w:ascii="Arial" w:cs="Arial" w:eastAsia="Arial" w:hAnsi="Arial"/>
                <w:sz w:val="18"/>
                <w:szCs w:val="18"/>
                <w:color w:val="auto"/>
              </w:rPr>
              <w:t>Liens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4.08</w:t>
            </w:r>
          </w:p>
        </w:tc>
        <w:tc>
          <w:tcPr>
            <w:tcW w:w="9100" w:type="dxa"/>
            <w:vAlign w:val="bottom"/>
          </w:tcPr>
          <w:p>
            <w:pPr>
              <w:ind w:left="280"/>
              <w:spacing w:after="0"/>
              <w:rPr>
                <w:sz w:val="20"/>
                <w:szCs w:val="20"/>
                <w:color w:val="auto"/>
              </w:rPr>
            </w:pPr>
            <w:r>
              <w:rPr>
                <w:rFonts w:ascii="Arial" w:cs="Arial" w:eastAsia="Arial" w:hAnsi="Arial"/>
                <w:sz w:val="18"/>
                <w:szCs w:val="18"/>
                <w:color w:val="auto"/>
              </w:rPr>
              <w:t>Limited Liability Company Existence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4.09</w:t>
            </w:r>
          </w:p>
        </w:tc>
        <w:tc>
          <w:tcPr>
            <w:tcW w:w="9100" w:type="dxa"/>
            <w:vAlign w:val="bottom"/>
          </w:tcPr>
          <w:p>
            <w:pPr>
              <w:ind w:left="280"/>
              <w:spacing w:after="0"/>
              <w:rPr>
                <w:sz w:val="20"/>
                <w:szCs w:val="20"/>
                <w:color w:val="auto"/>
              </w:rPr>
            </w:pPr>
            <w:r>
              <w:rPr>
                <w:rFonts w:ascii="Arial" w:cs="Arial" w:eastAsia="Arial" w:hAnsi="Arial"/>
                <w:sz w:val="18"/>
                <w:szCs w:val="18"/>
                <w:color w:val="auto"/>
              </w:rPr>
              <w:t>Offer to Repurchase Upon Change of Control Triggering Event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4.10</w:t>
            </w:r>
          </w:p>
        </w:tc>
        <w:tc>
          <w:tcPr>
            <w:tcW w:w="9100" w:type="dxa"/>
            <w:vAlign w:val="bottom"/>
          </w:tcPr>
          <w:p>
            <w:pPr>
              <w:ind w:left="280"/>
              <w:spacing w:after="0"/>
              <w:rPr>
                <w:sz w:val="20"/>
                <w:szCs w:val="20"/>
                <w:color w:val="auto"/>
              </w:rPr>
            </w:pPr>
            <w:r>
              <w:rPr>
                <w:rFonts w:ascii="Arial" w:cs="Arial" w:eastAsia="Arial" w:hAnsi="Arial"/>
                <w:sz w:val="18"/>
                <w:szCs w:val="18"/>
                <w:color w:val="auto"/>
              </w:rPr>
              <w:t>Additional Subsidiary Guarantees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8"/>
        </w:trPr>
        <w:tc>
          <w:tcPr>
            <w:tcW w:w="1180" w:type="dxa"/>
            <w:vAlign w:val="bottom"/>
            <w:tcBorders>
              <w:bottom w:val="single" w:sz="8" w:color="808080"/>
            </w:tcBorders>
          </w:tcPr>
          <w:p>
            <w:pPr>
              <w:spacing w:after="0"/>
              <w:rPr>
                <w:sz w:val="24"/>
                <w:szCs w:val="24"/>
                <w:color w:val="auto"/>
              </w:rPr>
            </w:pPr>
          </w:p>
        </w:tc>
        <w:tc>
          <w:tcPr>
            <w:tcW w:w="91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713"/>
        </w:trPr>
        <w:tc>
          <w:tcPr>
            <w:tcW w:w="1180" w:type="dxa"/>
            <w:vAlign w:val="bottom"/>
            <w:vMerge w:val="restart"/>
          </w:tcPr>
          <w:p>
            <w:pPr>
              <w:spacing w:after="0"/>
              <w:rPr>
                <w:sz w:val="20"/>
                <w:szCs w:val="20"/>
                <w:color w:val="auto"/>
              </w:rPr>
            </w:pPr>
            <w:r>
              <w:rPr>
                <w:rFonts w:ascii="Arial" w:cs="Arial" w:eastAsia="Arial" w:hAnsi="Arial"/>
                <w:sz w:val="18"/>
                <w:szCs w:val="18"/>
                <w:color w:val="auto"/>
              </w:rPr>
              <w:t>Section 4.11</w:t>
            </w:r>
          </w:p>
        </w:tc>
        <w:tc>
          <w:tcPr>
            <w:tcW w:w="9100" w:type="dxa"/>
            <w:vAlign w:val="bottom"/>
            <w:vMerge w:val="restart"/>
          </w:tcPr>
          <w:p>
            <w:pPr>
              <w:ind w:left="280"/>
              <w:spacing w:after="0"/>
              <w:rPr>
                <w:sz w:val="20"/>
                <w:szCs w:val="20"/>
                <w:color w:val="auto"/>
              </w:rPr>
            </w:pPr>
            <w:r>
              <w:rPr>
                <w:rFonts w:ascii="Arial" w:cs="Arial" w:eastAsia="Arial" w:hAnsi="Arial"/>
                <w:sz w:val="18"/>
                <w:szCs w:val="18"/>
                <w:color w:val="auto"/>
              </w:rPr>
              <w:t>Holding Company Status</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180" w:type="dxa"/>
            <w:vAlign w:val="bottom"/>
            <w:vMerge w:val="continue"/>
          </w:tcPr>
          <w:p>
            <w:pPr>
              <w:spacing w:after="0"/>
              <w:rPr>
                <w:sz w:val="19"/>
                <w:szCs w:val="19"/>
                <w:color w:val="auto"/>
              </w:rPr>
            </w:pPr>
          </w:p>
        </w:tc>
        <w:tc>
          <w:tcPr>
            <w:tcW w:w="9100" w:type="dxa"/>
            <w:vAlign w:val="bottom"/>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4"/>
                <w:szCs w:val="24"/>
                <w:color w:val="auto"/>
              </w:rPr>
            </w:pPr>
          </w:p>
        </w:tc>
        <w:tc>
          <w:tcPr>
            <w:tcW w:w="9100" w:type="dxa"/>
            <w:vAlign w:val="bottom"/>
          </w:tcPr>
          <w:p>
            <w:pPr>
              <w:ind w:left="4140"/>
              <w:spacing w:after="0"/>
              <w:rPr>
                <w:sz w:val="20"/>
                <w:szCs w:val="20"/>
                <w:color w:val="auto"/>
              </w:rPr>
            </w:pPr>
            <w:r>
              <w:rPr>
                <w:rFonts w:ascii="Arial" w:cs="Arial" w:eastAsia="Arial" w:hAnsi="Arial"/>
                <w:sz w:val="18"/>
                <w:szCs w:val="18"/>
                <w:color w:val="auto"/>
              </w:rPr>
              <w:t>ARTICLE 5</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0"/>
              </w:rPr>
              <w:t>SUCCESSORS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5.01</w:t>
            </w:r>
          </w:p>
        </w:tc>
        <w:tc>
          <w:tcPr>
            <w:tcW w:w="9100" w:type="dxa"/>
            <w:vAlign w:val="bottom"/>
          </w:tcPr>
          <w:p>
            <w:pPr>
              <w:ind w:left="280"/>
              <w:spacing w:after="0"/>
              <w:rPr>
                <w:sz w:val="20"/>
                <w:szCs w:val="20"/>
                <w:color w:val="auto"/>
              </w:rPr>
            </w:pPr>
            <w:r>
              <w:rPr>
                <w:rFonts w:ascii="Arial" w:cs="Arial" w:eastAsia="Arial" w:hAnsi="Arial"/>
                <w:sz w:val="18"/>
                <w:szCs w:val="18"/>
                <w:color w:val="auto"/>
              </w:rPr>
              <w:t>Merger, Consolidation or Sale of Assets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5.02</w:t>
            </w:r>
          </w:p>
        </w:tc>
        <w:tc>
          <w:tcPr>
            <w:tcW w:w="9100" w:type="dxa"/>
            <w:vAlign w:val="bottom"/>
          </w:tcPr>
          <w:p>
            <w:pPr>
              <w:ind w:left="280"/>
              <w:spacing w:after="0"/>
              <w:rPr>
                <w:sz w:val="20"/>
                <w:szCs w:val="20"/>
                <w:color w:val="auto"/>
              </w:rPr>
            </w:pPr>
            <w:r>
              <w:rPr>
                <w:rFonts w:ascii="Arial" w:cs="Arial" w:eastAsia="Arial" w:hAnsi="Arial"/>
                <w:sz w:val="18"/>
                <w:szCs w:val="18"/>
                <w:color w:val="auto"/>
              </w:rPr>
              <w:t>Successor Entity Substituted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-1450975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-1450975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DEFAULTS AND REMEDIES</w:t>
      </w:r>
    </w:p>
    <w:p>
      <w:pPr>
        <w:sectPr>
          <w:pgSz w:w="11900" w:h="16902" w:orient="portrait"/>
          <w:cols w:equalWidth="0" w:num="1">
            <w:col w:w="11460"/>
          </w:cols>
          <w:pgMar w:left="240" w:top="247"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6.01</w:t>
            </w:r>
          </w:p>
        </w:tc>
        <w:tc>
          <w:tcPr>
            <w:tcW w:w="904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6.02</w:t>
            </w:r>
          </w:p>
        </w:tc>
        <w:tc>
          <w:tcPr>
            <w:tcW w:w="9040" w:type="dxa"/>
            <w:vAlign w:val="bottom"/>
          </w:tcPr>
          <w:p>
            <w:pPr>
              <w:ind w:left="220"/>
              <w:spacing w:after="0"/>
              <w:rPr>
                <w:sz w:val="20"/>
                <w:szCs w:val="20"/>
                <w:color w:val="auto"/>
              </w:rPr>
            </w:pPr>
            <w:r>
              <w:rPr>
                <w:rFonts w:ascii="Arial" w:cs="Arial" w:eastAsia="Arial" w:hAnsi="Arial"/>
                <w:sz w:val="18"/>
                <w:szCs w:val="18"/>
                <w:color w:val="auto"/>
              </w:rPr>
              <w:t>Acceleration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6.03</w:t>
            </w:r>
          </w:p>
        </w:tc>
        <w:tc>
          <w:tcPr>
            <w:tcW w:w="9040" w:type="dxa"/>
            <w:vAlign w:val="bottom"/>
          </w:tcPr>
          <w:p>
            <w:pPr>
              <w:ind w:left="220"/>
              <w:spacing w:after="0"/>
              <w:rPr>
                <w:sz w:val="20"/>
                <w:szCs w:val="20"/>
                <w:color w:val="auto"/>
              </w:rPr>
            </w:pPr>
            <w:r>
              <w:rPr>
                <w:rFonts w:ascii="Arial" w:cs="Arial" w:eastAsia="Arial" w:hAnsi="Arial"/>
                <w:sz w:val="18"/>
                <w:szCs w:val="18"/>
                <w:color w:val="auto"/>
              </w:rPr>
              <w:t>Other Remedies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6.04</w:t>
            </w:r>
          </w:p>
        </w:tc>
        <w:tc>
          <w:tcPr>
            <w:tcW w:w="904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6.05</w:t>
            </w:r>
          </w:p>
        </w:tc>
        <w:tc>
          <w:tcPr>
            <w:tcW w:w="9040" w:type="dxa"/>
            <w:vAlign w:val="bottom"/>
          </w:tcPr>
          <w:p>
            <w:pPr>
              <w:ind w:left="220"/>
              <w:spacing w:after="0"/>
              <w:rPr>
                <w:sz w:val="20"/>
                <w:szCs w:val="20"/>
                <w:color w:val="auto"/>
              </w:rPr>
            </w:pPr>
            <w:r>
              <w:rPr>
                <w:rFonts w:ascii="Arial" w:cs="Arial" w:eastAsia="Arial" w:hAnsi="Arial"/>
                <w:sz w:val="18"/>
                <w:szCs w:val="18"/>
                <w:color w:val="auto"/>
              </w:rPr>
              <w:t>Control by Majority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6.06</w:t>
            </w:r>
          </w:p>
        </w:tc>
        <w:tc>
          <w:tcPr>
            <w:tcW w:w="904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6.07</w:t>
            </w:r>
          </w:p>
        </w:tc>
        <w:tc>
          <w:tcPr>
            <w:tcW w:w="9040" w:type="dxa"/>
            <w:vAlign w:val="bottom"/>
          </w:tcPr>
          <w:p>
            <w:pPr>
              <w:ind w:left="220"/>
              <w:spacing w:after="0"/>
              <w:rPr>
                <w:sz w:val="20"/>
                <w:szCs w:val="20"/>
                <w:color w:val="auto"/>
              </w:rPr>
            </w:pPr>
            <w:r>
              <w:rPr>
                <w:rFonts w:ascii="Arial" w:cs="Arial" w:eastAsia="Arial" w:hAnsi="Arial"/>
                <w:sz w:val="18"/>
                <w:szCs w:val="18"/>
                <w:color w:val="auto"/>
              </w:rPr>
              <w:t>Rights of Holders of Notes to Receive Payment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6.08</w:t>
            </w:r>
          </w:p>
        </w:tc>
        <w:tc>
          <w:tcPr>
            <w:tcW w:w="9040" w:type="dxa"/>
            <w:vAlign w:val="bottom"/>
          </w:tcPr>
          <w:p>
            <w:pPr>
              <w:ind w:left="220"/>
              <w:spacing w:after="0"/>
              <w:rPr>
                <w:sz w:val="20"/>
                <w:szCs w:val="20"/>
                <w:color w:val="auto"/>
              </w:rPr>
            </w:pPr>
            <w:r>
              <w:rPr>
                <w:rFonts w:ascii="Arial" w:cs="Arial" w:eastAsia="Arial" w:hAnsi="Arial"/>
                <w:sz w:val="18"/>
                <w:szCs w:val="18"/>
                <w:color w:val="auto"/>
              </w:rPr>
              <w:t>Collection Suit by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6.09</w:t>
            </w:r>
          </w:p>
        </w:tc>
        <w:tc>
          <w:tcPr>
            <w:tcW w:w="904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9040" w:type="dxa"/>
            <w:vAlign w:val="bottom"/>
          </w:tcPr>
          <w:p>
            <w:pPr>
              <w:ind w:left="220"/>
              <w:spacing w:after="0"/>
              <w:rPr>
                <w:sz w:val="20"/>
                <w:szCs w:val="20"/>
                <w:color w:val="auto"/>
              </w:rPr>
            </w:pPr>
            <w:r>
              <w:rPr>
                <w:rFonts w:ascii="Arial" w:cs="Arial" w:eastAsia="Arial" w:hAnsi="Arial"/>
                <w:sz w:val="18"/>
                <w:szCs w:val="18"/>
                <w:color w:val="auto"/>
              </w:rPr>
              <w:t>Priorities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6.11</w:t>
            </w:r>
          </w:p>
        </w:tc>
        <w:tc>
          <w:tcPr>
            <w:tcW w:w="904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6"/>
              </w:rPr>
              <w:t>ARTICLE 7</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ind w:left="4140"/>
              <w:spacing w:after="0"/>
              <w:rPr>
                <w:sz w:val="20"/>
                <w:szCs w:val="20"/>
                <w:color w:val="auto"/>
              </w:rPr>
            </w:pPr>
            <w:r>
              <w:rPr>
                <w:rFonts w:ascii="Arial" w:cs="Arial" w:eastAsia="Arial" w:hAnsi="Arial"/>
                <w:sz w:val="18"/>
                <w:szCs w:val="18"/>
                <w:color w:val="auto"/>
              </w:rPr>
              <w:t>TRUSTEE</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7.01</w:t>
            </w:r>
          </w:p>
        </w:tc>
        <w:tc>
          <w:tcPr>
            <w:tcW w:w="9040" w:type="dxa"/>
            <w:vAlign w:val="bottom"/>
          </w:tcPr>
          <w:p>
            <w:pPr>
              <w:ind w:left="220"/>
              <w:spacing w:after="0"/>
              <w:rPr>
                <w:sz w:val="20"/>
                <w:szCs w:val="20"/>
                <w:color w:val="auto"/>
              </w:rPr>
            </w:pPr>
            <w:r>
              <w:rPr>
                <w:rFonts w:ascii="Arial" w:cs="Arial" w:eastAsia="Arial" w:hAnsi="Arial"/>
                <w:sz w:val="18"/>
                <w:szCs w:val="18"/>
                <w:color w:val="auto"/>
              </w:rPr>
              <w:t>Duties of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7.02</w:t>
            </w:r>
          </w:p>
        </w:tc>
        <w:tc>
          <w:tcPr>
            <w:tcW w:w="9040" w:type="dxa"/>
            <w:vAlign w:val="bottom"/>
          </w:tcPr>
          <w:p>
            <w:pPr>
              <w:ind w:left="220"/>
              <w:spacing w:after="0"/>
              <w:rPr>
                <w:sz w:val="20"/>
                <w:szCs w:val="20"/>
                <w:color w:val="auto"/>
              </w:rPr>
            </w:pPr>
            <w:r>
              <w:rPr>
                <w:rFonts w:ascii="Arial" w:cs="Arial" w:eastAsia="Arial" w:hAnsi="Arial"/>
                <w:sz w:val="18"/>
                <w:szCs w:val="18"/>
                <w:color w:val="auto"/>
              </w:rPr>
              <w:t>Rights of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7.03</w:t>
            </w:r>
          </w:p>
        </w:tc>
        <w:tc>
          <w:tcPr>
            <w:tcW w:w="9040" w:type="dxa"/>
            <w:vAlign w:val="bottom"/>
          </w:tcPr>
          <w:p>
            <w:pPr>
              <w:ind w:left="220"/>
              <w:spacing w:after="0"/>
              <w:rPr>
                <w:sz w:val="20"/>
                <w:szCs w:val="20"/>
                <w:color w:val="auto"/>
              </w:rPr>
            </w:pPr>
            <w:r>
              <w:rPr>
                <w:rFonts w:ascii="Arial" w:cs="Arial" w:eastAsia="Arial" w:hAnsi="Arial"/>
                <w:sz w:val="18"/>
                <w:szCs w:val="18"/>
                <w:color w:val="auto"/>
              </w:rPr>
              <w:t>Individual Rights of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7.04</w:t>
            </w:r>
          </w:p>
        </w:tc>
        <w:tc>
          <w:tcPr>
            <w:tcW w:w="9040" w:type="dxa"/>
            <w:vAlign w:val="bottom"/>
          </w:tcPr>
          <w:p>
            <w:pPr>
              <w:ind w:left="220"/>
              <w:spacing w:after="0"/>
              <w:rPr>
                <w:sz w:val="20"/>
                <w:szCs w:val="20"/>
                <w:color w:val="auto"/>
              </w:rPr>
            </w:pPr>
            <w:r>
              <w:rPr>
                <w:rFonts w:ascii="Arial" w:cs="Arial" w:eastAsia="Arial" w:hAnsi="Arial"/>
                <w:sz w:val="18"/>
                <w:szCs w:val="18"/>
                <w:color w:val="auto"/>
              </w:rPr>
              <w:t>Trustee’s Disclaimer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7.05</w:t>
            </w:r>
          </w:p>
        </w:tc>
        <w:tc>
          <w:tcPr>
            <w:tcW w:w="9040" w:type="dxa"/>
            <w:vAlign w:val="bottom"/>
          </w:tcPr>
          <w:p>
            <w:pPr>
              <w:ind w:left="220"/>
              <w:spacing w:after="0"/>
              <w:rPr>
                <w:sz w:val="20"/>
                <w:szCs w:val="20"/>
                <w:color w:val="auto"/>
              </w:rPr>
            </w:pPr>
            <w:r>
              <w:rPr>
                <w:rFonts w:ascii="Arial" w:cs="Arial" w:eastAsia="Arial" w:hAnsi="Arial"/>
                <w:sz w:val="18"/>
                <w:szCs w:val="18"/>
                <w:color w:val="auto"/>
              </w:rPr>
              <w:t>Notice of Defaults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7.06</w:t>
            </w:r>
          </w:p>
        </w:tc>
        <w:tc>
          <w:tcPr>
            <w:tcW w:w="9040" w:type="dxa"/>
            <w:vAlign w:val="bottom"/>
          </w:tcPr>
          <w:p>
            <w:pPr>
              <w:ind w:left="220"/>
              <w:spacing w:after="0"/>
              <w:rPr>
                <w:sz w:val="20"/>
                <w:szCs w:val="20"/>
                <w:color w:val="auto"/>
              </w:rPr>
            </w:pPr>
            <w:r>
              <w:rPr>
                <w:rFonts w:ascii="Arial" w:cs="Arial" w:eastAsia="Arial" w:hAnsi="Arial"/>
                <w:sz w:val="18"/>
                <w:szCs w:val="18"/>
                <w:color w:val="auto"/>
              </w:rPr>
              <w:t>Reports by Trustee to Holders of the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7.07</w:t>
            </w:r>
          </w:p>
        </w:tc>
        <w:tc>
          <w:tcPr>
            <w:tcW w:w="9040" w:type="dxa"/>
            <w:vAlign w:val="bottom"/>
          </w:tcPr>
          <w:p>
            <w:pPr>
              <w:ind w:left="220"/>
              <w:spacing w:after="0"/>
              <w:rPr>
                <w:sz w:val="20"/>
                <w:szCs w:val="20"/>
                <w:color w:val="auto"/>
              </w:rPr>
            </w:pPr>
            <w:r>
              <w:rPr>
                <w:rFonts w:ascii="Arial" w:cs="Arial" w:eastAsia="Arial" w:hAnsi="Arial"/>
                <w:sz w:val="18"/>
                <w:szCs w:val="18"/>
                <w:color w:val="auto"/>
              </w:rPr>
              <w:t>Compensation and Indemnity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7.08</w:t>
            </w:r>
          </w:p>
        </w:tc>
        <w:tc>
          <w:tcPr>
            <w:tcW w:w="9040" w:type="dxa"/>
            <w:vAlign w:val="bottom"/>
          </w:tcPr>
          <w:p>
            <w:pPr>
              <w:ind w:left="220"/>
              <w:spacing w:after="0"/>
              <w:rPr>
                <w:sz w:val="20"/>
                <w:szCs w:val="20"/>
                <w:color w:val="auto"/>
              </w:rPr>
            </w:pPr>
            <w:r>
              <w:rPr>
                <w:rFonts w:ascii="Arial" w:cs="Arial" w:eastAsia="Arial" w:hAnsi="Arial"/>
                <w:sz w:val="18"/>
                <w:szCs w:val="18"/>
                <w:color w:val="auto"/>
              </w:rPr>
              <w:t>Replacement of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7.09</w:t>
            </w:r>
          </w:p>
        </w:tc>
        <w:tc>
          <w:tcPr>
            <w:tcW w:w="9040" w:type="dxa"/>
            <w:vAlign w:val="bottom"/>
          </w:tcPr>
          <w:p>
            <w:pPr>
              <w:ind w:left="220"/>
              <w:spacing w:after="0"/>
              <w:rPr>
                <w:sz w:val="20"/>
                <w:szCs w:val="20"/>
                <w:color w:val="auto"/>
              </w:rPr>
            </w:pPr>
            <w:r>
              <w:rPr>
                <w:rFonts w:ascii="Arial" w:cs="Arial" w:eastAsia="Arial" w:hAnsi="Arial"/>
                <w:sz w:val="18"/>
                <w:szCs w:val="18"/>
                <w:color w:val="auto"/>
              </w:rPr>
              <w:t>Successor Trustee by Merger, etc.</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7.10</w:t>
            </w:r>
          </w:p>
        </w:tc>
        <w:tc>
          <w:tcPr>
            <w:tcW w:w="9040" w:type="dxa"/>
            <w:vAlign w:val="bottom"/>
          </w:tcPr>
          <w:p>
            <w:pPr>
              <w:ind w:left="220"/>
              <w:spacing w:after="0"/>
              <w:rPr>
                <w:sz w:val="20"/>
                <w:szCs w:val="20"/>
                <w:color w:val="auto"/>
              </w:rPr>
            </w:pPr>
            <w:r>
              <w:rPr>
                <w:rFonts w:ascii="Arial" w:cs="Arial" w:eastAsia="Arial" w:hAnsi="Arial"/>
                <w:sz w:val="18"/>
                <w:szCs w:val="18"/>
                <w:color w:val="auto"/>
              </w:rPr>
              <w:t>Eligibility; Disqualification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7.11</w:t>
            </w:r>
          </w:p>
        </w:tc>
        <w:tc>
          <w:tcPr>
            <w:tcW w:w="9040" w:type="dxa"/>
            <w:vAlign w:val="bottom"/>
          </w:tcPr>
          <w:p>
            <w:pPr>
              <w:ind w:left="220"/>
              <w:spacing w:after="0"/>
              <w:rPr>
                <w:sz w:val="20"/>
                <w:szCs w:val="20"/>
                <w:color w:val="auto"/>
              </w:rPr>
            </w:pPr>
            <w:r>
              <w:rPr>
                <w:rFonts w:ascii="Arial" w:cs="Arial" w:eastAsia="Arial" w:hAnsi="Arial"/>
                <w:sz w:val="18"/>
                <w:szCs w:val="18"/>
                <w:color w:val="auto"/>
              </w:rPr>
              <w:t>Preferential Collection of Claims Against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6"/>
              </w:rPr>
              <w:t>ARTICLE 8</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ind w:left="2340"/>
              <w:spacing w:after="0"/>
              <w:rPr>
                <w:sz w:val="20"/>
                <w:szCs w:val="20"/>
                <w:color w:val="auto"/>
              </w:rPr>
            </w:pPr>
            <w:r>
              <w:rPr>
                <w:rFonts w:ascii="Arial" w:cs="Arial" w:eastAsia="Arial" w:hAnsi="Arial"/>
                <w:sz w:val="18"/>
                <w:szCs w:val="18"/>
                <w:color w:val="auto"/>
              </w:rPr>
              <w:t>LEGAL DEFEASANCE AND COVENANT DEFEASANCE</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8.01</w:t>
            </w:r>
          </w:p>
        </w:tc>
        <w:tc>
          <w:tcPr>
            <w:tcW w:w="9040" w:type="dxa"/>
            <w:vAlign w:val="bottom"/>
          </w:tcPr>
          <w:p>
            <w:pPr>
              <w:ind w:left="220"/>
              <w:spacing w:after="0"/>
              <w:rPr>
                <w:sz w:val="20"/>
                <w:szCs w:val="20"/>
                <w:color w:val="auto"/>
              </w:rPr>
            </w:pPr>
            <w:r>
              <w:rPr>
                <w:rFonts w:ascii="Arial" w:cs="Arial" w:eastAsia="Arial" w:hAnsi="Arial"/>
                <w:sz w:val="18"/>
                <w:szCs w:val="18"/>
                <w:color w:val="auto"/>
              </w:rPr>
              <w:t>Option to Effect Legal Defeasance or Covenant Defeasance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8.02</w:t>
            </w:r>
          </w:p>
        </w:tc>
        <w:tc>
          <w:tcPr>
            <w:tcW w:w="9040" w:type="dxa"/>
            <w:vAlign w:val="bottom"/>
          </w:tcPr>
          <w:p>
            <w:pPr>
              <w:ind w:left="220"/>
              <w:spacing w:after="0"/>
              <w:rPr>
                <w:sz w:val="20"/>
                <w:szCs w:val="20"/>
                <w:color w:val="auto"/>
              </w:rPr>
            </w:pPr>
            <w:r>
              <w:rPr>
                <w:rFonts w:ascii="Arial" w:cs="Arial" w:eastAsia="Arial" w:hAnsi="Arial"/>
                <w:sz w:val="18"/>
                <w:szCs w:val="18"/>
                <w:color w:val="auto"/>
              </w:rPr>
              <w:t>Legal Defeasance and Discharge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8.03</w:t>
            </w:r>
          </w:p>
        </w:tc>
        <w:tc>
          <w:tcPr>
            <w:tcW w:w="9040" w:type="dxa"/>
            <w:vAlign w:val="bottom"/>
          </w:tcPr>
          <w:p>
            <w:pPr>
              <w:ind w:left="220"/>
              <w:spacing w:after="0"/>
              <w:rPr>
                <w:sz w:val="20"/>
                <w:szCs w:val="20"/>
                <w:color w:val="auto"/>
              </w:rPr>
            </w:pPr>
            <w:r>
              <w:rPr>
                <w:rFonts w:ascii="Arial" w:cs="Arial" w:eastAsia="Arial" w:hAnsi="Arial"/>
                <w:sz w:val="18"/>
                <w:szCs w:val="18"/>
                <w:color w:val="auto"/>
              </w:rPr>
              <w:t>Covenant Defeasance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8.04</w:t>
            </w:r>
          </w:p>
        </w:tc>
        <w:tc>
          <w:tcPr>
            <w:tcW w:w="9040" w:type="dxa"/>
            <w:vAlign w:val="bottom"/>
          </w:tcPr>
          <w:p>
            <w:pPr>
              <w:ind w:left="220"/>
              <w:spacing w:after="0"/>
              <w:rPr>
                <w:sz w:val="20"/>
                <w:szCs w:val="20"/>
                <w:color w:val="auto"/>
              </w:rPr>
            </w:pPr>
            <w:r>
              <w:rPr>
                <w:rFonts w:ascii="Arial" w:cs="Arial" w:eastAsia="Arial" w:hAnsi="Arial"/>
                <w:sz w:val="18"/>
                <w:szCs w:val="18"/>
                <w:color w:val="auto"/>
              </w:rPr>
              <w:t>Conditions to Legal or Covenant Defeasance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8.05</w:t>
            </w:r>
          </w:p>
        </w:tc>
        <w:tc>
          <w:tcPr>
            <w:tcW w:w="9040" w:type="dxa"/>
            <w:vAlign w:val="bottom"/>
          </w:tcPr>
          <w:p>
            <w:pPr>
              <w:ind w:left="22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8.06</w:t>
            </w:r>
          </w:p>
        </w:tc>
        <w:tc>
          <w:tcPr>
            <w:tcW w:w="9040" w:type="dxa"/>
            <w:vAlign w:val="bottom"/>
          </w:tcPr>
          <w:p>
            <w:pPr>
              <w:ind w:left="220"/>
              <w:spacing w:after="0"/>
              <w:rPr>
                <w:sz w:val="20"/>
                <w:szCs w:val="20"/>
                <w:color w:val="auto"/>
              </w:rPr>
            </w:pPr>
            <w:r>
              <w:rPr>
                <w:rFonts w:ascii="Arial" w:cs="Arial" w:eastAsia="Arial" w:hAnsi="Arial"/>
                <w:sz w:val="18"/>
                <w:szCs w:val="18"/>
                <w:color w:val="auto"/>
              </w:rPr>
              <w:t>Repayment to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8.07</w:t>
            </w:r>
          </w:p>
        </w:tc>
        <w:tc>
          <w:tcPr>
            <w:tcW w:w="904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6"/>
              </w:rPr>
              <w:t>ARTICLE 9</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jc w:val="center"/>
              <w:ind w:right="10"/>
              <w:spacing w:after="0"/>
              <w:rPr>
                <w:sz w:val="20"/>
                <w:szCs w:val="20"/>
                <w:color w:val="auto"/>
              </w:rPr>
            </w:pPr>
            <w:r>
              <w:rPr>
                <w:rFonts w:ascii="Arial" w:cs="Arial" w:eastAsia="Arial" w:hAnsi="Arial"/>
                <w:sz w:val="18"/>
                <w:szCs w:val="18"/>
                <w:color w:val="auto"/>
                <w:w w:val="97"/>
              </w:rPr>
              <w:t>AMENDMENT, SUPPLEMENT AND WAIVER</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9.01</w:t>
            </w:r>
          </w:p>
        </w:tc>
        <w:tc>
          <w:tcPr>
            <w:tcW w:w="9040" w:type="dxa"/>
            <w:vAlign w:val="bottom"/>
          </w:tcPr>
          <w:p>
            <w:pPr>
              <w:ind w:left="220"/>
              <w:spacing w:after="0"/>
              <w:rPr>
                <w:sz w:val="20"/>
                <w:szCs w:val="20"/>
                <w:color w:val="auto"/>
              </w:rPr>
            </w:pPr>
            <w:r>
              <w:rPr>
                <w:rFonts w:ascii="Arial" w:cs="Arial" w:eastAsia="Arial" w:hAnsi="Arial"/>
                <w:sz w:val="18"/>
                <w:szCs w:val="18"/>
                <w:color w:val="auto"/>
              </w:rPr>
              <w:t>Without Consent of Holders of Notes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9.02</w:t>
            </w:r>
          </w:p>
        </w:tc>
        <w:tc>
          <w:tcPr>
            <w:tcW w:w="9040" w:type="dxa"/>
            <w:vAlign w:val="bottom"/>
          </w:tcPr>
          <w:p>
            <w:pPr>
              <w:ind w:left="220"/>
              <w:spacing w:after="0"/>
              <w:rPr>
                <w:sz w:val="20"/>
                <w:szCs w:val="20"/>
                <w:color w:val="auto"/>
              </w:rPr>
            </w:pPr>
            <w:r>
              <w:rPr>
                <w:rFonts w:ascii="Arial" w:cs="Arial" w:eastAsia="Arial" w:hAnsi="Arial"/>
                <w:sz w:val="18"/>
                <w:szCs w:val="18"/>
                <w:color w:val="auto"/>
              </w:rPr>
              <w:t>With Consent of Holders of Notes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9.03</w:t>
            </w:r>
          </w:p>
        </w:tc>
        <w:tc>
          <w:tcPr>
            <w:tcW w:w="9040" w:type="dxa"/>
            <w:vAlign w:val="bottom"/>
          </w:tcPr>
          <w:p>
            <w:pPr>
              <w:ind w:left="220"/>
              <w:spacing w:after="0"/>
              <w:rPr>
                <w:sz w:val="20"/>
                <w:szCs w:val="20"/>
                <w:color w:val="auto"/>
              </w:rPr>
            </w:pPr>
            <w:r>
              <w:rPr>
                <w:rFonts w:ascii="Arial" w:cs="Arial" w:eastAsia="Arial" w:hAnsi="Arial"/>
                <w:sz w:val="18"/>
                <w:szCs w:val="18"/>
                <w:color w:val="auto"/>
              </w:rPr>
              <w:t>Compliance with Trust Indenture Act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040" w:type="dxa"/>
            <w:vAlign w:val="bottom"/>
          </w:tcPr>
          <w:p>
            <w:pPr>
              <w:jc w:val="center"/>
              <w:ind w:right="10"/>
              <w:spacing w:after="0"/>
              <w:rPr>
                <w:sz w:val="20"/>
                <w:szCs w:val="20"/>
                <w:color w:val="auto"/>
              </w:rPr>
            </w:pPr>
            <w:r>
              <w:rPr>
                <w:rFonts w:ascii="Arial" w:cs="Arial" w:eastAsia="Arial" w:hAnsi="Arial"/>
                <w:sz w:val="18"/>
                <w:szCs w:val="18"/>
                <w:color w:val="auto"/>
              </w:rPr>
              <w:t>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90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1240" w:type="dxa"/>
            <w:vAlign w:val="bottom"/>
            <w:vMerge w:val="restart"/>
          </w:tcPr>
          <w:p>
            <w:pPr>
              <w:spacing w:after="0"/>
              <w:rPr>
                <w:sz w:val="20"/>
                <w:szCs w:val="20"/>
                <w:color w:val="auto"/>
              </w:rPr>
            </w:pPr>
            <w:r>
              <w:rPr>
                <w:rFonts w:ascii="Arial" w:cs="Arial" w:eastAsia="Arial" w:hAnsi="Arial"/>
                <w:sz w:val="18"/>
                <w:szCs w:val="18"/>
                <w:color w:val="auto"/>
              </w:rPr>
              <w:t>Section 9.04</w:t>
            </w:r>
          </w:p>
        </w:tc>
        <w:tc>
          <w:tcPr>
            <w:tcW w:w="9040" w:type="dxa"/>
            <w:vAlign w:val="bottom"/>
            <w:vMerge w:val="restart"/>
          </w:tcPr>
          <w:p>
            <w:pPr>
              <w:ind w:left="220"/>
              <w:spacing w:after="0"/>
              <w:rPr>
                <w:sz w:val="20"/>
                <w:szCs w:val="20"/>
                <w:color w:val="auto"/>
              </w:rPr>
            </w:pPr>
            <w:r>
              <w:rPr>
                <w:rFonts w:ascii="Arial" w:cs="Arial" w:eastAsia="Arial" w:hAnsi="Arial"/>
                <w:sz w:val="18"/>
                <w:szCs w:val="18"/>
                <w:color w:val="auto"/>
              </w:rPr>
              <w:t>Revocation and Effect of Consents</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240" w:type="dxa"/>
            <w:vAlign w:val="bottom"/>
            <w:vMerge w:val="continue"/>
          </w:tcPr>
          <w:p>
            <w:pPr>
              <w:spacing w:after="0"/>
              <w:rPr>
                <w:sz w:val="16"/>
                <w:szCs w:val="16"/>
                <w:color w:val="auto"/>
              </w:rPr>
            </w:pPr>
          </w:p>
        </w:tc>
        <w:tc>
          <w:tcPr>
            <w:tcW w:w="9040" w:type="dxa"/>
            <w:vAlign w:val="bottom"/>
            <w:vMerge w:val="continue"/>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9.05</w:t>
            </w:r>
          </w:p>
        </w:tc>
        <w:tc>
          <w:tcPr>
            <w:tcW w:w="9040" w:type="dxa"/>
            <w:vAlign w:val="bottom"/>
          </w:tcPr>
          <w:p>
            <w:pPr>
              <w:ind w:left="220"/>
              <w:spacing w:after="0"/>
              <w:rPr>
                <w:sz w:val="20"/>
                <w:szCs w:val="20"/>
                <w:color w:val="auto"/>
              </w:rPr>
            </w:pPr>
            <w:r>
              <w:rPr>
                <w:rFonts w:ascii="Arial" w:cs="Arial" w:eastAsia="Arial" w:hAnsi="Arial"/>
                <w:sz w:val="18"/>
                <w:szCs w:val="18"/>
                <w:color w:val="auto"/>
              </w:rPr>
              <w:t>Notation on or Exchange of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9.06</w:t>
            </w:r>
          </w:p>
        </w:tc>
        <w:tc>
          <w:tcPr>
            <w:tcW w:w="9040" w:type="dxa"/>
            <w:vAlign w:val="bottom"/>
          </w:tcPr>
          <w:p>
            <w:pPr>
              <w:ind w:left="220"/>
              <w:spacing w:after="0"/>
              <w:rPr>
                <w:sz w:val="20"/>
                <w:szCs w:val="20"/>
                <w:color w:val="auto"/>
              </w:rPr>
            </w:pPr>
            <w:r>
              <w:rPr>
                <w:rFonts w:ascii="Arial" w:cs="Arial" w:eastAsia="Arial" w:hAnsi="Arial"/>
                <w:sz w:val="18"/>
                <w:szCs w:val="18"/>
                <w:color w:val="auto"/>
              </w:rPr>
              <w:t>Trustee to Sign Amendments, etc.</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ind w:right="10"/>
              <w:spacing w:after="0"/>
              <w:rPr>
                <w:sz w:val="20"/>
                <w:szCs w:val="20"/>
                <w:color w:val="auto"/>
              </w:rPr>
            </w:pPr>
            <w:r>
              <w:rPr>
                <w:rFonts w:ascii="Arial" w:cs="Arial" w:eastAsia="Arial" w:hAnsi="Arial"/>
                <w:sz w:val="18"/>
                <w:szCs w:val="18"/>
                <w:color w:val="auto"/>
                <w:w w:val="96"/>
              </w:rPr>
              <w:t>ARTICLE 10</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6"/>
              </w:rPr>
              <w:t>GUARANTEES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10.01.</w:t>
            </w:r>
          </w:p>
        </w:tc>
        <w:tc>
          <w:tcPr>
            <w:tcW w:w="9040" w:type="dxa"/>
            <w:vAlign w:val="bottom"/>
          </w:tcPr>
          <w:p>
            <w:pPr>
              <w:ind w:left="220"/>
              <w:spacing w:after="0"/>
              <w:rPr>
                <w:sz w:val="20"/>
                <w:szCs w:val="20"/>
                <w:color w:val="auto"/>
              </w:rPr>
            </w:pPr>
            <w:r>
              <w:rPr>
                <w:rFonts w:ascii="Arial" w:cs="Arial" w:eastAsia="Arial" w:hAnsi="Arial"/>
                <w:sz w:val="18"/>
                <w:szCs w:val="18"/>
                <w:color w:val="auto"/>
              </w:rPr>
              <w:t>Guarantee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10.02.</w:t>
            </w:r>
          </w:p>
        </w:tc>
        <w:tc>
          <w:tcPr>
            <w:tcW w:w="9040" w:type="dxa"/>
            <w:vAlign w:val="bottom"/>
          </w:tcPr>
          <w:p>
            <w:pPr>
              <w:ind w:left="220"/>
              <w:spacing w:after="0"/>
              <w:rPr>
                <w:sz w:val="20"/>
                <w:szCs w:val="20"/>
                <w:color w:val="auto"/>
              </w:rPr>
            </w:pPr>
            <w:r>
              <w:rPr>
                <w:rFonts w:ascii="Arial" w:cs="Arial" w:eastAsia="Arial" w:hAnsi="Arial"/>
                <w:sz w:val="18"/>
                <w:szCs w:val="18"/>
                <w:color w:val="auto"/>
              </w:rPr>
              <w:t>Limitation on Guarantor Liability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10.03.</w:t>
            </w:r>
          </w:p>
        </w:tc>
        <w:tc>
          <w:tcPr>
            <w:tcW w:w="9040" w:type="dxa"/>
            <w:vAlign w:val="bottom"/>
          </w:tcPr>
          <w:p>
            <w:pPr>
              <w:ind w:left="220"/>
              <w:spacing w:after="0"/>
              <w:rPr>
                <w:sz w:val="20"/>
                <w:szCs w:val="20"/>
                <w:color w:val="auto"/>
              </w:rPr>
            </w:pPr>
            <w:r>
              <w:rPr>
                <w:rFonts w:ascii="Arial" w:cs="Arial" w:eastAsia="Arial" w:hAnsi="Arial"/>
                <w:sz w:val="18"/>
                <w:szCs w:val="18"/>
                <w:color w:val="auto"/>
              </w:rPr>
              <w:t>Execution and Delivery of Guarantee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10.04.</w:t>
            </w:r>
          </w:p>
        </w:tc>
        <w:tc>
          <w:tcPr>
            <w:tcW w:w="9040" w:type="dxa"/>
            <w:vAlign w:val="bottom"/>
          </w:tcPr>
          <w:p>
            <w:pPr>
              <w:ind w:left="220"/>
              <w:spacing w:after="0"/>
              <w:rPr>
                <w:sz w:val="20"/>
                <w:szCs w:val="20"/>
                <w:color w:val="auto"/>
              </w:rPr>
            </w:pPr>
            <w:r>
              <w:rPr>
                <w:rFonts w:ascii="Arial" w:cs="Arial" w:eastAsia="Arial" w:hAnsi="Arial"/>
                <w:sz w:val="18"/>
                <w:szCs w:val="18"/>
                <w:color w:val="auto"/>
              </w:rPr>
              <w:t>Guarantors May Consolidate, etc., on Certain Terms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10.05.</w:t>
            </w:r>
          </w:p>
        </w:tc>
        <w:tc>
          <w:tcPr>
            <w:tcW w:w="9040" w:type="dxa"/>
            <w:vAlign w:val="bottom"/>
          </w:tcPr>
          <w:p>
            <w:pPr>
              <w:ind w:left="220"/>
              <w:spacing w:after="0"/>
              <w:rPr>
                <w:sz w:val="20"/>
                <w:szCs w:val="20"/>
                <w:color w:val="auto"/>
              </w:rPr>
            </w:pPr>
            <w:r>
              <w:rPr>
                <w:rFonts w:ascii="Arial" w:cs="Arial" w:eastAsia="Arial" w:hAnsi="Arial"/>
                <w:sz w:val="18"/>
                <w:szCs w:val="18"/>
                <w:color w:val="auto"/>
              </w:rPr>
              <w:t>Releases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4"/>
              </w:rPr>
              <w:t>ARTICLE 11</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6"/>
              </w:rPr>
              <w:t>SATISFACTION AND DISCHARGE</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11.01</w:t>
            </w:r>
          </w:p>
        </w:tc>
        <w:tc>
          <w:tcPr>
            <w:tcW w:w="9040" w:type="dxa"/>
            <w:vAlign w:val="bottom"/>
          </w:tcPr>
          <w:p>
            <w:pPr>
              <w:ind w:left="220"/>
              <w:spacing w:after="0"/>
              <w:rPr>
                <w:sz w:val="20"/>
                <w:szCs w:val="20"/>
                <w:color w:val="auto"/>
              </w:rPr>
            </w:pPr>
            <w:r>
              <w:rPr>
                <w:rFonts w:ascii="Arial" w:cs="Arial" w:eastAsia="Arial" w:hAnsi="Arial"/>
                <w:sz w:val="18"/>
                <w:szCs w:val="18"/>
                <w:color w:val="auto"/>
              </w:rPr>
              <w:t>Satisfaction and Discharge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11.02</w:t>
            </w:r>
          </w:p>
        </w:tc>
        <w:tc>
          <w:tcPr>
            <w:tcW w:w="9040" w:type="dxa"/>
            <w:vAlign w:val="bottom"/>
          </w:tcPr>
          <w:p>
            <w:pPr>
              <w:ind w:left="220"/>
              <w:spacing w:after="0"/>
              <w:rPr>
                <w:sz w:val="20"/>
                <w:szCs w:val="20"/>
                <w:color w:val="auto"/>
              </w:rPr>
            </w:pPr>
            <w:r>
              <w:rPr>
                <w:rFonts w:ascii="Arial" w:cs="Arial" w:eastAsia="Arial" w:hAnsi="Arial"/>
                <w:sz w:val="18"/>
                <w:szCs w:val="18"/>
                <w:color w:val="auto"/>
              </w:rPr>
              <w:t>Application of Trust Money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4"/>
              </w:rPr>
              <w:t>ARTICLE 12</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7"/>
              </w:rPr>
              <w:t>MISCELLANEOUS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12.01</w:t>
            </w:r>
          </w:p>
        </w:tc>
        <w:tc>
          <w:tcPr>
            <w:tcW w:w="9040" w:type="dxa"/>
            <w:vAlign w:val="bottom"/>
          </w:tcPr>
          <w:p>
            <w:pPr>
              <w:ind w:left="220"/>
              <w:spacing w:after="0"/>
              <w:rPr>
                <w:sz w:val="20"/>
                <w:szCs w:val="20"/>
                <w:color w:val="auto"/>
              </w:rPr>
            </w:pPr>
            <w:r>
              <w:rPr>
                <w:rFonts w:ascii="Arial" w:cs="Arial" w:eastAsia="Arial" w:hAnsi="Arial"/>
                <w:sz w:val="18"/>
                <w:szCs w:val="18"/>
                <w:color w:val="auto"/>
              </w:rPr>
              <w:t>Trust Indenture Act Controls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12.02</w:t>
            </w:r>
          </w:p>
        </w:tc>
        <w:tc>
          <w:tcPr>
            <w:tcW w:w="9040" w:type="dxa"/>
            <w:vAlign w:val="bottom"/>
          </w:tcPr>
          <w:p>
            <w:pPr>
              <w:ind w:left="220"/>
              <w:spacing w:after="0"/>
              <w:rPr>
                <w:sz w:val="20"/>
                <w:szCs w:val="20"/>
                <w:color w:val="auto"/>
              </w:rPr>
            </w:pPr>
            <w:r>
              <w:rPr>
                <w:rFonts w:ascii="Arial" w:cs="Arial" w:eastAsia="Arial" w:hAnsi="Arial"/>
                <w:sz w:val="18"/>
                <w:szCs w:val="18"/>
                <w:color w:val="auto"/>
              </w:rPr>
              <w:t>Notices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12.03</w:t>
            </w:r>
          </w:p>
        </w:tc>
        <w:tc>
          <w:tcPr>
            <w:tcW w:w="9040" w:type="dxa"/>
            <w:vAlign w:val="bottom"/>
          </w:tcPr>
          <w:p>
            <w:pPr>
              <w:ind w:left="220"/>
              <w:spacing w:after="0"/>
              <w:rPr>
                <w:sz w:val="20"/>
                <w:szCs w:val="20"/>
                <w:color w:val="auto"/>
              </w:rPr>
            </w:pPr>
            <w:r>
              <w:rPr>
                <w:rFonts w:ascii="Arial" w:cs="Arial" w:eastAsia="Arial" w:hAnsi="Arial"/>
                <w:sz w:val="18"/>
                <w:szCs w:val="18"/>
                <w:color w:val="auto"/>
              </w:rPr>
              <w:t>Communication by Holders of Securities with Other Holders of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-3920490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-3920490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5" w:name="page6"/>
    <w:bookmarkEnd w:id="5"/>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12.04</w:t>
            </w:r>
          </w:p>
        </w:tc>
        <w:tc>
          <w:tcPr>
            <w:tcW w:w="8540" w:type="dxa"/>
            <w:vAlign w:val="bottom"/>
          </w:tcPr>
          <w:p>
            <w:pPr>
              <w:ind w:left="240"/>
              <w:spacing w:after="0"/>
              <w:rPr>
                <w:sz w:val="20"/>
                <w:szCs w:val="20"/>
                <w:color w:val="auto"/>
              </w:rPr>
            </w:pPr>
            <w:r>
              <w:rPr>
                <w:rFonts w:ascii="Arial" w:cs="Arial" w:eastAsia="Arial" w:hAnsi="Arial"/>
                <w:sz w:val="18"/>
                <w:szCs w:val="18"/>
                <w:color w:val="auto"/>
              </w:rPr>
              <w:t>Certificate and Opinion as to Conditions Precedent</w:t>
            </w: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12.05</w:t>
            </w:r>
          </w:p>
        </w:tc>
        <w:tc>
          <w:tcPr>
            <w:tcW w:w="8540" w:type="dxa"/>
            <w:vAlign w:val="bottom"/>
          </w:tcPr>
          <w:p>
            <w:pPr>
              <w:ind w:left="240"/>
              <w:spacing w:after="0"/>
              <w:rPr>
                <w:sz w:val="20"/>
                <w:szCs w:val="20"/>
                <w:color w:val="auto"/>
              </w:rPr>
            </w:pPr>
            <w:r>
              <w:rPr>
                <w:rFonts w:ascii="Arial" w:cs="Arial" w:eastAsia="Arial" w:hAnsi="Arial"/>
                <w:sz w:val="18"/>
                <w:szCs w:val="18"/>
                <w:color w:val="auto"/>
              </w:rPr>
              <w:t>Statements Required in Certificate or Opinion</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12.06</w:t>
            </w:r>
          </w:p>
        </w:tc>
        <w:tc>
          <w:tcPr>
            <w:tcW w:w="8540" w:type="dxa"/>
            <w:vAlign w:val="bottom"/>
          </w:tcPr>
          <w:p>
            <w:pPr>
              <w:ind w:left="240"/>
              <w:spacing w:after="0"/>
              <w:rPr>
                <w:sz w:val="20"/>
                <w:szCs w:val="20"/>
                <w:color w:val="auto"/>
              </w:rPr>
            </w:pPr>
            <w:r>
              <w:rPr>
                <w:rFonts w:ascii="Arial" w:cs="Arial" w:eastAsia="Arial" w:hAnsi="Arial"/>
                <w:sz w:val="18"/>
                <w:szCs w:val="18"/>
                <w:color w:val="auto"/>
              </w:rPr>
              <w:t>Rules by Trustee and Agents</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12.07</w:t>
            </w:r>
          </w:p>
        </w:tc>
        <w:tc>
          <w:tcPr>
            <w:tcW w:w="8540" w:type="dxa"/>
            <w:vAlign w:val="bottom"/>
          </w:tcPr>
          <w:p>
            <w:pPr>
              <w:ind w:left="24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12.08</w:t>
            </w:r>
          </w:p>
        </w:tc>
        <w:tc>
          <w:tcPr>
            <w:tcW w:w="854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12.09</w:t>
            </w:r>
          </w:p>
        </w:tc>
        <w:tc>
          <w:tcPr>
            <w:tcW w:w="8540" w:type="dxa"/>
            <w:vAlign w:val="bottom"/>
          </w:tcPr>
          <w:p>
            <w:pPr>
              <w:ind w:left="240"/>
              <w:spacing w:after="0"/>
              <w:rPr>
                <w:sz w:val="20"/>
                <w:szCs w:val="20"/>
                <w:color w:val="auto"/>
              </w:rPr>
            </w:pPr>
            <w:r>
              <w:rPr>
                <w:rFonts w:ascii="Arial" w:cs="Arial" w:eastAsia="Arial" w:hAnsi="Arial"/>
                <w:sz w:val="18"/>
                <w:szCs w:val="18"/>
                <w:color w:val="auto"/>
              </w:rPr>
              <w:t>No Adverse Interpretation of Other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12.10</w:t>
            </w:r>
          </w:p>
        </w:tc>
        <w:tc>
          <w:tcPr>
            <w:tcW w:w="8540" w:type="dxa"/>
            <w:vAlign w:val="bottom"/>
          </w:tcPr>
          <w:p>
            <w:pPr>
              <w:ind w:left="240"/>
              <w:spacing w:after="0"/>
              <w:rPr>
                <w:sz w:val="20"/>
                <w:szCs w:val="20"/>
                <w:color w:val="auto"/>
              </w:rPr>
            </w:pPr>
            <w:r>
              <w:rPr>
                <w:rFonts w:ascii="Arial" w:cs="Arial" w:eastAsia="Arial" w:hAnsi="Arial"/>
                <w:sz w:val="18"/>
                <w:szCs w:val="18"/>
                <w:color w:val="auto"/>
              </w:rPr>
              <w:t>Successors</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12.11</w:t>
            </w:r>
          </w:p>
        </w:tc>
        <w:tc>
          <w:tcPr>
            <w:tcW w:w="854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12.12</w:t>
            </w:r>
          </w:p>
        </w:tc>
        <w:tc>
          <w:tcPr>
            <w:tcW w:w="8540" w:type="dxa"/>
            <w:vAlign w:val="bottom"/>
          </w:tcPr>
          <w:p>
            <w:pPr>
              <w:ind w:left="240"/>
              <w:spacing w:after="0"/>
              <w:rPr>
                <w:sz w:val="20"/>
                <w:szCs w:val="20"/>
                <w:color w:val="auto"/>
              </w:rPr>
            </w:pPr>
            <w:r>
              <w:rPr>
                <w:rFonts w:ascii="Arial" w:cs="Arial" w:eastAsia="Arial" w:hAnsi="Arial"/>
                <w:sz w:val="18"/>
                <w:szCs w:val="18"/>
                <w:color w:val="auto"/>
              </w:rPr>
              <w:t>Counterpart Originals</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12.13</w:t>
            </w:r>
          </w:p>
        </w:tc>
        <w:tc>
          <w:tcPr>
            <w:tcW w:w="8540" w:type="dxa"/>
            <w:vAlign w:val="bottom"/>
          </w:tcPr>
          <w:p>
            <w:pPr>
              <w:ind w:left="240"/>
              <w:spacing w:after="0"/>
              <w:rPr>
                <w:sz w:val="20"/>
                <w:szCs w:val="20"/>
                <w:color w:val="auto"/>
              </w:rPr>
            </w:pPr>
            <w:r>
              <w:rPr>
                <w:rFonts w:ascii="Arial" w:cs="Arial" w:eastAsia="Arial" w:hAnsi="Arial"/>
                <w:sz w:val="18"/>
                <w:szCs w:val="18"/>
                <w:color w:val="auto"/>
              </w:rPr>
              <w:t>Table of Contents, Headings, etc.</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12.14</w:t>
            </w:r>
          </w:p>
        </w:tc>
        <w:tc>
          <w:tcPr>
            <w:tcW w:w="8540" w:type="dxa"/>
            <w:vAlign w:val="bottom"/>
          </w:tcPr>
          <w:p>
            <w:pPr>
              <w:ind w:left="240"/>
              <w:spacing w:after="0"/>
              <w:rPr>
                <w:sz w:val="20"/>
                <w:szCs w:val="20"/>
                <w:color w:val="auto"/>
              </w:rPr>
            </w:pPr>
            <w:r>
              <w:rPr>
                <w:rFonts w:ascii="Arial" w:cs="Arial" w:eastAsia="Arial" w:hAnsi="Arial"/>
                <w:sz w:val="18"/>
                <w:szCs w:val="18"/>
                <w:color w:val="auto"/>
              </w:rPr>
              <w:t>Compliance with Applicable Anti-Terrorism and Anti-Money Laundering Regulations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1220" w:type="dxa"/>
            <w:vAlign w:val="bottom"/>
          </w:tcPr>
          <w:p>
            <w:pPr>
              <w:spacing w:after="0"/>
              <w:rPr>
                <w:sz w:val="24"/>
                <w:szCs w:val="24"/>
                <w:color w:val="auto"/>
              </w:rPr>
            </w:pPr>
          </w:p>
        </w:tc>
        <w:tc>
          <w:tcPr>
            <w:tcW w:w="8540" w:type="dxa"/>
            <w:vAlign w:val="bottom"/>
          </w:tcPr>
          <w:p>
            <w:pPr>
              <w:ind w:left="4080"/>
              <w:spacing w:after="0"/>
              <w:rPr>
                <w:sz w:val="20"/>
                <w:szCs w:val="20"/>
                <w:color w:val="auto"/>
              </w:rPr>
            </w:pPr>
            <w:r>
              <w:rPr>
                <w:rFonts w:ascii="Arial" w:cs="Arial" w:eastAsia="Arial" w:hAnsi="Arial"/>
                <w:sz w:val="18"/>
                <w:szCs w:val="18"/>
                <w:color w:val="auto"/>
              </w:rPr>
              <w:t>EXHIBITS</w:t>
            </w:r>
          </w:p>
        </w:tc>
        <w:tc>
          <w:tcPr>
            <w:tcW w:w="1660" w:type="dxa"/>
            <w:vAlign w:val="bottom"/>
          </w:tcPr>
          <w:p>
            <w:pPr>
              <w:spacing w:after="0"/>
              <w:rPr>
                <w:sz w:val="24"/>
                <w:szCs w:val="24"/>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Exhibit A</w:t>
            </w:r>
          </w:p>
        </w:tc>
        <w:tc>
          <w:tcPr>
            <w:tcW w:w="8540" w:type="dxa"/>
            <w:vAlign w:val="bottom"/>
          </w:tcPr>
          <w:p>
            <w:pPr>
              <w:ind w:left="240"/>
              <w:spacing w:after="0"/>
              <w:rPr>
                <w:sz w:val="20"/>
                <w:szCs w:val="20"/>
                <w:color w:val="auto"/>
              </w:rPr>
            </w:pPr>
            <w:r>
              <w:rPr>
                <w:rFonts w:ascii="Arial" w:cs="Arial" w:eastAsia="Arial" w:hAnsi="Arial"/>
                <w:sz w:val="18"/>
                <w:szCs w:val="18"/>
                <w:color w:val="auto"/>
              </w:rPr>
              <w:t>FORM OF NOTE</w:t>
            </w:r>
          </w:p>
        </w:tc>
        <w:tc>
          <w:tcPr>
            <w:tcW w:w="1660" w:type="dxa"/>
            <w:vAlign w:val="bottom"/>
          </w:tcPr>
          <w:p>
            <w:pPr>
              <w:spacing w:after="0"/>
              <w:rPr>
                <w:sz w:val="24"/>
                <w:szCs w:val="24"/>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B</w:t>
            </w:r>
          </w:p>
        </w:tc>
        <w:tc>
          <w:tcPr>
            <w:tcW w:w="8540" w:type="dxa"/>
            <w:vAlign w:val="bottom"/>
          </w:tcPr>
          <w:p>
            <w:pPr>
              <w:ind w:left="240"/>
              <w:spacing w:after="0"/>
              <w:rPr>
                <w:sz w:val="20"/>
                <w:szCs w:val="20"/>
                <w:color w:val="auto"/>
              </w:rPr>
            </w:pPr>
            <w:r>
              <w:rPr>
                <w:rFonts w:ascii="Arial" w:cs="Arial" w:eastAsia="Arial" w:hAnsi="Arial"/>
                <w:sz w:val="18"/>
                <w:szCs w:val="18"/>
                <w:color w:val="auto"/>
              </w:rPr>
              <w:t>FORM OF CERTIFICATE OF TRANSFER</w:t>
            </w:r>
          </w:p>
        </w:tc>
        <w:tc>
          <w:tcPr>
            <w:tcW w:w="166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C</w:t>
            </w:r>
          </w:p>
        </w:tc>
        <w:tc>
          <w:tcPr>
            <w:tcW w:w="8540" w:type="dxa"/>
            <w:vAlign w:val="bottom"/>
          </w:tcPr>
          <w:p>
            <w:pPr>
              <w:ind w:left="240"/>
              <w:spacing w:after="0"/>
              <w:rPr>
                <w:sz w:val="20"/>
                <w:szCs w:val="20"/>
                <w:color w:val="auto"/>
              </w:rPr>
            </w:pPr>
            <w:r>
              <w:rPr>
                <w:rFonts w:ascii="Arial" w:cs="Arial" w:eastAsia="Arial" w:hAnsi="Arial"/>
                <w:sz w:val="18"/>
                <w:szCs w:val="18"/>
                <w:color w:val="auto"/>
              </w:rPr>
              <w:t>FORM OF CERTIFICATE OF EXCHANGE</w:t>
            </w:r>
          </w:p>
        </w:tc>
        <w:tc>
          <w:tcPr>
            <w:tcW w:w="166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D</w:t>
            </w:r>
          </w:p>
        </w:tc>
        <w:tc>
          <w:tcPr>
            <w:tcW w:w="8540" w:type="dxa"/>
            <w:vAlign w:val="bottom"/>
          </w:tcPr>
          <w:p>
            <w:pPr>
              <w:ind w:left="240"/>
              <w:spacing w:after="0"/>
              <w:rPr>
                <w:sz w:val="20"/>
                <w:szCs w:val="20"/>
                <w:color w:val="auto"/>
              </w:rPr>
            </w:pPr>
            <w:r>
              <w:rPr>
                <w:rFonts w:ascii="Arial" w:cs="Arial" w:eastAsia="Arial" w:hAnsi="Arial"/>
                <w:sz w:val="18"/>
                <w:szCs w:val="18"/>
                <w:color w:val="auto"/>
              </w:rPr>
              <w:t>FORM OF CERTIFICATE OF ACQUIRING INSTITUTIONAL ACCREDITED INVESTOR</w:t>
            </w:r>
          </w:p>
        </w:tc>
        <w:tc>
          <w:tcPr>
            <w:tcW w:w="16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E</w:t>
            </w:r>
          </w:p>
        </w:tc>
        <w:tc>
          <w:tcPr>
            <w:tcW w:w="8540" w:type="dxa"/>
            <w:vAlign w:val="bottom"/>
          </w:tcPr>
          <w:p>
            <w:pPr>
              <w:ind w:left="240"/>
              <w:spacing w:after="0"/>
              <w:rPr>
                <w:sz w:val="20"/>
                <w:szCs w:val="20"/>
                <w:color w:val="auto"/>
              </w:rPr>
            </w:pPr>
            <w:r>
              <w:rPr>
                <w:rFonts w:ascii="Arial" w:cs="Arial" w:eastAsia="Arial" w:hAnsi="Arial"/>
                <w:sz w:val="18"/>
                <w:szCs w:val="18"/>
                <w:color w:val="auto"/>
              </w:rPr>
              <w:t>FORM OF SUPPLEMENTAL INDENTURE</w:t>
            </w:r>
          </w:p>
        </w:tc>
        <w:tc>
          <w:tcPr>
            <w:tcW w:w="16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INDENTURE dated as of October 1, 2018 among Clearway Energy Operating LLC, a Delaware limited liability company, the Guarantors (as defined herein) and Delaware Trust Company,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The Company, the Guarantors and the Trustee agree as follows for the benefit of each other and for the equal and ratable benefit of the Holders (as defined herein) of the 5.750% Senior Notes due 2025 (the </w:t>
      </w:r>
      <w:r>
        <w:rPr>
          <w:rFonts w:ascii="Arial" w:cs="Arial" w:eastAsia="Arial" w:hAnsi="Arial"/>
          <w:sz w:val="16"/>
          <w:szCs w:val="16"/>
          <w:i w:val="1"/>
          <w:iCs w:val="1"/>
          <w:color w:val="auto"/>
        </w:rPr>
        <w:t>“Notes”</w:t>
      </w:r>
      <w:r>
        <w:rPr>
          <w:rFonts w:ascii="Arial" w:cs="Arial" w:eastAsia="Arial" w:hAnsi="Arial"/>
          <w:sz w:val="16"/>
          <w:szCs w:val="16"/>
          <w:color w:val="auto"/>
        </w:rPr>
        <w:t>) and any other Additional Securities issued pursuant to this Indenture after the date 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REFERENCE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“144A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i w:val="1"/>
          <w:iCs w:val="1"/>
          <w:color w:val="auto"/>
        </w:rPr>
        <w:t xml:space="preserve">“144A Global Security” </w:t>
      </w:r>
      <w:r>
        <w:rPr>
          <w:rFonts w:ascii="Arial" w:cs="Arial" w:eastAsia="Arial" w:hAnsi="Arial"/>
          <w:sz w:val="16"/>
          <w:szCs w:val="16"/>
          <w:color w:val="auto"/>
        </w:rPr>
        <w:t>means a Global Security, in the form specified in the applicable Supplemental Indenture pursuant to which such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spacing w:after="0" w:line="14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i w:val="1"/>
          <w:iCs w:val="1"/>
          <w:color w:val="auto"/>
        </w:rPr>
        <w:t xml:space="preserve">“Additional Notes” </w:t>
      </w:r>
      <w:r>
        <w:rPr>
          <w:rFonts w:ascii="Arial" w:cs="Arial" w:eastAsia="Arial" w:hAnsi="Arial"/>
          <w:sz w:val="18"/>
          <w:szCs w:val="18"/>
          <w:color w:val="auto"/>
        </w:rPr>
        <w:t>means additional Notes (other than the Initial Notes) issued from time to time under this Indenture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2.02 hereof, as part of the same series as the Initial Notes.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“Additional Securities” </w:t>
      </w:r>
      <w:r>
        <w:rPr>
          <w:rFonts w:ascii="Arial" w:cs="Arial" w:eastAsia="Arial" w:hAnsi="Arial"/>
          <w:sz w:val="18"/>
          <w:szCs w:val="18"/>
          <w:color w:val="auto"/>
        </w:rPr>
        <w:t>means any debentures, notes and other debt instruments of the Company of any Series, other than the Notes, authenticated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under this Indenture.</w:t>
      </w:r>
    </w:p>
    <w:p>
      <w:pPr>
        <w:spacing w:after="0" w:line="170"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6"/>
          <w:szCs w:val="16"/>
          <w:i w:val="1"/>
          <w:iCs w:val="1"/>
          <w:color w:val="auto"/>
        </w:rPr>
        <w:t>Adjusted LTM CAFD”</w:t>
      </w:r>
      <w:r>
        <w:rPr>
          <w:rFonts w:ascii="Arial" w:cs="Arial" w:eastAsia="Arial" w:hAnsi="Arial"/>
          <w:sz w:val="17"/>
          <w:szCs w:val="17"/>
          <w:i w:val="1"/>
          <w:iCs w:val="1"/>
          <w:color w:val="auto"/>
        </w:rPr>
        <w:t xml:space="preserve"> </w:t>
      </w:r>
      <w:r>
        <w:rPr>
          <w:rFonts w:ascii="Arial" w:cs="Arial" w:eastAsia="Arial" w:hAnsi="Arial"/>
          <w:sz w:val="17"/>
          <w:szCs w:val="17"/>
          <w:color w:val="auto"/>
        </w:rPr>
        <w:t>means, as of any date of determination (for purposes of this definition, the</w:t>
      </w:r>
      <w:r>
        <w:rPr>
          <w:rFonts w:ascii="Arial" w:cs="Arial" w:eastAsia="Arial" w:hAnsi="Arial"/>
          <w:sz w:val="17"/>
          <w:szCs w:val="17"/>
          <w:i w:val="1"/>
          <w:iCs w:val="1"/>
          <w:color w:val="auto"/>
        </w:rPr>
        <w:t xml:space="preserve"> “Calculation Date”</w:t>
      </w:r>
      <w:r>
        <w:rPr>
          <w:rFonts w:ascii="Arial" w:cs="Arial" w:eastAsia="Arial" w:hAnsi="Arial"/>
          <w:sz w:val="17"/>
          <w:szCs w:val="17"/>
          <w:color w:val="auto"/>
        </w:rPr>
        <w:t>), the net income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66" w:lineRule="exact"/>
        <w:rPr>
          <w:sz w:val="20"/>
          <w:szCs w:val="20"/>
          <w:color w:val="auto"/>
        </w:rPr>
      </w:pPr>
    </w:p>
    <w:p>
      <w:pPr>
        <w:ind w:left="2600" w:hanging="1295"/>
        <w:spacing w:after="0"/>
        <w:tabs>
          <w:tab w:leader="none" w:pos="2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2600" w:hanging="1295"/>
        <w:spacing w:after="0"/>
        <w:tabs>
          <w:tab w:leader="none" w:pos="2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plus income tax expense, net of income tax benefit, to the extent deducted in calculating net income during such four-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quarter period;</w:t>
      </w:r>
    </w:p>
    <w:p>
      <w:pPr>
        <w:spacing w:after="0" w:line="210" w:lineRule="exact"/>
        <w:rPr>
          <w:rFonts w:ascii="Arial" w:cs="Arial" w:eastAsia="Arial" w:hAnsi="Arial"/>
          <w:sz w:val="16"/>
          <w:szCs w:val="16"/>
          <w:color w:val="auto"/>
        </w:rPr>
      </w:pPr>
    </w:p>
    <w:p>
      <w:pPr>
        <w:ind w:left="5660" w:right="420" w:hanging="4355"/>
        <w:spacing w:after="0" w:line="528" w:lineRule="auto"/>
        <w:tabs>
          <w:tab w:leader="none" w:pos="2599" w:val="left"/>
        </w:tabs>
        <w:numPr>
          <w:ilvl w:val="0"/>
          <w:numId w:val="3"/>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 1</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600" w:hanging="1295"/>
        <w:spacing w:after="0"/>
        <w:tabs>
          <w:tab w:leader="none" w:pos="2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minus equity in earnings of unconsolidated affiliates to the extent included in net income during such four-quarter period;</w:t>
      </w:r>
    </w:p>
    <w:p>
      <w:pPr>
        <w:spacing w:after="0" w:line="248" w:lineRule="exact"/>
        <w:rPr>
          <w:rFonts w:ascii="Arial" w:cs="Arial" w:eastAsia="Arial" w:hAnsi="Arial"/>
          <w:sz w:val="16"/>
          <w:szCs w:val="16"/>
          <w:color w:val="auto"/>
        </w:rPr>
      </w:pPr>
    </w:p>
    <w:p>
      <w:pPr>
        <w:ind w:left="2600" w:hanging="1295"/>
        <w:spacing w:after="0"/>
        <w:tabs>
          <w:tab w:leader="none" w:pos="2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plus cash distributions from unconsolidated affiliates, to the extent not included in net income during such four-quarter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left="2600" w:hanging="1295"/>
        <w:spacing w:after="0"/>
        <w:tabs>
          <w:tab w:leader="none" w:pos="2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minus cash interest payments made by Subsidiaries of the Company that were added back to net income pursuant to</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clause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-1341755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88" w:orient="portrait"/>
          <w:cols w:equalWidth="0" w:num="1">
            <w:col w:w="11420"/>
          </w:cols>
          <w:pgMar w:left="240" w:top="125" w:right="239" w:bottom="0" w:gutter="0" w:footer="0" w:header="0"/>
        </w:sectPr>
      </w:pPr>
    </w:p>
    <w:bookmarkStart w:id="6" w:name="page7"/>
    <w:bookmarkEnd w:id="6"/>
    <w:p>
      <w:pPr>
        <w:ind w:left="2600" w:hanging="1295"/>
        <w:spacing w:after="0"/>
        <w:tabs>
          <w:tab w:leader="none" w:pos="2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minus cash income tax payments made by the Company and its Subsidiaries that were added back to net income pursuant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to clause (2) above;</w:t>
      </w:r>
    </w:p>
    <w:p>
      <w:pPr>
        <w:spacing w:after="0" w:line="210" w:lineRule="exact"/>
        <w:rPr>
          <w:rFonts w:ascii="Arial" w:cs="Arial" w:eastAsia="Arial" w:hAnsi="Arial"/>
          <w:sz w:val="16"/>
          <w:szCs w:val="16"/>
          <w:color w:val="auto"/>
        </w:rPr>
      </w:pPr>
    </w:p>
    <w:p>
      <w:pPr>
        <w:ind w:left="660" w:right="560" w:firstLine="645"/>
        <w:spacing w:after="0" w:line="277" w:lineRule="auto"/>
        <w:tabs>
          <w:tab w:leader="none" w:pos="2612"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the Company’s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left="2600" w:hanging="1295"/>
        <w:spacing w:after="0"/>
        <w:tabs>
          <w:tab w:leader="none" w:pos="2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plus any decrease or minus any increase in amounts attributable to contract amortization and any recurring changes in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other assets;</w:t>
      </w:r>
    </w:p>
    <w:p>
      <w:pPr>
        <w:spacing w:after="0" w:line="210" w:lineRule="exact"/>
        <w:rPr>
          <w:rFonts w:ascii="Arial" w:cs="Arial" w:eastAsia="Arial" w:hAnsi="Arial"/>
          <w:sz w:val="16"/>
          <w:szCs w:val="16"/>
          <w:color w:val="auto"/>
        </w:rPr>
      </w:pPr>
    </w:p>
    <w:p>
      <w:pPr>
        <w:ind w:left="2600" w:hanging="1295"/>
        <w:spacing w:after="0"/>
        <w:tabs>
          <w:tab w:leader="none" w:pos="2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minus maintenance capital expenditures, to the extent not deducted in calculating net income during such four-quarter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left="660" w:right="20" w:firstLine="645"/>
        <w:spacing w:after="0" w:line="259" w:lineRule="auto"/>
        <w:tabs>
          <w:tab w:leader="none" w:pos="2601"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86" w:lineRule="exact"/>
        <w:rPr>
          <w:rFonts w:ascii="Arial" w:cs="Arial" w:eastAsia="Arial" w:hAnsi="Arial"/>
          <w:sz w:val="18"/>
          <w:szCs w:val="18"/>
          <w:color w:val="auto"/>
        </w:rPr>
      </w:pPr>
    </w:p>
    <w:p>
      <w:pPr>
        <w:ind w:left="660" w:right="320" w:firstLine="645"/>
        <w:spacing w:after="0" w:line="342" w:lineRule="auto"/>
        <w:tabs>
          <w:tab w:leader="none" w:pos="2608" w:val="left"/>
        </w:tabs>
        <w:numPr>
          <w:ilvl w:val="0"/>
          <w:numId w:val="4"/>
        </w:numPr>
        <w:rPr>
          <w:rFonts w:ascii="Arial" w:cs="Arial" w:eastAsia="Arial" w:hAnsi="Arial"/>
          <w:sz w:val="16"/>
          <w:szCs w:val="16"/>
          <w:color w:val="auto"/>
        </w:rPr>
      </w:pPr>
      <w:r>
        <w:rPr>
          <w:rFonts w:ascii="Arial" w:cs="Arial" w:eastAsia="Arial" w:hAnsi="Arial"/>
          <w:sz w:val="16"/>
          <w:szCs w:val="16"/>
          <w:color w:val="auto"/>
        </w:rPr>
        <w:t>plus any professional and underwriting fees related to any equity offering, investment, acquisition, recapitalization or Indebtedness permitted to be incurred under this Indenture, to the extent deducted in calculating net income during such four-quarter period.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ind w:left="660" w:right="40" w:firstLine="645"/>
        <w:spacing w:after="0" w:line="276" w:lineRule="auto"/>
        <w:tabs>
          <w:tab w:leader="none" w:pos="2612"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72" w:lineRule="exact"/>
        <w:rPr>
          <w:rFonts w:ascii="Arial" w:cs="Arial" w:eastAsia="Arial" w:hAnsi="Arial"/>
          <w:sz w:val="17"/>
          <w:szCs w:val="17"/>
          <w:color w:val="auto"/>
        </w:rPr>
      </w:pPr>
    </w:p>
    <w:p>
      <w:pPr>
        <w:ind w:left="660" w:right="740" w:firstLine="645"/>
        <w:spacing w:after="0" w:line="308" w:lineRule="auto"/>
        <w:tabs>
          <w:tab w:leader="none" w:pos="261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46" w:lineRule="exact"/>
        <w:rPr>
          <w:rFonts w:ascii="Arial" w:cs="Arial" w:eastAsia="Arial" w:hAnsi="Arial"/>
          <w:sz w:val="17"/>
          <w:szCs w:val="17"/>
          <w:color w:val="auto"/>
        </w:rPr>
      </w:pPr>
    </w:p>
    <w:p>
      <w:pPr>
        <w:ind w:left="2600" w:hanging="1295"/>
        <w:spacing w:after="0"/>
        <w:tabs>
          <w:tab w:leader="none" w:pos="2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four-quarter period; and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firstLine="645"/>
        <w:spacing w:after="0" w:line="277" w:lineRule="auto"/>
        <w:tabs>
          <w:tab w:leader="none" w:pos="2612"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of any specified Person means any other Person directly or indirectly controlling or controlled by or under direct or indirect common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Registrar, co-registrar, Paying Agent or additional paying agent.</w:t>
      </w:r>
    </w:p>
    <w:p>
      <w:pPr>
        <w:spacing w:after="0" w:line="225" w:lineRule="exact"/>
        <w:rPr>
          <w:sz w:val="20"/>
          <w:szCs w:val="20"/>
          <w:color w:val="auto"/>
        </w:rPr>
      </w:pPr>
    </w:p>
    <w:p>
      <w:pPr>
        <w:jc w:val="both"/>
        <w:ind w:right="40" w:firstLine="697"/>
        <w:spacing w:after="0" w:line="286"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6"/>
          <w:szCs w:val="16"/>
          <w:i w:val="1"/>
          <w:iCs w:val="1"/>
          <w:color w:val="auto"/>
        </w:rPr>
        <w:t>Applicable Laws”</w:t>
      </w:r>
      <w:r>
        <w:rPr>
          <w:rFonts w:ascii="Arial" w:cs="Arial" w:eastAsia="Arial" w:hAnsi="Arial"/>
          <w:sz w:val="17"/>
          <w:szCs w:val="17"/>
          <w:i w:val="1"/>
          <w:iCs w:val="1"/>
          <w:color w:val="auto"/>
        </w:rPr>
        <w:t xml:space="preserve"> </w:t>
      </w:r>
      <w:r>
        <w:rPr>
          <w:rFonts w:ascii="Arial" w:cs="Arial" w:eastAsia="Arial" w:hAnsi="Arial"/>
          <w:sz w:val="17"/>
          <w:szCs w:val="17"/>
          <w:color w:val="auto"/>
        </w:rPr>
        <w:t>means, as to any Person, any law, rule, regulation, ordinance or treaty, or any determination, ruling or other directive by or from</w:t>
      </w:r>
      <w:r>
        <w:rPr>
          <w:rFonts w:ascii="Arial" w:cs="Arial" w:eastAsia="Arial" w:hAnsi="Arial"/>
          <w:sz w:val="17"/>
          <w:szCs w:val="17"/>
          <w:i w:val="1"/>
          <w:iCs w:val="1"/>
          <w:color w:val="auto"/>
        </w:rPr>
        <w:t xml:space="preserve"> </w:t>
      </w:r>
      <w:r>
        <w:rPr>
          <w:rFonts w:ascii="Arial" w:cs="Arial" w:eastAsia="Arial" w:hAnsi="Arial"/>
          <w:sz w:val="17"/>
          <w:szCs w:val="17"/>
          <w:color w:val="auto"/>
        </w:rPr>
        <w:t>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Applicable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Note on any redemption date, the greater of:</w:t>
      </w:r>
    </w:p>
    <w:p>
      <w:pPr>
        <w:spacing w:after="0" w:line="225" w:lineRule="exact"/>
        <w:rPr>
          <w:sz w:val="20"/>
          <w:szCs w:val="20"/>
          <w:color w:val="auto"/>
        </w:rPr>
      </w:pPr>
    </w:p>
    <w:p>
      <w:pPr>
        <w:ind w:left="2600" w:hanging="1295"/>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2600" w:hanging="1295"/>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1300" w:firstLine="653"/>
        <w:spacing w:after="0" w:line="259" w:lineRule="auto"/>
        <w:tabs>
          <w:tab w:leader="none" w:pos="2593"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October 15, 2021 (such redemption price being set forth in the table appearing in Section 3.07 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October 15, 2021 (excluding accrued but unpaid interest to the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“Applicable Procedures” </w:t>
      </w:r>
      <w:r>
        <w:rPr>
          <w:rFonts w:ascii="Arial" w:cs="Arial" w:eastAsia="Arial" w:hAnsi="Arial"/>
          <w:sz w:val="18"/>
          <w:szCs w:val="18"/>
          <w:color w:val="auto"/>
        </w:rPr>
        <w:t>means, with respect to any transfer or exchange of or for beneficial interests in any Global Note, the rules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Depositary, Euroclear and Clearstream that apply to such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“Bankruptcy Law” </w:t>
      </w:r>
      <w:r>
        <w:rPr>
          <w:rFonts w:ascii="Arial" w:cs="Arial" w:eastAsia="Arial" w:hAnsi="Arial"/>
          <w:sz w:val="18"/>
          <w:szCs w:val="18"/>
          <w:color w:val="auto"/>
        </w:rPr>
        <w:t>means Title 11, U.S. Code or any similar federal or state law for the relief of debtors.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has the meaning assigned to such term in Rule 13d-3 and Rule 13d-5 under the Exchange Act. The terms “Beneficially Owns”</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w:t>
      </w:r>
    </w:p>
    <w:p>
      <w:pPr>
        <w:sectPr>
          <w:pgSz w:w="11900" w:h="16838" w:orient="portrait"/>
          <w:cols w:equalWidth="0" w:num="1">
            <w:col w:w="11360"/>
          </w:cols>
          <w:pgMar w:left="240" w:top="341" w:right="299" w:bottom="0" w:gutter="0" w:footer="0" w:header="0"/>
        </w:sectPr>
      </w:pPr>
    </w:p>
    <w:bookmarkStart w:id="7" w:name="page8"/>
    <w:bookmarkEnd w:id="7"/>
    <w:p>
      <w:pPr>
        <w:spacing w:after="0" w:line="36"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board;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i w:val="1"/>
          <w:iCs w:val="1"/>
          <w:color w:val="auto"/>
        </w:rPr>
        <w:t xml:space="preserve">“Board Resolution” </w:t>
      </w:r>
      <w:r>
        <w:rPr>
          <w:rFonts w:ascii="Arial" w:cs="Arial" w:eastAsia="Arial" w:hAnsi="Arial"/>
          <w:sz w:val="18"/>
          <w:szCs w:val="18"/>
          <w:color w:val="auto"/>
        </w:rPr>
        <w:t>means a copy of a resolution certified by the Secretary or an Assistant Secretary of the Company to have been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“Broker-Dealer” </w:t>
      </w:r>
      <w:r>
        <w:rPr>
          <w:rFonts w:ascii="Arial" w:cs="Arial" w:eastAsia="Arial" w:hAnsi="Arial"/>
          <w:sz w:val="18"/>
          <w:szCs w:val="18"/>
          <w:color w:val="auto"/>
        </w:rPr>
        <w:t>has the meaning set forth in the 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Legal Holiday.</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i w:val="1"/>
          <w:iCs w:val="1"/>
          <w:color w:val="auto"/>
        </w:rPr>
        <w:t xml:space="preserve">“Capital Lease Obligation” </w:t>
      </w:r>
      <w:r>
        <w:rPr>
          <w:rFonts w:ascii="Arial" w:cs="Arial" w:eastAsia="Arial" w:hAnsi="Arial"/>
          <w:sz w:val="16"/>
          <w:szCs w:val="16"/>
          <w:color w:val="auto"/>
        </w:rPr>
        <w:t>means, at the time any determination is to be made, the amount of the liability in respect of a capital lease that would at</w:t>
      </w:r>
      <w:r>
        <w:rPr>
          <w:rFonts w:ascii="Arial" w:cs="Arial" w:eastAsia="Arial" w:hAnsi="Arial"/>
          <w:sz w:val="16"/>
          <w:szCs w:val="16"/>
          <w:i w:val="1"/>
          <w:iCs w:val="1"/>
          <w:color w:val="auto"/>
        </w:rPr>
        <w:t xml:space="preserve"> </w:t>
      </w:r>
      <w:r>
        <w:rPr>
          <w:rFonts w:ascii="Arial" w:cs="Arial" w:eastAsia="Arial" w:hAnsi="Arial"/>
          <w:sz w:val="16"/>
          <w:szCs w:val="16"/>
          <w:color w:val="auto"/>
        </w:rPr>
        <w:t>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w:t>
      </w:r>
    </w:p>
    <w:p>
      <w:pPr>
        <w:spacing w:after="0" w:line="225" w:lineRule="exact"/>
        <w:rPr>
          <w:sz w:val="20"/>
          <w:szCs w:val="20"/>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firstLine="645"/>
        <w:spacing w:after="0" w:line="264" w:lineRule="auto"/>
        <w:tabs>
          <w:tab w:leader="none" w:pos="1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occurrence of any of the following:</w:t>
      </w:r>
    </w:p>
    <w:p>
      <w:pPr>
        <w:spacing w:after="0" w:line="225" w:lineRule="exact"/>
        <w:rPr>
          <w:sz w:val="20"/>
          <w:szCs w:val="20"/>
          <w:color w:val="auto"/>
        </w:rPr>
      </w:pPr>
    </w:p>
    <w:p>
      <w:pPr>
        <w:ind w:left="660" w:right="380" w:firstLine="645"/>
        <w:spacing w:after="0" w:line="302" w:lineRule="auto"/>
        <w:tabs>
          <w:tab w:leader="none" w:pos="19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spacing w:after="0" w:line="154" w:lineRule="exact"/>
        <w:rPr>
          <w:rFonts w:ascii="Arial" w:cs="Arial" w:eastAsia="Arial" w:hAnsi="Arial"/>
          <w:sz w:val="16"/>
          <w:szCs w:val="16"/>
          <w:color w:val="auto"/>
        </w:rPr>
      </w:pPr>
    </w:p>
    <w:p>
      <w:pPr>
        <w:ind w:left="5660" w:right="300" w:hanging="4355"/>
        <w:spacing w:after="0" w:line="528" w:lineRule="auto"/>
        <w:tabs>
          <w:tab w:leader="none" w:pos="19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Clearway Energy, Inc., the Parent Guarantor or the Company; 4</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20" w:firstLine="645"/>
        <w:spacing w:after="0" w:line="302" w:lineRule="auto"/>
        <w:tabs>
          <w:tab w:leader="none" w:pos="19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the result of which is that any “person” (as defined above), other than (i) the Sponsor or (ii) a corporation owned directly or indirectly by the stockholders of Clearway Energy, Inc. in substantially the same proportion as their ownership of stock of Clearway Energy, Inc. prior to such transaction, becomes the Beneficial Owner, directly or indirectly, of more than 50% of the Voting Stock of Clearway Energy, Inc., measured by voting power rather than number of shares; or</w:t>
      </w:r>
    </w:p>
    <w:p>
      <w:pPr>
        <w:spacing w:after="0" w:line="154" w:lineRule="exact"/>
        <w:rPr>
          <w:rFonts w:ascii="Arial" w:cs="Arial" w:eastAsia="Arial" w:hAnsi="Arial"/>
          <w:sz w:val="16"/>
          <w:szCs w:val="16"/>
          <w:color w:val="auto"/>
        </w:rPr>
      </w:pPr>
    </w:p>
    <w:p>
      <w:pPr>
        <w:ind w:left="660" w:right="220" w:firstLine="645"/>
        <w:spacing w:after="0" w:line="277" w:lineRule="auto"/>
        <w:tabs>
          <w:tab w:leader="none" w:pos="19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day on which either (i) Clearway Energy, Inc. ceases to be the sole managing member of the Parent Guarantor or (ii) the Company ceases to be a Wholly Owned Subsidiary of the Parent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-1367790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means (1) a Change of Control has occurred and (2) the Notes are downgraded by both S&amp;P and Moody’s on any date within the 60-day period (which 60-day period will be extended so long as the rating of the Notes is under publicly announced consideration for a possible downgrade by either S&amp;P or Moody’s) after the earlier of (a) the occurrence of a Change of Control and (b) public disclosure by the Company of the occurrence of a Change of Control or the Company’s intention to effect a Change of Control; provided, however,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the Company’s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“Clearstream” </w:t>
      </w:r>
      <w:r>
        <w:rPr>
          <w:rFonts w:ascii="Arial" w:cs="Arial" w:eastAsia="Arial" w:hAnsi="Arial"/>
          <w:sz w:val="18"/>
          <w:szCs w:val="18"/>
          <w:color w:val="auto"/>
        </w:rPr>
        <w:t>means Clearstream Banking, 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Clearway Energy Operating LLC, and any and all successors thereto.</w:t>
      </w:r>
    </w:p>
    <w:p>
      <w:pPr>
        <w:sectPr>
          <w:pgSz w:w="11900" w:h="16874" w:orient="portrait"/>
          <w:cols w:equalWidth="0" w:num="1">
            <w:col w:w="11420"/>
          </w:cols>
          <w:pgMar w:left="240" w:top="341" w:right="239" w:bottom="0" w:gutter="0" w:footer="0" w:header="0"/>
        </w:sectPr>
      </w:pPr>
    </w:p>
    <w:bookmarkStart w:id="8" w:name="page9"/>
    <w:bookmarkEnd w:id="8"/>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“continuing” </w:t>
      </w:r>
      <w:r>
        <w:rPr>
          <w:rFonts w:ascii="Arial" w:cs="Arial" w:eastAsia="Arial" w:hAnsi="Arial"/>
          <w:sz w:val="17"/>
          <w:szCs w:val="17"/>
          <w:color w:val="auto"/>
        </w:rPr>
        <w:t>means, with respect to any Default or Event of Default, that such Default or Event of Default has not been cured or waived.</w:t>
      </w:r>
    </w:p>
    <w:p>
      <w:pPr>
        <w:spacing w:after="0" w:line="237" w:lineRule="exact"/>
        <w:rPr>
          <w:sz w:val="20"/>
          <w:szCs w:val="20"/>
          <w:color w:val="auto"/>
        </w:rPr>
      </w:pPr>
    </w:p>
    <w:p>
      <w:pPr>
        <w:ind w:right="300" w:firstLine="697"/>
        <w:spacing w:after="0" w:line="277" w:lineRule="auto"/>
        <w:rPr>
          <w:sz w:val="20"/>
          <w:szCs w:val="20"/>
          <w:color w:val="auto"/>
        </w:rPr>
      </w:pPr>
      <w:r>
        <w:rPr>
          <w:rFonts w:ascii="Arial" w:cs="Arial" w:eastAsia="Arial" w:hAnsi="Arial"/>
          <w:sz w:val="18"/>
          <w:szCs w:val="18"/>
          <w:i w:val="1"/>
          <w:iCs w:val="1"/>
          <w:color w:val="auto"/>
        </w:rPr>
        <w:t xml:space="preserve">“Corporate Trust Office of the Trustee” </w:t>
      </w:r>
      <w:r>
        <w:rPr>
          <w:rFonts w:ascii="Arial" w:cs="Arial" w:eastAsia="Arial" w:hAnsi="Arial"/>
          <w:sz w:val="18"/>
          <w:szCs w:val="18"/>
          <w:color w:val="auto"/>
        </w:rPr>
        <w:t>means the address of the Trustee specified in Section 12.02 hereof or such other address as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give notice to the Company.</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means the Amended and Restated Credit Agreement, dated April 25, 2014, among the Company, the Parent Guarantor,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guarantor from time to time party thereto, each lender from time to time party thereto, JPMorgan Chase Bank, N.A., as the administrative agent, and JPMorgan Chase Bank, N.A., Royal Bank of Canada, Bank of America, N.A. and Barclays Bank PLC, as letter of credit issuers, as the same may be amended, restated, modified, renewed, refunded, replaced or refinanced from time to time.</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“Credit Facilities” </w:t>
      </w:r>
      <w:r>
        <w:rPr>
          <w:rFonts w:ascii="Arial" w:cs="Arial" w:eastAsia="Arial" w:hAnsi="Arial"/>
          <w:sz w:val="16"/>
          <w:szCs w:val="16"/>
          <w:color w:val="auto"/>
        </w:rPr>
        <w:t>means (i) one or more debt facilities (including, without limitation, the Credit Agreement) or commercial paper facilities, in each</w:t>
      </w:r>
      <w:r>
        <w:rPr>
          <w:rFonts w:ascii="Arial" w:cs="Arial" w:eastAsia="Arial" w:hAnsi="Arial"/>
          <w:sz w:val="16"/>
          <w:szCs w:val="16"/>
          <w:i w:val="1"/>
          <w:iCs w:val="1"/>
          <w:color w:val="auto"/>
        </w:rPr>
        <w:t xml:space="preserve"> </w:t>
      </w:r>
      <w:r>
        <w:rPr>
          <w:rFonts w:ascii="Arial" w:cs="Arial" w:eastAsia="Arial" w:hAnsi="Arial"/>
          <w:sz w:val="16"/>
          <w:szCs w:val="16"/>
          <w:color w:val="auto"/>
        </w:rPr>
        <w:t>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case, as amended, restated, modified, renewed, refunded, replaced or refinanced (including by means of sales of debt securities to institutional investors) in whole or in part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“Custodian” means </w:t>
      </w:r>
      <w:r>
        <w:rPr>
          <w:rFonts w:ascii="Arial" w:cs="Arial" w:eastAsia="Arial" w:hAnsi="Arial"/>
          <w:sz w:val="18"/>
          <w:szCs w:val="18"/>
          <w:color w:val="auto"/>
        </w:rPr>
        <w:t>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that is, or with the passage of time or the giving of notice or both would be, an Event of Default.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“Definitive Note” </w:t>
      </w:r>
      <w:r>
        <w:rPr>
          <w:rFonts w:ascii="Arial" w:cs="Arial" w:eastAsia="Arial" w:hAnsi="Arial"/>
          <w:sz w:val="18"/>
          <w:szCs w:val="18"/>
          <w:color w:val="auto"/>
        </w:rPr>
        <w:t>means a certificated Note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Definitive Notes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shall not bear the Global Legend and shall not have the “Schedule of Exchanges of Interests in the Global Note” attached thereto.</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“Definitive Security” </w:t>
      </w:r>
      <w:r>
        <w:rPr>
          <w:rFonts w:ascii="Arial" w:cs="Arial" w:eastAsia="Arial" w:hAnsi="Arial"/>
          <w:sz w:val="18"/>
          <w:szCs w:val="18"/>
          <w:color w:val="auto"/>
        </w:rPr>
        <w:t>means a certificated Security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Securities with respect to all other Series of Securities will be in the form specified in the Supplemental Indenture pursuant to which such Series of Securities is created.</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“Depositary” </w:t>
      </w:r>
      <w:r>
        <w:rPr>
          <w:rFonts w:ascii="Arial" w:cs="Arial" w:eastAsia="Arial" w:hAnsi="Arial"/>
          <w:sz w:val="18"/>
          <w:szCs w:val="18"/>
          <w:color w:val="auto"/>
        </w:rPr>
        <w:t>means, with respect to the Notes issuable or issued in whole or in part in global form, the Person specified in Section 2.03 hereof as</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ind w:right="20" w:firstLine="697"/>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Environmental CapEx Debt”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Indebtedness of the Company or any of its Subsidiaries incurred for the purpose of financing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to the extent deemed reasonably necessary, as determined by the Company or any of its Subsidiaries, as applicable, in good faith and pursuant to prudent judgment, to comply with applicable Environmental Laws.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Environmental Laws”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all former, current and future federal, state, local and foreign laws (including common law), treaties, regulations, rules,</w:t>
      </w:r>
      <w:r>
        <w:rPr>
          <w:rFonts w:ascii="Arial" w:cs="Arial" w:eastAsia="Arial" w:hAnsi="Arial"/>
          <w:sz w:val="18"/>
          <w:szCs w:val="18"/>
          <w:i w:val="1"/>
          <w:iCs w:val="1"/>
          <w:color w:val="auto"/>
        </w:rPr>
        <w:t xml:space="preserve"> </w:t>
      </w:r>
      <w:r>
        <w:rPr>
          <w:rFonts w:ascii="Arial" w:cs="Arial" w:eastAsia="Arial" w:hAnsi="Arial"/>
          <w:sz w:val="18"/>
          <w:szCs w:val="18"/>
          <w:color w:val="auto"/>
        </w:rPr>
        <w:t>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Capital Stock and all warrants, options or other rights to acquire Capital Stock (but excluding any debt security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or exchangeable for, Capital Stock).</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Equity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public or private sale after the Issue Date of Capital Stock of the Parent Guarantor or Clearway Energy,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which have been contributed to the Company as common equity, other than:</w:t>
      </w:r>
    </w:p>
    <w:p>
      <w:pPr>
        <w:spacing w:after="0" w:line="170" w:lineRule="exact"/>
        <w:rPr>
          <w:sz w:val="20"/>
          <w:szCs w:val="20"/>
          <w:color w:val="auto"/>
        </w:rPr>
      </w:pPr>
    </w:p>
    <w:p>
      <w:pPr>
        <w:ind w:left="2600" w:hanging="1295"/>
        <w:spacing w:after="0"/>
        <w:tabs>
          <w:tab w:leader="none" w:pos="2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public offerings with respect to Clearway Energy, Inc.’s common stock registered on Form S-4 or Form S-8; and</w:t>
      </w:r>
    </w:p>
    <w:p>
      <w:pPr>
        <w:spacing w:after="0" w:line="236" w:lineRule="exact"/>
        <w:rPr>
          <w:rFonts w:ascii="Arial" w:cs="Arial" w:eastAsia="Arial" w:hAnsi="Arial"/>
          <w:sz w:val="17"/>
          <w:szCs w:val="17"/>
          <w:color w:val="auto"/>
        </w:rPr>
      </w:pPr>
    </w:p>
    <w:p>
      <w:pPr>
        <w:ind w:left="2600" w:hanging="1295"/>
        <w:spacing w:after="0"/>
        <w:tabs>
          <w:tab w:leader="none" w:pos="2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issuances to any Subsidiary of Clearway Energy,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“Euroclear” </w:t>
      </w:r>
      <w:r>
        <w:rPr>
          <w:rFonts w:ascii="Arial" w:cs="Arial" w:eastAsia="Arial" w:hAnsi="Arial"/>
          <w:sz w:val="18"/>
          <w:szCs w:val="18"/>
          <w:color w:val="auto"/>
        </w:rPr>
        <w:t>means Euroclear Bank, S.A./N.V., as operator of the Euroclear system.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i w:val="1"/>
          <w:iCs w:val="1"/>
          <w:color w:val="auto"/>
        </w:rPr>
        <w:t xml:space="preserve">“Exchange Agreement” </w:t>
      </w:r>
      <w:r>
        <w:rPr>
          <w:rFonts w:ascii="Arial" w:cs="Arial" w:eastAsia="Arial" w:hAnsi="Arial"/>
          <w:sz w:val="17"/>
          <w:szCs w:val="17"/>
          <w:color w:val="auto"/>
        </w:rPr>
        <w:t>means the Amended and Restated Exchange Agreement, dated as of May 14, 2015 by and among NRG Energy, Inc.,</w:t>
      </w:r>
      <w:r>
        <w:rPr>
          <w:rFonts w:ascii="Arial" w:cs="Arial" w:eastAsia="Arial" w:hAnsi="Arial"/>
          <w:sz w:val="17"/>
          <w:szCs w:val="17"/>
          <w:i w:val="1"/>
          <w:iCs w:val="1"/>
          <w:color w:val="auto"/>
        </w:rPr>
        <w:t xml:space="preserve"> </w:t>
      </w:r>
      <w:r>
        <w:rPr>
          <w:rFonts w:ascii="Arial" w:cs="Arial" w:eastAsia="Arial" w:hAnsi="Arial"/>
          <w:sz w:val="17"/>
          <w:szCs w:val="17"/>
          <w:color w:val="auto"/>
        </w:rPr>
        <w:t>Clearway Energy, Inc. and the Parent Guarantor and each of the other parties thereto from time to time, as amended, supplemented or otherwise modified from time to time, including by that certain Assignment and Assumption Agreement, dated as of August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Notes” </w:t>
      </w:r>
      <w:r>
        <w:rPr>
          <w:rFonts w:ascii="Arial" w:cs="Arial" w:eastAsia="Arial" w:hAnsi="Arial"/>
          <w:sz w:val="18"/>
          <w:szCs w:val="18"/>
          <w:color w:val="auto"/>
        </w:rPr>
        <w:t>means the Notes issued in the Exchange Offer pursuant to Section 2.06(f)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has the meaning set forth in the 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Offer Registration Statement” </w:t>
      </w:r>
      <w:r>
        <w:rPr>
          <w:rFonts w:ascii="Arial" w:cs="Arial" w:eastAsia="Arial" w:hAnsi="Arial"/>
          <w:sz w:val="18"/>
          <w:szCs w:val="18"/>
          <w:color w:val="auto"/>
        </w:rPr>
        <w:t>has the meaning set forth in the Registration Rights Agreement.</w:t>
      </w:r>
    </w:p>
    <w:p>
      <w:pPr>
        <w:sectPr>
          <w:pgSz w:w="11900" w:h="16874" w:orient="portrait"/>
          <w:cols w:equalWidth="0" w:num="1">
            <w:col w:w="11400"/>
          </w:cols>
          <w:pgMar w:left="240" w:top="341" w:right="259" w:bottom="0" w:gutter="0" w:footer="0" w:header="0"/>
        </w:sectPr>
      </w:pPr>
    </w:p>
    <w:bookmarkStart w:id="9" w:name="page10"/>
    <w:bookmarkEnd w:id="9"/>
    <w:p>
      <w:pPr>
        <w:ind w:right="100" w:firstLine="648"/>
        <w:spacing w:after="0" w:line="308" w:lineRule="auto"/>
        <w:rPr>
          <w:sz w:val="20"/>
          <w:szCs w:val="20"/>
          <w:color w:val="auto"/>
        </w:rPr>
      </w:pPr>
      <w:r>
        <w:rPr>
          <w:rFonts w:ascii="Arial" w:cs="Arial" w:eastAsia="Arial" w:hAnsi="Arial"/>
          <w:sz w:val="17"/>
          <w:szCs w:val="17"/>
          <w:i w:val="1"/>
          <w:iCs w:val="1"/>
          <w:color w:val="auto"/>
        </w:rPr>
        <w:t xml:space="preserve">“Existing Liens” </w:t>
      </w:r>
      <w:r>
        <w:rPr>
          <w:rFonts w:ascii="Arial" w:cs="Arial" w:eastAsia="Arial" w:hAnsi="Arial"/>
          <w:sz w:val="17"/>
          <w:szCs w:val="17"/>
          <w:color w:val="auto"/>
        </w:rPr>
        <w:t>means Liens on the property or assets of the Company and/or any of its Subsidiaries existing on the date of this Indenture securing</w:t>
      </w:r>
      <w:r>
        <w:rPr>
          <w:rFonts w:ascii="Arial" w:cs="Arial" w:eastAsia="Arial" w:hAnsi="Arial"/>
          <w:sz w:val="17"/>
          <w:szCs w:val="17"/>
          <w:i w:val="1"/>
          <w:iCs w:val="1"/>
          <w:color w:val="auto"/>
        </w:rPr>
        <w:t xml:space="preserve"> </w:t>
      </w:r>
      <w:r>
        <w:rPr>
          <w:rFonts w:ascii="Arial" w:cs="Arial" w:eastAsia="Arial" w:hAnsi="Arial"/>
          <w:sz w:val="17"/>
          <w:szCs w:val="17"/>
          <w:color w:val="auto"/>
        </w:rPr>
        <w:t>Indebtedness of the Company or any of its Subsidiaries (other than Liens incurred pursuant to clause (1) of Section 4.07 hereof).</w:t>
      </w:r>
    </w:p>
    <w:p>
      <w:pPr>
        <w:spacing w:after="0" w:line="14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set forth in the opinions and pronouncements of the Accounting Principles Board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operating lease would be re-characterized as a capital lease due to changes in the accounting treatment of such operating leases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GAAP since the Issue Date, then solely with respect to the accounting treatment of any such lease, GAAP shall be interpreted as it was in effect on the Issue Date.</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“Global Legend” </w:t>
      </w:r>
      <w:r>
        <w:rPr>
          <w:rFonts w:ascii="Arial" w:cs="Arial" w:eastAsia="Arial" w:hAnsi="Arial"/>
          <w:sz w:val="18"/>
          <w:szCs w:val="18"/>
          <w:color w:val="auto"/>
        </w:rPr>
        <w:t>means the legend set forth in Section 2.06(g)(2) hereof, which is required to be placed on all Global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“Global Notes” </w:t>
      </w:r>
      <w:r>
        <w:rPr>
          <w:rFonts w:ascii="Arial" w:cs="Arial" w:eastAsia="Arial" w:hAnsi="Arial"/>
          <w:sz w:val="17"/>
          <w:szCs w:val="17"/>
          <w:color w:val="auto"/>
        </w:rPr>
        <w:t>means, individually and collectively, each Restricted Global Note and each Unrestricted Global Note deposited with or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and registered in the name of the Depositary or its nominee that bears the Global Legend and that has the “Schedule of Exchanges of Interests in the Global Note” attached thereto, issued in accordance with Section 2.01, 2.06(b)(3), 2.06(b)(4), 2.06(d)(2) or 2.06(f) hereof.</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“Global Securities” </w:t>
      </w:r>
      <w:r>
        <w:rPr>
          <w:rFonts w:ascii="Arial" w:cs="Arial" w:eastAsia="Arial" w:hAnsi="Arial"/>
          <w:sz w:val="18"/>
          <w:szCs w:val="18"/>
          <w:color w:val="auto"/>
        </w:rPr>
        <w:t>means, individually and collectively, each Restricted Global Security and each Unrestricted Global Security deposited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behalf of and registered in the name of the Depositary or its nominee that bears the Global Legend and that has the “Schedule of Exchanges of Interests in the Global Securities” attached thereto, issued in accordance with Section 2.01, 2.06(b)(3), 2.06(b)(4), 2.06(d)(2) or 2.06(f) hereof. The Global Security in respect of the Notes will be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direct obligations of, or obligations guaranteed by, the United States of America (including any agency or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instrumentality thereof) for the payment of which obligations or guarantees the full faith and credit of the United States of America is pledged and which are not callable or redeemable at the issuer’s option.</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“Guarantee” </w:t>
      </w:r>
      <w:r>
        <w:rPr>
          <w:rFonts w:ascii="Arial" w:cs="Arial" w:eastAsia="Arial" w:hAnsi="Arial"/>
          <w:sz w:val="18"/>
          <w:szCs w:val="18"/>
          <w:color w:val="auto"/>
        </w:rPr>
        <w:t>means a guarantee other than by endorsement of negotiable instruments for collection in the ordinary course of business,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in any manner including, without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standard contractual indemnities which do not relate to Indebtedness shall not be considered a Guarantee.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each of:</w:t>
      </w:r>
    </w:p>
    <w:p>
      <w:pPr>
        <w:spacing w:after="0" w:line="225" w:lineRule="exact"/>
        <w:rPr>
          <w:sz w:val="20"/>
          <w:szCs w:val="20"/>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Parent Guarantor;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Section 10.05.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Hedging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specified Person, the obligations of such Person under:</w:t>
      </w:r>
    </w:p>
    <w:p>
      <w:pPr>
        <w:spacing w:after="0" w:line="225" w:lineRule="exact"/>
        <w:rPr>
          <w:sz w:val="20"/>
          <w:szCs w:val="20"/>
          <w:color w:val="auto"/>
        </w:rPr>
      </w:pPr>
    </w:p>
    <w:p>
      <w:pPr>
        <w:ind w:left="660" w:right="24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ind w:left="660" w:firstLine="645"/>
        <w:spacing w:after="0" w:line="25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a Person in whose name a Security is registered.</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“IAI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 Legend</w:t>
      </w:r>
      <w:r>
        <w:rPr>
          <w:rFonts w:ascii="Arial" w:cs="Arial" w:eastAsia="Arial" w:hAnsi="Arial"/>
          <w:sz w:val="18"/>
          <w:szCs w:val="18"/>
          <w:i w:val="1"/>
          <w:iCs w:val="1"/>
          <w:color w:val="auto"/>
        </w:rPr>
        <w:t xml:space="preserve"> </w:t>
      </w:r>
      <w:r>
        <w:rPr>
          <w:rFonts w:ascii="Arial" w:cs="Arial" w:eastAsia="Arial" w:hAnsi="Arial"/>
          <w:sz w:val="18"/>
          <w:szCs w:val="18"/>
          <w:color w:val="auto"/>
        </w:rPr>
        <w:t>and deposited with or on behalf of, and registered in the name of, the Depositary or its nominee that will be issued in a denomination equal to the outstanding principal amount of the Notes resold to Institutional Accredited Investors.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“IAI Global Security” </w:t>
      </w:r>
      <w:r>
        <w:rPr>
          <w:rFonts w:ascii="Arial" w:cs="Arial" w:eastAsia="Arial" w:hAnsi="Arial"/>
          <w:sz w:val="18"/>
          <w:szCs w:val="18"/>
          <w:color w:val="auto"/>
        </w:rPr>
        <w:t>means a Global Security, in the form specified in the applicable Supplemental Indenture pursuant to which such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specified Person, any indebtedness of such Person (excluding accrued expenses and trade payables,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clause (5) below, and surety bonds), whether or not contingent:</w:t>
      </w:r>
    </w:p>
    <w:p>
      <w:pPr>
        <w:spacing w:after="0" w:line="170"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ectPr>
          <w:pgSz w:w="11900" w:h="16838" w:orient="portrait"/>
          <w:cols w:equalWidth="0" w:num="1">
            <w:col w:w="11420"/>
          </w:cols>
          <w:pgMar w:left="240" w:top="341" w:right="239" w:bottom="0" w:gutter="0" w:footer="0" w:header="0"/>
        </w:sectPr>
      </w:pPr>
    </w:p>
    <w:bookmarkStart w:id="10" w:name="page11"/>
    <w:bookmarkEnd w:id="10"/>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ind w:left="660" w:right="400" w:firstLine="645"/>
        <w:spacing w:after="0" w:line="264" w:lineRule="auto"/>
        <w:tabs>
          <w:tab w:leader="none" w:pos="1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“Indirect Participant” </w:t>
      </w:r>
      <w:r>
        <w:rPr>
          <w:rFonts w:ascii="Arial" w:cs="Arial" w:eastAsia="Arial" w:hAnsi="Arial"/>
          <w:sz w:val="18"/>
          <w:szCs w:val="18"/>
          <w:color w:val="auto"/>
        </w:rPr>
        <w:t>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Notes” </w:t>
      </w:r>
      <w:r>
        <w:rPr>
          <w:rFonts w:ascii="Arial" w:cs="Arial" w:eastAsia="Arial" w:hAnsi="Arial"/>
          <w:sz w:val="18"/>
          <w:szCs w:val="18"/>
          <w:color w:val="auto"/>
        </w:rPr>
        <w:t>means the first $600,000,000 in aggregate principal amount of Notes issued under this Indenture on the date hereof.</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“Initial Purchasers” </w:t>
      </w:r>
      <w:r>
        <w:rPr>
          <w:rFonts w:ascii="Arial" w:cs="Arial" w:eastAsia="Arial" w:hAnsi="Arial"/>
          <w:sz w:val="18"/>
          <w:szCs w:val="18"/>
          <w:color w:val="auto"/>
        </w:rPr>
        <w:t>means RBC Capital Markets, LLC, Merrill Lynch, Pierce, Fenner &amp; Smith Incorporated, Credit Suisse Securities (USA) LLC,</w:t>
      </w:r>
      <w:r>
        <w:rPr>
          <w:rFonts w:ascii="Arial" w:cs="Arial" w:eastAsia="Arial" w:hAnsi="Arial"/>
          <w:sz w:val="18"/>
          <w:szCs w:val="18"/>
          <w:i w:val="1"/>
          <w:iCs w:val="1"/>
          <w:color w:val="auto"/>
        </w:rPr>
        <w:t xml:space="preserve"> </w:t>
      </w:r>
      <w:r>
        <w:rPr>
          <w:rFonts w:ascii="Arial" w:cs="Arial" w:eastAsia="Arial" w:hAnsi="Arial"/>
          <w:sz w:val="18"/>
          <w:szCs w:val="18"/>
          <w:color w:val="auto"/>
        </w:rPr>
        <w:t>Citigroup Global Markets Inc., Morgan Stanley &amp; Co. LLC, Goldman Sachs &amp; Co. LLC, MUFG Securities Americas Inc. and KeyBanc Capital Markets Inc., and shall include any other entity designated as such in any Supplemental Indenture with respect to any Series of Securities issued after the date of this Indenture.</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“Institutional Accredited Investor” </w:t>
      </w:r>
      <w:r>
        <w:rPr>
          <w:rFonts w:ascii="Arial" w:cs="Arial" w:eastAsia="Arial" w:hAnsi="Arial"/>
          <w:sz w:val="18"/>
          <w:szCs w:val="18"/>
          <w:color w:val="auto"/>
        </w:rPr>
        <w:t>means an institution that is an “accredited investor” as defined in Rule 501(a)(1), (2), (3) or (7)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who are not also QIBs.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 October 1, 2018.</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“Legal Holiday” </w:t>
      </w:r>
      <w:r>
        <w:rPr>
          <w:rFonts w:ascii="Arial" w:cs="Arial" w:eastAsia="Arial" w:hAnsi="Arial"/>
          <w:sz w:val="17"/>
          <w:szCs w:val="17"/>
          <w:color w:val="auto"/>
        </w:rPr>
        <w:t>means a Saturday, a Sunday or a day on which banking institutions in the City of New York or at a place of payment are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“Letter of Transmittal” </w:t>
      </w:r>
      <w:r>
        <w:rPr>
          <w:rFonts w:ascii="Arial" w:cs="Arial" w:eastAsia="Arial" w:hAnsi="Arial"/>
          <w:sz w:val="18"/>
          <w:szCs w:val="18"/>
          <w:color w:val="auto"/>
        </w:rPr>
        <w:t>means the letter of transmittal to be prepared by the Company and sent to all Holders of the Notes for use by such 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Exchange Offer.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with respect to any asset:</w:t>
      </w:r>
    </w:p>
    <w:p>
      <w:pPr>
        <w:spacing w:after="0" w:line="225" w:lineRule="exact"/>
        <w:rPr>
          <w:sz w:val="20"/>
          <w:szCs w:val="20"/>
          <w:color w:val="auto"/>
        </w:rPr>
      </w:pPr>
    </w:p>
    <w:p>
      <w:pPr>
        <w:ind w:left="660" w:right="300" w:firstLine="645"/>
        <w:spacing w:after="0" w:line="277"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7"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Material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any series of Indebtedness with an aggregate principal amount outstanding in excess of the greater of</w:t>
      </w:r>
      <w:r>
        <w:rPr>
          <w:rFonts w:ascii="Arial" w:cs="Arial" w:eastAsia="Arial" w:hAnsi="Arial"/>
          <w:sz w:val="18"/>
          <w:szCs w:val="18"/>
          <w:i w:val="1"/>
          <w:iCs w:val="1"/>
          <w:color w:val="auto"/>
        </w:rPr>
        <w:t xml:space="preserve"> </w:t>
      </w:r>
      <w:r>
        <w:rPr>
          <w:rFonts w:ascii="Arial" w:cs="Arial" w:eastAsia="Arial" w:hAnsi="Arial"/>
          <w:sz w:val="18"/>
          <w:szCs w:val="18"/>
          <w:color w:val="auto"/>
        </w:rPr>
        <w:t>(i) 1.5% of Total Assets, as of such date, and (ii) $100.0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or any successor entity.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Necessary CapEx Debt”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Indebtedness of the Company or any of its Subsidiaries incurred for the purpose of financing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“Non-U.S. Person” </w:t>
      </w:r>
      <w:r>
        <w:rPr>
          <w:rFonts w:ascii="Arial" w:cs="Arial" w:eastAsia="Arial" w:hAnsi="Arial"/>
          <w:sz w:val="18"/>
          <w:szCs w:val="18"/>
          <w:color w:val="auto"/>
        </w:rPr>
        <w:t>means a Person who is not a U.S. Person.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has the meaning assigned to it in the preamble to this Indenture. The Initial Notes and the Additional Notes shall be treated as a single class</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purposes under this Indenture, and unless the context otherwise requires, all references to the Notes shall include the Initial Notes and any Additional Notes.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“Obligations” </w:t>
      </w:r>
      <w:r>
        <w:rPr>
          <w:rFonts w:ascii="Arial" w:cs="Arial" w:eastAsia="Arial" w:hAnsi="Arial"/>
          <w:sz w:val="18"/>
          <w:szCs w:val="18"/>
          <w:color w:val="auto"/>
        </w:rPr>
        <w:t>means any principal, interest, penalties, fees, indemnifications, reimbursements, damages and other liabilities payable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governing any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“Offering Memorandum” </w:t>
      </w:r>
      <w:r>
        <w:rPr>
          <w:rFonts w:ascii="Arial" w:cs="Arial" w:eastAsia="Arial" w:hAnsi="Arial"/>
          <w:sz w:val="16"/>
          <w:szCs w:val="16"/>
          <w:color w:val="auto"/>
        </w:rPr>
        <w:t>means the offering memorandum dated September 17, 2018 in connection with the offering of the Notes by the Company.</w:t>
      </w:r>
    </w:p>
    <w:p>
      <w:pPr>
        <w:sectPr>
          <w:pgSz w:w="11900" w:h="16851" w:orient="portrait"/>
          <w:cols w:equalWidth="0" w:num="1">
            <w:col w:w="11400"/>
          </w:cols>
          <w:pgMar w:left="240" w:top="125" w:right="259" w:bottom="0" w:gutter="0" w:footer="0" w:header="0"/>
        </w:sectPr>
      </w:pPr>
    </w:p>
    <w:bookmarkStart w:id="11" w:name="page12"/>
    <w:bookmarkEnd w:id="11"/>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means, with respect to any Person, the Chairman of the Board of Directors, the Chief Executive Officer, the President, the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the Chief Financial Officer, the Chief Accounting Officer, the Treasurer, any Assistant Treasurer, the Secretary, the Controller, Assistant Secretary or any Vice President of such Person.</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means a certificate signed on behalf of the Company by two Officers of the Company, one of whom must be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the principal financial officer, the treasurer or the principal accounting officer of the Company, that meets the requirements of Section 12.05 hereof.</w:t>
      </w:r>
    </w:p>
    <w:p>
      <w:pPr>
        <w:spacing w:after="0" w:line="181" w:lineRule="exact"/>
        <w:rPr>
          <w:sz w:val="20"/>
          <w:szCs w:val="20"/>
          <w:color w:val="auto"/>
        </w:rPr>
      </w:pPr>
    </w:p>
    <w:p>
      <w:pPr>
        <w:ind w:right="980" w:firstLine="648"/>
        <w:spacing w:after="0" w:line="342" w:lineRule="auto"/>
        <w:rPr>
          <w:sz w:val="20"/>
          <w:szCs w:val="20"/>
          <w:color w:val="auto"/>
        </w:rPr>
      </w:pPr>
      <w:r>
        <w:rPr>
          <w:rFonts w:ascii="Arial" w:cs="Arial" w:eastAsia="Arial" w:hAnsi="Arial"/>
          <w:sz w:val="16"/>
          <w:szCs w:val="16"/>
          <w:i w:val="1"/>
          <w:iCs w:val="1"/>
          <w:color w:val="auto"/>
        </w:rPr>
        <w:t xml:space="preserve">“Opinion of Counsel” </w:t>
      </w:r>
      <w:r>
        <w:rPr>
          <w:rFonts w:ascii="Arial" w:cs="Arial" w:eastAsia="Arial" w:hAnsi="Arial"/>
          <w:sz w:val="16"/>
          <w:szCs w:val="16"/>
          <w:color w:val="auto"/>
        </w:rPr>
        <w:t>means an opinion from legal counsel who is reasonably acceptable to the Trustee, that meets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12.05 hereof. The counsel may be an employee of or counsel to the Company, any Subsidiary of the Company or the Trustee.</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Legend” </w:t>
      </w:r>
      <w:r>
        <w:rPr>
          <w:rFonts w:ascii="Arial" w:cs="Arial" w:eastAsia="Arial" w:hAnsi="Arial"/>
          <w:sz w:val="18"/>
          <w:szCs w:val="18"/>
          <w:color w:val="auto"/>
        </w:rPr>
        <w:t>means the legend set forth in Section 2.06(g)(3) hereof to be placed on all Securities issued under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if applicable.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“Parent Guarantee” </w:t>
      </w:r>
      <w:r>
        <w:rPr>
          <w:rFonts w:ascii="Arial" w:cs="Arial" w:eastAsia="Arial" w:hAnsi="Arial"/>
          <w:sz w:val="18"/>
          <w:szCs w:val="18"/>
          <w:color w:val="auto"/>
        </w:rPr>
        <w:t>means the Guarantee by the Parent Guarantor of the Company’s obligations under this Indenture and on the Notes,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provisions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“Parent Guarantor” </w:t>
      </w:r>
      <w:r>
        <w:rPr>
          <w:rFonts w:ascii="Arial" w:cs="Arial" w:eastAsia="Arial" w:hAnsi="Arial"/>
          <w:sz w:val="18"/>
          <w:szCs w:val="18"/>
          <w:color w:val="auto"/>
        </w:rPr>
        <w:t>means Clearway Energy LLC and its successors and assigns.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with respect to the Depositary, Euroclear or Clearstream, a Person who has an account with the Depositary, Euroclear or</w:t>
      </w:r>
      <w:r>
        <w:rPr>
          <w:rFonts w:ascii="Arial" w:cs="Arial" w:eastAsia="Arial" w:hAnsi="Arial"/>
          <w:sz w:val="18"/>
          <w:szCs w:val="18"/>
          <w:i w:val="1"/>
          <w:iCs w:val="1"/>
          <w:color w:val="auto"/>
        </w:rPr>
        <w:t xml:space="preserve"> </w:t>
      </w:r>
      <w:r>
        <w:rPr>
          <w:rFonts w:ascii="Arial" w:cs="Arial" w:eastAsia="Arial" w:hAnsi="Arial"/>
          <w:sz w:val="18"/>
          <w:szCs w:val="18"/>
          <w:color w:val="auto"/>
        </w:rPr>
        <w:t>Clearstream, respectively (and, with respect to DTC, shall include Euroclear and Clearstream).</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joint-stock company, trust, unincorporated organization,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or government or other entity.</w:t>
      </w:r>
    </w:p>
    <w:p>
      <w:pPr>
        <w:spacing w:after="0" w:line="170"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Principal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building, structure or other facility, and all related property, plant or equipment or other long-term assets used or</w:t>
      </w:r>
      <w:r>
        <w:rPr>
          <w:rFonts w:ascii="Arial" w:cs="Arial" w:eastAsia="Arial" w:hAnsi="Arial"/>
          <w:sz w:val="18"/>
          <w:szCs w:val="18"/>
          <w:i w:val="1"/>
          <w:iCs w:val="1"/>
          <w:color w:val="auto"/>
        </w:rPr>
        <w:t xml:space="preserve"> </w:t>
      </w:r>
      <w:r>
        <w:rPr>
          <w:rFonts w:ascii="Arial" w:cs="Arial" w:eastAsia="Arial" w:hAnsi="Arial"/>
          <w:sz w:val="18"/>
          <w:szCs w:val="18"/>
          <w:color w:val="auto"/>
        </w:rPr>
        <w:t>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opinion of the Board of Directors is not of material importance to the business conducted by the Company and its consolidated Subsidiaries, taken as a whole.</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“Private Placement Legend” </w:t>
      </w:r>
      <w:r>
        <w:rPr>
          <w:rFonts w:ascii="Arial" w:cs="Arial" w:eastAsia="Arial" w:hAnsi="Arial"/>
          <w:sz w:val="18"/>
          <w:szCs w:val="18"/>
          <w:color w:val="auto"/>
        </w:rPr>
        <w:t>means the legend set forth in Section 2.06(g)(1) hereof to be placed on all Notes issued under this Indenture except</w:t>
      </w:r>
      <w:r>
        <w:rPr>
          <w:rFonts w:ascii="Arial" w:cs="Arial" w:eastAsia="Arial" w:hAnsi="Arial"/>
          <w:sz w:val="18"/>
          <w:szCs w:val="18"/>
          <w:i w:val="1"/>
          <w:iCs w:val="1"/>
          <w:color w:val="auto"/>
        </w:rPr>
        <w:t xml:space="preserve"> </w:t>
      </w:r>
      <w:r>
        <w:rPr>
          <w:rFonts w:ascii="Arial" w:cs="Arial" w:eastAsia="Arial" w:hAnsi="Arial"/>
          <w:sz w:val="18"/>
          <w:szCs w:val="18"/>
          <w:color w:val="auto"/>
        </w:rPr>
        <w:t>where otherwise permitted by the provisions of this Indenture.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Pro Forma Cost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without duplication, with respect to any period, reductions in costs and related adjustments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Project Debt”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Indebtedness of one or more Project Subsidiaries incurred for the purpose of holding, leasing, developing, constructing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acquiring energy generating, transmission or distribution assets, or assets related thereto, or any other power or energy facility or any assets related thereto;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is not liable with respect to such Indebtedness except to the extent of a non-recourse pledge of equity interests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Subsidiaries.</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Project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Subsidiary of the Company held for the purpose of holding, leasing, developing, constructing or acquiring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generating, transmission or distribution assets, or assets related thereto, or any other power or energy facility or any assets related thereto, and any Subsidiary of the Company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the Company other than obligations of the Company related to Project Debt of one or more Project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means a “qualified institutional buyer” as defined in Rule 144A.</w:t>
      </w:r>
    </w:p>
    <w:p>
      <w:pPr>
        <w:spacing w:after="0" w:line="225"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5"/>
          <w:szCs w:val="15"/>
          <w:i w:val="1"/>
          <w:iCs w:val="1"/>
          <w:color w:val="auto"/>
        </w:rPr>
        <w:t>Refinancing Liens”</w:t>
      </w:r>
      <w:r>
        <w:rPr>
          <w:rFonts w:ascii="Arial" w:cs="Arial" w:eastAsia="Arial" w:hAnsi="Arial"/>
          <w:sz w:val="16"/>
          <w:szCs w:val="16"/>
          <w:i w:val="1"/>
          <w:iCs w:val="1"/>
          <w:color w:val="auto"/>
        </w:rPr>
        <w:t xml:space="preserve"> </w:t>
      </w:r>
      <w:r>
        <w:rPr>
          <w:rFonts w:ascii="Arial" w:cs="Arial" w:eastAsia="Arial" w:hAnsi="Arial"/>
          <w:sz w:val="16"/>
          <w:szCs w:val="16"/>
          <w:color w:val="auto"/>
        </w:rPr>
        <w:t>means Liens granted in connection with amending, extending, modifying, renewing, replacing, refunding or refinancing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whole or in part any Indebtedness secured by Liens described in clauses (2) through (10) of Section 4.07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Refinancing Liens do not</w:t>
      </w:r>
    </w:p>
    <w:p>
      <w:pPr>
        <w:ind w:left="5620" w:right="3940" w:hanging="5612"/>
        <w:spacing w:after="0" w:line="511" w:lineRule="auto"/>
        <w:tabs>
          <w:tab w:leader="none" w:pos="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 to property or assets other than property or assets of the type that were subject to the original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“Registration Rights Agreement” </w:t>
      </w:r>
      <w:r>
        <w:rPr>
          <w:rFonts w:ascii="Arial" w:cs="Arial" w:eastAsia="Arial" w:hAnsi="Arial"/>
          <w:sz w:val="18"/>
          <w:szCs w:val="18"/>
          <w:color w:val="auto"/>
        </w:rPr>
        <w:t>means the Registration Rights Agreement, dated as of October 1, 2018, among the Company, the Guarantors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other parties named on the signature pages thereof, as such agreement may be amended, modified or supplemented from time to time, and, with respect to any Additional Notes, one or more registration rights agreements among the Company, the Guarantors and the other parties thereto, as such agreement(s) may be amended, modified or supplemented from time to time, relating to rights given by the Company to the purchasers of Additional Notes to register such Additional Notes </w:t>
      </w:r>
      <w:r>
        <w:rPr>
          <w:rFonts w:ascii="Arial" w:cs="Arial" w:eastAsia="Arial" w:hAnsi="Arial"/>
          <w:sz w:val="18"/>
          <w:szCs w:val="18"/>
          <w:i w:val="1"/>
          <w:iCs w:val="1"/>
          <w:color w:val="auto"/>
        </w:rPr>
        <w:t>under</w:t>
      </w:r>
      <w:r>
        <w:rPr>
          <w:rFonts w:ascii="Arial" w:cs="Arial" w:eastAsia="Arial" w:hAnsi="Arial"/>
          <w:sz w:val="18"/>
          <w:szCs w:val="18"/>
          <w:color w:val="auto"/>
        </w:rPr>
        <w:t xml:space="preserve"> the Securities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 </w:t>
      </w:r>
      <w:r>
        <w:rPr>
          <w:rFonts w:ascii="Arial" w:cs="Arial" w:eastAsia="Arial" w:hAnsi="Arial"/>
          <w:sz w:val="18"/>
          <w:szCs w:val="18"/>
          <w:color w:val="auto"/>
        </w:rPr>
        <w:t>means Regulation S promulgated under the Securities Act.</w:t>
      </w:r>
    </w:p>
    <w:p>
      <w:pPr>
        <w:sectPr>
          <w:pgSz w:w="11900" w:h="16838" w:orient="portrait"/>
          <w:cols w:equalWidth="0" w:num="1">
            <w:col w:w="11400"/>
          </w:cols>
          <w:pgMar w:left="240" w:top="341" w:right="259" w:bottom="0" w:gutter="0" w:footer="0" w:header="0"/>
        </w:sectPr>
      </w:pPr>
    </w:p>
    <w:bookmarkStart w:id="12" w:name="page13"/>
    <w:bookmarkEnd w:id="12"/>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S-K” </w:t>
      </w:r>
      <w:r>
        <w:rPr>
          <w:rFonts w:ascii="Arial" w:cs="Arial" w:eastAsia="Arial" w:hAnsi="Arial"/>
          <w:sz w:val="18"/>
          <w:szCs w:val="18"/>
          <w:color w:val="auto"/>
        </w:rPr>
        <w:t>means Regulation S-K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S-X” </w:t>
      </w:r>
      <w:r>
        <w:rPr>
          <w:rFonts w:ascii="Arial" w:cs="Arial" w:eastAsia="Arial" w:hAnsi="Arial"/>
          <w:sz w:val="18"/>
          <w:szCs w:val="18"/>
          <w:color w:val="auto"/>
        </w:rPr>
        <w:t>means Regulation S-X promulgated under the Securities 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“Regulation S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issued in a denomination equal to the outstanding principal amount of the Notes sold in reliance on Rule 903 of Regulation 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“Regulation S Global Security” </w:t>
      </w:r>
      <w:r>
        <w:rPr>
          <w:rFonts w:ascii="Arial" w:cs="Arial" w:eastAsia="Arial" w:hAnsi="Arial"/>
          <w:sz w:val="18"/>
          <w:szCs w:val="18"/>
          <w:color w:val="auto"/>
        </w:rPr>
        <w:t>means a Global Security, in the form specified in the applicable Supplemental Indenture pursuant to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when used with respect to the Trustee, any officer within the Corporate Trust Administration of the Trustee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Note” </w:t>
      </w:r>
      <w:r>
        <w:rPr>
          <w:rFonts w:ascii="Arial" w:cs="Arial" w:eastAsia="Arial" w:hAnsi="Arial"/>
          <w:sz w:val="18"/>
          <w:szCs w:val="18"/>
          <w:color w:val="auto"/>
        </w:rPr>
        <w:t>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Security” </w:t>
      </w:r>
      <w:r>
        <w:rPr>
          <w:rFonts w:ascii="Arial" w:cs="Arial" w:eastAsia="Arial" w:hAnsi="Arial"/>
          <w:sz w:val="18"/>
          <w:szCs w:val="18"/>
          <w:color w:val="auto"/>
        </w:rPr>
        <w:t>means a Definitive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Note” </w:t>
      </w:r>
      <w:r>
        <w:rPr>
          <w:rFonts w:ascii="Arial" w:cs="Arial" w:eastAsia="Arial" w:hAnsi="Arial"/>
          <w:sz w:val="18"/>
          <w:szCs w:val="18"/>
          <w:color w:val="auto"/>
        </w:rPr>
        <w:t>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Security” </w:t>
      </w:r>
      <w:r>
        <w:rPr>
          <w:rFonts w:ascii="Arial" w:cs="Arial" w:eastAsia="Arial" w:hAnsi="Arial"/>
          <w:sz w:val="18"/>
          <w:szCs w:val="18"/>
          <w:color w:val="auto"/>
        </w:rPr>
        <w:t>means a Global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Period” </w:t>
      </w:r>
      <w:r>
        <w:rPr>
          <w:rFonts w:ascii="Arial" w:cs="Arial" w:eastAsia="Arial" w:hAnsi="Arial"/>
          <w:sz w:val="18"/>
          <w:szCs w:val="18"/>
          <w:color w:val="auto"/>
        </w:rPr>
        <w:t>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 </w:t>
      </w:r>
      <w:r>
        <w:rPr>
          <w:rFonts w:ascii="Arial" w:cs="Arial" w:eastAsia="Arial" w:hAnsi="Arial"/>
          <w:sz w:val="18"/>
          <w:szCs w:val="18"/>
          <w:color w:val="auto"/>
        </w:rPr>
        <w:t>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144A” </w:t>
      </w:r>
      <w:r>
        <w:rPr>
          <w:rFonts w:ascii="Arial" w:cs="Arial" w:eastAsia="Arial" w:hAnsi="Arial"/>
          <w:sz w:val="18"/>
          <w:szCs w:val="18"/>
          <w:color w:val="auto"/>
        </w:rPr>
        <w:t>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903” </w:t>
      </w:r>
      <w:r>
        <w:rPr>
          <w:rFonts w:ascii="Arial" w:cs="Arial" w:eastAsia="Arial" w:hAnsi="Arial"/>
          <w:sz w:val="18"/>
          <w:szCs w:val="18"/>
          <w:color w:val="auto"/>
        </w:rPr>
        <w:t>means Rule 903 promulgated under the Securities Act.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904” </w:t>
      </w:r>
      <w:r>
        <w:rPr>
          <w:rFonts w:ascii="Arial" w:cs="Arial" w:eastAsia="Arial" w:hAnsi="Arial"/>
          <w:sz w:val="18"/>
          <w:szCs w:val="18"/>
          <w:color w:val="auto"/>
        </w:rPr>
        <w:t>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Group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means all debentures, notes and other debt instruments of the Company of any Series authenticated and delivered under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all Notes and Additional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“Series” </w:t>
      </w:r>
      <w:r>
        <w:rPr>
          <w:rFonts w:ascii="Arial" w:cs="Arial" w:eastAsia="Arial" w:hAnsi="Arial"/>
          <w:sz w:val="18"/>
          <w:szCs w:val="18"/>
          <w:color w:val="auto"/>
        </w:rPr>
        <w:t>or</w:t>
      </w:r>
      <w:r>
        <w:rPr>
          <w:rFonts w:ascii="Arial" w:cs="Arial" w:eastAsia="Arial" w:hAnsi="Arial"/>
          <w:sz w:val="18"/>
          <w:szCs w:val="18"/>
          <w:i w:val="1"/>
          <w:iCs w:val="1"/>
          <w:color w:val="auto"/>
        </w:rPr>
        <w:t xml:space="preserve"> “Series of Securities” </w:t>
      </w:r>
      <w:r>
        <w:rPr>
          <w:rFonts w:ascii="Arial" w:cs="Arial" w:eastAsia="Arial" w:hAnsi="Arial"/>
          <w:sz w:val="18"/>
          <w:szCs w:val="18"/>
          <w:color w:val="auto"/>
        </w:rPr>
        <w:t>means each series of Securities created pursuant to Section 2.01 hereof (for the avoidance of doubt,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Series of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has the meaning set forth in the Registration Rights Agreement.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that would be a “significant subsidiary” as defined in Article 1, Rule 1-02 of Regulation S-X,</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pursuant to the Securities Act, as such Regulation is in effect on the date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“Special Interest” </w:t>
      </w:r>
      <w:r>
        <w:rPr>
          <w:rFonts w:ascii="Arial" w:cs="Arial" w:eastAsia="Arial" w:hAnsi="Arial"/>
          <w:sz w:val="18"/>
          <w:szCs w:val="18"/>
          <w:color w:val="auto"/>
        </w:rPr>
        <w:t>has the meaning assigned to that term pursuant to the Registration Rights Agreement</w:t>
      </w:r>
      <w:r>
        <w:rPr>
          <w:rFonts w:ascii="Arial" w:cs="Arial" w:eastAsia="Arial" w:hAnsi="Arial"/>
          <w:sz w:val="18"/>
          <w:szCs w:val="18"/>
          <w:i w:val="1"/>
          <w:iCs w:val="1"/>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“Sponsor” </w:t>
      </w:r>
      <w:r>
        <w:rPr>
          <w:rFonts w:ascii="Arial" w:cs="Arial" w:eastAsia="Arial" w:hAnsi="Arial"/>
          <w:sz w:val="18"/>
          <w:szCs w:val="18"/>
          <w:color w:val="auto"/>
        </w:rPr>
        <w:t>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“Sponsor Affiliate” </w:t>
      </w:r>
      <w:r>
        <w:rPr>
          <w:rFonts w:ascii="Arial" w:cs="Arial" w:eastAsia="Arial" w:hAnsi="Arial"/>
          <w:sz w:val="18"/>
          <w:szCs w:val="18"/>
          <w:color w:val="auto"/>
        </w:rPr>
        <w:t>means any Affiliate of the Sponsor that is not a portfolio company.</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“Stated Maturity” </w:t>
      </w:r>
      <w:r>
        <w:rPr>
          <w:rFonts w:ascii="Arial" w:cs="Arial" w:eastAsia="Arial" w:hAnsi="Arial"/>
          <w:sz w:val="18"/>
          <w:szCs w:val="18"/>
          <w:color w:val="auto"/>
        </w:rPr>
        <w:t>means, with respect to any installment of interest or principal on any series of Indebtedness, the date on which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with respect to any specified Person:</w:t>
      </w:r>
    </w:p>
    <w:p>
      <w:pPr>
        <w:spacing w:after="0" w:line="225" w:lineRule="exact"/>
        <w:rPr>
          <w:sz w:val="20"/>
          <w:szCs w:val="20"/>
          <w:color w:val="auto"/>
        </w:rPr>
      </w:pPr>
    </w:p>
    <w:p>
      <w:pPr>
        <w:ind w:left="660" w:right="80" w:firstLine="645"/>
        <w:spacing w:after="0" w:line="257" w:lineRule="auto"/>
        <w:tabs>
          <w:tab w:leader="none" w:pos="19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ectPr>
          <w:pgSz w:w="11900" w:h="16843" w:orient="portrait"/>
          <w:cols w:equalWidth="0" w:num="1">
            <w:col w:w="11380"/>
          </w:cols>
          <w:pgMar w:left="240" w:top="125" w:right="279" w:bottom="0" w:gutter="0" w:footer="0" w:header="0"/>
        </w:sectPr>
      </w:pPr>
    </w:p>
    <w:bookmarkStart w:id="13" w:name="page14"/>
    <w:bookmarkEnd w:id="13"/>
    <w:p>
      <w:pPr>
        <w:ind w:left="660" w:right="40" w:firstLine="645"/>
        <w:spacing w:after="0" w:line="308" w:lineRule="auto"/>
        <w:tabs>
          <w:tab w:leader="none" w:pos="19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Subsidiary Guarantee”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Guarantee by each Subsidiary Guarantor of the Company’s obligations under this Indenture and on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pursuant to the provisions of this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Guarantors” </w:t>
      </w:r>
      <w:r>
        <w:rPr>
          <w:rFonts w:ascii="Arial" w:cs="Arial" w:eastAsia="Arial" w:hAnsi="Arial"/>
          <w:sz w:val="18"/>
          <w:szCs w:val="18"/>
          <w:color w:val="auto"/>
        </w:rPr>
        <w:t>means:</w:t>
      </w:r>
    </w:p>
    <w:p>
      <w:pPr>
        <w:spacing w:after="0" w:line="225" w:lineRule="exact"/>
        <w:rPr>
          <w:sz w:val="20"/>
          <w:szCs w:val="20"/>
          <w:color w:val="auto"/>
        </w:rPr>
      </w:pPr>
    </w:p>
    <w:p>
      <w:pPr>
        <w:ind w:left="660" w:right="120" w:firstLine="645"/>
        <w:spacing w:after="0" w:line="277" w:lineRule="auto"/>
        <w:tabs>
          <w:tab w:leader="none" w:pos="1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the Company’s Wholly Owned Subsidiaries that Guarantee the Notes on the date of this Indenture, until such time as they are released pursuant to Section 10.05 of this Indenture;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this Indenture, and their respective successors and assigns.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Indenture</w:t>
      </w:r>
      <w:r>
        <w:rPr>
          <w:rFonts w:ascii="Arial" w:cs="Arial" w:eastAsia="Arial" w:hAnsi="Arial"/>
          <w:sz w:val="18"/>
          <w:szCs w:val="18"/>
          <w:color w:val="auto"/>
        </w:rPr>
        <w:t>” means any supplemental indenture entered into pursuant to Section 2.01 hereof to evidence the issuance of any Additional Securities after the date of this Indenture.</w:t>
      </w:r>
    </w:p>
    <w:p>
      <w:pPr>
        <w:spacing w:after="0" w:line="17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i w:val="1"/>
          <w:iCs w:val="1"/>
          <w:color w:val="auto"/>
        </w:rPr>
        <w:t xml:space="preserve">“Tax Equity Financing” </w:t>
      </w:r>
      <w:r>
        <w:rPr>
          <w:rFonts w:ascii="Arial" w:cs="Arial" w:eastAsia="Arial" w:hAnsi="Arial"/>
          <w:sz w:val="17"/>
          <w:szCs w:val="17"/>
          <w:color w:val="auto"/>
        </w:rPr>
        <w:t>means a tax equity financing entered into solely in connection with the acquisition, expansion, upgrade or refurbishment (or</w:t>
      </w:r>
      <w:r>
        <w:rPr>
          <w:rFonts w:ascii="Arial" w:cs="Arial" w:eastAsia="Arial" w:hAnsi="Arial"/>
          <w:sz w:val="17"/>
          <w:szCs w:val="17"/>
          <w:i w:val="1"/>
          <w:iCs w:val="1"/>
          <w:color w:val="auto"/>
        </w:rPr>
        <w:t xml:space="preserve"> </w:t>
      </w:r>
      <w:r>
        <w:rPr>
          <w:rFonts w:ascii="Arial" w:cs="Arial" w:eastAsia="Arial" w:hAnsi="Arial"/>
          <w:sz w:val="17"/>
          <w:szCs w:val="17"/>
          <w:color w:val="auto"/>
        </w:rPr>
        <w:t>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 length basis.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“TIA” </w:t>
      </w:r>
      <w:r>
        <w:rPr>
          <w:rFonts w:ascii="Arial" w:cs="Arial" w:eastAsia="Arial" w:hAnsi="Arial"/>
          <w:sz w:val="18"/>
          <w:szCs w:val="18"/>
          <w:color w:val="auto"/>
        </w:rPr>
        <w:t>means the Trust Indenture Act of 1939, as amended (15 U.S.C. §§ 77aaa-77bbbb).</w:t>
      </w:r>
    </w:p>
    <w:p>
      <w:pPr>
        <w:spacing w:after="0" w:line="225" w:lineRule="exact"/>
        <w:rPr>
          <w:sz w:val="20"/>
          <w:szCs w:val="20"/>
          <w:color w:val="auto"/>
        </w:rPr>
      </w:pPr>
    </w:p>
    <w:p>
      <w:pPr>
        <w:ind w:right="900" w:firstLine="648"/>
        <w:spacing w:after="0" w:line="342"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5"/>
          <w:szCs w:val="15"/>
          <w:i w:val="1"/>
          <w:iCs w:val="1"/>
          <w:color w:val="auto"/>
        </w:rPr>
        <w:t>Total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means, as of any date of determination, the total consolidated assets of the Company and its Subsidiaries, determined on a</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basis in accordance with GAAP, as shown on the most recent publicly available balance sheet of the Company as of such date.</w:t>
      </w:r>
    </w:p>
    <w:p>
      <w:pPr>
        <w:spacing w:after="0" w:line="12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5"/>
          <w:szCs w:val="15"/>
          <w:i w:val="1"/>
          <w:iCs w:val="1"/>
          <w:color w:val="auto"/>
        </w:rPr>
        <w:t>Treasury Rate”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as of any redemption date, the yield to maturity as of such redemption date of United States Treasury securities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October 15, 2021;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period from the redemption date to October 15, 2021 is less than one year, the weekly average yield on actually traded United States Treasury securities adjusted to a constant maturity of one year will be used.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Definitive Note” </w:t>
      </w:r>
      <w:r>
        <w:rPr>
          <w:rFonts w:ascii="Arial" w:cs="Arial" w:eastAsia="Arial" w:hAnsi="Arial"/>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“Unrestricted Definitive Security” </w:t>
      </w:r>
      <w:r>
        <w:rPr>
          <w:rFonts w:ascii="Arial" w:cs="Arial" w:eastAsia="Arial" w:hAnsi="Arial"/>
          <w:sz w:val="17"/>
          <w:szCs w:val="17"/>
          <w:color w:val="auto"/>
        </w:rPr>
        <w:t>means a Definitive Security that does not bear and is not required to bear the Private Placement Legend.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Note” </w:t>
      </w:r>
      <w:r>
        <w:rPr>
          <w:rFonts w:ascii="Arial" w:cs="Arial" w:eastAsia="Arial" w:hAnsi="Arial"/>
          <w:sz w:val="18"/>
          <w:szCs w:val="18"/>
          <w:color w:val="auto"/>
        </w:rPr>
        <w:t>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Security” </w:t>
      </w:r>
      <w:r>
        <w:rPr>
          <w:rFonts w:ascii="Arial" w:cs="Arial" w:eastAsia="Arial" w:hAnsi="Arial"/>
          <w:sz w:val="18"/>
          <w:szCs w:val="18"/>
          <w:color w:val="auto"/>
        </w:rPr>
        <w:t>means a Global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“U.S. Person” </w:t>
      </w:r>
      <w:r>
        <w:rPr>
          <w:rFonts w:ascii="Arial" w:cs="Arial" w:eastAsia="Arial" w:hAnsi="Arial"/>
          <w:sz w:val="18"/>
          <w:szCs w:val="18"/>
          <w:color w:val="auto"/>
        </w:rPr>
        <w:t>means a U.S. Person as defined in Rule 902(k) promulgated under the Securities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any specified Person as of any date means the Capital Stock of such Person that is at the time entitled to vote in the election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of such Person.</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i w:val="1"/>
          <w:iCs w:val="1"/>
          <w:color w:val="auto"/>
        </w:rPr>
        <w:t xml:space="preserve">“Wholly Owned Subsidiary” </w:t>
      </w:r>
      <w:r>
        <w:rPr>
          <w:rFonts w:ascii="Arial" w:cs="Arial" w:eastAsia="Arial" w:hAnsi="Arial"/>
          <w:sz w:val="16"/>
          <w:szCs w:val="16"/>
          <w:color w:val="auto"/>
        </w:rPr>
        <w:t>means, with respect to any specified Person, a direct or indirect Subsidiary of such Person, 100% of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Stock or other ownership interests of which is at the time owned by such Person or by one or more Wholly Owned Subsidiaries of such Person.</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Other Definitions.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Term</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Defined in</w:t>
            </w:r>
          </w:p>
        </w:tc>
        <w:tc>
          <w:tcPr>
            <w:tcW w:w="0" w:type="dxa"/>
            <w:vAlign w:val="bottom"/>
          </w:tcPr>
          <w:p>
            <w:pPr>
              <w:spacing w:after="0"/>
              <w:rPr>
                <w:sz w:val="1"/>
                <w:szCs w:val="1"/>
                <w:color w:val="auto"/>
              </w:rPr>
            </w:pPr>
          </w:p>
        </w:tc>
      </w:tr>
      <w:tr>
        <w:trPr>
          <w:trHeight w:val="171"/>
        </w:trPr>
        <w:tc>
          <w:tcPr>
            <w:tcW w:w="7540" w:type="dxa"/>
            <w:vAlign w:val="bottom"/>
            <w:gridSpan w:val="2"/>
            <w:vMerge w:val="continue"/>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0"/>
              </w:rPr>
              <w:t>Section</w:t>
            </w:r>
          </w:p>
        </w:tc>
        <w:tc>
          <w:tcPr>
            <w:tcW w:w="0" w:type="dxa"/>
            <w:vAlign w:val="bottom"/>
          </w:tcPr>
          <w:p>
            <w:pPr>
              <w:spacing w:after="0"/>
              <w:rPr>
                <w:sz w:val="1"/>
                <w:szCs w:val="1"/>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“Authentication Order”</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Offer”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of Control Payment”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 Date”</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“Covenant Defeasance”</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8.03</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“Event of Default”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“Legal Defeasance”</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8.02</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“Paying Agent”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3"/>
          </w:tcPr>
          <w:p>
            <w:pPr>
              <w:ind w:left="660"/>
              <w:spacing w:after="0"/>
              <w:rPr>
                <w:sz w:val="20"/>
                <w:szCs w:val="20"/>
                <w:color w:val="auto"/>
              </w:rPr>
            </w:pPr>
            <w:r>
              <w:rPr>
                <w:rFonts w:ascii="Arial" w:cs="Arial" w:eastAsia="Arial" w:hAnsi="Arial"/>
                <w:sz w:val="18"/>
                <w:szCs w:val="18"/>
                <w:i w:val="1"/>
                <w:iCs w:val="1"/>
                <w:color w:val="auto"/>
              </w:rPr>
              <w:t>“Payment Default”</w:t>
            </w:r>
          </w:p>
        </w:tc>
        <w:tc>
          <w:tcPr>
            <w:tcW w:w="3400" w:type="dxa"/>
            <w:vAlign w:val="bottom"/>
          </w:tcPr>
          <w:p>
            <w:pPr>
              <w:jc w:val="right"/>
              <w:ind w:right="870"/>
              <w:spacing w:after="0"/>
              <w:rPr>
                <w:sz w:val="20"/>
                <w:szCs w:val="20"/>
                <w:color w:val="auto"/>
              </w:rPr>
            </w:pPr>
            <w:r>
              <w:rPr>
                <w:rFonts w:ascii="Arial" w:cs="Arial" w:eastAsia="Arial" w:hAnsi="Arial"/>
                <w:sz w:val="18"/>
                <w:szCs w:val="18"/>
                <w:color w:val="auto"/>
              </w:rPr>
              <w:t>6.01</w:t>
            </w:r>
          </w:p>
        </w:tc>
      </w:tr>
      <w:tr>
        <w:trPr>
          <w:trHeight w:val="216"/>
        </w:trPr>
        <w:tc>
          <w:tcPr>
            <w:tcW w:w="6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“Registrar”</w:t>
            </w:r>
          </w:p>
        </w:tc>
        <w:tc>
          <w:tcPr>
            <w:tcW w:w="34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2.03</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Section 1.03</w:t>
            </w:r>
          </w:p>
        </w:tc>
        <w:tc>
          <w:tcPr>
            <w:tcW w:w="5960" w:type="dxa"/>
            <w:vAlign w:val="bottom"/>
          </w:tcPr>
          <w:p>
            <w:pPr>
              <w:ind w:left="200"/>
              <w:spacing w:after="0"/>
              <w:rPr>
                <w:sz w:val="20"/>
                <w:szCs w:val="20"/>
                <w:color w:val="auto"/>
              </w:rPr>
            </w:pPr>
            <w:r>
              <w:rPr>
                <w:rFonts w:ascii="Arial" w:cs="Arial" w:eastAsia="Arial" w:hAnsi="Arial"/>
                <w:sz w:val="18"/>
                <w:szCs w:val="18"/>
                <w:i w:val="1"/>
                <w:iCs w:val="1"/>
                <w:color w:val="auto"/>
              </w:rPr>
              <w:t>Incorporation by Reference of Trust Indenture Act.</w:t>
            </w:r>
          </w:p>
        </w:tc>
        <w:tc>
          <w:tcPr>
            <w:tcW w:w="340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Whenever this Indenture refers to a provision of the TIA, the provision is incorporated by reference in and made a part of this Indenture.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securities” </w:t>
      </w:r>
      <w:r>
        <w:rPr>
          <w:rFonts w:ascii="Arial" w:cs="Arial" w:eastAsia="Arial" w:hAnsi="Arial"/>
          <w:sz w:val="18"/>
          <w:szCs w:val="18"/>
          <w:color w:val="auto"/>
        </w:rPr>
        <w:t>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security Holder” </w:t>
      </w:r>
      <w:r>
        <w:rPr>
          <w:rFonts w:ascii="Arial" w:cs="Arial" w:eastAsia="Arial" w:hAnsi="Arial"/>
          <w:sz w:val="18"/>
          <w:szCs w:val="18"/>
          <w:color w:val="auto"/>
        </w:rPr>
        <w:t>means a Holder of a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to be qualified” </w:t>
      </w:r>
      <w:r>
        <w:rPr>
          <w:rFonts w:ascii="Arial" w:cs="Arial" w:eastAsia="Arial" w:hAnsi="Arial"/>
          <w:sz w:val="18"/>
          <w:szCs w:val="18"/>
          <w:color w:val="auto"/>
        </w:rPr>
        <w:t>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trustee” </w:t>
      </w:r>
      <w:r>
        <w:rPr>
          <w:rFonts w:ascii="Arial" w:cs="Arial" w:eastAsia="Arial" w:hAnsi="Arial"/>
          <w:sz w:val="18"/>
          <w:szCs w:val="18"/>
          <w:color w:val="auto"/>
        </w:rPr>
        <w:t>or</w:t>
      </w:r>
      <w:r>
        <w:rPr>
          <w:rFonts w:ascii="Arial" w:cs="Arial" w:eastAsia="Arial" w:hAnsi="Arial"/>
          <w:sz w:val="18"/>
          <w:szCs w:val="18"/>
          <w:i w:val="1"/>
          <w:iCs w:val="1"/>
          <w:color w:val="auto"/>
        </w:rPr>
        <w:t xml:space="preserve"> “institutional trustee” </w:t>
      </w:r>
      <w:r>
        <w:rPr>
          <w:rFonts w:ascii="Arial" w:cs="Arial" w:eastAsia="Arial" w:hAnsi="Arial"/>
          <w:sz w:val="18"/>
          <w:szCs w:val="18"/>
          <w:color w:val="auto"/>
        </w:rPr>
        <w:t>means the Trustee; and</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“obligor” </w:t>
      </w:r>
      <w:r>
        <w:rPr>
          <w:rFonts w:ascii="Arial" w:cs="Arial" w:eastAsia="Arial" w:hAnsi="Arial"/>
          <w:sz w:val="18"/>
          <w:szCs w:val="18"/>
          <w:color w:val="auto"/>
        </w:rPr>
        <w:t>on the Securities and the Guarantees means the Company and the Guarantors, respectively, and any successor obligor upon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Guarantees, respectively.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have the meanings so assigned to them.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Rules of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“including” is not limiting;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terms and provisions contained in this Indenture will apply to any Additional Securities issued from time to time pursuant to this Indenture, except as may be otherwise provided in the Supplemental Indenture with respect to such Additional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ISSUANCE OF NOTES AND ADDITIONAL SECURITIES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 of Notes; Creation of Additional Securities.</w:t>
      </w:r>
    </w:p>
    <w:p>
      <w:pPr>
        <w:spacing w:after="0" w:line="225" w:lineRule="exact"/>
        <w:rPr>
          <w:sz w:val="20"/>
          <w:szCs w:val="20"/>
          <w:color w:val="auto"/>
        </w:rPr>
      </w:pPr>
    </w:p>
    <w:p>
      <w:pPr>
        <w:ind w:firstLine="656"/>
        <w:spacing w:after="0" w:line="291" w:lineRule="auto"/>
        <w:tabs>
          <w:tab w:leader="none" w:pos="1294"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Securities to be Issued in Series</w:t>
      </w:r>
      <w:r>
        <w:rPr>
          <w:rFonts w:ascii="Arial" w:cs="Arial" w:eastAsia="Arial" w:hAnsi="Arial"/>
          <w:sz w:val="16"/>
          <w:szCs w:val="16"/>
          <w:color w:val="auto"/>
        </w:rPr>
        <w:t>. The aggregate amount of Securities that may be authenticated and delivered under this Indenture is</w:t>
      </w:r>
      <w:r>
        <w:rPr>
          <w:rFonts w:ascii="Arial" w:cs="Arial" w:eastAsia="Arial" w:hAnsi="Arial"/>
          <w:sz w:val="16"/>
          <w:szCs w:val="16"/>
          <w:i w:val="1"/>
          <w:iCs w:val="1"/>
          <w:color w:val="auto"/>
        </w:rPr>
        <w:t xml:space="preserve"> </w:t>
      </w:r>
      <w:r>
        <w:rPr>
          <w:rFonts w:ascii="Arial" w:cs="Arial" w:eastAsia="Arial" w:hAnsi="Arial"/>
          <w:sz w:val="16"/>
          <w:szCs w:val="16"/>
          <w:color w:val="auto"/>
        </w:rPr>
        <w:t>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spacing w:after="0" w:line="181" w:lineRule="exact"/>
        <w:rPr>
          <w:sz w:val="20"/>
          <w:szCs w:val="20"/>
          <w:color w:val="auto"/>
        </w:rPr>
      </w:pPr>
    </w:p>
    <w:p>
      <w:pPr>
        <w:ind w:left="5620" w:right="520" w:hanging="4315"/>
        <w:spacing w:after="0" w:line="528" w:lineRule="auto"/>
        <w:tabs>
          <w:tab w:leader="none" w:pos="19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Series (which shall distinguish the Securities of that particular Series from the Securities of any other Series); 16</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5" w:name="page16"/>
    <w:bookmarkEnd w:id="15"/>
    <w:p>
      <w:pPr>
        <w:ind w:left="660" w:right="120" w:firstLine="645"/>
        <w:spacing w:after="0" w:line="264" w:lineRule="auto"/>
        <w:tabs>
          <w:tab w:leader="none" w:pos="1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left="660" w:right="80" w:firstLine="645"/>
        <w:spacing w:after="0" w:line="279" w:lineRule="auto"/>
        <w:tabs>
          <w:tab w:leader="none" w:pos="19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1" w:lineRule="exact"/>
        <w:rPr>
          <w:rFonts w:ascii="Arial" w:cs="Arial" w:eastAsia="Arial" w:hAnsi="Arial"/>
          <w:sz w:val="17"/>
          <w:szCs w:val="17"/>
          <w:color w:val="auto"/>
        </w:rPr>
      </w:pPr>
    </w:p>
    <w:p>
      <w:pPr>
        <w:jc w:val="both"/>
        <w:ind w:left="660" w:right="120" w:firstLine="645"/>
        <w:spacing w:after="0" w:line="312" w:lineRule="auto"/>
        <w:tabs>
          <w:tab w:leader="none" w:pos="19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46" w:lineRule="exact"/>
        <w:rPr>
          <w:rFonts w:ascii="Arial" w:cs="Arial" w:eastAsia="Arial" w:hAnsi="Arial"/>
          <w:sz w:val="16"/>
          <w:szCs w:val="16"/>
          <w:color w:val="auto"/>
        </w:rPr>
      </w:pPr>
    </w:p>
    <w:p>
      <w:pPr>
        <w:ind w:left="660" w:right="700" w:firstLine="645"/>
        <w:spacing w:after="0" w:line="277" w:lineRule="auto"/>
        <w:tabs>
          <w:tab w:leader="none" w:pos="1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left="660" w:right="20" w:firstLine="645"/>
        <w:spacing w:after="0" w:line="286" w:lineRule="auto"/>
        <w:tabs>
          <w:tab w:leader="none" w:pos="19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660" w:right="160" w:firstLine="645"/>
        <w:spacing w:after="0" w:line="277" w:lineRule="auto"/>
        <w:tabs>
          <w:tab w:leader="none" w:pos="1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660" w:right="460" w:firstLine="645"/>
        <w:spacing w:after="0" w:line="277" w:lineRule="auto"/>
        <w:tabs>
          <w:tab w:leader="none" w:pos="19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multiples of $1,000 in excess thereof, the denominations in which the Securities of the Series shall be issuable;</w:t>
      </w:r>
    </w:p>
    <w:p>
      <w:pPr>
        <w:spacing w:after="0" w:line="170" w:lineRule="exact"/>
        <w:rPr>
          <w:rFonts w:ascii="Arial" w:cs="Arial" w:eastAsia="Arial" w:hAnsi="Arial"/>
          <w:sz w:val="18"/>
          <w:szCs w:val="18"/>
          <w:color w:val="auto"/>
        </w:rPr>
      </w:pPr>
    </w:p>
    <w:p>
      <w:pPr>
        <w:ind w:left="660" w:right="220" w:firstLine="645"/>
        <w:spacing w:after="0" w:line="277" w:lineRule="auto"/>
        <w:tabs>
          <w:tab w:leader="none" w:pos="19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forms of the Securities of the Series in bearer or fully registered form (and, if in fully registered form, whether the Securities will be issuable as Global Securities);</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left="660" w:right="20" w:firstLine="645"/>
        <w:spacing w:after="0" w:line="308" w:lineRule="auto"/>
        <w:tabs>
          <w:tab w:leader="none" w:pos="195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currency of denomination of the Securities of the Series, which may be U.S. dollars or any other currency, and if such currency of denomination is a composite currency, the agency or organization, if any, responsible for overseeing such composite currency;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60" w:firstLine="645"/>
        <w:spacing w:after="0" w:line="277"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rFonts w:ascii="Arial" w:cs="Arial" w:eastAsia="Arial" w:hAnsi="Arial"/>
          <w:sz w:val="18"/>
          <w:szCs w:val="18"/>
          <w:color w:val="auto"/>
        </w:rPr>
      </w:pPr>
    </w:p>
    <w:p>
      <w:pPr>
        <w:ind w:left="660" w:right="80" w:firstLine="645"/>
        <w:spacing w:after="0" w:line="277"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provisions, if any, relating to any security or guarantee provided for the Securities of the Series, and any subordination in right of payment, if any, of the Securities of the Series;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covenants set forth in Articles 4 or 5 which applies to Securities of the Series;</w:t>
      </w:r>
    </w:p>
    <w:p>
      <w:pPr>
        <w:spacing w:after="0" w:line="248" w:lineRule="exact"/>
        <w:rPr>
          <w:rFonts w:ascii="Arial" w:cs="Arial" w:eastAsia="Arial" w:hAnsi="Arial"/>
          <w:sz w:val="16"/>
          <w:szCs w:val="16"/>
          <w:color w:val="auto"/>
        </w:rPr>
      </w:pPr>
    </w:p>
    <w:p>
      <w:pPr>
        <w:ind w:left="660" w:right="160" w:firstLine="645"/>
        <w:spacing w:after="0" w:line="308" w:lineRule="auto"/>
        <w:tabs>
          <w:tab w:leader="none" w:pos="19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provisions and terms set forth in Articles 7 and 9 which applies to Securities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Series;</w:t>
      </w:r>
    </w:p>
    <w:p>
      <w:pPr>
        <w:spacing w:after="0" w:line="210" w:lineRule="exact"/>
        <w:rPr>
          <w:rFonts w:ascii="Arial" w:cs="Arial" w:eastAsia="Arial" w:hAnsi="Arial"/>
          <w:sz w:val="16"/>
          <w:szCs w:val="16"/>
          <w:color w:val="auto"/>
        </w:rPr>
      </w:pPr>
    </w:p>
    <w:p>
      <w:pPr>
        <w:ind w:left="660" w:right="140" w:firstLine="645"/>
        <w:spacing w:after="0" w:line="277"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may modify or delete any provision of this Indenture insofar as it applies to such Series and/or add additional provisions);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depositories,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spacing w:after="0" w:line="147" w:lineRule="exact"/>
        <w:rPr>
          <w:sz w:val="20"/>
          <w:szCs w:val="20"/>
          <w:color w:val="auto"/>
        </w:rPr>
      </w:pPr>
    </w:p>
    <w:p>
      <w:pPr>
        <w:ind w:firstLine="656"/>
        <w:spacing w:after="0" w:line="342" w:lineRule="auto"/>
        <w:tabs>
          <w:tab w:leader="none" w:pos="1304"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The Notes</w:t>
      </w:r>
      <w:r>
        <w:rPr>
          <w:rFonts w:ascii="Arial" w:cs="Arial" w:eastAsia="Arial" w:hAnsi="Arial"/>
          <w:sz w:val="16"/>
          <w:szCs w:val="16"/>
          <w:color w:val="auto"/>
        </w:rPr>
        <w:t>. The Notes shall be issued in registered global form without interest coupons. The Notes and the Trustee’s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authentication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Notes may have notations, legends or endorsements required by law, stock exchange</w:t>
      </w:r>
    </w:p>
    <w:p>
      <w:pPr>
        <w:sectPr>
          <w:pgSz w:w="11900" w:h="16838" w:orient="portrait"/>
          <w:cols w:equalWidth="0" w:num="1">
            <w:col w:w="11400"/>
          </w:cols>
          <w:pgMar w:left="240" w:top="125" w:right="259" w:bottom="0" w:gutter="0" w:footer="0" w:header="0"/>
        </w:sectPr>
      </w:pPr>
    </w:p>
    <w:bookmarkStart w:id="16" w:name="page17"/>
    <w:bookmarkEnd w:id="16"/>
    <w:p>
      <w:pPr>
        <w:spacing w:after="0" w:line="3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rule or usage. The Company shall furnish any such notations, legends or endorsements to the Trustee in writing. Each Note shall be dated the date of its authentication. The Notes shall be in minimum denominations of $2,000 and integral multiples of $1,000.</w:t>
      </w:r>
    </w:p>
    <w:p>
      <w:pPr>
        <w:spacing w:after="0" w:line="170"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extent any provision of the Note conflicts with the express provisions of this Indenture, the provisions of this Indenture shall govern and be controlling.</w:t>
      </w:r>
    </w:p>
    <w:p>
      <w:pPr>
        <w:spacing w:after="0" w:line="237" w:lineRule="exact"/>
        <w:rPr>
          <w:sz w:val="20"/>
          <w:szCs w:val="20"/>
          <w:color w:val="auto"/>
        </w:rPr>
      </w:pPr>
    </w:p>
    <w:p>
      <w:pPr>
        <w:ind w:right="20" w:firstLine="656"/>
        <w:spacing w:after="0" w:line="270" w:lineRule="auto"/>
        <w:tabs>
          <w:tab w:leader="none" w:pos="1307"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Global Securities</w:t>
      </w:r>
      <w:r>
        <w:rPr>
          <w:rFonts w:ascii="Arial" w:cs="Arial" w:eastAsia="Arial" w:hAnsi="Arial"/>
          <w:sz w:val="17"/>
          <w:szCs w:val="17"/>
          <w:color w:val="auto"/>
        </w:rPr>
        <w:t>. Notes issued in global form shall be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hereto (including the Global Legend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thereon and the “Schedule of Exchanges of Interests in the Global Note” attached thereto). Notes issued in definitive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spacing w:after="0" w:line="181" w:lineRule="exact"/>
        <w:rPr>
          <w:rFonts w:ascii="Arial" w:cs="Arial" w:eastAsia="Arial" w:hAnsi="Arial"/>
          <w:sz w:val="17"/>
          <w:szCs w:val="17"/>
          <w:color w:val="auto"/>
        </w:rPr>
      </w:pPr>
    </w:p>
    <w:p>
      <w:pPr>
        <w:jc w:val="both"/>
        <w:ind w:firstLine="656"/>
        <w:spacing w:after="0" w:line="312" w:lineRule="auto"/>
        <w:tabs>
          <w:tab w:leader="none" w:pos="1304"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Officer must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 Officer whose signature is on a Security no longer holds that office at the time a Security is authenticated, the Security will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 Security will not be valid until authenticated by the manual signature of the Trustee. The signature will be conclusive evidence that the Security has been authenticated under this Indenture.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Trustee shall, upon receipt of a written order of the Company signed by at least one Officer (an </w:t>
      </w:r>
      <w:r>
        <w:rPr>
          <w:rFonts w:ascii="Arial" w:cs="Arial" w:eastAsia="Arial" w:hAnsi="Arial"/>
          <w:sz w:val="16"/>
          <w:szCs w:val="16"/>
          <w:i w:val="1"/>
          <w:iCs w:val="1"/>
          <w:color w:val="auto"/>
        </w:rPr>
        <w:t>“Authentication Order”</w:t>
      </w:r>
      <w:r>
        <w:rPr>
          <w:rFonts w:ascii="Arial" w:cs="Arial" w:eastAsia="Arial" w:hAnsi="Arial"/>
          <w:sz w:val="16"/>
          <w:szCs w:val="16"/>
          <w:color w:val="auto"/>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spacing w:after="0" w:line="147"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will maintain an office or agency with respect to each Series of Securities issued pursuant to this Indenture, where such securities may be presented for registration of transfer or for exchange (</w:t>
      </w:r>
      <w:r>
        <w:rPr>
          <w:rFonts w:ascii="Arial" w:cs="Arial" w:eastAsia="Arial" w:hAnsi="Arial"/>
          <w:sz w:val="18"/>
          <w:szCs w:val="18"/>
          <w:i w:val="1"/>
          <w:iCs w:val="1"/>
          <w:color w:val="auto"/>
        </w:rPr>
        <w:t>“Registrar”</w:t>
      </w:r>
      <w:r>
        <w:rPr>
          <w:rFonts w:ascii="Arial" w:cs="Arial" w:eastAsia="Arial" w:hAnsi="Arial"/>
          <w:sz w:val="18"/>
          <w:szCs w:val="18"/>
          <w:color w:val="auto"/>
        </w:rPr>
        <w:t>) and an office or agency where such Securities may be presented for payment (</w:t>
      </w:r>
      <w:r>
        <w:rPr>
          <w:rFonts w:ascii="Arial" w:cs="Arial" w:eastAsia="Arial" w:hAnsi="Arial"/>
          <w:sz w:val="18"/>
          <w:szCs w:val="18"/>
          <w:i w:val="1"/>
          <w:iCs w:val="1"/>
          <w:color w:val="auto"/>
        </w:rPr>
        <w:t>“Paying</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The Registrar will keep a register of all such Securities and of their transfer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initially appoints the Trustee to act as the Registrar and Paying Agent and to act as Custodian with respect to the Global Notes.</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ectPr>
          <w:pgSz w:w="11900" w:h="16874" w:orient="portrait"/>
          <w:cols w:equalWidth="0" w:num="1">
            <w:col w:w="11380"/>
          </w:cols>
          <w:pgMar w:left="240" w:top="125" w:right="279" w:bottom="0" w:gutter="0" w:footer="0" w:header="0"/>
        </w:sectPr>
      </w:pPr>
    </w:p>
    <w:bookmarkStart w:id="17" w:name="page18"/>
    <w:bookmarkEnd w:id="17"/>
    <w:p>
      <w:pPr>
        <w:spacing w:after="0" w:line="106"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all Holders and shall otherwise comply with TIA §312(a).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 and the Company shall otherwise comply with TIA §312(a).</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ind w:firstLine="656"/>
        <w:spacing w:after="0" w:line="312" w:lineRule="auto"/>
        <w:tabs>
          <w:tab w:leader="none" w:pos="129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Securities</w:t>
      </w:r>
      <w:r>
        <w:rPr>
          <w:rFonts w:ascii="Arial" w:cs="Arial" w:eastAsia="Arial" w:hAnsi="Arial"/>
          <w:sz w:val="16"/>
          <w:szCs w:val="16"/>
          <w:color w:val="auto"/>
        </w:rPr>
        <w:t>. A Global Security may not be transferred except as a whole by the Depositary to a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spacing w:after="0" w:line="146" w:lineRule="exact"/>
        <w:rPr>
          <w:rFonts w:ascii="Arial" w:cs="Arial" w:eastAsia="Arial" w:hAnsi="Arial"/>
          <w:sz w:val="16"/>
          <w:szCs w:val="16"/>
          <w:color w:val="auto"/>
        </w:rPr>
      </w:pPr>
    </w:p>
    <w:p>
      <w:pPr>
        <w:ind w:left="660" w:right="80" w:firstLine="645"/>
        <w:spacing w:after="0" w:line="264" w:lineRule="auto"/>
        <w:tabs>
          <w:tab w:leader="none" w:pos="19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20" w:firstLine="645"/>
        <w:spacing w:after="0" w:line="277" w:lineRule="auto"/>
        <w:tabs>
          <w:tab w:leader="none" w:pos="1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Securities (in whole but not in part) should be exchanged for Definitive Securities and delivers a written notice to such effect to the Trustee;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spacing w:after="0" w:line="193" w:lineRule="exact"/>
        <w:rPr>
          <w:sz w:val="20"/>
          <w:szCs w:val="20"/>
          <w:color w:val="auto"/>
        </w:rPr>
      </w:pPr>
    </w:p>
    <w:p>
      <w:pPr>
        <w:ind w:right="20" w:firstLine="656"/>
        <w:spacing w:after="0" w:line="259" w:lineRule="auto"/>
        <w:tabs>
          <w:tab w:leader="none" w:pos="130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Securities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spacing w:after="0" w:line="186" w:lineRule="exact"/>
        <w:rPr>
          <w:rFonts w:ascii="Arial" w:cs="Arial" w:eastAsia="Arial" w:hAnsi="Arial"/>
          <w:sz w:val="18"/>
          <w:szCs w:val="18"/>
          <w:color w:val="auto"/>
        </w:rPr>
      </w:pPr>
    </w:p>
    <w:p>
      <w:pPr>
        <w:ind w:left="660" w:right="80" w:firstLine="645"/>
        <w:spacing w:after="0" w:line="289" w:lineRule="auto"/>
        <w:tabs>
          <w:tab w:leader="none" w:pos="1964"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Security</w:t>
      </w:r>
      <w:r>
        <w:rPr>
          <w:rFonts w:ascii="Arial" w:cs="Arial" w:eastAsia="Arial" w:hAnsi="Arial"/>
          <w:sz w:val="16"/>
          <w:szCs w:val="16"/>
          <w:color w:val="auto"/>
        </w:rPr>
        <w:t>. Beneficial interests in any Restricted Global Security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Persons who take delivery thereof in the form of a beneficial interest in the same Restricted Global Security in accordance with the transfer restrictions set forth in the Private Placement Legend;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spacing w:after="0" w:line="166" w:lineRule="exact"/>
        <w:rPr>
          <w:rFonts w:ascii="Arial" w:cs="Arial" w:eastAsia="Arial" w:hAnsi="Arial"/>
          <w:sz w:val="16"/>
          <w:szCs w:val="16"/>
          <w:color w:val="auto"/>
        </w:rPr>
      </w:pPr>
    </w:p>
    <w:p>
      <w:pPr>
        <w:ind w:left="660" w:right="120" w:firstLine="645"/>
        <w:spacing w:after="0" w:line="342" w:lineRule="auto"/>
        <w:tabs>
          <w:tab w:leader="none" w:pos="1964"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Securities. </w:t>
      </w:r>
      <w:r>
        <w:rPr>
          <w:rFonts w:ascii="Arial" w:cs="Arial" w:eastAsia="Arial" w:hAnsi="Arial"/>
          <w:sz w:val="16"/>
          <w:szCs w:val="16"/>
          <w:color w:val="auto"/>
        </w:rPr>
        <w:t>In connection with all transfers and exchanges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interests that are not subject to Section 2.06(b)(1) above, the transferor of such beneficial interest must deliver to the Registrar either:</w:t>
      </w:r>
    </w:p>
    <w:p>
      <w:pPr>
        <w:spacing w:after="0" w:line="123" w:lineRule="exact"/>
        <w:rPr>
          <w:rFonts w:ascii="Arial" w:cs="Arial" w:eastAsia="Arial" w:hAnsi="Arial"/>
          <w:sz w:val="16"/>
          <w:szCs w:val="16"/>
          <w:color w:val="auto"/>
        </w:rPr>
      </w:pPr>
    </w:p>
    <w:p>
      <w:pPr>
        <w:ind w:left="2620" w:hanging="667"/>
        <w:spacing w:after="0"/>
        <w:tabs>
          <w:tab w:leader="none" w:pos="26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sz w:val="20"/>
          <w:szCs w:val="20"/>
          <w:color w:val="auto"/>
        </w:rPr>
      </w:pPr>
    </w:p>
    <w:p>
      <w:pPr>
        <w:ind w:left="1960" w:right="140" w:firstLine="641"/>
        <w:spacing w:after="0" w:line="264" w:lineRule="auto"/>
        <w:tabs>
          <w:tab w:leader="none" w:pos="32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780" w:firstLine="641"/>
        <w:spacing w:after="0" w:line="277" w:lineRule="auto"/>
        <w:tabs>
          <w:tab w:leader="none" w:pos="32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ind w:left="1960" w:right="340" w:firstLine="641"/>
        <w:spacing w:after="0" w:line="264" w:lineRule="auto"/>
        <w:tabs>
          <w:tab w:leader="none" w:pos="32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spacing w:after="0" w:line="181" w:lineRule="exact"/>
        <w:rPr>
          <w:rFonts w:ascii="Arial" w:cs="Arial" w:eastAsia="Arial" w:hAnsi="Arial"/>
          <w:sz w:val="18"/>
          <w:szCs w:val="18"/>
          <w:color w:val="auto"/>
        </w:rPr>
      </w:pPr>
    </w:p>
    <w:p>
      <w:pPr>
        <w:ind w:left="1960" w:firstLine="641"/>
        <w:spacing w:after="0" w:line="277" w:lineRule="auto"/>
        <w:tabs>
          <w:tab w:leader="none" w:pos="32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Security shall be registered to effect the transfer or exchange referred to in (1) above.</w:t>
      </w:r>
    </w:p>
    <w:p>
      <w:pPr>
        <w:spacing w:after="0" w:line="170" w:lineRule="exact"/>
        <w:rPr>
          <w:sz w:val="20"/>
          <w:szCs w:val="20"/>
          <w:color w:val="auto"/>
        </w:rPr>
      </w:pPr>
    </w:p>
    <w:p>
      <w:pPr>
        <w:ind w:left="660" w:right="20"/>
        <w:spacing w:after="0" w:line="302" w:lineRule="auto"/>
        <w:rPr>
          <w:sz w:val="20"/>
          <w:szCs w:val="20"/>
          <w:color w:val="auto"/>
        </w:rPr>
      </w:pPr>
      <w:r>
        <w:rPr>
          <w:rFonts w:ascii="Arial" w:cs="Arial" w:eastAsia="Arial" w:hAnsi="Arial"/>
          <w:sz w:val="16"/>
          <w:szCs w:val="16"/>
          <w:color w:val="auto"/>
        </w:rPr>
        <w:t>Upon consummation by the Company of the Exchange Offer (or any other exchange offer) contemplated by the Company in accordance with Section 2.06(f) hereof, the requirements of this Section 2.06(b)(2) shall be deemed to have been satisfied upon receipt by the Registrar of the instructions contained in the Letter of Transmittal delivered by the Holder of such beneficial interests in the Restricted Global Securities. Upon satisfaction of all of the requirements for transfer or exchange of beneficial interests in Global Securities contained in this Indenture and the Notes or</w:t>
      </w:r>
    </w:p>
    <w:p>
      <w:pPr>
        <w:sectPr>
          <w:pgSz w:w="11900" w:h="16945" w:orient="portrait"/>
          <w:cols w:equalWidth="0" w:num="1">
            <w:col w:w="11400"/>
          </w:cols>
          <w:pgMar w:left="240" w:top="341" w:right="259" w:bottom="0" w:gutter="0" w:footer="0" w:header="0"/>
        </w:sectPr>
      </w:pPr>
    </w:p>
    <w:bookmarkStart w:id="18" w:name="page19"/>
    <w:bookmarkEnd w:id="18"/>
    <w:p>
      <w:pPr>
        <w:spacing w:after="0" w:line="114" w:lineRule="exact"/>
        <w:rPr>
          <w:sz w:val="20"/>
          <w:szCs w:val="20"/>
          <w:color w:val="auto"/>
        </w:rPr>
      </w:pPr>
    </w:p>
    <w:p>
      <w:pPr>
        <w:ind w:left="660" w:right="780"/>
        <w:spacing w:after="0" w:line="277" w:lineRule="auto"/>
        <w:rPr>
          <w:sz w:val="20"/>
          <w:szCs w:val="20"/>
          <w:color w:val="auto"/>
        </w:rPr>
      </w:pPr>
      <w:r>
        <w:rPr>
          <w:rFonts w:ascii="Arial" w:cs="Arial" w:eastAsia="Arial" w:hAnsi="Arial"/>
          <w:sz w:val="18"/>
          <w:szCs w:val="18"/>
          <w:color w:val="auto"/>
        </w:rPr>
        <w:t>otherwise applicable under the Securities Act, the Trustee shall adjust the principal amount of the relevant Global Security(ies) pursuant to Section 2.06(h) hereof.</w:t>
      </w:r>
    </w:p>
    <w:p>
      <w:pPr>
        <w:spacing w:after="0" w:line="170" w:lineRule="exact"/>
        <w:rPr>
          <w:sz w:val="20"/>
          <w:szCs w:val="20"/>
          <w:color w:val="auto"/>
        </w:rPr>
      </w:pPr>
    </w:p>
    <w:p>
      <w:pPr>
        <w:jc w:val="both"/>
        <w:ind w:left="660" w:right="40" w:firstLine="645"/>
        <w:spacing w:after="0" w:line="264" w:lineRule="auto"/>
        <w:tabs>
          <w:tab w:leader="none" w:pos="196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Security. </w:t>
      </w:r>
      <w:r>
        <w:rPr>
          <w:rFonts w:ascii="Arial" w:cs="Arial" w:eastAsia="Arial" w:hAnsi="Arial"/>
          <w:sz w:val="18"/>
          <w:szCs w:val="18"/>
          <w:color w:val="auto"/>
        </w:rPr>
        <w:t>A beneficial interest in any Restricted Global Security may</w:t>
      </w:r>
      <w:r>
        <w:rPr>
          <w:rFonts w:ascii="Arial" w:cs="Arial" w:eastAsia="Arial" w:hAnsi="Arial"/>
          <w:sz w:val="18"/>
          <w:szCs w:val="18"/>
          <w:i w:val="1"/>
          <w:iCs w:val="1"/>
          <w:color w:val="auto"/>
        </w:rPr>
        <w:t xml:space="preserve"> </w:t>
      </w:r>
      <w:r>
        <w:rPr>
          <w:rFonts w:ascii="Arial" w:cs="Arial" w:eastAsia="Arial" w:hAnsi="Arial"/>
          <w:sz w:val="18"/>
          <w:szCs w:val="18"/>
          <w:color w:val="auto"/>
        </w:rPr>
        <w:t>be transferred to a Person who takes delivery thereof in the form of a beneficial interest in another Restricted Global Security if the transfer complies with the requirements of Section 2.06(b)(2) above and the Registrar receives the following:</w:t>
      </w:r>
    </w:p>
    <w:p>
      <w:pPr>
        <w:spacing w:after="0" w:line="181" w:lineRule="exact"/>
        <w:rPr>
          <w:rFonts w:ascii="Arial" w:cs="Arial" w:eastAsia="Arial" w:hAnsi="Arial"/>
          <w:sz w:val="18"/>
          <w:szCs w:val="18"/>
          <w:color w:val="auto"/>
        </w:rPr>
      </w:pPr>
    </w:p>
    <w:p>
      <w:pPr>
        <w:ind w:left="1300" w:firstLine="653"/>
        <w:spacing w:after="0" w:line="277" w:lineRule="auto"/>
        <w:tabs>
          <w:tab w:leader="none" w:pos="2617"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144A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300" w:right="620" w:firstLine="653"/>
        <w:spacing w:after="0" w:line="308" w:lineRule="auto"/>
        <w:tabs>
          <w:tab w:leader="none" w:pos="2607"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if the transferee will take delivery in the form of a beneficial interest in the Regulation S Global Security, then the transferor must deliver a certificate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(2) thereof; and</w:t>
      </w:r>
    </w:p>
    <w:p>
      <w:pPr>
        <w:spacing w:after="0" w:line="146" w:lineRule="exact"/>
        <w:rPr>
          <w:rFonts w:ascii="Arial" w:cs="Arial" w:eastAsia="Arial" w:hAnsi="Arial"/>
          <w:sz w:val="17"/>
          <w:szCs w:val="17"/>
          <w:color w:val="auto"/>
        </w:rPr>
      </w:pPr>
    </w:p>
    <w:p>
      <w:pPr>
        <w:ind w:left="1300" w:right="160" w:firstLine="653"/>
        <w:spacing w:after="0" w:line="291" w:lineRule="auto"/>
        <w:tabs>
          <w:tab w:leader="none" w:pos="2607"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if the transferee will take delivery in the form of a beneficial interest in the IAI Global Security,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w:t>
      </w:r>
    </w:p>
    <w:p>
      <w:pPr>
        <w:ind w:left="1560" w:hanging="255"/>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60" w:right="120" w:firstLine="645"/>
        <w:spacing w:after="0" w:line="259" w:lineRule="auto"/>
        <w:tabs>
          <w:tab w:leader="none" w:pos="196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Beneficial Interests in a Restricted Global Security for Beneficial Interests in an Unrestricted Global Security. </w:t>
      </w:r>
      <w:r>
        <w:rPr>
          <w:rFonts w:ascii="Arial" w:cs="Arial" w:eastAsia="Arial" w:hAnsi="Arial"/>
          <w:sz w:val="18"/>
          <w:szCs w:val="18"/>
          <w:color w:val="auto"/>
        </w:rPr>
        <w:t>A beneficial interest in any Restricted Global Security may be exchanged by any holder thereof for a beneficial interest in an Unrestricted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Security or transferred to a Person who takes delivery thereof in the form of a beneficial interest in an Unrestricted Global Security if the exchange or transfer complies with the requirements of Section 2.06(b)(2) above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firstLine="653"/>
        <w:spacing w:after="0" w:line="279" w:lineRule="auto"/>
        <w:tabs>
          <w:tab w:leader="none" w:pos="2617"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171" w:lineRule="exact"/>
        <w:rPr>
          <w:rFonts w:ascii="Arial" w:cs="Arial" w:eastAsia="Arial" w:hAnsi="Arial"/>
          <w:sz w:val="17"/>
          <w:szCs w:val="17"/>
          <w:color w:val="auto"/>
        </w:rPr>
      </w:pPr>
    </w:p>
    <w:p>
      <w:pPr>
        <w:ind w:left="2620" w:hanging="667"/>
        <w:spacing w:after="0"/>
        <w:tabs>
          <w:tab w:leader="none" w:pos="2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300" w:firstLine="653"/>
        <w:spacing w:after="0" w:line="277" w:lineRule="auto"/>
        <w:tabs>
          <w:tab w:leader="none" w:pos="26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jc w:val="both"/>
        <w:ind w:left="1960" w:right="40" w:firstLine="641"/>
        <w:spacing w:after="0" w:line="264" w:lineRule="auto"/>
        <w:tabs>
          <w:tab w:leader="none" w:pos="32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(1)(a) thereof; or</w:t>
      </w:r>
    </w:p>
    <w:p>
      <w:pPr>
        <w:spacing w:after="0" w:line="181" w:lineRule="exact"/>
        <w:rPr>
          <w:rFonts w:ascii="Arial" w:cs="Arial" w:eastAsia="Arial" w:hAnsi="Arial"/>
          <w:sz w:val="18"/>
          <w:szCs w:val="18"/>
          <w:color w:val="auto"/>
        </w:rPr>
      </w:pPr>
    </w:p>
    <w:p>
      <w:pPr>
        <w:ind w:left="1960" w:right="500" w:firstLine="641"/>
        <w:spacing w:after="0" w:line="312" w:lineRule="auto"/>
        <w:tabs>
          <w:tab w:leader="none" w:pos="3287"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147" w:lineRule="exact"/>
        <w:rPr>
          <w:sz w:val="20"/>
          <w:szCs w:val="20"/>
          <w:color w:val="auto"/>
        </w:rPr>
      </w:pPr>
    </w:p>
    <w:p>
      <w:pPr>
        <w:ind w:left="1300" w:right="12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660" w:right="140" w:firstLine="648"/>
        <w:spacing w:after="0" w:line="259" w:lineRule="auto"/>
        <w:rPr>
          <w:sz w:val="20"/>
          <w:szCs w:val="20"/>
          <w:color w:val="auto"/>
        </w:rPr>
      </w:pPr>
      <w:r>
        <w:rPr>
          <w:rFonts w:ascii="Arial" w:cs="Arial" w:eastAsia="Arial" w:hAnsi="Arial"/>
          <w:sz w:val="18"/>
          <w:szCs w:val="18"/>
          <w:color w:val="auto"/>
        </w:rPr>
        <w:t>If any such transfer is effected pursuant to subparagraph (B) or (D) above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subparagraph (B) or (D) above.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70" w:lineRule="exact"/>
        <w:rPr>
          <w:sz w:val="20"/>
          <w:szCs w:val="20"/>
          <w:color w:val="auto"/>
        </w:rPr>
      </w:pPr>
    </w:p>
    <w:p>
      <w:pPr>
        <w:ind w:right="100" w:firstLine="656"/>
        <w:spacing w:after="0" w:line="264"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Transfer or Exchange of Beneficial Interests in Global Securities for Definitive Securities. </w:t>
      </w:r>
      <w:r>
        <w:rPr>
          <w:rFonts w:ascii="Arial" w:cs="Arial" w:eastAsia="Arial" w:hAnsi="Arial"/>
          <w:sz w:val="18"/>
          <w:szCs w:val="18"/>
          <w:color w:val="auto"/>
        </w:rPr>
        <w:t>Transfers or exchanges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Securities for Definitive Securities shall in each case be subject to the satisfaction of any applicable conditions set forth in Section 2.06(b)(2) hereof, and to the requirements set forth below in this Section 2.06(c).</w:t>
      </w:r>
    </w:p>
    <w:p>
      <w:pPr>
        <w:spacing w:after="0" w:line="181" w:lineRule="exact"/>
        <w:rPr>
          <w:rFonts w:ascii="Arial" w:cs="Arial" w:eastAsia="Arial" w:hAnsi="Arial"/>
          <w:sz w:val="18"/>
          <w:szCs w:val="18"/>
          <w:color w:val="auto"/>
        </w:rPr>
      </w:pPr>
    </w:p>
    <w:p>
      <w:pPr>
        <w:ind w:left="660" w:right="320" w:firstLine="645"/>
        <w:spacing w:after="0" w:line="342" w:lineRule="auto"/>
        <w:tabs>
          <w:tab w:leader="none" w:pos="1964"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Restricted Global Securities to Restricted Definitive Securities. </w:t>
      </w:r>
      <w:r>
        <w:rPr>
          <w:rFonts w:ascii="Arial" w:cs="Arial" w:eastAsia="Arial" w:hAnsi="Arial"/>
          <w:sz w:val="16"/>
          <w:szCs w:val="16"/>
          <w:color w:val="auto"/>
        </w:rPr>
        <w:t>If any holder of a beneficial interest in a</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Global Security proposes to exchange such beneficial interest for a Restricted Definitive Security or to transfer such beneficial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interest to a Person who takes delivery thereof in the form of a Restricted Definitive Security, then, upon receipt by the Registrar of the following documentation:</w:t>
      </w:r>
    </w:p>
    <w:p>
      <w:pPr>
        <w:spacing w:after="0" w:line="170" w:lineRule="exact"/>
        <w:rPr>
          <w:sz w:val="20"/>
          <w:szCs w:val="20"/>
          <w:color w:val="auto"/>
        </w:rPr>
      </w:pPr>
    </w:p>
    <w:p>
      <w:pPr>
        <w:ind w:left="1300" w:right="80" w:firstLine="653"/>
        <w:spacing w:after="0" w:line="308" w:lineRule="auto"/>
        <w:tabs>
          <w:tab w:leader="none" w:pos="2617"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if the holder of such beneficial interest in a Restricted Global Security proposes to exchange such beneficial interest for a Restricted Definitive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(2)</w:t>
      </w:r>
    </w:p>
    <w:p>
      <w:pPr>
        <w:sectPr>
          <w:pgSz w:w="11900" w:h="16953" w:orient="portrait"/>
          <w:cols w:equalWidth="0" w:num="1">
            <w:col w:w="11420"/>
          </w:cols>
          <w:pgMar w:left="240" w:top="125" w:right="239" w:bottom="0" w:gutter="0" w:footer="0" w:header="0"/>
        </w:sectPr>
      </w:pPr>
    </w:p>
    <w:bookmarkStart w:id="19" w:name="page20"/>
    <w:bookmarkEnd w:id="19"/>
    <w:p>
      <w:pPr>
        <w:ind w:left="880" w:hanging="235"/>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thereof;</w:t>
      </w:r>
    </w:p>
    <w:p>
      <w:pPr>
        <w:spacing w:after="0" w:line="225" w:lineRule="exact"/>
        <w:rPr>
          <w:rFonts w:ascii="Arial" w:cs="Arial" w:eastAsia="Arial" w:hAnsi="Arial"/>
          <w:sz w:val="18"/>
          <w:szCs w:val="18"/>
          <w:color w:val="auto"/>
        </w:rPr>
      </w:pPr>
    </w:p>
    <w:p>
      <w:pPr>
        <w:ind w:left="640" w:firstLine="653"/>
        <w:spacing w:after="0" w:line="277" w:lineRule="auto"/>
        <w:tabs>
          <w:tab w:leader="none" w:pos="19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960" w:hanging="667"/>
        <w:spacing w:after="0"/>
        <w:tabs>
          <w:tab w:leader="none" w:pos="1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such beneficial interest is being transferred to a Non-U.S. Person in an offshore transaction in accordance with</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Rule 903 or Rule 904,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211" w:lineRule="exact"/>
        <w:rPr>
          <w:sz w:val="20"/>
          <w:szCs w:val="20"/>
          <w:color w:val="auto"/>
        </w:rPr>
      </w:pPr>
    </w:p>
    <w:p>
      <w:pPr>
        <w:ind w:left="640" w:right="280" w:firstLine="653"/>
        <w:spacing w:after="0" w:line="291" w:lineRule="auto"/>
        <w:tabs>
          <w:tab w:leader="none" w:pos="1957"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w:t>
      </w:r>
    </w:p>
    <w:p>
      <w:pPr>
        <w:ind w:left="880" w:hanging="235"/>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thereof;</w:t>
      </w:r>
    </w:p>
    <w:p>
      <w:pPr>
        <w:spacing w:after="0" w:line="210" w:lineRule="exact"/>
        <w:rPr>
          <w:rFonts w:ascii="Arial" w:cs="Arial" w:eastAsia="Arial" w:hAnsi="Arial"/>
          <w:sz w:val="18"/>
          <w:szCs w:val="18"/>
          <w:color w:val="auto"/>
        </w:rPr>
      </w:pPr>
    </w:p>
    <w:p>
      <w:pPr>
        <w:ind w:left="640" w:right="60" w:firstLine="653"/>
        <w:spacing w:after="0" w:line="312" w:lineRule="auto"/>
        <w:tabs>
          <w:tab w:leader="none" w:pos="195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146" w:lineRule="exact"/>
        <w:rPr>
          <w:rFonts w:ascii="Arial" w:cs="Arial" w:eastAsia="Arial" w:hAnsi="Arial"/>
          <w:sz w:val="16"/>
          <w:szCs w:val="16"/>
          <w:color w:val="auto"/>
        </w:rPr>
      </w:pPr>
    </w:p>
    <w:p>
      <w:pPr>
        <w:ind w:left="640" w:right="40" w:firstLine="653"/>
        <w:spacing w:after="0" w:line="277" w:lineRule="auto"/>
        <w:tabs>
          <w:tab w:leader="none" w:pos="1954"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0" w:right="260" w:firstLine="653"/>
        <w:spacing w:after="0" w:line="277" w:lineRule="auto"/>
        <w:tabs>
          <w:tab w:leader="none" w:pos="195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cause the aggregate principal amount of the applicable Global Security to be reduced accordingly pursuant to</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spacing w:after="0" w:line="181" w:lineRule="exact"/>
        <w:rPr>
          <w:sz w:val="20"/>
          <w:szCs w:val="20"/>
          <w:color w:val="auto"/>
        </w:rPr>
      </w:pPr>
    </w:p>
    <w:p>
      <w:pPr>
        <w:ind w:right="440" w:firstLine="645"/>
        <w:spacing w:after="0" w:line="277"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Securities to Unrestricted Definitive Securities. </w:t>
      </w:r>
      <w:r>
        <w:rPr>
          <w:rFonts w:ascii="Arial" w:cs="Arial" w:eastAsia="Arial" w:hAnsi="Arial"/>
          <w:sz w:val="18"/>
          <w:szCs w:val="18"/>
          <w:color w:val="auto"/>
        </w:rPr>
        <w:t>A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Security may exchange such</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beneficial interest for an Unrestricted Definitive Security or may transfer such beneficial interest to a Person who takes delivery thereof in the form of an Unrestricted Definitive Security only if:</w:t>
      </w:r>
    </w:p>
    <w:p>
      <w:pPr>
        <w:spacing w:after="0" w:line="170" w:lineRule="exact"/>
        <w:rPr>
          <w:sz w:val="20"/>
          <w:szCs w:val="20"/>
          <w:color w:val="auto"/>
        </w:rPr>
      </w:pPr>
    </w:p>
    <w:p>
      <w:pPr>
        <w:ind w:left="640" w:right="220" w:firstLine="653"/>
        <w:spacing w:after="0" w:line="288" w:lineRule="auto"/>
        <w:tabs>
          <w:tab w:leader="none" w:pos="1957" w:val="left"/>
        </w:tabs>
        <w:numPr>
          <w:ilvl w:val="1"/>
          <w:numId w:val="45"/>
        </w:numPr>
        <w:rPr>
          <w:rFonts w:ascii="Arial" w:cs="Arial" w:eastAsia="Arial" w:hAnsi="Arial"/>
          <w:sz w:val="16"/>
          <w:szCs w:val="16"/>
          <w:color w:val="auto"/>
        </w:rPr>
      </w:pPr>
      <w:r>
        <w:rPr>
          <w:rFonts w:ascii="Arial" w:cs="Arial" w:eastAsia="Arial" w:hAnsi="Arial"/>
          <w:sz w:val="16"/>
          <w:szCs w:val="16"/>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(i) a Broker-Dealer, (ii) a Person participating in the distribution of the Exchange Notes or</w:t>
      </w:r>
    </w:p>
    <w:p>
      <w:pPr>
        <w:ind w:left="960" w:hanging="315"/>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Person who is an affiliate (as defined in Rule 144) of the Company;</w:t>
      </w:r>
    </w:p>
    <w:p>
      <w:pPr>
        <w:spacing w:after="0" w:line="210" w:lineRule="exact"/>
        <w:rPr>
          <w:rFonts w:ascii="Arial" w:cs="Arial" w:eastAsia="Arial" w:hAnsi="Arial"/>
          <w:sz w:val="18"/>
          <w:szCs w:val="18"/>
          <w:color w:val="auto"/>
        </w:rPr>
      </w:pPr>
    </w:p>
    <w:p>
      <w:pPr>
        <w:ind w:left="1960" w:hanging="667"/>
        <w:spacing w:after="0"/>
        <w:tabs>
          <w:tab w:leader="none" w:pos="19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640" w:firstLine="653"/>
        <w:spacing w:after="0" w:line="277" w:lineRule="auto"/>
        <w:tabs>
          <w:tab w:leader="none" w:pos="19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1960" w:hanging="667"/>
        <w:spacing w:after="0"/>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ind w:left="1300" w:right="380" w:firstLine="641"/>
        <w:spacing w:after="0" w:line="264" w:lineRule="auto"/>
        <w:tabs>
          <w:tab w:leader="none" w:pos="2618" w:val="left"/>
        </w:tabs>
        <w:numPr>
          <w:ilvl w:val="2"/>
          <w:numId w:val="4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exchange such beneficial interest for an Unrestricted Definitive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(1)(b) thereof; or</w:t>
      </w:r>
    </w:p>
    <w:p>
      <w:pPr>
        <w:spacing w:after="0" w:line="181" w:lineRule="exact"/>
        <w:rPr>
          <w:rFonts w:ascii="Arial" w:cs="Arial" w:eastAsia="Arial" w:hAnsi="Arial"/>
          <w:sz w:val="18"/>
          <w:szCs w:val="18"/>
          <w:color w:val="auto"/>
        </w:rPr>
      </w:pPr>
    </w:p>
    <w:p>
      <w:pPr>
        <w:ind w:left="1300" w:right="20" w:firstLine="641"/>
        <w:spacing w:after="0" w:line="264" w:lineRule="auto"/>
        <w:tabs>
          <w:tab w:leader="none" w:pos="2627" w:val="left"/>
        </w:tabs>
        <w:numPr>
          <w:ilvl w:val="2"/>
          <w:numId w:val="4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40" w:firstLine="645"/>
        <w:spacing w:after="0" w:line="290" w:lineRule="auto"/>
        <w:tabs>
          <w:tab w:leader="none" w:pos="1304"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Securities to Unrestricted Definitive Securities. </w:t>
      </w:r>
      <w:r>
        <w:rPr>
          <w:rFonts w:ascii="Arial" w:cs="Arial" w:eastAsia="Arial" w:hAnsi="Arial"/>
          <w:sz w:val="16"/>
          <w:szCs w:val="16"/>
          <w:color w:val="auto"/>
        </w:rPr>
        <w:t>If any holder of a beneficial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an Unrestricted Global Security proposes to exchange such beneficial interest for a Definitive Security or to transfer such beneficial interest to a Person who takes delivery thereof in the form of a Definitive Security, then, upon satisfaction of the conditions set forth in Section 2.06(b)(2) 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w:t>
      </w:r>
    </w:p>
    <w:p>
      <w:pPr>
        <w:sectPr>
          <w:pgSz w:w="11900" w:h="16838" w:orient="portrait"/>
          <w:cols w:equalWidth="0" w:num="1">
            <w:col w:w="10760"/>
          </w:cols>
          <w:pgMar w:left="900" w:top="125" w:right="239" w:bottom="0" w:gutter="0" w:footer="0" w:header="0"/>
        </w:sectPr>
      </w:pPr>
    </w:p>
    <w:bookmarkStart w:id="20" w:name="page21"/>
    <w:bookmarkEnd w:id="20"/>
    <w:p>
      <w:pPr>
        <w:ind w:left="4" w:right="100"/>
        <w:spacing w:after="0" w:line="277" w:lineRule="auto"/>
        <w:rPr>
          <w:sz w:val="20"/>
          <w:szCs w:val="20"/>
          <w:color w:val="auto"/>
        </w:rPr>
      </w:pPr>
      <w:r>
        <w:rPr>
          <w:rFonts w:ascii="Arial" w:cs="Arial" w:eastAsia="Arial" w:hAnsi="Arial"/>
          <w:sz w:val="18"/>
          <w:szCs w:val="18"/>
          <w:color w:val="auto"/>
        </w:rPr>
        <w:t>deliver such Definitive Securities to the Persons in whose names such Securities are so registered. Any Definitive Security issued in exchange for a beneficial interest pursuant to this Section 2.06(c)(3) will not bear the Private Placement Legend.</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4" w:hanging="664"/>
        <w:spacing w:after="0"/>
        <w:tabs>
          <w:tab w:leader="none" w:pos="664"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Securities for Beneficial Interests.</w:t>
      </w:r>
    </w:p>
    <w:p>
      <w:pPr>
        <w:spacing w:after="0" w:line="225" w:lineRule="exact"/>
        <w:rPr>
          <w:rFonts w:ascii="Arial" w:cs="Arial" w:eastAsia="Arial" w:hAnsi="Arial"/>
          <w:sz w:val="18"/>
          <w:szCs w:val="18"/>
          <w:color w:val="auto"/>
        </w:rPr>
      </w:pPr>
    </w:p>
    <w:p>
      <w:pPr>
        <w:ind w:left="4" w:right="360" w:firstLine="645"/>
        <w:spacing w:after="0" w:line="259" w:lineRule="auto"/>
        <w:tabs>
          <w:tab w:leader="none" w:pos="1308"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Restricted Global Securities. </w:t>
      </w:r>
      <w:r>
        <w:rPr>
          <w:rFonts w:ascii="Arial" w:cs="Arial" w:eastAsia="Arial" w:hAnsi="Arial"/>
          <w:sz w:val="18"/>
          <w:szCs w:val="18"/>
          <w:color w:val="auto"/>
        </w:rPr>
        <w:t>If any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6" w:lineRule="exact"/>
        <w:rPr>
          <w:rFonts w:ascii="Arial" w:cs="Arial" w:eastAsia="Arial" w:hAnsi="Arial"/>
          <w:sz w:val="18"/>
          <w:szCs w:val="18"/>
          <w:color w:val="auto"/>
        </w:rPr>
      </w:pPr>
    </w:p>
    <w:p>
      <w:pPr>
        <w:ind w:left="644" w:right="60" w:firstLine="653"/>
        <w:spacing w:after="0" w:line="342" w:lineRule="auto"/>
        <w:tabs>
          <w:tab w:leader="none" w:pos="1961"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Security proposes to exchange such Security for a beneficial interest in a Restricted Global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(2)(b) thereof;</w:t>
      </w:r>
    </w:p>
    <w:p>
      <w:pPr>
        <w:spacing w:after="0" w:line="123" w:lineRule="exact"/>
        <w:rPr>
          <w:rFonts w:ascii="Arial" w:cs="Arial" w:eastAsia="Arial" w:hAnsi="Arial"/>
          <w:sz w:val="16"/>
          <w:szCs w:val="16"/>
          <w:color w:val="auto"/>
        </w:rPr>
      </w:pPr>
    </w:p>
    <w:p>
      <w:pPr>
        <w:ind w:left="644" w:right="420" w:firstLine="653"/>
        <w:spacing w:after="0" w:line="277" w:lineRule="auto"/>
        <w:tabs>
          <w:tab w:leader="none" w:pos="1951"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644" w:right="200" w:firstLine="653"/>
        <w:spacing w:after="0" w:line="342" w:lineRule="auto"/>
        <w:tabs>
          <w:tab w:leader="none" w:pos="1951"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to a Non-U.S. Person in an offshore transaction in accordance with Rule 903 or Rule 904,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w:t>
      </w:r>
    </w:p>
    <w:p>
      <w:pPr>
        <w:spacing w:after="0" w:line="123" w:lineRule="exact"/>
        <w:rPr>
          <w:rFonts w:ascii="Arial" w:cs="Arial" w:eastAsia="Arial" w:hAnsi="Arial"/>
          <w:sz w:val="16"/>
          <w:szCs w:val="16"/>
          <w:color w:val="auto"/>
        </w:rPr>
      </w:pPr>
    </w:p>
    <w:p>
      <w:pPr>
        <w:ind w:left="644" w:right="20" w:firstLine="653"/>
        <w:spacing w:after="0" w:line="291" w:lineRule="auto"/>
        <w:tabs>
          <w:tab w:leader="none" w:pos="1961"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w:t>
      </w:r>
    </w:p>
    <w:p>
      <w:pPr>
        <w:ind w:left="644"/>
        <w:spacing w:after="0"/>
        <w:rPr>
          <w:rFonts w:ascii="Arial" w:cs="Arial" w:eastAsia="Arial" w:hAnsi="Arial"/>
          <w:sz w:val="16"/>
          <w:szCs w:val="16"/>
          <w:color w:val="auto"/>
        </w:rPr>
      </w:pPr>
      <w:r>
        <w:rPr>
          <w:rFonts w:ascii="Arial" w:cs="Arial" w:eastAsia="Arial" w:hAnsi="Arial"/>
          <w:sz w:val="18"/>
          <w:szCs w:val="18"/>
          <w:color w:val="auto"/>
        </w:rPr>
        <w:t>(a) thereof;</w:t>
      </w:r>
    </w:p>
    <w:p>
      <w:pPr>
        <w:spacing w:after="0" w:line="210" w:lineRule="exact"/>
        <w:rPr>
          <w:rFonts w:ascii="Arial" w:cs="Arial" w:eastAsia="Arial" w:hAnsi="Arial"/>
          <w:sz w:val="16"/>
          <w:szCs w:val="16"/>
          <w:color w:val="auto"/>
        </w:rPr>
      </w:pPr>
    </w:p>
    <w:p>
      <w:pPr>
        <w:ind w:left="644" w:right="540" w:firstLine="653"/>
        <w:spacing w:after="0" w:line="288" w:lineRule="auto"/>
        <w:tabs>
          <w:tab w:leader="none" w:pos="1954"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w:t>
      </w:r>
    </w:p>
    <w:p>
      <w:pPr>
        <w:ind w:left="904" w:hanging="255"/>
        <w:spacing w:after="0"/>
        <w:tabs>
          <w:tab w:leader="none" w:pos="9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44" w:right="280" w:firstLine="653"/>
        <w:spacing w:after="0" w:line="277" w:lineRule="auto"/>
        <w:tabs>
          <w:tab w:leader="none" w:pos="1958" w:val="left"/>
        </w:tabs>
        <w:numPr>
          <w:ilvl w:val="2"/>
          <w:numId w:val="49"/>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4" w:right="620" w:firstLine="653"/>
        <w:spacing w:after="0" w:line="308" w:lineRule="auto"/>
        <w:tabs>
          <w:tab w:leader="none" w:pos="1961" w:val="left"/>
        </w:tabs>
        <w:numPr>
          <w:ilvl w:val="2"/>
          <w:numId w:val="49"/>
        </w:numPr>
        <w:rPr>
          <w:rFonts w:ascii="Arial" w:cs="Arial" w:eastAsia="Arial" w:hAnsi="Arial"/>
          <w:sz w:val="17"/>
          <w:szCs w:val="17"/>
          <w:color w:val="auto"/>
        </w:rPr>
      </w:pPr>
      <w:r>
        <w:rPr>
          <w:rFonts w:ascii="Arial" w:cs="Arial" w:eastAsia="Arial" w:hAnsi="Arial"/>
          <w:sz w:val="17"/>
          <w:szCs w:val="17"/>
          <w:color w:val="auto"/>
        </w:rPr>
        <w:t xml:space="preserve">if such Restricted Definitive Security is being transferred pursuant to an effective registration statement under the Securities Act, a 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(3)(c) thereof,</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Trustee will cancel the Restricted Definitive Security, increase or cause to be increased the aggregate principal amount of, in the case of clause</w:t>
      </w:r>
    </w:p>
    <w:p>
      <w:pPr>
        <w:spacing w:after="0" w:line="46" w:lineRule="exact"/>
        <w:rPr>
          <w:sz w:val="20"/>
          <w:szCs w:val="20"/>
          <w:color w:val="auto"/>
        </w:rPr>
      </w:pPr>
    </w:p>
    <w:p>
      <w:pPr>
        <w:ind w:left="4" w:right="100" w:hanging="4"/>
        <w:spacing w:after="0" w:line="261" w:lineRule="auto"/>
        <w:tabs>
          <w:tab w:leader="none" w:pos="299"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above, the appropriate Restricted Global Security, in the case of clause (B) above, the 144A Global Security, in the case of clause (C) above, the Regulation S Global Security, and in all other cases, the IAI Global Security.</w:t>
      </w:r>
    </w:p>
    <w:p>
      <w:pPr>
        <w:spacing w:after="0" w:line="183" w:lineRule="exact"/>
        <w:rPr>
          <w:rFonts w:ascii="Arial" w:cs="Arial" w:eastAsia="Arial" w:hAnsi="Arial"/>
          <w:sz w:val="18"/>
          <w:szCs w:val="18"/>
          <w:color w:val="auto"/>
        </w:rPr>
      </w:pPr>
    </w:p>
    <w:p>
      <w:pPr>
        <w:ind w:left="4" w:right="180" w:firstLine="645"/>
        <w:spacing w:after="0" w:line="264" w:lineRule="auto"/>
        <w:tabs>
          <w:tab w:leader="none" w:pos="1308"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Unrestricted Global Securities. </w:t>
      </w:r>
      <w:r>
        <w:rPr>
          <w:rFonts w:ascii="Arial" w:cs="Arial" w:eastAsia="Arial" w:hAnsi="Arial"/>
          <w:sz w:val="18"/>
          <w:szCs w:val="18"/>
          <w:color w:val="auto"/>
        </w:rPr>
        <w:t>A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Restricted Definitive Security to a Person who takes delivery thereof in the form of a beneficial interest in an Unrestricted Global Security only if:</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140" w:firstLine="653"/>
        <w:spacing w:after="0" w:line="259" w:lineRule="auto"/>
        <w:tabs>
          <w:tab w:leader="none" w:pos="196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186" w:lineRule="exact"/>
        <w:rPr>
          <w:rFonts w:ascii="Arial" w:cs="Arial" w:eastAsia="Arial" w:hAnsi="Arial"/>
          <w:sz w:val="18"/>
          <w:szCs w:val="18"/>
          <w:color w:val="auto"/>
        </w:rPr>
      </w:pPr>
    </w:p>
    <w:p>
      <w:pPr>
        <w:ind w:left="1964" w:hanging="667"/>
        <w:spacing w:after="0"/>
        <w:tabs>
          <w:tab w:leader="none" w:pos="1964"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644" w:firstLine="653"/>
        <w:spacing w:after="0" w:line="277" w:lineRule="auto"/>
        <w:tabs>
          <w:tab w:leader="none" w:pos="19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1964" w:hanging="667"/>
        <w:spacing w:after="0"/>
        <w:tabs>
          <w:tab w:leader="none" w:pos="19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jc w:val="both"/>
        <w:ind w:left="1304" w:right="20" w:firstLine="641"/>
        <w:spacing w:after="0" w:line="291" w:lineRule="auto"/>
        <w:tabs>
          <w:tab w:leader="none" w:pos="2622"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Securities proposes to exchange such Notes for a beneficial interest in the Unrestricted Global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w:t>
      </w:r>
    </w:p>
    <w:p>
      <w:pPr>
        <w:ind w:left="1304"/>
        <w:spacing w:after="0"/>
        <w:rPr>
          <w:rFonts w:ascii="Arial" w:cs="Arial" w:eastAsia="Arial" w:hAnsi="Arial"/>
          <w:sz w:val="16"/>
          <w:szCs w:val="16"/>
          <w:color w:val="auto"/>
        </w:rPr>
      </w:pPr>
      <w:r>
        <w:rPr>
          <w:rFonts w:ascii="Arial" w:cs="Arial" w:eastAsia="Arial" w:hAnsi="Arial"/>
          <w:sz w:val="18"/>
          <w:szCs w:val="18"/>
          <w:color w:val="auto"/>
        </w:rPr>
        <w:t>(1)(c) thereof; or</w:t>
      </w:r>
    </w:p>
    <w:p>
      <w:pPr>
        <w:spacing w:after="0" w:line="210" w:lineRule="exact"/>
        <w:rPr>
          <w:rFonts w:ascii="Arial" w:cs="Arial" w:eastAsia="Arial" w:hAnsi="Arial"/>
          <w:sz w:val="16"/>
          <w:szCs w:val="16"/>
          <w:color w:val="auto"/>
        </w:rPr>
      </w:pPr>
    </w:p>
    <w:p>
      <w:pPr>
        <w:ind w:left="1304" w:right="160" w:firstLine="641"/>
        <w:spacing w:after="0" w:line="264" w:lineRule="auto"/>
        <w:tabs>
          <w:tab w:leader="none" w:pos="26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1" w:lineRule="exact"/>
        <w:rPr>
          <w:sz w:val="20"/>
          <w:szCs w:val="20"/>
          <w:color w:val="auto"/>
        </w:rPr>
      </w:pPr>
    </w:p>
    <w:p>
      <w:pPr>
        <w:ind w:left="644" w:right="12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ectPr>
          <w:pgSz w:w="11900" w:h="16838" w:orient="portrait"/>
          <w:cols w:equalWidth="0" w:num="1">
            <w:col w:w="10764"/>
          </w:cols>
          <w:pgMar w:left="896" w:top="125" w:right="239" w:bottom="0" w:gutter="0" w:footer="0" w:header="0"/>
        </w:sectPr>
      </w:pPr>
    </w:p>
    <w:bookmarkStart w:id="21" w:name="page22"/>
    <w:bookmarkEnd w:id="21"/>
    <w:p>
      <w:pPr>
        <w:ind w:left="660" w:right="160" w:firstLine="648"/>
        <w:spacing w:after="0" w:line="308" w:lineRule="auto"/>
        <w:rPr>
          <w:sz w:val="20"/>
          <w:szCs w:val="20"/>
          <w:color w:val="auto"/>
        </w:rPr>
      </w:pPr>
      <w:r>
        <w:rPr>
          <w:rFonts w:ascii="Arial" w:cs="Arial" w:eastAsia="Arial" w:hAnsi="Arial"/>
          <w:sz w:val="17"/>
          <w:szCs w:val="17"/>
          <w:color w:val="auto"/>
        </w:rPr>
        <w:t>Upon satisfaction of the conditions of any of the subparagraphs in this Section 2.06(d)(2), the Trustee will cancel the Restricted Definitive Securities and increase or cause to be increased the aggregate principal amount of the Unrestricted Global Security.</w:t>
      </w:r>
    </w:p>
    <w:p>
      <w:pPr>
        <w:spacing w:after="0" w:line="147" w:lineRule="exact"/>
        <w:rPr>
          <w:sz w:val="20"/>
          <w:szCs w:val="20"/>
          <w:color w:val="auto"/>
        </w:rPr>
      </w:pPr>
    </w:p>
    <w:p>
      <w:pPr>
        <w:ind w:left="660" w:right="60" w:firstLine="645"/>
        <w:spacing w:after="0" w:line="257" w:lineRule="auto"/>
        <w:tabs>
          <w:tab w:leader="none" w:pos="1964"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Securities to Beneficial Interests in Unrestricted Global Securities. </w:t>
      </w:r>
      <w:r>
        <w:rPr>
          <w:rFonts w:ascii="Arial" w:cs="Arial" w:eastAsia="Arial" w:hAnsi="Arial"/>
          <w:sz w:val="18"/>
          <w:szCs w:val="18"/>
          <w:color w:val="auto"/>
        </w:rPr>
        <w:t>A Holder of an Unrestricted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55" w:lineRule="auto"/>
        <w:tabs>
          <w:tab w:leader="none" w:pos="1307"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Securities for Definitive Securities. </w:t>
      </w:r>
      <w:r>
        <w:rPr>
          <w:rFonts w:ascii="Arial" w:cs="Arial" w:eastAsia="Arial" w:hAnsi="Arial"/>
          <w:sz w:val="18"/>
          <w:szCs w:val="18"/>
          <w:color w:val="auto"/>
        </w:rPr>
        <w:t>Upon request by a Holder of Definitive Securities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3" w:lineRule="exact"/>
        <w:rPr>
          <w:rFonts w:ascii="Arial" w:cs="Arial" w:eastAsia="Arial" w:hAnsi="Arial"/>
          <w:sz w:val="18"/>
          <w:szCs w:val="18"/>
          <w:color w:val="auto"/>
        </w:rPr>
      </w:pPr>
    </w:p>
    <w:p>
      <w:pPr>
        <w:ind w:left="660" w:right="220" w:firstLine="645"/>
        <w:spacing w:after="0" w:line="342" w:lineRule="auto"/>
        <w:tabs>
          <w:tab w:leader="none" w:pos="1964"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Securities to Restricted Definitive Securities. </w:t>
      </w:r>
      <w:r>
        <w:rPr>
          <w:rFonts w:ascii="Arial" w:cs="Arial" w:eastAsia="Arial" w:hAnsi="Arial"/>
          <w:sz w:val="16"/>
          <w:szCs w:val="16"/>
          <w:color w:val="auto"/>
        </w:rPr>
        <w:t>Any Restricted Definitive Security may be transferred to and</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in the name of Persons who take delivery thereof in the form of a Restricted Definitive Security if the Registrar receives the following:</w:t>
      </w:r>
    </w:p>
    <w:p>
      <w:pPr>
        <w:spacing w:after="0" w:line="123" w:lineRule="exact"/>
        <w:rPr>
          <w:rFonts w:ascii="Arial" w:cs="Arial" w:eastAsia="Arial" w:hAnsi="Arial"/>
          <w:sz w:val="16"/>
          <w:szCs w:val="16"/>
          <w:color w:val="auto"/>
        </w:rPr>
      </w:pPr>
    </w:p>
    <w:p>
      <w:pPr>
        <w:ind w:left="1300" w:right="160" w:firstLine="653"/>
        <w:spacing w:after="0" w:line="277" w:lineRule="auto"/>
        <w:tabs>
          <w:tab w:leader="none" w:pos="2617" w:val="left"/>
        </w:tabs>
        <w:numPr>
          <w:ilvl w:val="2"/>
          <w:numId w:val="53"/>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144A,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300" w:right="140" w:firstLine="653"/>
        <w:spacing w:after="0" w:line="277" w:lineRule="auto"/>
        <w:tabs>
          <w:tab w:leader="none" w:pos="2607" w:val="left"/>
        </w:tabs>
        <w:numPr>
          <w:ilvl w:val="2"/>
          <w:numId w:val="53"/>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70" w:lineRule="exact"/>
        <w:rPr>
          <w:rFonts w:ascii="Arial" w:cs="Arial" w:eastAsia="Arial" w:hAnsi="Arial"/>
          <w:sz w:val="18"/>
          <w:szCs w:val="18"/>
          <w:color w:val="auto"/>
        </w:rPr>
      </w:pPr>
    </w:p>
    <w:p>
      <w:pPr>
        <w:ind w:left="1300" w:right="60" w:firstLine="653"/>
        <w:spacing w:after="0" w:line="264" w:lineRule="auto"/>
        <w:tabs>
          <w:tab w:leader="none" w:pos="2607" w:val="left"/>
        </w:tabs>
        <w:numPr>
          <w:ilvl w:val="2"/>
          <w:numId w:val="53"/>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1964"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Unrestricted Definitive Securities. </w:t>
      </w:r>
      <w:r>
        <w:rPr>
          <w:rFonts w:ascii="Arial" w:cs="Arial" w:eastAsia="Arial" w:hAnsi="Arial"/>
          <w:sz w:val="18"/>
          <w:szCs w:val="18"/>
          <w:color w:val="auto"/>
        </w:rPr>
        <w:t>Any Restricted Definitive Security may be exchanged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for an Unrestricted Definitive Security or transferred to a Person or Persons who take delivery thereof in the form of an Unrestricted Definitive Security if:</w:t>
      </w:r>
    </w:p>
    <w:p>
      <w:pPr>
        <w:spacing w:after="0" w:line="181" w:lineRule="exact"/>
        <w:rPr>
          <w:rFonts w:ascii="Arial" w:cs="Arial" w:eastAsia="Arial" w:hAnsi="Arial"/>
          <w:sz w:val="18"/>
          <w:szCs w:val="18"/>
          <w:color w:val="auto"/>
        </w:rPr>
      </w:pPr>
    </w:p>
    <w:p>
      <w:pPr>
        <w:ind w:left="1300" w:right="140" w:firstLine="653"/>
        <w:spacing w:after="0" w:line="259" w:lineRule="auto"/>
        <w:tabs>
          <w:tab w:leader="none" w:pos="2617" w:val="left"/>
        </w:tabs>
        <w:numPr>
          <w:ilvl w:val="2"/>
          <w:numId w:val="53"/>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2"/>
          <w:numId w:val="53"/>
        </w:numPr>
        <w:rPr>
          <w:rFonts w:ascii="Arial" w:cs="Arial" w:eastAsia="Arial" w:hAnsi="Arial"/>
          <w:sz w:val="17"/>
          <w:szCs w:val="17"/>
          <w:color w:val="auto"/>
        </w:rPr>
      </w:pPr>
      <w:r>
        <w:rPr>
          <w:rFonts w:ascii="Arial" w:cs="Arial" w:eastAsia="Arial" w:hAnsi="Arial"/>
          <w:sz w:val="17"/>
          <w:szCs w:val="17"/>
          <w:color w:val="auto"/>
        </w:rPr>
        <w:t>any 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300" w:right="340" w:firstLine="653"/>
        <w:spacing w:after="0" w:line="277" w:lineRule="auto"/>
        <w:tabs>
          <w:tab w:leader="none" w:pos="2607" w:val="left"/>
        </w:tabs>
        <w:numPr>
          <w:ilvl w:val="2"/>
          <w:numId w:val="53"/>
        </w:numPr>
        <w:rPr>
          <w:rFonts w:ascii="Arial" w:cs="Arial" w:eastAsia="Arial" w:hAnsi="Arial"/>
          <w:sz w:val="18"/>
          <w:szCs w:val="18"/>
          <w:color w:val="auto"/>
        </w:rPr>
      </w:pPr>
      <w:r>
        <w:rPr>
          <w:rFonts w:ascii="Arial" w:cs="Arial" w:eastAsia="Arial" w:hAnsi="Arial"/>
          <w:sz w:val="18"/>
          <w:szCs w:val="18"/>
          <w:color w:val="auto"/>
        </w:rPr>
        <w:t>any 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sz w:val="20"/>
          <w:szCs w:val="20"/>
          <w:color w:val="auto"/>
        </w:rPr>
      </w:pPr>
    </w:p>
    <w:p>
      <w:pPr>
        <w:ind w:left="1960" w:right="220" w:firstLine="641"/>
        <w:spacing w:after="0" w:line="277" w:lineRule="auto"/>
        <w:tabs>
          <w:tab w:leader="none" w:pos="32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Holder of such Restricted Definitive Securities proposes to exchange such Securities for an Unrestricted Definitive Security, a certificate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 xml:space="preserve">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(1)(d) thereof; or</w:t>
      </w:r>
    </w:p>
    <w:p>
      <w:pPr>
        <w:spacing w:after="0" w:line="225" w:lineRule="exact"/>
        <w:rPr>
          <w:sz w:val="20"/>
          <w:szCs w:val="20"/>
          <w:color w:val="auto"/>
        </w:rPr>
      </w:pPr>
    </w:p>
    <w:p>
      <w:pPr>
        <w:ind w:left="1960" w:right="160" w:firstLine="641"/>
        <w:spacing w:after="0" w:line="264" w:lineRule="auto"/>
        <w:tabs>
          <w:tab w:leader="none" w:pos="32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1" w:lineRule="exact"/>
        <w:rPr>
          <w:sz w:val="20"/>
          <w:szCs w:val="20"/>
          <w:color w:val="auto"/>
        </w:rPr>
      </w:pPr>
    </w:p>
    <w:p>
      <w:pPr>
        <w:ind w:left="1300" w:right="140"/>
        <w:spacing w:after="0" w:line="312" w:lineRule="auto"/>
        <w:rPr>
          <w:sz w:val="20"/>
          <w:szCs w:val="20"/>
          <w:color w:val="auto"/>
        </w:rPr>
      </w:pPr>
      <w:r>
        <w:rPr>
          <w:rFonts w:ascii="Arial" w:cs="Arial" w:eastAsia="Arial" w:hAnsi="Arial"/>
          <w:sz w:val="16"/>
          <w:szCs w:val="16"/>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7" w:lineRule="exact"/>
        <w:rPr>
          <w:sz w:val="20"/>
          <w:szCs w:val="20"/>
          <w:color w:val="auto"/>
        </w:rPr>
      </w:pPr>
    </w:p>
    <w:p>
      <w:pPr>
        <w:jc w:val="both"/>
        <w:ind w:left="660" w:right="540" w:firstLine="645"/>
        <w:spacing w:after="0" w:line="312" w:lineRule="auto"/>
        <w:tabs>
          <w:tab w:leader="none" w:pos="1964"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Securities to Unrestricted Definitive Securities. </w:t>
      </w:r>
      <w:r>
        <w:rPr>
          <w:rFonts w:ascii="Arial" w:cs="Arial" w:eastAsia="Arial" w:hAnsi="Arial"/>
          <w:sz w:val="16"/>
          <w:szCs w:val="16"/>
          <w:color w:val="auto"/>
        </w:rPr>
        <w:t>A Holder of Unrestricted Definitive Securities may</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ectPr>
          <w:pgSz w:w="11900" w:h="16838" w:orient="portrait"/>
          <w:cols w:equalWidth="0" w:num="1">
            <w:col w:w="11420"/>
          </w:cols>
          <w:pgMar w:left="240" w:top="125" w:right="239" w:bottom="0" w:gutter="0" w:footer="0" w:header="0"/>
        </w:sectPr>
      </w:pPr>
    </w:p>
    <w:bookmarkStart w:id="22" w:name="page23"/>
    <w:bookmarkEnd w:id="22"/>
    <w:p>
      <w:pPr>
        <w:spacing w:after="0" w:line="83" w:lineRule="exact"/>
        <w:rPr>
          <w:sz w:val="20"/>
          <w:szCs w:val="20"/>
          <w:color w:val="auto"/>
        </w:rPr>
      </w:pPr>
    </w:p>
    <w:p>
      <w:pPr>
        <w:ind w:right="360" w:firstLine="656"/>
        <w:spacing w:after="0" w:line="277" w:lineRule="auto"/>
        <w:tabs>
          <w:tab w:leader="none" w:pos="1301"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Upon the occurrence of the Exchange Offer in accordance with the Registration Rights Agreement,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issue and, upon receipt of an Authentication Order in accordance with Section 2.02 hereof, the Trustee will authenticate: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one or more Unrestricted Global Notes in an aggregate principal amount equal to the principal amount of the beneficial interests in the Restricted Global Notes accepted for exchange in the Exchange Offer by Persons that certify in the applicable Letters of Transmittal that (A) they are not Broker-Dealers, (B) they are not participating in a distribution of the Exchange Notes and (C) they are not affiliates (as defined in Rule 144) of the Company; and</w:t>
      </w:r>
    </w:p>
    <w:p>
      <w:pPr>
        <w:spacing w:after="0" w:line="186" w:lineRule="exact"/>
        <w:rPr>
          <w:rFonts w:ascii="Arial" w:cs="Arial" w:eastAsia="Arial" w:hAnsi="Arial"/>
          <w:sz w:val="18"/>
          <w:szCs w:val="18"/>
          <w:color w:val="auto"/>
        </w:rPr>
      </w:pPr>
    </w:p>
    <w:p>
      <w:pPr>
        <w:jc w:val="both"/>
        <w:ind w:left="660" w:right="260" w:firstLine="645"/>
        <w:spacing w:after="0" w:line="291" w:lineRule="auto"/>
        <w:tabs>
          <w:tab w:leader="none" w:pos="1964" w:val="left"/>
        </w:tabs>
        <w:numPr>
          <w:ilvl w:val="1"/>
          <w:numId w:val="57"/>
        </w:numPr>
        <w:rPr>
          <w:rFonts w:ascii="Arial" w:cs="Arial" w:eastAsia="Arial" w:hAnsi="Arial"/>
          <w:sz w:val="16"/>
          <w:szCs w:val="16"/>
          <w:color w:val="auto"/>
        </w:rPr>
      </w:pPr>
      <w:r>
        <w:rPr>
          <w:rFonts w:ascii="Arial" w:cs="Arial" w:eastAsia="Arial" w:hAnsi="Arial"/>
          <w:sz w:val="16"/>
          <w:szCs w:val="16"/>
          <w:color w:val="auto"/>
        </w:rPr>
        <w:t>Unrestricted Definitive Notes in an aggregate principal amount equal to the principal amount of the Restricted Definitive Notes accepted for exchange in the Exchange Offer by Persons that certify in the applicable Letters of Transmittal that (A) they are not Broker-Dealers,</w:t>
      </w:r>
    </w:p>
    <w:p>
      <w:pPr>
        <w:ind w:left="660"/>
        <w:spacing w:after="0"/>
        <w:rPr>
          <w:rFonts w:ascii="Arial" w:cs="Arial" w:eastAsia="Arial" w:hAnsi="Arial"/>
          <w:sz w:val="16"/>
          <w:szCs w:val="16"/>
          <w:color w:val="auto"/>
        </w:rPr>
      </w:pPr>
      <w:r>
        <w:rPr>
          <w:rFonts w:ascii="Arial" w:cs="Arial" w:eastAsia="Arial" w:hAnsi="Arial"/>
          <w:sz w:val="17"/>
          <w:szCs w:val="17"/>
          <w:color w:val="auto"/>
        </w:rPr>
        <w:t>(B) they are not participating in a distribution of the Exchange Notes and (C) they are not affiliates (as defined in Rule 144) of the Company.</w:t>
      </w:r>
    </w:p>
    <w:p>
      <w:pPr>
        <w:spacing w:after="0" w:line="22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Concurrently with the issuance of such Notes, the Trustee will cause the aggregate principal amount of the applicable Restricted Global Notes to be reduced accordingly, and the Company will execute and the Trustee will authenticate and deliver to the Persons designated by the Holders of Definitive Notes so accepted Unrestricted Definitive Notes in the appropriate principal amount.</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any exchange offer is contemplated in respect of any Series of Additional Securities, the terms thereof will be specified in and governed by the terms of the Supplemental Indenture pursuant to which such Series of Additional Securities is created.</w:t>
      </w:r>
    </w:p>
    <w:p>
      <w:pPr>
        <w:spacing w:after="0" w:line="170" w:lineRule="exact"/>
        <w:rPr>
          <w:sz w:val="20"/>
          <w:szCs w:val="20"/>
          <w:color w:val="auto"/>
        </w:rPr>
      </w:pPr>
    </w:p>
    <w:p>
      <w:pPr>
        <w:ind w:right="580" w:firstLine="656"/>
        <w:spacing w:after="0" w:line="264" w:lineRule="auto"/>
        <w:tabs>
          <w:tab w:leader="none" w:pos="131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 Additional Securities will bear the legends, if any, provided for in the Supplemental Indenture pursuant to which such Series of Additional Securities is created.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420" w:firstLine="653"/>
        <w:spacing w:after="0" w:line="277" w:lineRule="auto"/>
        <w:tabs>
          <w:tab w:leader="none" w:pos="2617"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 NOTES: ONE YEAR]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w:t>
      </w:r>
    </w:p>
    <w:p>
      <w:pPr>
        <w:spacing w:after="0" w:line="1" w:lineRule="exact"/>
        <w:rPr>
          <w:sz w:val="20"/>
          <w:szCs w:val="20"/>
          <w:color w:val="auto"/>
        </w:rPr>
      </w:pPr>
    </w:p>
    <w:p>
      <w:pPr>
        <w:ind w:right="120" w:firstLine="8"/>
        <w:spacing w:after="0" w:line="252" w:lineRule="auto"/>
        <w:tabs>
          <w:tab w:leader="none" w:pos="2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 (3) 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191" w:lineRule="exact"/>
        <w:rPr>
          <w:rFonts w:ascii="Arial" w:cs="Arial" w:eastAsia="Arial" w:hAnsi="Arial"/>
          <w:sz w:val="18"/>
          <w:szCs w:val="18"/>
          <w:color w:val="auto"/>
        </w:rPr>
      </w:pPr>
    </w:p>
    <w:p>
      <w:pPr>
        <w:ind w:left="1300" w:firstLine="653"/>
        <w:spacing w:after="0" w:line="264" w:lineRule="auto"/>
        <w:tabs>
          <w:tab w:leader="none" w:pos="2607"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Notwithstanding the foregoing, any Global Note or Definitive Note issued pursuant to subparagraphs (b)(4), (c)(2), (c)(3), (d)(2), (d)(3), (e)(2), (e)(3) or (f) of this Section 2.06 (and all Notes issued in exchange therefor or substitution thereof) will not bear the Private Placement Legend.</w:t>
      </w:r>
    </w:p>
    <w:p>
      <w:pPr>
        <w:spacing w:after="0" w:line="181" w:lineRule="exact"/>
        <w:rPr>
          <w:sz w:val="20"/>
          <w:szCs w:val="20"/>
          <w:color w:val="auto"/>
        </w:rPr>
      </w:pPr>
    </w:p>
    <w:p>
      <w:pPr>
        <w:ind w:left="1960" w:hanging="655"/>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Global Legend</w:t>
      </w:r>
      <w:r>
        <w:rPr>
          <w:rFonts w:ascii="Arial" w:cs="Arial" w:eastAsia="Arial" w:hAnsi="Arial"/>
          <w:sz w:val="18"/>
          <w:szCs w:val="18"/>
          <w:color w:val="auto"/>
        </w:rPr>
        <w:t>. Each Global Security will bear a legend in substantially the following form:</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CLEARWAY ENERGY OPERATING LLC.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w:t>
      </w:r>
    </w:p>
    <w:p>
      <w:pPr>
        <w:sectPr>
          <w:pgSz w:w="11900" w:h="16921" w:orient="portrait"/>
          <w:cols w:equalWidth="0" w:num="1">
            <w:col w:w="11400"/>
          </w:cols>
          <w:pgMar w:left="240" w:top="125" w:right="259" w:bottom="0" w:gutter="0" w:footer="0" w:header="0"/>
        </w:sectPr>
      </w:pPr>
    </w:p>
    <w:bookmarkStart w:id="23" w:name="page24"/>
    <w:bookmarkEnd w:id="23"/>
    <w:p>
      <w:pPr>
        <w:ind w:right="220"/>
        <w:spacing w:after="0" w:line="264" w:lineRule="auto"/>
        <w:rPr>
          <w:sz w:val="20"/>
          <w:szCs w:val="20"/>
          <w:color w:val="auto"/>
        </w:rPr>
      </w:pPr>
      <w:r>
        <w:rPr>
          <w:rFonts w:ascii="Arial" w:cs="Arial" w:eastAsia="Arial" w:hAnsi="Arial"/>
          <w:sz w:val="18"/>
          <w:szCs w:val="18"/>
          <w:color w:val="auto"/>
        </w:rPr>
        <w:t>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ind w:left="1960" w:hanging="655"/>
        <w:spacing w:after="0"/>
        <w:tabs>
          <w:tab w:leader="none" w:pos="196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Original Issue Discount Legend</w:t>
      </w:r>
      <w:r>
        <w:rPr>
          <w:rFonts w:ascii="Arial" w:cs="Arial" w:eastAsia="Arial" w:hAnsi="Arial"/>
          <w:sz w:val="17"/>
          <w:szCs w:val="17"/>
          <w:color w:val="auto"/>
        </w:rPr>
        <w:t>. Each Note issued with original issue discount, if any, will bear a legend in substantially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following form:</w:t>
      </w:r>
    </w:p>
    <w:p>
      <w:pPr>
        <w:spacing w:after="0" w:line="21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“FOR THE PURPOSES OF SECTIONS 1272, 1273 AND 1275 OF THE INTERNAL REVENUE CODE OF 1986, AS AMENDED, THIS SECURITY IS BEING ISSUED WITH ORIGINAL ISSUE DISCOUNT; FOR EACH $1,000 IN AGGREGATE PRINCIPAL AMOUNT OF THIS SECURITY, THE</w:t>
      </w:r>
    </w:p>
    <w:p>
      <w:pPr>
        <w:ind w:right="260"/>
        <w:spacing w:after="0" w:line="261" w:lineRule="auto"/>
        <w:rPr>
          <w:sz w:val="20"/>
          <w:szCs w:val="20"/>
          <w:color w:val="auto"/>
        </w:rPr>
      </w:pPr>
      <w:r>
        <w:rPr>
          <w:rFonts w:ascii="Arial" w:cs="Arial" w:eastAsia="Arial" w:hAnsi="Arial"/>
          <w:sz w:val="18"/>
          <w:szCs w:val="18"/>
          <w:color w:val="auto"/>
        </w:rPr>
        <w:t>ISSUE PRICE IS $[ ], THE AMOUNT OF ORIGINAL ISSUE DISCOUNT IS $[ ], THE ISSUE DATE IS [ ], 201[ ] AND THE YIELD TO MATURITY IS [ ]% PER ANNUM.”</w:t>
      </w:r>
    </w:p>
    <w:p>
      <w:pPr>
        <w:spacing w:after="0" w:line="184" w:lineRule="exact"/>
        <w:rPr>
          <w:sz w:val="20"/>
          <w:szCs w:val="20"/>
          <w:color w:val="auto"/>
        </w:rPr>
      </w:pPr>
    </w:p>
    <w:p>
      <w:pPr>
        <w:ind w:firstLine="656"/>
        <w:spacing w:after="0" w:line="253" w:lineRule="auto"/>
        <w:tabs>
          <w:tab w:leader="none" w:pos="130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Cancellation and/or Adjustment of Global Securities. </w:t>
      </w:r>
      <w:r>
        <w:rPr>
          <w:rFonts w:ascii="Arial" w:cs="Arial" w:eastAsia="Arial" w:hAnsi="Arial"/>
          <w:sz w:val="18"/>
          <w:szCs w:val="18"/>
          <w:color w:val="auto"/>
        </w:rPr>
        <w:t>At such time as all beneficial interests in a particular Global Security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spacing w:after="0" w:line="197" w:lineRule="exact"/>
        <w:rPr>
          <w:rFonts w:ascii="Arial" w:cs="Arial" w:eastAsia="Arial" w:hAnsi="Arial"/>
          <w:sz w:val="18"/>
          <w:szCs w:val="18"/>
          <w:color w:val="auto"/>
        </w:rPr>
      </w:pPr>
    </w:p>
    <w:p>
      <w:pPr>
        <w:ind w:left="1320" w:hanging="664"/>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left="660" w:right="100" w:firstLine="645"/>
        <w:spacing w:after="0" w:line="342" w:lineRule="auto"/>
        <w:tabs>
          <w:tab w:leader="none" w:pos="1964" w:val="left"/>
        </w:tabs>
        <w:numPr>
          <w:ilvl w:val="1"/>
          <w:numId w:val="63"/>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spacing w:after="0" w:line="123" w:lineRule="exact"/>
        <w:rPr>
          <w:rFonts w:ascii="Arial" w:cs="Arial" w:eastAsia="Arial" w:hAnsi="Arial"/>
          <w:sz w:val="16"/>
          <w:szCs w:val="16"/>
          <w:color w:val="auto"/>
        </w:rPr>
      </w:pPr>
    </w:p>
    <w:p>
      <w:pPr>
        <w:jc w:val="both"/>
        <w:ind w:left="660" w:right="80" w:firstLine="645"/>
        <w:spacing w:after="0" w:line="259" w:lineRule="auto"/>
        <w:tabs>
          <w:tab w:leader="none" w:pos="19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80" w:firstLine="645"/>
        <w:spacing w:after="0" w:line="277" w:lineRule="auto"/>
        <w:tabs>
          <w:tab w:leader="none" w:pos="1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Registrar shall not be required to register the transfer of or exchange of any Security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ind w:left="660" w:right="100" w:firstLine="645"/>
        <w:spacing w:after="0" w:line="286" w:lineRule="auto"/>
        <w:tabs>
          <w:tab w:leader="none" w:pos="1964"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not be required:</w:t>
      </w:r>
    </w:p>
    <w:p>
      <w:pPr>
        <w:spacing w:after="0" w:line="225" w:lineRule="exact"/>
        <w:rPr>
          <w:rFonts w:ascii="Arial" w:cs="Arial" w:eastAsia="Arial" w:hAnsi="Arial"/>
          <w:sz w:val="18"/>
          <w:szCs w:val="18"/>
          <w:color w:val="auto"/>
        </w:rPr>
      </w:pPr>
    </w:p>
    <w:p>
      <w:pPr>
        <w:ind w:left="1300" w:right="180" w:firstLine="653"/>
        <w:spacing w:after="0" w:line="342" w:lineRule="auto"/>
        <w:tabs>
          <w:tab w:leader="none" w:pos="2617"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Securities during a period beginning at the opening of business 15 days before the day of any selection of Securities for redemption and ending at the close of business on the day of selection;</w:t>
      </w:r>
    </w:p>
    <w:p>
      <w:pPr>
        <w:spacing w:after="0" w:line="123" w:lineRule="exact"/>
        <w:rPr>
          <w:rFonts w:ascii="Arial" w:cs="Arial" w:eastAsia="Arial" w:hAnsi="Arial"/>
          <w:sz w:val="16"/>
          <w:szCs w:val="16"/>
          <w:color w:val="auto"/>
        </w:rPr>
      </w:pPr>
    </w:p>
    <w:p>
      <w:pPr>
        <w:ind w:left="1300" w:right="100" w:firstLine="653"/>
        <w:spacing w:after="0" w:line="277" w:lineRule="auto"/>
        <w:tabs>
          <w:tab w:leader="none" w:pos="2607"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register the transfer of or to exchange any Security selected for redemption in whole or in part, except the unredeemed portion of any Security being redeemed in part;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register the transfer of or to exchange a Security between a record date and the next succeeding interest payment date.</w:t>
      </w:r>
    </w:p>
    <w:p>
      <w:pPr>
        <w:spacing w:after="0" w:line="248" w:lineRule="exact"/>
        <w:rPr>
          <w:rFonts w:ascii="Arial" w:cs="Arial" w:eastAsia="Arial" w:hAnsi="Arial"/>
          <w:sz w:val="16"/>
          <w:szCs w:val="16"/>
          <w:color w:val="auto"/>
        </w:rPr>
      </w:pPr>
    </w:p>
    <w:p>
      <w:pPr>
        <w:ind w:left="660" w:right="60" w:firstLine="645"/>
        <w:spacing w:after="0" w:line="259" w:lineRule="auto"/>
        <w:tabs>
          <w:tab w:leader="none" w:pos="1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shall authenticate Global Securities and Definitive Securities in accordance with the provisions of Section 2.02 hereof.</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orders, certifications, certificates and Opinions of Counsel required to be submitted to the Registrar pursuant to this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2.06 to effect a registration of transfer or exchange may be submitted by facsimile or electronic format (e.g. “pdf” or “tif”).</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Issuance of Additional Notes.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With respect to any Additional Notes, the Company shall set forth in a Board Resolution and an Officers’ Certificate, a copy of each which shall be delivered to the Trustee, the following information:</w:t>
      </w:r>
    </w:p>
    <w:p>
      <w:pPr>
        <w:spacing w:after="0" w:line="170"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 price, the issue date and the CUSIP number of such Additional Notes.</w:t>
      </w:r>
    </w:p>
    <w:p>
      <w:pPr>
        <w:sectPr>
          <w:pgSz w:w="11900" w:h="16838" w:orient="portrait"/>
          <w:cols w:equalWidth="0" w:num="1">
            <w:col w:w="11420"/>
          </w:cols>
          <w:pgMar w:left="240" w:top="125" w:right="239" w:bottom="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i w:val="1"/>
          <w:iCs w:val="1"/>
          <w:color w:val="auto"/>
        </w:rPr>
        <w:t>Replacement Securities.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spacing w:after="0" w:line="17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Every replacement Security is an additional obligation of the Company and will be entitled to all of the benefits of this Indenture equally and proportionately with all other Securities duly issued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Outstanding Securities.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If a Security is replaced pursuant to Section 2.08 hereof, it ceases to be outstanding unless the Trustee receives proof satisfactory to it that the replaced Security is held by a protected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principal amount of any Security is considered paid under Section 4.01 hereof, it ceases to be outstanding and interest on it ceases to accrue.</w:t>
      </w:r>
    </w:p>
    <w:p>
      <w:pPr>
        <w:spacing w:after="0" w:line="248"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i w:val="1"/>
          <w:iCs w:val="1"/>
          <w:color w:val="auto"/>
        </w:rPr>
        <w:t>Treasury Securities.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Temporary Securities.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Company considers appropriate for temporary Securities and as may be reasonably acceptable to the Trustee. Without unreasonable delay, the Company will prepare and the Trustee will authenticate definitive Securities in exchange for temporary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at any time may deliver Securities to the Trustee for cancellation. The Registrar and Paying Agent will forward to the Trustee any Securities surrendered to them for registration of 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Defaulted Interest.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Default interest will be payable with respect to Additional Securities on the terms provided in the Supplemental Indenture pursuant to which such Series of Additional Securities is created.</w:t>
      </w:r>
    </w:p>
    <w:p>
      <w:pPr>
        <w:sectPr>
          <w:pgSz w:w="11900" w:h="16838" w:orient="portrait"/>
          <w:cols w:equalWidth="0" w:num="1">
            <w:col w:w="11380"/>
          </w:cols>
          <w:pgMar w:left="240" w:top="341" w:right="279" w:bottom="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hereof, it must furnish to the Trustee, at least 15 days but not more than 60 days before a redemption date, an Officers’ Certificate setting forth:</w:t>
      </w:r>
    </w:p>
    <w:p>
      <w:pPr>
        <w:spacing w:after="0" w:line="170" w:lineRule="exact"/>
        <w:rPr>
          <w:sz w:val="20"/>
          <w:szCs w:val="20"/>
          <w:color w:val="auto"/>
        </w:rPr>
      </w:pPr>
    </w:p>
    <w:p>
      <w:pPr>
        <w:ind w:left="1960" w:hanging="655"/>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redemption price or, where the redemption price cannot be calculated at the time of such notice, the method of calculation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If less than all of the Notes are to be redeemed at any time, the Trustee shall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In the event of partial redemption by lot, the particular Notes to be redeemed or purchased shall be selected, unless otherwise provided herein, not less than 15 nor more than 60 days prior to the redemption by the Trustee from the outstanding Notes not previously called for redemption.</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spacing w:after="0" w:line="188"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No Notes of $2,000 or less shall be redeemed in part. Notices of redemption shall be mailed by first class mail at least 15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this Indenture.</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least 15 days but not more than 60 days before a redemption date, the Company shall mail or 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11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225" w:lineRule="exact"/>
        <w:rPr>
          <w:sz w:val="20"/>
          <w:szCs w:val="20"/>
          <w:color w:val="auto"/>
        </w:rPr>
      </w:pPr>
    </w:p>
    <w:p>
      <w:pPr>
        <w:ind w:left="1960" w:hanging="655"/>
        <w:spacing w:after="0"/>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redemption price or, where the redemption price cannot be calculated at the time of such notice, the method of calculation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right="620" w:firstLine="645"/>
        <w:spacing w:after="0" w:line="264" w:lineRule="auto"/>
        <w:tabs>
          <w:tab w:leader="none" w:pos="1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ectPr>
          <w:pgSz w:w="11900" w:h="16838" w:orient="portrait"/>
          <w:cols w:equalWidth="0" w:num="1">
            <w:col w:w="11380"/>
          </w:cols>
          <w:pgMar w:left="240" w:top="125" w:right="279" w:bottom="0" w:gutter="0" w:footer="0" w:header="0"/>
        </w:sectPr>
      </w:pPr>
    </w:p>
    <w:bookmarkStart w:id="26" w:name="page27"/>
    <w:bookmarkEnd w:id="26"/>
    <w:p>
      <w:pPr>
        <w:ind w:left="660" w:right="20" w:firstLine="645"/>
        <w:spacing w:after="0" w:line="277"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At the Company’s request, the Trustee shall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four (4) Business Days prior to the date such notice of redemption is to be distributed to the Holders (or such shorter period as the Trustee in its sole discretion may allow), an Officers’ Certificate requesting that the Trustee give such notice and setting forth the information to be stated in such notice as provided in the preceding paragraph.</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Once notice of redemption is mailed in accordance with Section 3.03 hereof, Notes called for redemption become, subject to any conditions precedent set forth in the notice of redemption, irrevocably due and payable on the redemption date at the redemption price.</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 later than 10:00 a.m. Eastern time on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ind w:right="60" w:firstLine="656"/>
        <w:spacing w:after="0" w:line="302" w:lineRule="auto"/>
        <w:tabs>
          <w:tab w:leader="none" w:pos="1294"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At any time prior to October 15, 2021, the Company may on any one or more occasions redeem up to 35% of the aggregate principal amount of the Notes, upon not less than 15 nor more than 60 days’ prior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54" w:lineRule="exact"/>
        <w:rPr>
          <w:rFonts w:ascii="Arial" w:cs="Arial" w:eastAsia="Arial" w:hAnsi="Arial"/>
          <w:sz w:val="16"/>
          <w:szCs w:val="16"/>
          <w:color w:val="auto"/>
        </w:rPr>
      </w:pPr>
    </w:p>
    <w:p>
      <w:pPr>
        <w:ind w:left="660" w:right="580" w:firstLine="645"/>
        <w:spacing w:after="0" w:line="308" w:lineRule="auto"/>
        <w:tabs>
          <w:tab w:leader="none" w:pos="1964" w:val="left"/>
        </w:tabs>
        <w:numPr>
          <w:ilvl w:val="1"/>
          <w:numId w:val="72"/>
        </w:numPr>
        <w:rPr>
          <w:rFonts w:ascii="Arial" w:cs="Arial" w:eastAsia="Arial" w:hAnsi="Arial"/>
          <w:sz w:val="17"/>
          <w:szCs w:val="17"/>
          <w:color w:val="auto"/>
        </w:rPr>
      </w:pPr>
      <w:r>
        <w:rPr>
          <w:rFonts w:ascii="Arial" w:cs="Arial" w:eastAsia="Arial" w:hAnsi="Arial"/>
          <w:sz w:val="17"/>
          <w:szCs w:val="17"/>
          <w:color w:val="auto"/>
        </w:rPr>
        <w:t>at least 65% of the aggregate principal amount of Notes originally issued under this Indenture (excluding Notes held by the Company, its Subsidiaries and parent entities) remains outstanding immediately after the occurrence of such redemption;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ind w:firstLine="656"/>
        <w:spacing w:after="0" w:line="259" w:lineRule="auto"/>
        <w:tabs>
          <w:tab w:leader="none" w:pos="13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any time prior to October 15, 2021, the Company may on any one or more occasions redeem all or a part of the Notes, upon not less than 15 nor more than 60 days’ prior notice, at a redemption price equal to 100% of the principal amount of the Notes redeemed, plus the Applicable Premium as of, and accrued and unpaid interest, if any, to the applicable redemption date,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 October 15, 2021.</w:t>
      </w:r>
    </w:p>
    <w:p>
      <w:pPr>
        <w:spacing w:after="0" w:line="236" w:lineRule="exact"/>
        <w:rPr>
          <w:rFonts w:ascii="Arial" w:cs="Arial" w:eastAsia="Arial" w:hAnsi="Arial"/>
          <w:sz w:val="17"/>
          <w:szCs w:val="17"/>
          <w:color w:val="auto"/>
        </w:rPr>
      </w:pPr>
    </w:p>
    <w:p>
      <w:pPr>
        <w:jc w:val="both"/>
        <w:ind w:right="140" w:firstLine="656"/>
        <w:spacing w:after="0" w:line="279" w:lineRule="auto"/>
        <w:tabs>
          <w:tab w:leader="none" w:pos="1304" w:val="left"/>
        </w:tabs>
        <w:numPr>
          <w:ilvl w:val="0"/>
          <w:numId w:val="72"/>
        </w:numPr>
        <w:rPr>
          <w:rFonts w:ascii="Arial" w:cs="Arial" w:eastAsia="Arial" w:hAnsi="Arial"/>
          <w:sz w:val="17"/>
          <w:szCs w:val="17"/>
          <w:color w:val="auto"/>
        </w:rPr>
      </w:pPr>
      <w:r>
        <w:rPr>
          <w:rFonts w:ascii="Arial" w:cs="Arial" w:eastAsia="Arial" w:hAnsi="Arial"/>
          <w:sz w:val="17"/>
          <w:szCs w:val="17"/>
          <w:color w:val="auto"/>
        </w:rPr>
        <w:t>On or after October 15, 2021, the Company may on any one or more occasions redeem all or a part of the Notes, upon not less than 15 nor more than 60 days’ prior notice, at the redemption prices (expressed as percentages of principal amount) set forth below, plus accrued and unpaid interest, if any, on the Notes redeemed, to the applicable date of redemption, if redeemed during the 12-month period beginning on October 15 of the years indicated below, subject to the rights of Holders on the relevant record date to receive interest on the relevant interest payment date:</w:t>
      </w:r>
    </w:p>
    <w:p>
      <w:pPr>
        <w:sectPr>
          <w:pgSz w:w="11900" w:h="16838" w:orient="portrait"/>
          <w:cols w:equalWidth="0" w:num="1">
            <w:col w:w="11420"/>
          </w:cols>
          <w:pgMar w:left="240" w:top="125" w:right="239" w:bottom="123"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27" w:name="page28"/>
    <w:bookmarkEnd w:id="27"/>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Percentage</w:t>
            </w:r>
          </w:p>
        </w:tc>
        <w:tc>
          <w:tcPr>
            <w:tcW w:w="280" w:type="dxa"/>
            <w:vAlign w:val="bottom"/>
            <w:tcBorders>
              <w:bottom w:val="single" w:sz="8" w:color="CCEEFF"/>
            </w:tcBorders>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102.875%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101.437%</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left="1320" w:hanging="66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hereof.</w:t>
      </w:r>
    </w:p>
    <w:p>
      <w:pPr>
        <w:spacing w:after="0" w:line="225" w:lineRule="exact"/>
        <w:rPr>
          <w:rFonts w:ascii="Arial" w:cs="Arial" w:eastAsia="Arial" w:hAnsi="Arial"/>
          <w:sz w:val="18"/>
          <w:szCs w:val="18"/>
          <w:color w:val="auto"/>
        </w:rPr>
      </w:pPr>
    </w:p>
    <w:p>
      <w:pPr>
        <w:ind w:right="20" w:firstLine="656"/>
        <w:spacing w:after="0" w:line="277" w:lineRule="auto"/>
        <w:tabs>
          <w:tab w:leader="none" w:pos="13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provisions of this Article 3 do not prohibit the Company or its affiliates from acquiring the Notes in market transactions by means other than a redemption, whether pursuant to a tender offer or otherwise.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Payment of Notes.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 The Company will pay all Special Interest, if any, in the same manner on the dates and in the amounts set forth in the Registration Rights Agreement.</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references to “interest” on the Notes in this Indenture will be deemed to include all Special Interest payable pursuant to the Registration Rights Agreement, if any. Notwithstanding anything to the contrary contained herein, in the event the Company is required to pay Special Interest, the Company will provide written notice to the Trustee of the Company’s obligation to pay Special Interest no later than 15 days prior to the next interest payment date (or such shorter period as may be agreed by the Trustee), which notice shall set forth the amount of the Special Interest to be paid by the Company (but the failure to provide such notice shall not affect the Company’s obligation to pay such Special Interest when due). The Trustee shall not at any time be under any duty or responsibility to any Holders to determine whether any Special Interest is payable or the amount thereof.</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right="100" w:firstLine="656"/>
        <w:spacing w:after="0" w:line="277" w:lineRule="auto"/>
        <w:tabs>
          <w:tab w:leader="none" w:pos="12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or not required by the SEC’s rules and regulations, so long as any Notes are outstanding, the Company shall furnish or cause to be furnished to Holders, within the time periods (including any extensions thereof) specified in the SEC’s rules and regulations:</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1964"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SEC on Form 8-K if the Company were required to file such reports.</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such reports shall be prepared in all material respects in accordance with all of the rules and regulations applicable to such reports. Each annual report on Form 10-K will include a report on the Company’s consolidated financial statements by the Company’s independent registered public accounting firm. In addition, after consummation of the Exchange Offer contemplated by the Registration Rights Agreement, the Company shall file a copy of each of the reports referred to in clauses (1) and (2) above with the SEC for public availability within the time periods specified in the rules and regulations applicable to such reports (unless the SEC will not accept such a filing). To the extent such filings are made, the reports shall be deemed to be furnished to the Trustee and Holders of Notes.</w:t>
      </w:r>
    </w:p>
    <w:p>
      <w:pPr>
        <w:spacing w:after="0" w:line="19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If the Company is no longer subject to the periodic reporting requirements of the Exchange Act for any reason, the Company shall nevertheless continue filing the reports specified in this Section 4.03(a) with the SEC within the time periods specified above unless the SEC will not accept such a filing.</w:t>
      </w:r>
    </w:p>
    <w:p>
      <w:pPr>
        <w:sectPr>
          <w:pgSz w:w="11900" w:h="16854" w:orient="portrait"/>
          <w:cols w:equalWidth="0" w:num="1">
            <w:col w:w="11420"/>
          </w:cols>
          <w:pgMar w:left="240" w:top="333" w:right="239" w:bottom="0" w:gutter="0" w:footer="0" w:header="0"/>
        </w:sectPr>
      </w:pPr>
    </w:p>
    <w:bookmarkStart w:id="28" w:name="page29"/>
    <w:bookmarkEnd w:id="28"/>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agrees that it shall not take any action for the purpose of causing the SEC not to accept any such filings. If, notwithstanding the foregoing, the SEC will not accept the Company’s filings for any reason, the Company shall post the reports referred to in this Section 4.03(a) on the website of Clearway Energy, Inc. within the time periods that would apply if the Company were required to file those reports with the SEC. The Company shall at all times comply with TIA § 314(a).</w:t>
      </w:r>
    </w:p>
    <w:p>
      <w:pPr>
        <w:spacing w:after="0" w:line="187" w:lineRule="exact"/>
        <w:rPr>
          <w:sz w:val="20"/>
          <w:szCs w:val="20"/>
          <w:color w:val="auto"/>
        </w:rPr>
      </w:pPr>
    </w:p>
    <w:p>
      <w:pPr>
        <w:ind w:right="280" w:firstLine="656"/>
        <w:spacing w:after="0" w:line="312" w:lineRule="auto"/>
        <w:tabs>
          <w:tab w:leader="none" w:pos="1304" w:val="left"/>
        </w:tabs>
        <w:numPr>
          <w:ilvl w:val="0"/>
          <w:numId w:val="75"/>
        </w:numPr>
        <w:rPr>
          <w:rFonts w:ascii="Arial" w:cs="Arial" w:eastAsia="Arial" w:hAnsi="Arial"/>
          <w:sz w:val="16"/>
          <w:szCs w:val="16"/>
          <w:color w:val="auto"/>
        </w:rPr>
      </w:pPr>
      <w:r>
        <w:rPr>
          <w:rFonts w:ascii="Arial" w:cs="Arial" w:eastAsia="Arial" w:hAnsi="Arial"/>
          <w:sz w:val="16"/>
          <w:szCs w:val="16"/>
          <w:color w:val="auto"/>
        </w:rPr>
        <w:t>So long as the Parent Guarantor continues to own, directly or indirectly, all of the Equity Interests of the Company,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the Company under this Section 4.03.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86" w:lineRule="auto"/>
        <w:tabs>
          <w:tab w:leader="none" w:pos="1307"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addition, the Company and the Guarantors agree that, for so long as any Notes remain outstanding, at any time they are not required to file the reports required by the preceding paragraphs with the Commission, they shall furnish to the Holders and to securities analysts and prospective investors, upon their request, the information required to be delivered pursuant to Rule 144A(d)(4) under the Securities Act.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ind w:firstLine="656"/>
        <w:spacing w:after="0" w:line="270" w:lineRule="auto"/>
        <w:tabs>
          <w:tab w:leader="none" w:pos="129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and each Guarantor (to the extent that such Guarantor is so required under the TIA)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if any, and interest, if any, on the Notes is prohibited or if such event has occurred, a description of the event and what action the Company is taking or proposes to take with respect thereto.</w:t>
      </w:r>
    </w:p>
    <w:p>
      <w:pPr>
        <w:spacing w:after="0" w:line="177" w:lineRule="exact"/>
        <w:rPr>
          <w:rFonts w:ascii="Arial" w:cs="Arial" w:eastAsia="Arial" w:hAnsi="Arial"/>
          <w:sz w:val="17"/>
          <w:szCs w:val="17"/>
          <w:color w:val="auto"/>
        </w:rPr>
      </w:pPr>
    </w:p>
    <w:p>
      <w:pPr>
        <w:jc w:val="both"/>
        <w:ind w:right="200" w:firstLine="656"/>
        <w:spacing w:after="0" w:line="264" w:lineRule="auto"/>
        <w:tabs>
          <w:tab w:leader="none" w:pos="13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shall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4"/>
          <w:szCs w:val="14"/>
          <w:i w:val="1"/>
          <w:iCs w:val="1"/>
          <w:color w:val="auto"/>
        </w:rPr>
        <w:t>Taxes.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i w:val="1"/>
          <w:iCs w:val="1"/>
          <w:color w:val="auto"/>
        </w:rPr>
        <w:t>Liens.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to secure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restriction will not apply to, or prevent the creation or existence of:</w:t>
      </w:r>
    </w:p>
    <w:p>
      <w:pPr>
        <w:spacing w:after="0" w:line="181" w:lineRule="exact"/>
        <w:rPr>
          <w:sz w:val="20"/>
          <w:szCs w:val="20"/>
          <w:color w:val="auto"/>
        </w:rPr>
      </w:pPr>
    </w:p>
    <w:p>
      <w:pPr>
        <w:ind w:left="660" w:right="420" w:firstLine="645"/>
        <w:spacing w:after="0" w:line="286" w:lineRule="auto"/>
        <w:tabs>
          <w:tab w:leader="none" w:pos="1964" w:val="left"/>
        </w:tabs>
        <w:numPr>
          <w:ilvl w:val="1"/>
          <w:numId w:val="78"/>
        </w:numPr>
        <w:rPr>
          <w:rFonts w:ascii="Arial" w:cs="Arial" w:eastAsia="Arial" w:hAnsi="Arial"/>
          <w:sz w:val="17"/>
          <w:szCs w:val="17"/>
          <w:color w:val="auto"/>
        </w:rPr>
      </w:pPr>
      <w:r>
        <w:rPr>
          <w:rFonts w:ascii="Arial" w:cs="Arial" w:eastAsia="Arial" w:hAnsi="Arial"/>
          <w:sz w:val="17"/>
          <w:szCs w:val="17"/>
          <w:color w:val="auto"/>
        </w:rPr>
        <w:t>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Liens securing Indebtedness of any Person that (a) is acquired by the Company or any of its Subsidiaries after the date hereof,</w:t>
      </w:r>
    </w:p>
    <w:p>
      <w:pPr>
        <w:spacing w:after="0" w:line="46" w:lineRule="exact"/>
        <w:rPr>
          <w:rFonts w:ascii="Arial" w:cs="Arial" w:eastAsia="Arial" w:hAnsi="Arial"/>
          <w:sz w:val="16"/>
          <w:szCs w:val="16"/>
          <w:color w:val="auto"/>
        </w:rPr>
      </w:pPr>
    </w:p>
    <w:p>
      <w:pPr>
        <w:ind w:left="660" w:right="200" w:hanging="4"/>
        <w:spacing w:after="0" w:line="271" w:lineRule="auto"/>
        <w:tabs>
          <w:tab w:leader="none" w:pos="9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is merged or amalgamated with or into the Company or any of its Subsidiaries after the date hereof or (c) becomes consolidated in the financial statements of the Company or any of its Subsidiaries after the date hereof in accordance with GAAP;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spacing w:after="0" w:line="178" w:lineRule="exact"/>
        <w:rPr>
          <w:rFonts w:ascii="Arial" w:cs="Arial" w:eastAsia="Arial" w:hAnsi="Arial"/>
          <w:sz w:val="17"/>
          <w:szCs w:val="17"/>
          <w:color w:val="auto"/>
        </w:rPr>
      </w:pPr>
    </w:p>
    <w:p>
      <w:pPr>
        <w:ind w:left="660" w:right="60" w:firstLine="645"/>
        <w:spacing w:after="0" w:line="342" w:lineRule="auto"/>
        <w:tabs>
          <w:tab w:leader="none" w:pos="1964" w:val="left"/>
        </w:tabs>
        <w:numPr>
          <w:ilvl w:val="1"/>
          <w:numId w:val="79"/>
        </w:numPr>
        <w:rPr>
          <w:rFonts w:ascii="Arial" w:cs="Arial" w:eastAsia="Arial" w:hAnsi="Arial"/>
          <w:sz w:val="16"/>
          <w:szCs w:val="16"/>
          <w:color w:val="auto"/>
        </w:rPr>
      </w:pPr>
      <w:r>
        <w:rPr>
          <w:rFonts w:ascii="Arial" w:cs="Arial" w:eastAsia="Arial" w:hAnsi="Arial"/>
          <w:sz w:val="16"/>
          <w:szCs w:val="16"/>
          <w:color w:val="auto"/>
        </w:rPr>
        <w:t>Liens securing Indebtedness of the Company or any Subsidiary Guarantor incurred to finance (whether prior to or within 365 days after) the acquisition, construction or improvement of assets (whether through the direct purchase of assets or through the purchase of the Equity</w:t>
      </w:r>
    </w:p>
    <w:p>
      <w:pPr>
        <w:sectPr>
          <w:pgSz w:w="11900" w:h="16975" w:orient="portrait"/>
          <w:cols w:equalWidth="0" w:num="1">
            <w:col w:w="11420"/>
          </w:cols>
          <w:pgMar w:left="240" w:top="125" w:right="239" w:bottom="0" w:gutter="0" w:footer="0" w:header="0"/>
        </w:sectPr>
      </w:pPr>
    </w:p>
    <w:bookmarkStart w:id="29" w:name="page30"/>
    <w:bookmarkEnd w:id="29"/>
    <w:p>
      <w:pPr>
        <w:spacing w:after="0" w:line="50"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 xml:space="preserve">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147" w:lineRule="exact"/>
        <w:rPr>
          <w:sz w:val="20"/>
          <w:szCs w:val="20"/>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in favor of the Company or any of its Subsidiaries;</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the Company in its reasonable discretion acting in good faith);</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Liens relating to current or future escrow arrangements securing Indebtedness of the Company or any Subsidiary Guarantor;</w:t>
      </w:r>
    </w:p>
    <w:p>
      <w:pPr>
        <w:spacing w:after="0" w:line="236" w:lineRule="exact"/>
        <w:rPr>
          <w:rFonts w:ascii="Arial" w:cs="Arial" w:eastAsia="Arial" w:hAnsi="Arial"/>
          <w:sz w:val="17"/>
          <w:szCs w:val="17"/>
          <w:color w:val="auto"/>
        </w:rPr>
      </w:pPr>
    </w:p>
    <w:p>
      <w:pPr>
        <w:ind w:left="660" w:right="580" w:firstLine="645"/>
        <w:spacing w:after="0" w:line="27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Guarantor, including rights of offset and set-off;</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Liens on the stock or assets of Project Subsidiaries securing Project Debt or Tax Equity Financing of one or more Project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660" w:right="40" w:firstLine="645"/>
        <w:spacing w:after="0" w:line="257" w:lineRule="auto"/>
        <w:tabs>
          <w:tab w:leader="none" w:pos="19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securing Indebtedness incurred to finance an acquisition of assets or a business or multiple businesses;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within 180 days from the date the related Indebtedness was Incurred, such cash or cash equivalents are used to (a) fund the acquisition (or a similar transaction), including any related fees and expenses, and the related Indebtedness is (1) secured by Liens otherwise permitted under this Section 4.07 or (2) unsecured; or (b) retire or repay the Indebtedness that it secures and to pay any related fees and expenses; and</w:t>
      </w:r>
    </w:p>
    <w:p>
      <w:pPr>
        <w:spacing w:after="0" w:line="188" w:lineRule="exact"/>
        <w:rPr>
          <w:rFonts w:ascii="Arial" w:cs="Arial" w:eastAsia="Arial" w:hAnsi="Arial"/>
          <w:sz w:val="18"/>
          <w:szCs w:val="18"/>
          <w:color w:val="auto"/>
        </w:rPr>
      </w:pPr>
    </w:p>
    <w:p>
      <w:pPr>
        <w:ind w:left="660" w:right="200" w:firstLine="645"/>
        <w:spacing w:after="0" w:line="264" w:lineRule="auto"/>
        <w:tabs>
          <w:tab w:leader="none" w:pos="19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will be permitted to classify such Lien on the date of its incurrence, or later reclassify all or a portion of such Lien, in any manner that complies with this Section 4.07.</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If the Company or any Subsidiary Guarantor proposes to create or permit to exist any Lien upon any Principal Property owned by the Company or any Subsidiary Guarantor or upon any Equity Interests or Indebtedness of any direct or indirect Subsidiary of the Company to secure any Indebtedness, other than as permitted by clauses (1) through (13) of the previous paragraph, the Company will give prior written notice thereof to the Trustee, who will give notice to the Holders of the Notes, and the Company will further agree, prior to or simultaneously with the creation of such Lien, effectively to secure all the Notes equally and ratably with (or prior to) such other Indebtedness, for so long as such other Indebtedness is so secured.</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Limited Liability Company Existence.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Article 5 hereof, the Company shall do or cause to be done all things necessary to preserve and keep in full force and effect:</w:t>
      </w:r>
    </w:p>
    <w:p>
      <w:pPr>
        <w:spacing w:after="0" w:line="225" w:lineRule="exact"/>
        <w:rPr>
          <w:sz w:val="20"/>
          <w:szCs w:val="20"/>
          <w:color w:val="auto"/>
        </w:rPr>
      </w:pPr>
    </w:p>
    <w:p>
      <w:pPr>
        <w:ind w:left="660" w:right="40" w:firstLine="645"/>
        <w:spacing w:after="0" w:line="264" w:lineRule="auto"/>
        <w:tabs>
          <w:tab w:leader="none" w:pos="19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its limited liability company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spacing w:after="0" w:line="181" w:lineRule="exact"/>
        <w:rPr>
          <w:rFonts w:ascii="Arial" w:cs="Arial" w:eastAsia="Arial" w:hAnsi="Arial"/>
          <w:sz w:val="18"/>
          <w:szCs w:val="18"/>
          <w:color w:val="auto"/>
        </w:rPr>
      </w:pPr>
    </w:p>
    <w:p>
      <w:pPr>
        <w:ind w:left="660" w:right="100" w:firstLine="645"/>
        <w:spacing w:after="0" w:line="297" w:lineRule="auto"/>
        <w:tabs>
          <w:tab w:leader="none" w:pos="1964"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the Parent Guarantor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preserve any such right, license or franchise, or the corporate, partnership or other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Offer to Repurchase Upon Change of Control Triggering Event.</w:t>
      </w:r>
    </w:p>
    <w:p>
      <w:pPr>
        <w:spacing w:after="0" w:line="225" w:lineRule="exact"/>
        <w:rPr>
          <w:sz w:val="20"/>
          <w:szCs w:val="20"/>
          <w:color w:val="auto"/>
        </w:rPr>
      </w:pPr>
    </w:p>
    <w:p>
      <w:pPr>
        <w:ind w:right="160" w:firstLine="656"/>
        <w:spacing w:after="0" w:line="255" w:lineRule="auto"/>
        <w:tabs>
          <w:tab w:leader="none" w:pos="129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Upon the occurrence of a Change of Control Triggering Event, the Company will make an offer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xml:space="preserve">)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Payment”</w:t>
      </w:r>
      <w:r>
        <w:rPr>
          <w:rFonts w:ascii="Arial" w:cs="Arial" w:eastAsia="Arial" w:hAnsi="Arial"/>
          <w:sz w:val="18"/>
          <w:szCs w:val="18"/>
          <w:color w:val="auto"/>
        </w:rPr>
        <w:t>). Within 30 days following any Change of Control Triggering Event, the Company will mail a notice to each Holder describing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or transactions that constitute the Change of Control and stating:</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that the Change of Control Offer is being made pursuant to this Section 4.09 and that all Notes tendered will be accepted for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payment;</w:t>
      </w:r>
    </w:p>
    <w:p>
      <w:pPr>
        <w:sectPr>
          <w:pgSz w:w="11900" w:h="16888" w:orient="portrait"/>
          <w:cols w:equalWidth="0" w:num="1">
            <w:col w:w="11420"/>
          </w:cols>
          <w:pgMar w:left="240" w:top="125" w:right="239" w:bottom="0" w:gutter="0" w:footer="0" w:header="0"/>
        </w:sectPr>
      </w:pPr>
    </w:p>
    <w:bookmarkStart w:id="30" w:name="page31"/>
    <w:bookmarkEnd w:id="30"/>
    <w:p>
      <w:pPr>
        <w:spacing w:after="0" w:line="90" w:lineRule="exact"/>
        <w:rPr>
          <w:sz w:val="20"/>
          <w:szCs w:val="20"/>
          <w:color w:val="auto"/>
        </w:rPr>
      </w:pPr>
    </w:p>
    <w:p>
      <w:pPr>
        <w:ind w:left="660" w:right="420" w:firstLine="645"/>
        <w:spacing w:after="0" w:line="342" w:lineRule="auto"/>
        <w:tabs>
          <w:tab w:leader="none" w:pos="1964"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the purchase price and the purchase date, which shall be no earlier than 15 days (or such longer period required by applicable securities laws and regulations) and no later than 60 days from the date such notice is mailed (the </w:t>
      </w:r>
      <w:r>
        <w:rPr>
          <w:rFonts w:ascii="Arial" w:cs="Arial" w:eastAsia="Arial" w:hAnsi="Arial"/>
          <w:sz w:val="16"/>
          <w:szCs w:val="16"/>
          <w:i w:val="1"/>
          <w:iCs w:val="1"/>
          <w:color w:val="auto"/>
        </w:rPr>
        <w:t>“Change of Control Payment Date”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170" w:lineRule="exact"/>
        <w:rPr>
          <w:rFonts w:ascii="Arial" w:cs="Arial" w:eastAsia="Arial" w:hAnsi="Arial"/>
          <w:sz w:val="18"/>
          <w:szCs w:val="18"/>
          <w:color w:val="auto"/>
        </w:rPr>
      </w:pPr>
    </w:p>
    <w:p>
      <w:pPr>
        <w:ind w:left="660" w:right="100" w:firstLine="645"/>
        <w:spacing w:after="0" w:line="286" w:lineRule="auto"/>
        <w:tabs>
          <w:tab w:leader="none" w:pos="196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165" w:lineRule="exact"/>
        <w:rPr>
          <w:rFonts w:ascii="Arial" w:cs="Arial" w:eastAsia="Arial" w:hAnsi="Arial"/>
          <w:sz w:val="17"/>
          <w:szCs w:val="17"/>
          <w:color w:val="auto"/>
        </w:rPr>
      </w:pPr>
    </w:p>
    <w:p>
      <w:pPr>
        <w:ind w:left="660" w:right="340" w:firstLine="645"/>
        <w:spacing w:after="0" w:line="312" w:lineRule="auto"/>
        <w:tabs>
          <w:tab w:leader="none" w:pos="196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spacing w:after="0" w:line="146" w:lineRule="exact"/>
        <w:rPr>
          <w:rFonts w:ascii="Arial" w:cs="Arial" w:eastAsia="Arial" w:hAnsi="Arial"/>
          <w:sz w:val="16"/>
          <w:szCs w:val="16"/>
          <w:color w:val="auto"/>
        </w:rPr>
      </w:pPr>
    </w:p>
    <w:p>
      <w:pPr>
        <w:jc w:val="both"/>
        <w:ind w:left="660" w:right="40" w:firstLine="645"/>
        <w:spacing w:after="0" w:line="264" w:lineRule="auto"/>
        <w:tabs>
          <w:tab w:leader="none" w:pos="1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spacing w:after="0" w:line="154" w:lineRule="exact"/>
        <w:rPr>
          <w:sz w:val="20"/>
          <w:szCs w:val="20"/>
          <w:color w:val="auto"/>
        </w:rPr>
      </w:pPr>
    </w:p>
    <w:p>
      <w:pPr>
        <w:ind w:left="5620" w:right="4180" w:hanging="4964"/>
        <w:spacing w:after="0" w:line="528" w:lineRule="auto"/>
        <w:tabs>
          <w:tab w:leader="none" w:pos="13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 43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60" w:hanging="655"/>
        <w:spacing w:after="0"/>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right="400" w:firstLine="645"/>
        <w:spacing w:after="0" w:line="277" w:lineRule="auto"/>
        <w:tabs>
          <w:tab w:leader="none" w:pos="19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660" w:right="600" w:firstLine="645"/>
        <w:spacing w:after="0" w:line="277" w:lineRule="auto"/>
        <w:tabs>
          <w:tab w:leader="none" w:pos="19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-1367790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principal amount of $2,000 or an integral multiple of $1,000 in excess thereof. The Company shall publicly announce the results of the Change of Control Offer on or as soon as practicable after the Change of Control Payment Date.</w:t>
      </w:r>
    </w:p>
    <w:p>
      <w:pPr>
        <w:spacing w:after="0" w:line="188" w:lineRule="exact"/>
        <w:rPr>
          <w:sz w:val="20"/>
          <w:szCs w:val="20"/>
          <w:color w:val="auto"/>
        </w:rPr>
      </w:pPr>
    </w:p>
    <w:p>
      <w:pPr>
        <w:ind w:firstLine="656"/>
        <w:spacing w:after="0" w:line="264" w:lineRule="auto"/>
        <w:tabs>
          <w:tab w:leader="none" w:pos="130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provisions described in Sections 4.09(a) and (b) shall apply whether or not any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spacing w:after="0" w:line="181" w:lineRule="exact"/>
        <w:rPr>
          <w:rFonts w:ascii="Arial" w:cs="Arial" w:eastAsia="Arial" w:hAnsi="Arial"/>
          <w:sz w:val="18"/>
          <w:szCs w:val="18"/>
          <w:color w:val="auto"/>
        </w:rPr>
      </w:pPr>
    </w:p>
    <w:p>
      <w:pPr>
        <w:ind w:right="20" w:firstLine="656"/>
        <w:spacing w:after="0" w:line="255" w:lineRule="auto"/>
        <w:tabs>
          <w:tab w:leader="none" w:pos="1304"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89" w:lineRule="exact"/>
        <w:rPr>
          <w:rFonts w:ascii="Arial" w:cs="Arial" w:eastAsia="Arial" w:hAnsi="Arial"/>
          <w:sz w:val="18"/>
          <w:szCs w:val="18"/>
          <w:color w:val="auto"/>
        </w:rPr>
      </w:pPr>
    </w:p>
    <w:p>
      <w:pPr>
        <w:ind w:right="80" w:firstLine="656"/>
        <w:spacing w:after="0" w:line="255" w:lineRule="auto"/>
        <w:tabs>
          <w:tab w:leader="none" w:pos="1307"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Holders of not less than 90.0% in aggregate principal amount of the outstanding Notes validly tender and not withdraw such Notes in a Change of Control Offer and the Company, or any third party making a Change of Control Offer in lieu of the Company as described above, purchases all of the Notes validly tendered and not withdrawn by such Holders, all of the Holders of the Notes will be deemed to have validly tendered their notes and not withdrawn and, accordingly, the Company will have the right, upon not less than 15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Additional Subsidiary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7" w:lineRule="auto"/>
        <w:tabs>
          <w:tab w:leader="none" w:pos="19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or any of its Subsidiaries acquires or creates another Wholly Owned Subsidiary after the Issue Date and such Wholly Owned Subsidiary Guarantees any Obligations of the Company under the Credit Agreement, or</w:t>
      </w:r>
    </w:p>
    <w:p>
      <w:pPr>
        <w:sectPr>
          <w:pgSz w:w="11900" w:h="16929" w:orient="portrait"/>
          <w:cols w:equalWidth="0" w:num="1">
            <w:col w:w="11400"/>
          </w:cols>
          <w:pgMar w:left="240" w:top="341" w:right="259" w:bottom="0" w:gutter="0" w:footer="0" w:header="0"/>
        </w:sectPr>
      </w:pPr>
    </w:p>
    <w:bookmarkStart w:id="31" w:name="page32"/>
    <w:bookmarkEnd w:id="31"/>
    <w:p>
      <w:pPr>
        <w:ind w:left="660" w:right="20" w:firstLine="645"/>
        <w:spacing w:after="0" w:line="277" w:lineRule="auto"/>
        <w:tabs>
          <w:tab w:leader="none" w:pos="1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Wholly Owned Subsidiary that does not Guarantee any Obligations of the Company under the Credit Agreement as of the date of the Indenture subsequently Guarantees any Obligations of the Company under the Credit Agreement, or</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spacing w:after="0" w:line="18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 execute a supplemental indenture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and deliver an Opinion of Counsel satisfactory to the trustee within 60 business days of the date on which it was acquired or created or guaranteed other Material Indebtedness of the Company, as the case may be.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Holding Company Status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ownership of debt or Equity Interests in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participating in tax, accounting and other administrative activities as the parent of a consolidated group of companies, including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making distributions to holders of its debt or Equity Interests or to the Company or any Subsidiary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ind w:left="660" w:right="200" w:firstLine="645"/>
        <w:spacing w:after="0" w:line="264" w:lineRule="auto"/>
        <w:tabs>
          <w:tab w:leader="none" w:pos="19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Energy, Inc., the Company or any Subsidiary of the Company and the execution and delivery of any agreements related to the foregoing, including credit agreements, indentures, security agreements, notes and registration rights agreements;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spacing w:after="0" w:line="187" w:lineRule="exact"/>
        <w:rPr>
          <w:sz w:val="20"/>
          <w:szCs w:val="20"/>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Parent Guarantor or the Company, as the case may be, is the surviving Person; or</w:t>
      </w:r>
    </w:p>
    <w:p>
      <w:pPr>
        <w:spacing w:after="0" w:line="225" w:lineRule="exact"/>
        <w:rPr>
          <w:rFonts w:ascii="Arial" w:cs="Arial" w:eastAsia="Arial" w:hAnsi="Arial"/>
          <w:sz w:val="18"/>
          <w:szCs w:val="18"/>
          <w:color w:val="auto"/>
        </w:rPr>
      </w:pPr>
    </w:p>
    <w:p>
      <w:pPr>
        <w:ind w:left="1300" w:right="40" w:firstLine="653"/>
        <w:spacing w:after="0" w:line="255" w:lineRule="auto"/>
        <w:tabs>
          <w:tab w:leader="none" w:pos="2607"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89" w:lineRule="exact"/>
        <w:rPr>
          <w:rFonts w:ascii="Arial" w:cs="Arial" w:eastAsia="Arial" w:hAnsi="Arial"/>
          <w:sz w:val="18"/>
          <w:szCs w:val="18"/>
          <w:color w:val="auto"/>
        </w:rPr>
      </w:pPr>
    </w:p>
    <w:p>
      <w:pPr>
        <w:ind w:left="660" w:right="240" w:firstLine="645"/>
        <w:spacing w:after="0" w:line="279" w:lineRule="auto"/>
        <w:tabs>
          <w:tab w:leader="none" w:pos="1964"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this Indenture and the Registration Rights Agreement pursuant to a supplemental indenture or other documents and agreements reasonably satisfactory to the Trustee; and</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ectPr>
          <w:pgSz w:w="11900" w:h="16838" w:orient="portrait"/>
          <w:cols w:equalWidth="0" w:num="1">
            <w:col w:w="11400"/>
          </w:cols>
          <w:pgMar w:left="240" w:top="341" w:right="259" w:bottom="100" w:gutter="0" w:footer="0" w:header="0"/>
        </w:sectPr>
      </w:pPr>
    </w:p>
    <w:bookmarkStart w:id="32" w:name="page33"/>
    <w:bookmarkEnd w:id="32"/>
    <w:p>
      <w:pPr>
        <w:spacing w:after="0" w:line="70"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In addition, neither the Parent Guarantor nor the Company will, directly or indirectly, lease all or substantially all of its and its respective Subsidiaries’ properties or assets taken as a whole, in one or more related transactions,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5.01 shall not apply to:</w:t>
      </w:r>
    </w:p>
    <w:p>
      <w:pPr>
        <w:spacing w:after="0" w:line="225" w:lineRule="exact"/>
        <w:rPr>
          <w:sz w:val="20"/>
          <w:szCs w:val="20"/>
          <w:color w:val="auto"/>
        </w:rPr>
      </w:pPr>
    </w:p>
    <w:p>
      <w:pPr>
        <w:ind w:left="660" w:right="360" w:firstLine="645"/>
        <w:spacing w:after="0" w:line="277" w:lineRule="auto"/>
        <w:tabs>
          <w:tab w:leader="none" w:pos="19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merger of the Parent Guarantor or the Company, as the case may be, with an Affiliate solely for the purpose of reforming the Parent Guarantor or the Company, as the case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may be, in another jurisdiction or forming a direct or indirect holding company of the Company that is a Wholly Owned Subsidiary of the Parent Guarantor; and</w:t>
      </w:r>
    </w:p>
    <w:p>
      <w:pPr>
        <w:spacing w:after="0" w:line="170" w:lineRule="exact"/>
        <w:rPr>
          <w:sz w:val="20"/>
          <w:szCs w:val="20"/>
          <w:color w:val="auto"/>
        </w:rPr>
      </w:pPr>
    </w:p>
    <w:p>
      <w:pPr>
        <w:ind w:left="660" w:right="620" w:firstLine="645"/>
        <w:spacing w:after="0" w:line="277" w:lineRule="auto"/>
        <w:tabs>
          <w:tab w:leader="none" w:pos="1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Parent Guarantor, the Company and their respective Subsidiaries, including by way of merger or consolidation.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i w:val="1"/>
          <w:iCs w:val="1"/>
          <w:color w:val="auto"/>
        </w:rPr>
        <w:t>Successor Entity Substituted.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 this Indenture with the same effect as if such successor Person had been named as the Parent Guarantor or the Company, as the case may be, herein;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predecessor Company shall not be relieved from the obligation to pay the principal of, premium, if any, and interest on, the Notes and that 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purposes of the Notes, Article 6 hereof provides the terms of defaults and remedies. For purposes of any Additional Securities issued under this Indenture, the Supplement Indenture in respect of such Additional Securities will specify the terms of defaults and remedies for such Additional Securities, which may include some, all or none of the terms contained in this Article 6 hereof.</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225" w:lineRule="exact"/>
        <w:rPr>
          <w:rFonts w:ascii="Arial" w:cs="Arial" w:eastAsia="Arial" w:hAnsi="Arial"/>
          <w:sz w:val="18"/>
          <w:szCs w:val="18"/>
          <w:color w:val="auto"/>
        </w:rPr>
      </w:pPr>
    </w:p>
    <w:p>
      <w:pPr>
        <w:ind w:left="660" w:right="60" w:firstLine="645"/>
        <w:spacing w:after="0" w:line="264"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failure by the Company or any Guarantor for 60 days after written notice to the Company given by the Trustee or the Holders of at least 25% in aggregate principal amount of the Notes that are then outstanding, to comply with any of the agreements in this Indenture (other than a default referred to in clause (1) or (2) of this Section 6.01);</w:t>
      </w:r>
    </w:p>
    <w:p>
      <w:pPr>
        <w:spacing w:after="0" w:line="181" w:lineRule="exact"/>
        <w:rPr>
          <w:rFonts w:ascii="Arial" w:cs="Arial" w:eastAsia="Arial" w:hAnsi="Arial"/>
          <w:sz w:val="18"/>
          <w:szCs w:val="18"/>
          <w:color w:val="auto"/>
        </w:rPr>
      </w:pPr>
    </w:p>
    <w:p>
      <w:pPr>
        <w:ind w:left="660" w:right="620" w:firstLine="645"/>
        <w:spacing w:after="0" w:line="277"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Company or any Guarantor (or the payment of which is Guaranteed by the Company or any Guarantor), whether such Indebtedness or Guarantee now exists, or is created after the Issue Date, if that default:</w:t>
      </w:r>
    </w:p>
    <w:p>
      <w:pPr>
        <w:spacing w:after="0" w:line="170" w:lineRule="exact"/>
        <w:rPr>
          <w:sz w:val="20"/>
          <w:szCs w:val="20"/>
          <w:color w:val="auto"/>
        </w:rPr>
      </w:pPr>
    </w:p>
    <w:p>
      <w:pPr>
        <w:ind w:left="1300" w:firstLine="653"/>
        <w:spacing w:after="0" w:line="277" w:lineRule="auto"/>
        <w:tabs>
          <w:tab w:leader="none" w:pos="261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660" w:right="320"/>
        <w:spacing w:after="0" w:line="291"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w:t>
      </w:r>
    </w:p>
    <w:p>
      <w:pPr>
        <w:ind w:left="660" w:right="100" w:hanging="4"/>
        <w:spacing w:after="0" w:line="261" w:lineRule="auto"/>
        <w:tabs>
          <w:tab w:leader="none" w:pos="92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$100.0 million;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(4) shall not apply to secured Indebtedness that becomes due as a result of the voluntary sale or transfer of the property or assets securing such Indebtedness to a Person that is not an Affiliate of the Company;</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the greater of (i) 1.5% of Total Assets and</w:t>
      </w:r>
    </w:p>
    <w:p>
      <w:pPr>
        <w:spacing w:after="0" w:line="46" w:lineRule="exact"/>
        <w:rPr>
          <w:rFonts w:ascii="Arial" w:cs="Arial" w:eastAsia="Arial" w:hAnsi="Arial"/>
          <w:sz w:val="16"/>
          <w:szCs w:val="16"/>
          <w:color w:val="auto"/>
        </w:rPr>
      </w:pPr>
    </w:p>
    <w:p>
      <w:pPr>
        <w:ind w:left="660" w:right="100" w:hanging="4"/>
        <w:spacing w:after="0" w:line="255" w:lineRule="auto"/>
        <w:tabs>
          <w:tab w:leader="none" w:pos="925"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$100.0 million (excluding therefrom any amount reasonably expected to be covered by insurance) shall be rendered against the Company or any Guarantor or Guarantors or any combination thereof and the same shall not have been paid, discharged or stayed for a period of 60 days after such judgment became final and non-appealable;</w:t>
      </w:r>
    </w:p>
    <w:p>
      <w:pPr>
        <w:sectPr>
          <w:pgSz w:w="11900" w:h="16909" w:orient="portrait"/>
          <w:cols w:equalWidth="0" w:num="1">
            <w:col w:w="11420"/>
          </w:cols>
          <w:pgMar w:left="240" w:top="125" w:right="239" w:bottom="0" w:gutter="0" w:footer="0" w:header="0"/>
        </w:sectPr>
      </w:pPr>
    </w:p>
    <w:bookmarkStart w:id="33" w:name="page34"/>
    <w:bookmarkEnd w:id="33"/>
    <w:p>
      <w:pPr>
        <w:spacing w:after="0" w:line="137" w:lineRule="exact"/>
        <w:rPr>
          <w:sz w:val="20"/>
          <w:szCs w:val="20"/>
          <w:color w:val="auto"/>
        </w:rPr>
      </w:pPr>
    </w:p>
    <w:p>
      <w:pPr>
        <w:ind w:left="660" w:firstLine="645"/>
        <w:spacing w:after="0" w:line="302" w:lineRule="auto"/>
        <w:tabs>
          <w:tab w:leader="none" w:pos="1964"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except as permitted by this Indenture, any Guarantee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w:t>
      </w:r>
    </w:p>
    <w:p>
      <w:pPr>
        <w:spacing w:after="0" w:line="154" w:lineRule="exact"/>
        <w:rPr>
          <w:rFonts w:ascii="Arial" w:cs="Arial" w:eastAsia="Arial" w:hAnsi="Arial"/>
          <w:sz w:val="16"/>
          <w:szCs w:val="16"/>
          <w:color w:val="auto"/>
        </w:rPr>
      </w:pPr>
    </w:p>
    <w:p>
      <w:pPr>
        <w:ind w:left="660" w:firstLine="645"/>
        <w:spacing w:after="0" w:line="277" w:lineRule="auto"/>
        <w:tabs>
          <w:tab w:leader="none" w:pos="196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or any of the Guarantors that, if a Subsidiary of the Company, would constitute a Significant Subsidiary or any group of Guarantors that, if Subsidiaries of the Company, taken together, would constitute a Significant Subsidiary:</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40" w:firstLine="653"/>
        <w:spacing w:after="0" w:line="342" w:lineRule="auto"/>
        <w:tabs>
          <w:tab w:leader="none" w:pos="2617" w:val="left"/>
        </w:tabs>
        <w:numPr>
          <w:ilvl w:val="0"/>
          <w:numId w:val="98"/>
        </w:numPr>
        <w:rPr>
          <w:rFonts w:ascii="Arial" w:cs="Arial" w:eastAsia="Arial" w:hAnsi="Arial"/>
          <w:sz w:val="16"/>
          <w:szCs w:val="16"/>
          <w:color w:val="auto"/>
        </w:rPr>
      </w:pPr>
      <w:r>
        <w:rPr>
          <w:rFonts w:ascii="Arial" w:cs="Arial" w:eastAsia="Arial" w:hAnsi="Arial"/>
          <w:sz w:val="16"/>
          <w:szCs w:val="16"/>
          <w:color w:val="auto"/>
        </w:rPr>
        <w:t>is for relief against the Company or any Guarantor that, if a Subsidiary of the Company, would constitute a Significant Subsidiary or any group of Guarantors that, if Subsidiaries of the Company, taken together, would constitute a Significant Subsidiary;</w:t>
      </w:r>
    </w:p>
    <w:p>
      <w:pPr>
        <w:spacing w:after="0" w:line="123" w:lineRule="exact"/>
        <w:rPr>
          <w:rFonts w:ascii="Arial" w:cs="Arial" w:eastAsia="Arial" w:hAnsi="Arial"/>
          <w:sz w:val="16"/>
          <w:szCs w:val="16"/>
          <w:color w:val="auto"/>
        </w:rPr>
      </w:pPr>
    </w:p>
    <w:p>
      <w:pPr>
        <w:ind w:left="1300" w:right="500" w:firstLine="653"/>
        <w:spacing w:after="0" w:line="286" w:lineRule="auto"/>
        <w:tabs>
          <w:tab w:leader="none" w:pos="2607" w:val="left"/>
        </w:tabs>
        <w:numPr>
          <w:ilvl w:val="0"/>
          <w:numId w:val="98"/>
        </w:numPr>
        <w:rPr>
          <w:rFonts w:ascii="Arial" w:cs="Arial" w:eastAsia="Arial" w:hAnsi="Arial"/>
          <w:sz w:val="17"/>
          <w:szCs w:val="17"/>
          <w:color w:val="auto"/>
        </w:rPr>
      </w:pPr>
      <w:r>
        <w:rPr>
          <w:rFonts w:ascii="Arial" w:cs="Arial" w:eastAsia="Arial" w:hAnsi="Arial"/>
          <w:sz w:val="17"/>
          <w:szCs w:val="17"/>
          <w:color w:val="auto"/>
        </w:rPr>
        <w:t>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spacing w:after="0" w:line="165" w:lineRule="exact"/>
        <w:rPr>
          <w:rFonts w:ascii="Arial" w:cs="Arial" w:eastAsia="Arial" w:hAnsi="Arial"/>
          <w:sz w:val="17"/>
          <w:szCs w:val="17"/>
          <w:color w:val="auto"/>
        </w:rPr>
      </w:pPr>
    </w:p>
    <w:p>
      <w:pPr>
        <w:ind w:left="1300" w:right="500" w:firstLine="653"/>
        <w:spacing w:after="0" w:line="264" w:lineRule="auto"/>
        <w:tabs>
          <w:tab w:leader="none" w:pos="2607" w:val="left"/>
        </w:tabs>
        <w:numPr>
          <w:ilvl w:val="0"/>
          <w:numId w:val="98"/>
        </w:numPr>
        <w:rPr>
          <w:rFonts w:ascii="Arial" w:cs="Arial" w:eastAsia="Arial" w:hAnsi="Arial"/>
          <w:sz w:val="18"/>
          <w:szCs w:val="18"/>
          <w:color w:val="auto"/>
        </w:rPr>
      </w:pPr>
      <w:r>
        <w:rPr>
          <w:rFonts w:ascii="Arial" w:cs="Arial" w:eastAsia="Arial" w:hAnsi="Arial"/>
          <w:sz w:val="18"/>
          <w:szCs w:val="18"/>
          <w:color w:val="auto"/>
        </w:rPr>
        <w:t>orders the liquidation of the Company or any Guarantor that, if a Subsidiary of the Company, would constitute a Significant Subsidiary or any group of Guarantors that, if Subsidiaries of the Company, taken together, would constitute a Significant Subsidiary;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case of an Event of Default specified in clause (7) or (8) of Section 6.01 hereof, with respect to the Company,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170"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Holders of a majority in aggregate principal amount of the then outstanding Notes may, by written notice to the Trustee, rescind an acceleration and its consequences, including any related payment default that resulted from such acceleration. Upon any such waiver, such Default shall cease to exist, and any Event of Default arising therefrom shall be deemed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have been cured for every purpose of this Indenture; but no such waiver shall extend to any subsequent or other Default or impair any right consequent thereon.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w:t>
      </w:r>
    </w:p>
    <w:p>
      <w:pPr>
        <w:sectPr>
          <w:pgSz w:w="11900" w:h="16975" w:orient="portrait"/>
          <w:cols w:equalWidth="0" w:num="1">
            <w:col w:w="11400"/>
          </w:cols>
          <w:pgMar w:left="240" w:top="341" w:right="259" w:bottom="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follow any direction that conflicts with law or this Indenture that the Trustee determines may be unduly prejudicial to the rights of other Holders of Securities or that may involve the Trustee in personal liability.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Holder of a Note may pursue any remedy with respect to this Indenture or the Notes unless:</w:t>
      </w:r>
    </w:p>
    <w:p>
      <w:pPr>
        <w:spacing w:after="0" w:line="225" w:lineRule="exact"/>
        <w:rPr>
          <w:sz w:val="20"/>
          <w:szCs w:val="20"/>
          <w:color w:val="auto"/>
        </w:rPr>
      </w:pPr>
    </w:p>
    <w:p>
      <w:pPr>
        <w:ind w:left="1960" w:hanging="655"/>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outstanding Notes make a written request to the Trustee to pursue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remedy;</w:t>
      </w:r>
    </w:p>
    <w:p>
      <w:pPr>
        <w:spacing w:after="0" w:line="211" w:lineRule="exact"/>
        <w:rPr>
          <w:sz w:val="20"/>
          <w:szCs w:val="20"/>
          <w:color w:val="auto"/>
        </w:rPr>
      </w:pPr>
    </w:p>
    <w:p>
      <w:pPr>
        <w:ind w:left="1960" w:hanging="655"/>
        <w:spacing w:after="0"/>
        <w:tabs>
          <w:tab w:leader="none" w:pos="19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such Holders have offered the Trustee security or indemnity reasonably satisfactory to the Trustee against any loss, liability or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left="1960" w:hanging="655"/>
        <w:spacing w:after="0"/>
        <w:tabs>
          <w:tab w:leader="none" w:pos="19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receipt of the request and the offer of security or indemnity;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right="180" w:firstLine="645"/>
        <w:spacing w:after="0" w:line="277" w:lineRule="auto"/>
        <w:tabs>
          <w:tab w:leader="none" w:pos="19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outstanding Notes have not given the Trustee a direction inconsistent with such request within such 60-day period.</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225"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Trustee (including any claim for the reasonable compensation, expenses, disbursements and advances of the Trustee, its agents and counsel)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Notes allowed in any judicial proceedings relative to the Company (or any other obligor upon the Notes), its creditors or its property and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entitled and empowered to collect, receive and distribute any money or other property payable or deliverable on any such claims and any custodian in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judicial proceeding is hereby authorized by each Holder to make such payments to the Trustee, and in the event that the Trustee shall consent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making of such payments directly to the Holders, to pay to the Trustee any amount due to it for the reasonable compensation, expenses, disbursements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advances of the Trustee, its agents and counsel, and any other amounts due to the Trustee under this Indenture, including without limitation,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7.07 hereof. To the extent that the payment of any such compensation, expenses, disbursements and advances of the Trustee, its agents and counsel,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other amounts due to the Trustee under this Indenture, including without limitation, under Section 7.07 hereof out of the estate in any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proceeding, shall be denied for any reason, payment of the same shall be secured by a Lien on, and shall be paid out of, any and all distributions,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money, securities and other properties that the Holders may be entitled to receive in such proceeding whether in liquidation or under any plan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or arrangement or otherwise. Nothing herein contained shall be deemed to authorize the Trustee to authorize or consent to or accept or adopt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behalf of any Holder any plan of reorganization, arrangement, adjustment or composition affecting the Notes or the rights of any Holder, or to authorize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Trustee to vote in respect of the claim of any Holder in any such proceeding.</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225" w:lineRule="exact"/>
        <w:rPr>
          <w:sz w:val="20"/>
          <w:szCs w:val="20"/>
          <w:color w:val="auto"/>
        </w:rPr>
      </w:pPr>
    </w:p>
    <w:p>
      <w:pPr>
        <w:ind w:left="660" w:right="340" w:firstLine="64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liabilities incurred, and all advances made, by the Trustee and the costs and expenses of collection;</w:t>
      </w:r>
    </w:p>
    <w:p>
      <w:pPr>
        <w:spacing w:after="0" w:line="170" w:lineRule="exact"/>
        <w:rPr>
          <w:sz w:val="20"/>
          <w:szCs w:val="20"/>
          <w:color w:val="auto"/>
        </w:rPr>
      </w:pPr>
    </w:p>
    <w:p>
      <w:pPr>
        <w:ind w:left="660" w:right="120" w:firstLine="648"/>
        <w:spacing w:after="0" w:line="264"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respectively; and</w:t>
      </w:r>
    </w:p>
    <w:p>
      <w:pPr>
        <w:spacing w:after="0" w:line="181"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the Company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ectPr>
          <w:pgSz w:w="11900" w:h="16838" w:orient="portrait"/>
          <w:cols w:equalWidth="0" w:num="1">
            <w:col w:w="11360"/>
          </w:cols>
          <w:pgMar w:left="240" w:top="125" w:right="299" w:bottom="100" w:gutter="0" w:footer="0" w:header="0"/>
        </w:sectPr>
      </w:pPr>
    </w:p>
    <w:bookmarkStart w:id="35" w:name="page36"/>
    <w:bookmarkEnd w:id="35"/>
    <w:p>
      <w:pPr>
        <w:ind w:right="40" w:firstLine="648"/>
        <w:spacing w:after="0" w:line="302"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6.07 hereof, or a suit by Holders of more than 10% in aggregate principal amount of the then outstanding Notes.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225" w:lineRule="exact"/>
        <w:rPr>
          <w:sz w:val="20"/>
          <w:szCs w:val="20"/>
          <w:color w:val="auto"/>
        </w:rPr>
      </w:pPr>
    </w:p>
    <w:p>
      <w:pPr>
        <w:ind w:firstLine="656"/>
        <w:spacing w:after="0" w:line="264" w:lineRule="auto"/>
        <w:tabs>
          <w:tab w:leader="none" w:pos="129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right="240" w:firstLine="645"/>
        <w:spacing w:after="0" w:line="264" w:lineRule="auto"/>
        <w:tabs>
          <w:tab w:leader="none" w:pos="1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1" w:lineRule="exact"/>
        <w:rPr>
          <w:rFonts w:ascii="Arial" w:cs="Arial" w:eastAsia="Arial" w:hAnsi="Arial"/>
          <w:sz w:val="18"/>
          <w:szCs w:val="18"/>
          <w:color w:val="auto"/>
        </w:rPr>
      </w:pPr>
    </w:p>
    <w:p>
      <w:pPr>
        <w:ind w:left="660" w:right="60" w:firstLine="645"/>
        <w:spacing w:after="0" w:line="312" w:lineRule="auto"/>
        <w:tabs>
          <w:tab w:leader="none" w:pos="196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46" w:lineRule="exact"/>
        <w:rPr>
          <w:rFonts w:ascii="Arial" w:cs="Arial" w:eastAsia="Arial" w:hAnsi="Arial"/>
          <w:sz w:val="16"/>
          <w:szCs w:val="16"/>
          <w:color w:val="auto"/>
        </w:rPr>
      </w:pPr>
    </w:p>
    <w:p>
      <w:pPr>
        <w:ind w:left="1320" w:hanging="664"/>
        <w:spacing w:after="0"/>
        <w:tabs>
          <w:tab w:leader="none" w:pos="1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except that: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taken, suffered or omitted to be taken in respect of the Notes in accordance with a direction received by it pursuant to Section 6.05 hereof.</w:t>
      </w:r>
    </w:p>
    <w:p>
      <w:pPr>
        <w:spacing w:after="0" w:line="170" w:lineRule="exact"/>
        <w:rPr>
          <w:rFonts w:ascii="Arial" w:cs="Arial" w:eastAsia="Arial" w:hAnsi="Arial"/>
          <w:sz w:val="18"/>
          <w:szCs w:val="18"/>
          <w:color w:val="auto"/>
        </w:rPr>
      </w:pPr>
    </w:p>
    <w:p>
      <w:pPr>
        <w:ind w:right="820" w:firstLine="656"/>
        <w:spacing w:after="0" w:line="277" w:lineRule="auto"/>
        <w:tabs>
          <w:tab w:leader="none" w:pos="13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ind w:right="60" w:firstLine="656"/>
        <w:spacing w:after="0" w:line="264" w:lineRule="auto"/>
        <w:tabs>
          <w:tab w:leader="none" w:pos="13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81" w:lineRule="exact"/>
        <w:rPr>
          <w:rFonts w:ascii="Arial" w:cs="Arial" w:eastAsia="Arial" w:hAnsi="Arial"/>
          <w:sz w:val="18"/>
          <w:szCs w:val="18"/>
          <w:color w:val="auto"/>
        </w:rPr>
      </w:pPr>
    </w:p>
    <w:p>
      <w:pPr>
        <w:ind w:right="580" w:firstLine="656"/>
        <w:spacing w:after="0" w:line="277" w:lineRule="auto"/>
        <w:tabs>
          <w:tab w:leader="none" w:pos="13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77" w:lineRule="auto"/>
        <w:tabs>
          <w:tab w:leader="none" w:pos="13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Paying Agent and the Registrar shall be entitled to the same protections, immunities and standard of care as are set forth in paragraphs (a), (b) and (c) of this section with respect to the Trustee.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225" w:lineRule="exact"/>
        <w:rPr>
          <w:sz w:val="20"/>
          <w:szCs w:val="20"/>
          <w:color w:val="auto"/>
        </w:rPr>
      </w:pPr>
    </w:p>
    <w:p>
      <w:pPr>
        <w:ind w:right="420" w:firstLine="656"/>
        <w:spacing w:after="0" w:line="277" w:lineRule="auto"/>
        <w:tabs>
          <w:tab w:leader="none" w:pos="129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ind w:right="120" w:firstLine="656"/>
        <w:spacing w:after="0" w:line="259" w:lineRule="auto"/>
        <w:tabs>
          <w:tab w:leader="none" w:pos="13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86" w:lineRule="exact"/>
        <w:rPr>
          <w:rFonts w:ascii="Arial" w:cs="Arial" w:eastAsia="Arial" w:hAnsi="Arial"/>
          <w:sz w:val="18"/>
          <w:szCs w:val="18"/>
          <w:color w:val="auto"/>
        </w:rPr>
      </w:pPr>
    </w:p>
    <w:p>
      <w:pPr>
        <w:ind w:right="120" w:firstLine="656"/>
        <w:spacing w:after="0" w:line="264" w:lineRule="auto"/>
        <w:tabs>
          <w:tab w:leader="none" w:pos="1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spacing w:after="0" w:line="181"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ectPr>
          <w:pgSz w:w="11900" w:h="16838" w:orient="portrait"/>
          <w:cols w:equalWidth="0" w:num="1">
            <w:col w:w="11420"/>
          </w:cols>
          <w:pgMar w:left="240" w:top="125" w:right="239" w:bottom="0" w:gutter="0" w:footer="0" w:header="0"/>
        </w:sectPr>
      </w:pPr>
    </w:p>
    <w:bookmarkStart w:id="36" w:name="page37"/>
    <w:bookmarkEnd w:id="36"/>
    <w:p>
      <w:pPr>
        <w:spacing w:after="0" w:line="106" w:lineRule="exact"/>
        <w:rPr>
          <w:sz w:val="20"/>
          <w:szCs w:val="20"/>
          <w:color w:val="auto"/>
        </w:rPr>
      </w:pPr>
    </w:p>
    <w:p>
      <w:pPr>
        <w:ind w:right="280" w:firstLine="656"/>
        <w:spacing w:after="0" w:line="277" w:lineRule="auto"/>
        <w:tabs>
          <w:tab w:leader="none" w:pos="130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ind w:right="120" w:firstLine="656"/>
        <w:spacing w:after="0" w:line="342" w:lineRule="auto"/>
        <w:tabs>
          <w:tab w:leader="none" w:pos="130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Trustee will be under no obligation to exercise any of the rights or powers under this Indenture at the request or direction of any of the Holders unless such Holders have offered to the Trustee reasonable indemnity or security satisfactory to the Trustee against any loss, liability or expense.</w:t>
      </w:r>
    </w:p>
    <w:p>
      <w:pPr>
        <w:spacing w:after="0" w:line="123" w:lineRule="exact"/>
        <w:rPr>
          <w:rFonts w:ascii="Arial" w:cs="Arial" w:eastAsia="Arial" w:hAnsi="Arial"/>
          <w:sz w:val="16"/>
          <w:szCs w:val="16"/>
          <w:color w:val="auto"/>
        </w:rPr>
      </w:pPr>
    </w:p>
    <w:p>
      <w:pPr>
        <w:ind w:firstLine="656"/>
        <w:spacing w:after="0" w:line="342" w:lineRule="auto"/>
        <w:tabs>
          <w:tab w:leader="none" w:pos="131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123" w:lineRule="exact"/>
        <w:rPr>
          <w:rFonts w:ascii="Arial" w:cs="Arial" w:eastAsia="Arial" w:hAnsi="Arial"/>
          <w:sz w:val="16"/>
          <w:szCs w:val="16"/>
          <w:color w:val="auto"/>
        </w:rPr>
      </w:pPr>
    </w:p>
    <w:p>
      <w:pPr>
        <w:ind w:right="100" w:firstLine="656"/>
        <w:spacing w:after="0" w:line="277" w:lineRule="auto"/>
        <w:tabs>
          <w:tab w:leader="none" w:pos="130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spacing w:after="0" w:line="170" w:lineRule="exact"/>
        <w:rPr>
          <w:rFonts w:ascii="Arial" w:cs="Arial" w:eastAsia="Arial" w:hAnsi="Arial"/>
          <w:sz w:val="18"/>
          <w:szCs w:val="18"/>
          <w:color w:val="auto"/>
        </w:rPr>
      </w:pPr>
    </w:p>
    <w:p>
      <w:pPr>
        <w:ind w:right="120" w:firstLine="656"/>
        <w:spacing w:after="0" w:line="342" w:lineRule="auto"/>
        <w:tabs>
          <w:tab w:leader="none" w:pos="131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23" w:lineRule="exact"/>
        <w:rPr>
          <w:rFonts w:ascii="Arial" w:cs="Arial" w:eastAsia="Arial" w:hAnsi="Arial"/>
          <w:sz w:val="16"/>
          <w:szCs w:val="16"/>
          <w:color w:val="auto"/>
        </w:rPr>
      </w:pPr>
    </w:p>
    <w:p>
      <w:pPr>
        <w:ind w:right="100" w:firstLine="656"/>
        <w:spacing w:after="0" w:line="342" w:lineRule="auto"/>
        <w:tabs>
          <w:tab w:leader="none" w:pos="130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23" w:lineRule="exact"/>
        <w:rPr>
          <w:rFonts w:ascii="Arial" w:cs="Arial" w:eastAsia="Arial" w:hAnsi="Arial"/>
          <w:sz w:val="16"/>
          <w:szCs w:val="16"/>
          <w:color w:val="auto"/>
        </w:rPr>
      </w:pPr>
    </w:p>
    <w:p>
      <w:pPr>
        <w:ind w:right="420" w:firstLine="656"/>
        <w:spacing w:after="0" w:line="286" w:lineRule="auto"/>
        <w:tabs>
          <w:tab w:leader="none" w:pos="130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65" w:lineRule="exact"/>
        <w:rPr>
          <w:sz w:val="20"/>
          <w:szCs w:val="20"/>
          <w:color w:val="auto"/>
        </w:rPr>
      </w:pPr>
    </w:p>
    <w:p>
      <w:pPr>
        <w:ind w:left="1320" w:hanging="664"/>
        <w:spacing w:after="0"/>
        <w:tabs>
          <w:tab w:leader="none" w:pos="1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right of the Trustee to perform any discretionary act enumerated in this Indenture or any related document shall not be construed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duty.</w:t>
      </w:r>
    </w:p>
    <w:p>
      <w:pPr>
        <w:spacing w:after="0" w:line="211" w:lineRule="exact"/>
        <w:rPr>
          <w:sz w:val="20"/>
          <w:szCs w:val="20"/>
          <w:color w:val="auto"/>
        </w:rPr>
      </w:pPr>
    </w:p>
    <w:p>
      <w:pPr>
        <w:ind w:right="60" w:firstLine="656"/>
        <w:spacing w:after="0" w:line="264"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spacing w:after="0" w:line="181" w:lineRule="exact"/>
        <w:rPr>
          <w:rFonts w:ascii="Arial" w:cs="Arial" w:eastAsia="Arial" w:hAnsi="Arial"/>
          <w:sz w:val="18"/>
          <w:szCs w:val="18"/>
          <w:color w:val="auto"/>
        </w:rPr>
      </w:pPr>
    </w:p>
    <w:p>
      <w:pPr>
        <w:ind w:right="440" w:firstLine="656"/>
        <w:spacing w:after="0" w:line="277" w:lineRule="auto"/>
        <w:tabs>
          <w:tab w:leader="none" w:pos="13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Trustee in its individual or any other capacity may become the owner or pledgee of Notes and may otherwise deal with the Company or any Affiliate of the Company with the same rights it would have if it were not the 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 The Trustee is also subject to Sections 7.10 and 7.11 hereof.</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Reports by Trustee to Holders of the Securities.</w:t>
      </w:r>
    </w:p>
    <w:p>
      <w:pPr>
        <w:spacing w:after="0" w:line="225" w:lineRule="exact"/>
        <w:rPr>
          <w:sz w:val="20"/>
          <w:szCs w:val="20"/>
          <w:color w:val="auto"/>
        </w:rPr>
      </w:pPr>
    </w:p>
    <w:p>
      <w:pPr>
        <w:ind w:right="120" w:firstLine="656"/>
        <w:spacing w:after="0" w:line="302" w:lineRule="auto"/>
        <w:tabs>
          <w:tab w:leader="none" w:pos="129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the extent required under TIA §313(a), within 60 days after each October 15 beginning with the October 15 following the date of this Indenture, and for so long as any Securities remain outstanding, the Trustee will mail to the Holders of the Securities a brief report dated as of such reporting date that complies with TIA §313(a) (but if no event described in TIA §313(a) has occurred within the twelve months preceding the reporting date, no report need be transmitted). The Trustee also will comply with TIA §313(b)(2). The Trustee will also transmit by mail all reports as required by TIA §313(c).</w:t>
      </w:r>
    </w:p>
    <w:p>
      <w:pPr>
        <w:sectPr>
          <w:pgSz w:w="11900" w:h="16945" w:orient="portrait"/>
          <w:cols w:equalWidth="0" w:num="1">
            <w:col w:w="11420"/>
          </w:cols>
          <w:pgMar w:left="240" w:top="125" w:right="239" w:bottom="0" w:gutter="0" w:footer="0" w:header="0"/>
        </w:sectPr>
      </w:pPr>
    </w:p>
    <w:bookmarkStart w:id="37" w:name="page38"/>
    <w:bookmarkEnd w:id="37"/>
    <w:p>
      <w:pPr>
        <w:jc w:val="both"/>
        <w:ind w:right="500" w:firstLine="656"/>
        <w:spacing w:after="0" w:line="264" w:lineRule="auto"/>
        <w:tabs>
          <w:tab w:leader="none" w:pos="13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copy of each report at the time of its mailing to the Holders of Notes will be mailed by the Trustee to the Company and filed by the Company with the SEC and each stock exchange on such Securities are listed in accordance with TIA §313(d). The Company will promptly notify the Trustee when any Securities are listed on any stock exchange.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ind w:right="360" w:firstLine="656"/>
        <w:spacing w:after="0" w:line="302" w:lineRule="auto"/>
        <w:tabs>
          <w:tab w:leader="none" w:pos="129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54" w:lineRule="exact"/>
        <w:rPr>
          <w:rFonts w:ascii="Arial" w:cs="Arial" w:eastAsia="Arial" w:hAnsi="Arial"/>
          <w:sz w:val="16"/>
          <w:szCs w:val="16"/>
          <w:color w:val="auto"/>
        </w:rPr>
      </w:pPr>
    </w:p>
    <w:p>
      <w:pPr>
        <w:ind w:right="100" w:firstLine="656"/>
        <w:spacing w:after="0" w:line="270" w:lineRule="auto"/>
        <w:tabs>
          <w:tab w:leader="none" w:pos="130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81" w:lineRule="exact"/>
        <w:rPr>
          <w:rFonts w:ascii="Arial" w:cs="Arial" w:eastAsia="Arial" w:hAnsi="Arial"/>
          <w:sz w:val="17"/>
          <w:szCs w:val="17"/>
          <w:color w:val="auto"/>
        </w:rPr>
      </w:pPr>
    </w:p>
    <w:p>
      <w:pPr>
        <w:ind w:left="1320" w:hanging="664"/>
        <w:spacing w:after="0"/>
        <w:tabs>
          <w:tab w:leader="none" w:pos="1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obligations of the Company and the Guarantors under this Section 7.07 will survive the satisfaction and discharge of this Indenture.</w:t>
      </w:r>
    </w:p>
    <w:p>
      <w:pPr>
        <w:spacing w:after="0" w:line="248" w:lineRule="exact"/>
        <w:rPr>
          <w:rFonts w:ascii="Arial" w:cs="Arial" w:eastAsia="Arial" w:hAnsi="Arial"/>
          <w:sz w:val="16"/>
          <w:szCs w:val="16"/>
          <w:color w:val="auto"/>
        </w:rPr>
      </w:pPr>
    </w:p>
    <w:p>
      <w:pPr>
        <w:ind w:right="160" w:firstLine="656"/>
        <w:spacing w:after="0" w:line="264" w:lineRule="auto"/>
        <w:tabs>
          <w:tab w:leader="none" w:pos="130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spacing w:after="0" w:line="181" w:lineRule="exact"/>
        <w:rPr>
          <w:rFonts w:ascii="Arial" w:cs="Arial" w:eastAsia="Arial" w:hAnsi="Arial"/>
          <w:sz w:val="18"/>
          <w:szCs w:val="18"/>
          <w:color w:val="auto"/>
        </w:rPr>
      </w:pPr>
    </w:p>
    <w:p>
      <w:pPr>
        <w:ind w:right="140" w:firstLine="656"/>
        <w:spacing w:after="0" w:line="264" w:lineRule="auto"/>
        <w:tabs>
          <w:tab w:leader="none" w:pos="13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clause (7) or (8) of Section 6.01 hereof occurs, the expenses and the compensation for the services (including the fees and expenses of its agents and counsel) are intended to constitute expenses of administration under any Bankruptcy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will comply with the provisions of TIA §313(b)(2) to the extent applicable.</w:t>
      </w:r>
    </w:p>
    <w:p>
      <w:pPr>
        <w:spacing w:after="0" w:line="225" w:lineRule="exact"/>
        <w:rPr>
          <w:rFonts w:ascii="Arial" w:cs="Arial" w:eastAsia="Arial" w:hAnsi="Arial"/>
          <w:sz w:val="18"/>
          <w:szCs w:val="18"/>
          <w:color w:val="auto"/>
        </w:rPr>
      </w:pPr>
    </w:p>
    <w:p>
      <w:pPr>
        <w:ind w:right="20" w:firstLine="656"/>
        <w:spacing w:after="0" w:line="342" w:lineRule="auto"/>
        <w:tabs>
          <w:tab w:leader="none" w:pos="13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Replacement of Trustee.</w:t>
      </w:r>
    </w:p>
    <w:p>
      <w:pPr>
        <w:spacing w:after="0" w:line="225" w:lineRule="exact"/>
        <w:rPr>
          <w:sz w:val="20"/>
          <w:szCs w:val="20"/>
          <w:color w:val="auto"/>
        </w:rPr>
      </w:pPr>
    </w:p>
    <w:p>
      <w:pPr>
        <w:ind w:right="320" w:firstLine="656"/>
        <w:spacing w:after="0" w:line="277" w:lineRule="auto"/>
        <w:tabs>
          <w:tab w:leader="none" w:pos="129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ind w:firstLine="656"/>
        <w:spacing w:after="0" w:line="264" w:lineRule="auto"/>
        <w:tabs>
          <w:tab w:leader="none" w:pos="1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at least 30 days prior to the effectiveness of such removal. The Company may remove the Trustee if:</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220" w:firstLine="656"/>
        <w:spacing w:after="0" w:line="264" w:lineRule="auto"/>
        <w:tabs>
          <w:tab w:leader="none" w:pos="13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81" w:lineRule="exact"/>
        <w:rPr>
          <w:rFonts w:ascii="Arial" w:cs="Arial" w:eastAsia="Arial" w:hAnsi="Arial"/>
          <w:sz w:val="18"/>
          <w:szCs w:val="18"/>
          <w:color w:val="auto"/>
        </w:rPr>
      </w:pPr>
    </w:p>
    <w:p>
      <w:pPr>
        <w:ind w:right="60" w:firstLine="656"/>
        <w:spacing w:after="0" w:line="264" w:lineRule="auto"/>
        <w:tabs>
          <w:tab w:leader="none" w:pos="1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spacing w:after="0" w:line="181" w:lineRule="exact"/>
        <w:rPr>
          <w:rFonts w:ascii="Arial" w:cs="Arial" w:eastAsia="Arial" w:hAnsi="Arial"/>
          <w:sz w:val="18"/>
          <w:szCs w:val="18"/>
          <w:color w:val="auto"/>
        </w:rPr>
      </w:pPr>
    </w:p>
    <w:p>
      <w:pPr>
        <w:ind w:right="100" w:firstLine="656"/>
        <w:spacing w:after="0" w:line="255" w:lineRule="auto"/>
        <w:tabs>
          <w:tab w:leader="none" w:pos="13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ectPr>
          <w:pgSz w:w="11900" w:h="16838" w:orient="portrait"/>
          <w:cols w:equalWidth="0" w:num="1">
            <w:col w:w="11420"/>
          </w:cols>
          <w:pgMar w:left="240" w:top="341" w:right="239" w:bottom="0" w:gutter="0" w:footer="0" w:header="0"/>
        </w:sectPr>
      </w:pPr>
    </w:p>
    <w:bookmarkStart w:id="38" w:name="page39"/>
    <w:bookmarkEnd w:id="38"/>
    <w:p>
      <w:pPr>
        <w:ind w:right="400"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Indenture will always have a Trustee who satisfies the requirements of TIA §310(a)(1), (2) and (5). The Trustee is subject to TIA §310(b).</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i w:val="1"/>
          <w:iCs w:val="1"/>
          <w:color w:val="auto"/>
        </w:rPr>
        <w:t>Preferential Collection of Claims Against Company.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Trustee is subject to TIA §311(a), excluding any creditor relationship listed in TIA §311(b). A Trustee who has resigned or been removed shall be subject to TIA §311(a) to the extent indicated therein.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79" w:lineRule="exact"/>
        <w:rPr>
          <w:sz w:val="20"/>
          <w:szCs w:val="20"/>
          <w:color w:val="auto"/>
        </w:rPr>
      </w:pPr>
    </w:p>
    <w:p>
      <w:pPr>
        <w:ind w:left="660" w:right="200" w:firstLine="645"/>
        <w:spacing w:after="0" w:line="277" w:lineRule="auto"/>
        <w:tabs>
          <w:tab w:leader="none" w:pos="1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or interest on such Notes when such payments are due from the trust referred to in Section 8.04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2 and Section 4.02 hereof;</w:t>
      </w:r>
    </w:p>
    <w:p>
      <w:pPr>
        <w:spacing w:after="0" w:line="225" w:lineRule="exact"/>
        <w:rPr>
          <w:rFonts w:ascii="Arial" w:cs="Arial" w:eastAsia="Arial" w:hAnsi="Arial"/>
          <w:sz w:val="18"/>
          <w:szCs w:val="18"/>
          <w:color w:val="auto"/>
        </w:rPr>
      </w:pPr>
    </w:p>
    <w:p>
      <w:pPr>
        <w:ind w:left="660" w:right="360" w:firstLine="645"/>
        <w:spacing w:after="0" w:line="277" w:lineRule="auto"/>
        <w:tabs>
          <w:tab w:leader="none" w:pos="1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hereunder and the Company’s and the Guarantors’ obligations in connection therewith;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Upon the Company’s exercise under Section 8.01 hereof of the option applicable to this Section 8.03, the Company and the Guarantors shall, subject to the satisfaction of the conditions set forth in Section 8.04 hereof, be released from each of their obligations under Sections 4.07, 4.09 and 4.10 hereof with respect to the outstanding Notes on and after the date the conditions set forth in Section 8.04 hereof are satisfied (hereinafter,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(4), (5) and (8) hereof shall not constitute Events of Default.</w:t>
      </w:r>
    </w:p>
    <w:p>
      <w:pPr>
        <w:sectPr>
          <w:pgSz w:w="11900" w:h="16838" w:orient="portrait"/>
          <w:cols w:equalWidth="0" w:num="1">
            <w:col w:w="11400"/>
          </w:cols>
          <w:pgMar w:left="240" w:top="125" w:right="259" w:bottom="0" w:gutter="0" w:footer="0" w:header="0"/>
        </w:sectPr>
      </w:pPr>
    </w:p>
    <w:bookmarkStart w:id="39" w:name="page40"/>
    <w:bookmarkEnd w:id="39"/>
    <w:p>
      <w:pPr>
        <w:spacing w:after="0" w:line="1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225" w:lineRule="exact"/>
        <w:rPr>
          <w:sz w:val="20"/>
          <w:szCs w:val="20"/>
          <w:color w:val="auto"/>
        </w:rPr>
      </w:pPr>
    </w:p>
    <w:p>
      <w:pPr>
        <w:ind w:left="660" w:right="40" w:firstLine="645"/>
        <w:spacing w:after="0" w:line="276" w:lineRule="auto"/>
        <w:tabs>
          <w:tab w:leader="none" w:pos="196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72" w:lineRule="exact"/>
        <w:rPr>
          <w:rFonts w:ascii="Arial" w:cs="Arial" w:eastAsia="Arial" w:hAnsi="Arial"/>
          <w:sz w:val="17"/>
          <w:szCs w:val="17"/>
          <w:color w:val="auto"/>
        </w:rPr>
      </w:pPr>
    </w:p>
    <w:p>
      <w:pPr>
        <w:ind w:left="660" w:right="240" w:firstLine="645"/>
        <w:spacing w:after="0" w:line="277" w:lineRule="auto"/>
        <w:tabs>
          <w:tab w:leader="none" w:pos="1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170" w:lineRule="exact"/>
        <w:rPr>
          <w:sz w:val="20"/>
          <w:szCs w:val="20"/>
          <w:color w:val="auto"/>
        </w:rPr>
      </w:pPr>
    </w:p>
    <w:p>
      <w:pPr>
        <w:ind w:left="5620" w:right="1200" w:hanging="3667"/>
        <w:spacing w:after="0" w:line="528" w:lineRule="auto"/>
        <w:tabs>
          <w:tab w:leader="none" w:pos="26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 58</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620" w:hanging="667"/>
        <w:spacing w:after="0"/>
        <w:tabs>
          <w:tab w:leader="none" w:pos="2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1300"/>
        <w:spacing w:after="0" w:line="312" w:lineRule="auto"/>
        <w:rPr>
          <w:sz w:val="20"/>
          <w:szCs w:val="20"/>
          <w:color w:val="auto"/>
        </w:rPr>
      </w:pPr>
      <w:r>
        <w:rPr>
          <w:rFonts w:ascii="Arial" w:cs="Arial" w:eastAsia="Arial" w:hAnsi="Arial"/>
          <w:sz w:val="16"/>
          <w:szCs w:val="16"/>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47" w:lineRule="exact"/>
        <w:rPr>
          <w:sz w:val="20"/>
          <w:szCs w:val="20"/>
          <w:color w:val="auto"/>
        </w:rPr>
      </w:pPr>
    </w:p>
    <w:p>
      <w:pPr>
        <w:ind w:left="660" w:right="240" w:firstLine="645"/>
        <w:spacing w:after="0" w:line="279" w:lineRule="auto"/>
        <w:tabs>
          <w:tab w:leader="none" w:pos="196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1" w:lineRule="exact"/>
        <w:rPr>
          <w:rFonts w:ascii="Arial" w:cs="Arial" w:eastAsia="Arial" w:hAnsi="Arial"/>
          <w:sz w:val="17"/>
          <w:szCs w:val="17"/>
          <w:color w:val="auto"/>
        </w:rPr>
      </w:pPr>
    </w:p>
    <w:p>
      <w:pPr>
        <w:jc w:val="both"/>
        <w:ind w:left="660" w:right="160" w:firstLine="645"/>
        <w:spacing w:after="0" w:line="264" w:lineRule="auto"/>
        <w:tabs>
          <w:tab w:leader="none" w:pos="1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81" w:lineRule="exact"/>
        <w:rPr>
          <w:rFonts w:ascii="Arial" w:cs="Arial" w:eastAsia="Arial" w:hAnsi="Arial"/>
          <w:sz w:val="18"/>
          <w:szCs w:val="18"/>
          <w:color w:val="auto"/>
        </w:rPr>
      </w:pPr>
    </w:p>
    <w:p>
      <w:pPr>
        <w:ind w:left="660" w:right="200" w:firstLine="645"/>
        <w:spacing w:after="0" w:line="259" w:lineRule="auto"/>
        <w:tabs>
          <w:tab w:leader="none" w:pos="1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spacing w:after="0" w:line="186" w:lineRule="exact"/>
        <w:rPr>
          <w:rFonts w:ascii="Arial" w:cs="Arial" w:eastAsia="Arial" w:hAnsi="Arial"/>
          <w:sz w:val="18"/>
          <w:szCs w:val="18"/>
          <w:color w:val="auto"/>
        </w:rPr>
      </w:pPr>
    </w:p>
    <w:p>
      <w:pPr>
        <w:ind w:left="660" w:right="120" w:firstLine="645"/>
        <w:spacing w:after="0" w:line="264" w:lineRule="auto"/>
        <w:tabs>
          <w:tab w:leader="none" w:pos="1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1" w:lineRule="exact"/>
        <w:rPr>
          <w:rFonts w:ascii="Arial" w:cs="Arial" w:eastAsia="Arial" w:hAnsi="Arial"/>
          <w:sz w:val="18"/>
          <w:szCs w:val="18"/>
          <w:color w:val="auto"/>
        </w:rPr>
      </w:pPr>
    </w:p>
    <w:p>
      <w:pPr>
        <w:ind w:left="660" w:right="560" w:firstLine="645"/>
        <w:spacing w:after="0" w:line="277" w:lineRule="auto"/>
        <w:tabs>
          <w:tab w:leader="none" w:pos="1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6"/>
          <w:szCs w:val="16"/>
          <w:i w:val="1"/>
          <w:iCs w:val="1"/>
          <w:color w:val="auto"/>
        </w:rPr>
        <w:t>“Trustee”</w:t>
      </w:r>
      <w:r>
        <w:rPr>
          <w:rFonts w:ascii="Arial" w:cs="Arial" w:eastAsia="Arial" w:hAnsi="Arial"/>
          <w:sz w:val="16"/>
          <w:szCs w:val="16"/>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5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cash or non-callable Government Securities deposited pursuant to Section 8.04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hereof or the principal and interest received in respect thereof other than any such tax, fee or other charge which by law is for the account of the Holders of the outstanding Notes.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w:t>
      </w:r>
      <w:r>
        <w:rPr>
          <w:rFonts w:ascii="Arial" w:cs="Arial" w:eastAsia="Arial" w:hAnsi="Arial"/>
          <w:sz w:val="18"/>
          <w:szCs w:val="18"/>
          <w:i w:val="1"/>
          <w:iCs w:val="1"/>
          <w:color w:val="auto"/>
        </w:rPr>
        <w:t>delivered</w:t>
      </w:r>
      <w:r>
        <w:rPr>
          <w:rFonts w:ascii="Arial" w:cs="Arial" w:eastAsia="Arial" w:hAnsi="Arial"/>
          <w:sz w:val="18"/>
          <w:szCs w:val="18"/>
          <w:color w:val="auto"/>
        </w:rPr>
        <w:t xml:space="preserve"> under Section 8.04(1) hereof),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w:t>
      </w:r>
    </w:p>
    <w:p>
      <w:pPr>
        <w:sectPr>
          <w:pgSz w:w="11900" w:h="16945" w:orient="portrait"/>
          <w:cols w:equalWidth="0" w:num="1">
            <w:col w:w="11420"/>
          </w:cols>
          <w:pgMar w:left="240" w:top="125" w:right="239" w:bottom="0" w:gutter="0" w:footer="0" w:header="0"/>
        </w:sectPr>
      </w:pPr>
    </w:p>
    <w:bookmarkStart w:id="40" w:name="page41"/>
    <w:bookmarkEnd w:id="40"/>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liability of the Company as trustee thereof, will thereupon cease;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Notwithstanding Section 9.02 of this Indenture, without the consent of any Holder of Securities, the Company, the Guarantors and the Trustee may amend or supplement this Indenture, the Securities or the Subsidiary Guarantees:</w:t>
      </w:r>
    </w:p>
    <w:p>
      <w:pPr>
        <w:spacing w:after="0" w:line="170" w:lineRule="exact"/>
        <w:rPr>
          <w:sz w:val="20"/>
          <w:szCs w:val="20"/>
          <w:color w:val="auto"/>
        </w:rPr>
      </w:pPr>
    </w:p>
    <w:p>
      <w:pPr>
        <w:ind w:left="5620" w:right="5440" w:hanging="4315"/>
        <w:spacing w:after="0" w:line="624" w:lineRule="auto"/>
        <w:tabs>
          <w:tab w:leader="none" w:pos="195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cure any ambiguity, mistake, defect or inconsistency; 60</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660" w:right="68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that the uncertificated Securities are issued in registered form for purposes of Section 163(f) of the Code);</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Securities in the case of a merger or consolidation or sale of all or substantially all of the Company’s assets;</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Securities or that does not adversely affect the legal rights under this Indenture of any such Holder;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rFonts w:ascii="Arial" w:cs="Arial" w:eastAsia="Arial" w:hAnsi="Arial"/>
          <w:sz w:val="18"/>
          <w:szCs w:val="18"/>
          <w:color w:val="auto"/>
        </w:rPr>
      </w:pPr>
    </w:p>
    <w:p>
      <w:pPr>
        <w:ind w:left="660" w:right="60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conform the text of this Indenture or the Notes to any provision of the “Description of the Notes” section of the Offering Memorandum, relating to the initial offering of the Notes;</w:t>
      </w:r>
    </w:p>
    <w:p>
      <w:pPr>
        <w:spacing w:after="0" w:line="170" w:lineRule="exact"/>
        <w:rPr>
          <w:rFonts w:ascii="Arial" w:cs="Arial" w:eastAsia="Arial" w:hAnsi="Arial"/>
          <w:sz w:val="18"/>
          <w:szCs w:val="18"/>
          <w:color w:val="auto"/>
        </w:rPr>
      </w:pPr>
    </w:p>
    <w:p>
      <w:pPr>
        <w:ind w:left="660" w:right="94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hereof;</w:t>
      </w:r>
    </w:p>
    <w:p>
      <w:pPr>
        <w:spacing w:after="0" w:line="170" w:lineRule="exact"/>
        <w:rPr>
          <w:rFonts w:ascii="Arial" w:cs="Arial" w:eastAsia="Arial" w:hAnsi="Arial"/>
          <w:sz w:val="18"/>
          <w:szCs w:val="18"/>
          <w:color w:val="auto"/>
        </w:rPr>
      </w:pPr>
    </w:p>
    <w:p>
      <w:pPr>
        <w:ind w:left="660" w:right="58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provide for the issuance of Additional Notes and Additional Securities in accordance with the limitations set forth in this Indenture as of the date hereof;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to allow any Guarantor to execute a supplemental indenture and/or a Subsidiary Guarantee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-3246755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w:t>
      </w:r>
    </w:p>
    <w:p>
      <w:pPr>
        <w:sectPr>
          <w:pgSz w:w="11900" w:h="16952" w:orient="portrait"/>
          <w:cols w:equalWidth="0" w:num="1">
            <w:col w:w="11420"/>
          </w:cols>
          <w:pgMar w:left="240" w:top="125" w:right="239" w:bottom="0" w:gutter="0" w:footer="0" w:header="0"/>
        </w:sectPr>
      </w:pPr>
    </w:p>
    <w:bookmarkStart w:id="41" w:name="page42"/>
    <w:bookmarkEnd w:id="41"/>
    <w:p>
      <w:pPr>
        <w:ind w:right="520"/>
        <w:spacing w:after="0" w:line="277" w:lineRule="auto"/>
        <w:rPr>
          <w:sz w:val="20"/>
          <w:szCs w:val="20"/>
          <w:color w:val="auto"/>
        </w:rPr>
      </w:pPr>
      <w:r>
        <w:rPr>
          <w:rFonts w:ascii="Arial" w:cs="Arial" w:eastAsia="Arial" w:hAnsi="Arial"/>
          <w:sz w:val="18"/>
          <w:szCs w:val="18"/>
          <w:color w:val="auto"/>
        </w:rPr>
        <w:t>affects the Trustee’s own rights, duties or immunities under this Indenture or otherwise, in which case the Trustee may in its discretion, but will not be obligated to, enter into such amended or supplemental Indenture.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It is not necessary for the consent of the Holders of Securities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mail to the Holders of Securities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spacing w:after="0" w:line="189" w:lineRule="exact"/>
        <w:rPr>
          <w:sz w:val="20"/>
          <w:szCs w:val="20"/>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1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Security;</w:t>
      </w:r>
    </w:p>
    <w:p>
      <w:pPr>
        <w:spacing w:after="0" w:line="225" w:lineRule="exact"/>
        <w:rPr>
          <w:rFonts w:ascii="Arial" w:cs="Arial" w:eastAsia="Arial" w:hAnsi="Arial"/>
          <w:sz w:val="18"/>
          <w:szCs w:val="18"/>
          <w:color w:val="auto"/>
        </w:rPr>
      </w:pPr>
    </w:p>
    <w:p>
      <w:pPr>
        <w:ind w:left="660" w:right="400" w:firstLine="645"/>
        <w:spacing w:after="0" w:line="264" w:lineRule="auto"/>
        <w:tabs>
          <w:tab w:leader="none" w:pos="1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any Security payable in currency other than that stated in the Securities;</w:t>
      </w:r>
    </w:p>
    <w:p>
      <w:pPr>
        <w:spacing w:after="0" w:line="225" w:lineRule="exact"/>
        <w:rPr>
          <w:rFonts w:ascii="Arial" w:cs="Arial" w:eastAsia="Arial" w:hAnsi="Arial"/>
          <w:sz w:val="18"/>
          <w:szCs w:val="18"/>
          <w:color w:val="auto"/>
        </w:rPr>
      </w:pPr>
    </w:p>
    <w:p>
      <w:pPr>
        <w:ind w:left="660" w:right="220" w:firstLine="645"/>
        <w:spacing w:after="0" w:line="277" w:lineRule="auto"/>
        <w:tabs>
          <w:tab w:leader="none" w:pos="1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Securities to receive payments of principal of, premium, if any, or, interest on, the Securities;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(other than a payment required by Sections 4.09 hereof);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Compliance with Trust Indenture Act.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Every amendment or supplement to this Indenture or the Securities will be set forth in an amended or supplemental indenture that complies with the TIA as then in effect.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Securities.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make the appropriate notation or issue a new Security will not affect the validity and effect of such amendment, supplement or waiver.</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GUARANTEES</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sectPr>
          <w:pgSz w:w="11900" w:h="16838" w:orient="portrait"/>
          <w:cols w:equalWidth="0" w:num="1">
            <w:col w:w="11340"/>
          </w:cols>
          <w:pgMar w:left="240" w:top="125" w:right="319" w:bottom="0" w:gutter="0" w:footer="0" w:header="0"/>
        </w:sectPr>
      </w:pPr>
    </w:p>
    <w:p>
      <w:pPr>
        <w:spacing w:after="0" w:line="18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10.01.</w:t>
      </w:r>
      <w:r>
        <w:rPr>
          <w:sz w:val="20"/>
          <w:szCs w:val="20"/>
          <w:color w:val="auto"/>
        </w:rPr>
        <w:tab/>
      </w:r>
      <w:r>
        <w:rPr>
          <w:rFonts w:ascii="Arial" w:cs="Arial" w:eastAsia="Arial" w:hAnsi="Arial"/>
          <w:sz w:val="16"/>
          <w:szCs w:val="16"/>
          <w:i w:val="1"/>
          <w:iCs w:val="1"/>
          <w:color w:val="auto"/>
        </w:rPr>
        <w:t>Guarantee.</w:t>
      </w:r>
    </w:p>
    <w:p>
      <w:pPr>
        <w:sectPr>
          <w:pgSz w:w="11900" w:h="16838" w:orient="portrait"/>
          <w:cols w:equalWidth="0" w:num="1">
            <w:col w:w="11340"/>
          </w:cols>
          <w:pgMar w:left="240" w:top="125" w:right="319" w:bottom="0" w:gutter="0" w:footer="0" w:header="0"/>
          <w:type w:val="continuous"/>
        </w:sectPr>
      </w:pPr>
    </w:p>
    <w:bookmarkStart w:id="42" w:name="page43"/>
    <w:bookmarkEnd w:id="42"/>
    <w:p>
      <w:pPr>
        <w:ind w:right="380" w:firstLine="656"/>
        <w:spacing w:after="0" w:line="264" w:lineRule="auto"/>
        <w:tabs>
          <w:tab w:leader="none" w:pos="129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59" w:lineRule="auto"/>
        <w:tabs>
          <w:tab w:leader="none" w:pos="19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spacing w:after="0" w:line="186" w:lineRule="exact"/>
        <w:rPr>
          <w:rFonts w:ascii="Arial" w:cs="Arial" w:eastAsia="Arial" w:hAnsi="Arial"/>
          <w:sz w:val="18"/>
          <w:szCs w:val="18"/>
          <w:color w:val="auto"/>
        </w:rPr>
      </w:pPr>
    </w:p>
    <w:p>
      <w:pPr>
        <w:ind w:left="660" w:firstLine="645"/>
        <w:spacing w:after="0" w:line="342" w:lineRule="auto"/>
        <w:tabs>
          <w:tab w:leader="none" w:pos="196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2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ind w:right="120" w:firstLine="656"/>
        <w:spacing w:after="0" w:line="255"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spacing w:after="0" w:line="189" w:lineRule="exact"/>
        <w:rPr>
          <w:rFonts w:ascii="Arial" w:cs="Arial" w:eastAsia="Arial" w:hAnsi="Arial"/>
          <w:sz w:val="18"/>
          <w:szCs w:val="18"/>
          <w:color w:val="auto"/>
        </w:rPr>
      </w:pPr>
    </w:p>
    <w:p>
      <w:pPr>
        <w:ind w:right="320" w:firstLine="656"/>
        <w:spacing w:after="0" w:line="264" w:lineRule="auto"/>
        <w:tabs>
          <w:tab w:leader="none" w:pos="13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81" w:lineRule="exact"/>
        <w:rPr>
          <w:rFonts w:ascii="Arial" w:cs="Arial" w:eastAsia="Arial" w:hAnsi="Arial"/>
          <w:sz w:val="18"/>
          <w:szCs w:val="18"/>
          <w:color w:val="auto"/>
        </w:rPr>
      </w:pPr>
    </w:p>
    <w:p>
      <w:pPr>
        <w:ind w:right="40" w:firstLine="656"/>
        <w:spacing w:after="0" w:line="291" w:lineRule="auto"/>
        <w:tabs>
          <w:tab w:leader="none" w:pos="130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10.02.</w:t>
      </w:r>
      <w:r>
        <w:rPr>
          <w:sz w:val="20"/>
          <w:szCs w:val="20"/>
          <w:color w:val="auto"/>
        </w:rPr>
        <w:tab/>
      </w:r>
      <w:r>
        <w:rPr>
          <w:rFonts w:ascii="Arial" w:cs="Arial" w:eastAsia="Arial" w:hAnsi="Arial"/>
          <w:sz w:val="17"/>
          <w:szCs w:val="17"/>
          <w:i w:val="1"/>
          <w:iCs w:val="1"/>
          <w:color w:val="auto"/>
        </w:rPr>
        <w:t>Limitation on Guarantor Liability.</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spacing w:after="0" w:line="14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10.03.</w:t>
      </w:r>
      <w:r>
        <w:rPr>
          <w:sz w:val="20"/>
          <w:szCs w:val="20"/>
          <w:color w:val="auto"/>
        </w:rPr>
        <w:tab/>
      </w:r>
      <w:r>
        <w:rPr>
          <w:rFonts w:ascii="Arial" w:cs="Arial" w:eastAsia="Arial" w:hAnsi="Arial"/>
          <w:sz w:val="16"/>
          <w:szCs w:val="16"/>
          <w:i w:val="1"/>
          <w:iCs w:val="1"/>
          <w:color w:val="auto"/>
        </w:rPr>
        <w:t>Execution and Delivery of Guarantee.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hereof will remain in full force and effect notwithstanding any failure to endorse on each Note a notation of such Guarantee.</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an Officer whose signature is on this Indenture or on the Guarantee no longer holds that office at the time the Trustee authenticates the Note on which a Guarantee is endorsed, the Guarantee will be valid nevertheless.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Guarantee set forth in this Indenture on behalf of the Guarantors.</w:t>
      </w:r>
    </w:p>
    <w:p>
      <w:pPr>
        <w:spacing w:after="0" w:line="1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10.04.</w:t>
      </w:r>
      <w:r>
        <w:rPr>
          <w:sz w:val="20"/>
          <w:szCs w:val="20"/>
          <w:color w:val="auto"/>
        </w:rPr>
        <w:tab/>
      </w:r>
      <w:r>
        <w:rPr>
          <w:rFonts w:ascii="Arial" w:cs="Arial" w:eastAsia="Arial" w:hAnsi="Arial"/>
          <w:sz w:val="16"/>
          <w:szCs w:val="16"/>
          <w:i w:val="1"/>
          <w:iCs w:val="1"/>
          <w:color w:val="auto"/>
        </w:rPr>
        <w:t>Guarantors May Consolidate, etc., on Certain Terms.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Except as otherwise provided in Section 10.05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181" w:lineRule="exact"/>
        <w:rPr>
          <w:sz w:val="20"/>
          <w:szCs w:val="20"/>
          <w:color w:val="auto"/>
        </w:rPr>
      </w:pPr>
    </w:p>
    <w:p>
      <w:pPr>
        <w:ind w:left="1960" w:hanging="655"/>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ectPr>
          <w:pgSz w:w="11900" w:h="16838" w:orient="portrait"/>
          <w:cols w:equalWidth="0" w:num="1">
            <w:col w:w="11420"/>
          </w:cols>
          <w:pgMar w:left="240" w:top="341" w:right="239" w:bottom="32" w:gutter="0" w:footer="0" w:header="0"/>
        </w:sectPr>
      </w:pPr>
    </w:p>
    <w:bookmarkStart w:id="43" w:name="page44"/>
    <w:bookmarkEnd w:id="43"/>
    <w:p>
      <w:pPr>
        <w:ind w:left="660" w:right="280" w:firstLine="645"/>
        <w:spacing w:after="0" w:line="259" w:lineRule="auto"/>
        <w:tabs>
          <w:tab w:leader="none" w:pos="19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Section 10.05 hereof, the Person acquiring the property in any such sale or disposition or the Person formed by or surviving any such consolidation or merger fully and unconditionally assumes all the obligations of that Guarantor under its Guarantee, this Indenture, the Registration Rights Agreement on the terms set forth herein or therein, pursuant to a supplemental indenture in form and substance reasonably satisfactory to the Trustee;</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case of any such consolidation, merger, sale or conveyance and upon the assumption by the successor Person, by supplemental indenture, executed and delivered to the Trustee and satisfactory in form to the Trustee, of the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at the date of the execution hereof.</w:t>
      </w:r>
    </w:p>
    <w:p>
      <w:pPr>
        <w:spacing w:after="0" w:line="16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Except as set forth in Articles 4 and 5 hereof, and notwithstanding clause (2)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10.05.</w:t>
      </w:r>
      <w:r>
        <w:rPr>
          <w:sz w:val="20"/>
          <w:szCs w:val="20"/>
          <w:color w:val="auto"/>
        </w:rPr>
        <w:tab/>
      </w:r>
      <w:r>
        <w:rPr>
          <w:rFonts w:ascii="Arial" w:cs="Arial" w:eastAsia="Arial" w:hAnsi="Arial"/>
          <w:sz w:val="15"/>
          <w:szCs w:val="15"/>
          <w:i w:val="1"/>
          <w:iCs w:val="1"/>
          <w:color w:val="auto"/>
        </w:rPr>
        <w:t>Releases.</w:t>
      </w:r>
    </w:p>
    <w:p>
      <w:pPr>
        <w:spacing w:after="0" w:line="225" w:lineRule="exact"/>
        <w:rPr>
          <w:sz w:val="20"/>
          <w:szCs w:val="20"/>
          <w:color w:val="auto"/>
        </w:rPr>
      </w:pPr>
    </w:p>
    <w:p>
      <w:pPr>
        <w:ind w:left="1300" w:hanging="603"/>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20" w:hanging="623"/>
        <w:spacing w:after="0"/>
        <w:tabs>
          <w:tab w:leader="none" w:pos="13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Subsidiary Guarantee of a Subsidiary Guarantor shall be released automatically:</w:t>
      </w:r>
    </w:p>
    <w:p>
      <w:pPr>
        <w:spacing w:after="0" w:line="225" w:lineRule="exact"/>
        <w:rPr>
          <w:rFonts w:ascii="Arial" w:cs="Arial" w:eastAsia="Arial" w:hAnsi="Arial"/>
          <w:sz w:val="18"/>
          <w:szCs w:val="18"/>
          <w:color w:val="auto"/>
        </w:rPr>
      </w:pPr>
    </w:p>
    <w:p>
      <w:pPr>
        <w:jc w:val="both"/>
        <w:ind w:left="660" w:right="200" w:firstLine="645"/>
        <w:spacing w:after="0" w:line="264" w:lineRule="auto"/>
        <w:tabs>
          <w:tab w:leader="none" w:pos="1964"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spacing w:after="0" w:line="181" w:lineRule="exact"/>
        <w:rPr>
          <w:rFonts w:ascii="Arial" w:cs="Arial" w:eastAsia="Arial" w:hAnsi="Arial"/>
          <w:sz w:val="18"/>
          <w:szCs w:val="18"/>
          <w:color w:val="auto"/>
        </w:rPr>
      </w:pPr>
    </w:p>
    <w:p>
      <w:pPr>
        <w:ind w:left="660" w:right="100" w:firstLine="645"/>
        <w:spacing w:after="0" w:line="264" w:lineRule="auto"/>
        <w:tabs>
          <w:tab w:leader="none" w:pos="1964"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upon defeasance or satisfaction and discharge of the Notes as provided in Sections 8.01, 8.02, 8.03, 8.04 and 11.01 hereof;</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this Indenture;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3"/>
          <w:numId w:val="126"/>
        </w:numPr>
        <w:rPr>
          <w:rFonts w:ascii="Arial" w:cs="Arial" w:eastAsia="Arial" w:hAnsi="Arial"/>
          <w:sz w:val="17"/>
          <w:szCs w:val="17"/>
          <w:color w:val="auto"/>
        </w:rPr>
      </w:pPr>
      <w:r>
        <w:rPr>
          <w:rFonts w:ascii="Arial" w:cs="Arial" w:eastAsia="Arial" w:hAnsi="Arial"/>
          <w:sz w:val="17"/>
          <w:szCs w:val="17"/>
          <w:color w:val="auto"/>
        </w:rPr>
        <w:t>upon the prior consent of Holders of at least a majority in aggregate principal amount of the Notes then outstanding;</w:t>
      </w:r>
    </w:p>
    <w:p>
      <w:pPr>
        <w:spacing w:after="0" w:line="236" w:lineRule="exact"/>
        <w:rPr>
          <w:rFonts w:ascii="Arial" w:cs="Arial" w:eastAsia="Arial" w:hAnsi="Arial"/>
          <w:sz w:val="17"/>
          <w:szCs w:val="17"/>
          <w:color w:val="auto"/>
        </w:rPr>
      </w:pPr>
    </w:p>
    <w:p>
      <w:pPr>
        <w:ind w:left="1300" w:right="40" w:firstLine="653"/>
        <w:spacing w:after="0" w:line="255" w:lineRule="auto"/>
        <w:tabs>
          <w:tab w:leader="none" w:pos="2607" w:val="left"/>
        </w:tabs>
        <w:numPr>
          <w:ilvl w:val="3"/>
          <w:numId w:val="126"/>
        </w:numPr>
        <w:rPr>
          <w:rFonts w:ascii="Arial" w:cs="Arial" w:eastAsia="Arial" w:hAnsi="Arial"/>
          <w:sz w:val="18"/>
          <w:szCs w:val="18"/>
          <w:color w:val="auto"/>
        </w:rPr>
      </w:pPr>
      <w:r>
        <w:rPr>
          <w:rFonts w:ascii="Arial" w:cs="Arial" w:eastAsia="Arial" w:hAnsi="Arial"/>
          <w:sz w:val="18"/>
          <w:szCs w:val="18"/>
          <w:color w:val="auto"/>
        </w:rPr>
        <w:t>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spacing w:after="0" w:line="193" w:lineRule="exact"/>
        <w:rPr>
          <w:rFonts w:ascii="Arial" w:cs="Arial" w:eastAsia="Arial" w:hAnsi="Arial"/>
          <w:sz w:val="18"/>
          <w:szCs w:val="18"/>
          <w:color w:val="auto"/>
        </w:rPr>
      </w:pPr>
    </w:p>
    <w:p>
      <w:pPr>
        <w:ind w:left="1300" w:right="400" w:firstLine="653"/>
        <w:spacing w:after="0" w:line="279" w:lineRule="auto"/>
        <w:tabs>
          <w:tab w:leader="none" w:pos="2607" w:val="left"/>
        </w:tabs>
        <w:numPr>
          <w:ilvl w:val="3"/>
          <w:numId w:val="126"/>
        </w:numPr>
        <w:rPr>
          <w:rFonts w:ascii="Arial" w:cs="Arial" w:eastAsia="Arial" w:hAnsi="Arial"/>
          <w:sz w:val="17"/>
          <w:szCs w:val="17"/>
          <w:color w:val="auto"/>
        </w:rPr>
      </w:pPr>
      <w:r>
        <w:rPr>
          <w:rFonts w:ascii="Arial" w:cs="Arial" w:eastAsia="Arial" w:hAnsi="Arial"/>
          <w:sz w:val="17"/>
          <w:szCs w:val="17"/>
          <w:color w:val="auto"/>
        </w:rPr>
        <w:t>if the Company has Indebtedness outstanding under the Credit Agreement at that time, upon the release of such Subsidiary Guarantor’s Guarantee of all Obligations of the Company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spacing w:after="0" w:line="171" w:lineRule="exact"/>
        <w:rPr>
          <w:rFonts w:ascii="Arial" w:cs="Arial" w:eastAsia="Arial" w:hAnsi="Arial"/>
          <w:sz w:val="17"/>
          <w:szCs w:val="17"/>
          <w:color w:val="auto"/>
        </w:rPr>
      </w:pPr>
    </w:p>
    <w:p>
      <w:pPr>
        <w:ind w:right="240" w:firstLine="656"/>
        <w:spacing w:after="0" w:line="277" w:lineRule="auto"/>
        <w:tabs>
          <w:tab w:leader="none" w:pos="13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Guarantee of a Guarantor shall be released with respect to the Notes automatically upon Legal Defeasance, Covenant Defeasance or satisfaction and discharge of this Indenture pursuant to Articles 8 and 11 hereof.</w:t>
      </w:r>
    </w:p>
    <w:p>
      <w:pPr>
        <w:spacing w:after="0" w:line="170" w:lineRule="exact"/>
        <w:rPr>
          <w:rFonts w:ascii="Arial" w:cs="Arial" w:eastAsia="Arial" w:hAnsi="Arial"/>
          <w:sz w:val="18"/>
          <w:szCs w:val="18"/>
          <w:color w:val="auto"/>
        </w:rPr>
      </w:pPr>
    </w:p>
    <w:p>
      <w:pPr>
        <w:ind w:right="300" w:firstLine="656"/>
        <w:spacing w:after="0" w:line="277" w:lineRule="auto"/>
        <w:tabs>
          <w:tab w:leader="none" w:pos="13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delivery by the Company to the Trustee of an Officers’ Certificate and an Opinion of Counsel to the effect that the action or event giving rise to the applicable release has occurred or was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made by the Company in accordance with the provisions of this Indenture the Trustee shall execute any documents reasonably required in order to evidence the release of any Guarantor from its obligations under its Guarantee.</w:t>
      </w:r>
    </w:p>
    <w:p>
      <w:pPr>
        <w:spacing w:after="0" w:line="170" w:lineRule="exact"/>
        <w:rPr>
          <w:sz w:val="20"/>
          <w:szCs w:val="20"/>
          <w:color w:val="auto"/>
        </w:rPr>
      </w:pPr>
    </w:p>
    <w:p>
      <w:pPr>
        <w:ind w:right="60" w:firstLine="656"/>
        <w:spacing w:after="0" w:line="342" w:lineRule="auto"/>
        <w:tabs>
          <w:tab w:leader="none" w:pos="130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ectPr>
          <w:pgSz w:w="11900" w:h="16838" w:orient="portrait"/>
          <w:cols w:equalWidth="0" w:num="1">
            <w:col w:w="11400"/>
          </w:cols>
          <w:pgMar w:left="240" w:top="125" w:right="259" w:bottom="0" w:gutter="0" w:footer="0" w:header="0"/>
        </w:sectPr>
      </w:pPr>
    </w:p>
    <w:bookmarkStart w:id="44" w:name="page45"/>
    <w:bookmarkEnd w:id="44"/>
    <w:p>
      <w:pPr>
        <w:ind w:right="100" w:firstLine="648"/>
        <w:spacing w:after="0" w:line="312" w:lineRule="auto"/>
        <w:rPr>
          <w:sz w:val="20"/>
          <w:szCs w:val="20"/>
          <w:color w:val="auto"/>
        </w:rPr>
      </w:pPr>
      <w:r>
        <w:rPr>
          <w:rFonts w:ascii="Arial" w:cs="Arial" w:eastAsia="Arial" w:hAnsi="Arial"/>
          <w:sz w:val="16"/>
          <w:szCs w:val="16"/>
          <w:color w:val="auto"/>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spacing w:after="0" w:line="14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1960" w:hanging="655"/>
        <w:spacing w:after="0"/>
        <w:tabs>
          <w:tab w:leader="none" w:pos="1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660" w:right="300" w:firstLine="1293"/>
        <w:spacing w:after="0" w:line="264" w:lineRule="auto"/>
        <w:tabs>
          <w:tab w:leader="none" w:pos="22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spacing w:after="0" w:line="181" w:lineRule="exact"/>
        <w:rPr>
          <w:rFonts w:ascii="Arial" w:cs="Arial" w:eastAsia="Arial" w:hAnsi="Arial"/>
          <w:sz w:val="18"/>
          <w:szCs w:val="18"/>
          <w:color w:val="auto"/>
        </w:rPr>
      </w:pPr>
    </w:p>
    <w:p>
      <w:pPr>
        <w:ind w:left="660" w:right="60" w:firstLine="1293"/>
        <w:spacing w:after="0" w:line="273" w:lineRule="auto"/>
        <w:tabs>
          <w:tab w:leader="none" w:pos="2288"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78" w:lineRule="exact"/>
        <w:rPr>
          <w:rFonts w:ascii="Arial" w:cs="Arial" w:eastAsia="Arial" w:hAnsi="Arial"/>
          <w:sz w:val="17"/>
          <w:szCs w:val="17"/>
          <w:color w:val="auto"/>
        </w:rPr>
      </w:pPr>
    </w:p>
    <w:p>
      <w:pPr>
        <w:jc w:val="both"/>
        <w:ind w:left="660" w:right="60" w:firstLine="645"/>
        <w:spacing w:after="0" w:line="259" w:lineRule="auto"/>
        <w:tabs>
          <w:tab w:leader="none" w:pos="19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firstLine="645"/>
        <w:spacing w:after="0" w:line="277" w:lineRule="auto"/>
        <w:tabs>
          <w:tab w:leader="none" w:pos="201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w:t>
      </w:r>
    </w:p>
    <w:p>
      <w:pPr>
        <w:spacing w:after="0" w:line="46" w:lineRule="exact"/>
        <w:rPr>
          <w:sz w:val="20"/>
          <w:szCs w:val="20"/>
          <w:color w:val="auto"/>
        </w:rPr>
      </w:pPr>
    </w:p>
    <w:p>
      <w:pPr>
        <w:ind w:right="60" w:firstLine="8"/>
        <w:spacing w:after="0" w:line="261"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Trust Indenture Act Controls.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provision of this Indenture limits, qualifies or conflicts with the duties imposed by TIA §318(c), the imposed duties will control.</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i w:val="1"/>
          <w:iCs w:val="1"/>
          <w:color w:val="auto"/>
        </w:rPr>
        <w:t>Notices.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and/or any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Clearway Energy, Inc.</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0" w:gutter="0" w:footer="0" w:header="0"/>
          <w:type w:val="continuous"/>
        </w:sectPr>
      </w:pPr>
    </w:p>
    <w:bookmarkStart w:id="45" w:name="page46"/>
    <w:bookmarkEnd w:id="45"/>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300 Carnegie Center Drive, Suite 300</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ogc@nrgyield.com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2001 Ross Ave., Suite 900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Fascimile: (214) 661-4783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Preston Bernhisel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 Trust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No.: (302) 636-8666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Any notice or communication will also be so mailed to any Person described in TIA §313(c), to the extent required by the TIA. Failure to mail a notice or communication to a Holder or any defect in it will not affect its sufficiency with respect to other Holders.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i w:val="1"/>
          <w:iCs w:val="1"/>
          <w:color w:val="auto"/>
        </w:rPr>
        <w:t>Communication by Holders of Securities with Other Holders of Securities.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Holders may communicate pursuant to TIA §312(b) with other Holders with respect to their rights under this Indenture or the Securities. The Company, the Trustee, the Registrar and anyone else shall have the protection of TIA §312(c).</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Upon any request or application by the Company to the Trustee to take any action under this Indenture, the Company shall furnish to the Trustee: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firstLine="645"/>
        <w:spacing w:after="0" w:line="264" w:lineRule="auto"/>
        <w:tabs>
          <w:tab w:leader="none" w:pos="201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spacing w:after="0" w:line="181" w:lineRule="exact"/>
        <w:rPr>
          <w:rFonts w:ascii="Arial" w:cs="Arial" w:eastAsia="Arial" w:hAnsi="Arial"/>
          <w:sz w:val="18"/>
          <w:szCs w:val="18"/>
          <w:color w:val="auto"/>
        </w:rPr>
      </w:pPr>
    </w:p>
    <w:p>
      <w:pPr>
        <w:ind w:left="660" w:firstLine="645"/>
        <w:spacing w:after="0" w:line="308" w:lineRule="auto"/>
        <w:tabs>
          <w:tab w:leader="none" w:pos="201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 Opinion of Counsel in form and substance reasonably satisfactory to the Trustee (which must include the statements set forth in Section 12.05 hereof) stating that, in the opinion of such counsel, all such conditions precedent and covenants have been satisfied.</w:t>
      </w:r>
    </w:p>
    <w:p>
      <w:pPr>
        <w:spacing w:after="0" w:line="14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§314(a)(4)) must comply with the provisions of TIA §314(e) and must include:</w:t>
      </w:r>
    </w:p>
    <w:p>
      <w:pPr>
        <w:spacing w:after="0" w:line="170" w:lineRule="exact"/>
        <w:rPr>
          <w:sz w:val="20"/>
          <w:szCs w:val="20"/>
          <w:color w:val="auto"/>
        </w:rPr>
      </w:pPr>
    </w:p>
    <w:p>
      <w:pPr>
        <w:ind w:left="2000" w:hanging="695"/>
        <w:spacing w:after="0"/>
        <w:tabs>
          <w:tab w:leader="none" w:pos="2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201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201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5"/>
          <w:szCs w:val="15"/>
          <w:i w:val="1"/>
          <w:iCs w:val="1"/>
          <w:color w:val="auto"/>
        </w:rPr>
        <w:t>Rules by Trustee and Agents.</w:t>
      </w:r>
    </w:p>
    <w:p>
      <w:pPr>
        <w:sectPr>
          <w:pgSz w:w="11900" w:h="16838" w:orient="portrait"/>
          <w:cols w:equalWidth="0" w:num="1">
            <w:col w:w="11420"/>
          </w:cols>
          <w:pgMar w:left="240" w:top="733" w:right="239" w:bottom="140" w:gutter="0" w:footer="0" w:header="0"/>
        </w:sectPr>
      </w:pPr>
    </w:p>
    <w:bookmarkStart w:id="46" w:name="page47"/>
    <w:bookmarkEnd w:id="46"/>
    <w:p>
      <w:pPr>
        <w:ind w:right="120"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No director, officer, employee, incorporator, stockholder, member or unitholder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spacing w:after="0" w:line="15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INTERNAL LAW OF THE STATE OF NEW YORK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 case any provision in this Indenture or in any Securities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i w:val="1"/>
          <w:iCs w:val="1"/>
          <w:color w:val="auto"/>
        </w:rPr>
        <w:t>Counterpart Originals.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i w:val="1"/>
          <w:iCs w:val="1"/>
          <w:color w:val="auto"/>
        </w:rPr>
        <w:t>Table of Contents, Headings, etc.</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i w:val="1"/>
          <w:iCs w:val="1"/>
          <w:color w:val="auto"/>
        </w:rPr>
        <w:t>Compliance with Applicable Anti-Terrorism and Anti-Money Laundering Regulations</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order to comply with laws, rules, regulations and executive orders in effect from time to time applicable to banking institutions, including those relating to the funding of terrorist activities and money laundering (</w:t>
      </w:r>
      <w:r>
        <w:rPr>
          <w:rFonts w:ascii="Arial" w:cs="Arial" w:eastAsia="Arial" w:hAnsi="Arial"/>
          <w:sz w:val="18"/>
          <w:szCs w:val="18"/>
          <w:i w:val="1"/>
          <w:iCs w:val="1"/>
          <w:color w:val="auto"/>
        </w:rPr>
        <w:t>“Relevant Law”</w:t>
      </w:r>
      <w:r>
        <w:rPr>
          <w:rFonts w:ascii="Arial" w:cs="Arial" w:eastAsia="Arial" w:hAnsi="Arial"/>
          <w:sz w:val="18"/>
          <w:szCs w:val="18"/>
          <w:color w:val="auto"/>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October 1,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Clearway Energy LLC, as managing member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Chad Plotkin</w:t>
      </w:r>
    </w:p>
    <w:p>
      <w:pPr>
        <w:spacing w:after="0" w:line="23" w:lineRule="exact"/>
        <w:rPr>
          <w:sz w:val="20"/>
          <w:szCs w:val="20"/>
          <w:color w:val="auto"/>
        </w:rPr>
      </w:pPr>
    </w:p>
    <w:tbl>
      <w:tblPr>
        <w:tblLayout w:type="fixed"/>
        <w:tblInd w:w="6160" w:type="dxa"/>
        <w:tblCellMar>
          <w:top w:w="0" w:type="dxa"/>
          <w:left w:w="0" w:type="dxa"/>
          <w:bottom w:w="0" w:type="dxa"/>
          <w:right w:w="0" w:type="dxa"/>
        </w:tblCellMar>
      </w:tblP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80"/>
              <w:spacing w:after="0"/>
              <w:rPr>
                <w:sz w:val="20"/>
                <w:szCs w:val="20"/>
                <w:color w:val="auto"/>
              </w:rPr>
            </w:pPr>
            <w:r>
              <w:rPr>
                <w:rFonts w:ascii="Arial" w:cs="Arial" w:eastAsia="Arial" w:hAnsi="Arial"/>
                <w:sz w:val="18"/>
                <w:szCs w:val="18"/>
                <w:color w:val="auto"/>
                <w:w w:val="96"/>
              </w:rPr>
              <w:t>Senior Vice President, Chief Financial Officer and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Clearway Energy, Inc., as managing member</w:t>
      </w:r>
    </w:p>
    <w:p>
      <w:pPr>
        <w:spacing w:after="0" w:line="21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47" w:name="page48"/>
    <w:bookmarkEnd w:id="47"/>
    <w:p>
      <w:pPr>
        <w:ind w:left="616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222" w:lineRule="exact"/>
        <w:rPr>
          <w:sz w:val="20"/>
          <w:szCs w:val="20"/>
          <w:color w:val="auto"/>
        </w:rPr>
      </w:pPr>
    </w:p>
    <w:p>
      <w:pPr>
        <w:sectPr>
          <w:pgSz w:w="11900" w:h="16838" w:orient="portrait"/>
          <w:cols w:equalWidth="0" w:num="2">
            <w:col w:w="6640" w:space="160"/>
            <w:col w:w="4620"/>
          </w:cols>
          <w:pgMar w:left="240" w:top="125" w:right="239" w:bottom="0" w:gutter="0" w:footer="0" w:header="0"/>
        </w:sectPr>
      </w:pPr>
    </w:p>
    <w:p>
      <w:pPr>
        <w:spacing w:after="0" w:line="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1-5 HOLDING COMPANY,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LLC, as Guarantor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Alta Wind Company, LLC, as managing member</w:t>
      </w:r>
    </w:p>
    <w:p>
      <w:pPr>
        <w:spacing w:after="0" w:line="21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Chad Plotkin</w:t>
      </w:r>
    </w:p>
    <w:p>
      <w:pPr>
        <w:spacing w:after="0" w:line="2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UB FUEL CELL,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CENTRAL CA FUEL CELL 1, LLC, as Guarantors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NYLD Fuel Cell Holdings LLC, as managing member</w:t>
      </w:r>
    </w:p>
    <w:p>
      <w:pPr>
        <w:spacing w:after="0" w:line="21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Chad Plotkin</w:t>
      </w:r>
    </w:p>
    <w:p>
      <w:pPr>
        <w:spacing w:after="0" w:line="2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COMPANY,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DGPV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SOLAR LAS VEGAS MB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as Guarantors,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Clearway Energy Operating LLC, as 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II-B, LLC, as Guarantors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SPP Fund II Holdings, LLC, as 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DELAWARE TRUST COMPANY, as Trustee</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Thomas Musarra</w:t>
      </w:r>
    </w:p>
    <w:p>
      <w:pPr>
        <w:spacing w:after="0" w:line="2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Thomas Musarra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CUSIP/CINS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5.750% Senior Notes due 2025</w:t>
      </w:r>
    </w:p>
    <w:p>
      <w:pPr>
        <w:spacing w:after="0" w:line="225" w:lineRule="exact"/>
        <w:rPr>
          <w:sz w:val="20"/>
          <w:szCs w:val="20"/>
          <w:color w:val="auto"/>
        </w:rPr>
      </w:pPr>
    </w:p>
    <w:p>
      <w:pPr>
        <w:spacing w:after="0"/>
        <w:tabs>
          <w:tab w:leader="none" w:pos="103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7"/>
          <w:szCs w:val="17"/>
          <w:color w:val="auto"/>
        </w:rPr>
        <w:t>CLEARWAY ENERGY OPERATING LLC</w:t>
      </w:r>
    </w:p>
    <w:p>
      <w:pPr>
        <w:sectPr>
          <w:pgSz w:w="11900" w:h="16838" w:orient="portrait"/>
          <w:cols w:equalWidth="0" w:num="1">
            <w:col w:w="11400"/>
          </w:cols>
          <w:pgMar w:left="240" w:top="341" w:right="259" w:bottom="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or registered assigns,</w:t>
      </w:r>
    </w:p>
    <w:p>
      <w:pPr>
        <w:spacing w:after="0" w:line="211" w:lineRule="exact"/>
        <w:rPr>
          <w:sz w:val="20"/>
          <w:szCs w:val="20"/>
          <w:color w:val="auto"/>
        </w:rPr>
      </w:pPr>
    </w:p>
    <w:p>
      <w:pPr>
        <w:sectPr>
          <w:pgSz w:w="11900" w:h="16838" w:orient="portrait"/>
          <w:cols w:equalWidth="0" w:num="2">
            <w:col w:w="1340" w:space="720"/>
            <w:col w:w="9340"/>
          </w:cols>
          <w:pgMar w:left="240" w:top="341" w:right="25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principal sum of</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DOLLARS on October 15, 2025.</w:t>
      </w:r>
    </w:p>
    <w:p>
      <w:pPr>
        <w:spacing w:after="0" w:line="200" w:lineRule="exact"/>
        <w:rPr>
          <w:sz w:val="20"/>
          <w:szCs w:val="20"/>
          <w:color w:val="auto"/>
        </w:rPr>
      </w:pPr>
    </w:p>
    <w:p>
      <w:pPr>
        <w:sectPr>
          <w:pgSz w:w="11900" w:h="16838" w:orient="portrait"/>
          <w:cols w:equalWidth="0" w:num="2">
            <w:col w:w="3440" w:space="720"/>
            <w:col w:w="7240"/>
          </w:cols>
          <w:pgMar w:left="240" w:top="341" w:right="25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April 15 and October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April 1 and October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0956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CLEARWAY ENERGY OPERATING LLC</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2670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5.750% Senior Notes due 2025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Original Issue Discount Legend, if applicable pursuant to the provisions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left="1960" w:hanging="655"/>
        <w:spacing w:after="0"/>
        <w:tabs>
          <w:tab w:leader="none" w:pos="1960"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Clearway Energy Operating LLC,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interest on</w:t>
      </w:r>
    </w:p>
    <w:p>
      <w:pPr>
        <w:spacing w:after="0" w:line="46" w:lineRule="exact"/>
        <w:rPr>
          <w:sz w:val="20"/>
          <w:szCs w:val="20"/>
          <w:color w:val="auto"/>
        </w:rPr>
      </w:pPr>
    </w:p>
    <w:p>
      <w:pPr>
        <w:ind w:left="660" w:right="40"/>
        <w:spacing w:after="0" w:line="281" w:lineRule="auto"/>
        <w:rPr>
          <w:sz w:val="20"/>
          <w:szCs w:val="20"/>
          <w:color w:val="auto"/>
        </w:rPr>
      </w:pPr>
      <w:r>
        <w:rPr>
          <w:rFonts w:ascii="Arial" w:cs="Arial" w:eastAsia="Arial" w:hAnsi="Arial"/>
          <w:sz w:val="16"/>
          <w:szCs w:val="16"/>
          <w:color w:val="auto"/>
        </w:rPr>
        <w:t>the principal amount of this Note at 5.750% per annum from , until maturity. The Company shall pay interest semi-annually in arrears on April 15 and October 15 of each year, or if any such day is not a Business Day, on the next succeeding Business Day (each, an “</w:t>
      </w:r>
      <w:r>
        <w:rPr>
          <w:rFonts w:ascii="Arial" w:cs="Arial" w:eastAsia="Arial" w:hAnsi="Arial"/>
          <w:sz w:val="16"/>
          <w:szCs w:val="16"/>
          <w:i w:val="1"/>
          <w:iCs w:val="1"/>
          <w:color w:val="auto"/>
        </w:rPr>
        <w:t>Interest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Interest on the Notes will accrue from the most recent date to which interest has been paid or, if no interest has been paid,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w:t>
      </w:r>
    </w:p>
    <w:p>
      <w:pPr>
        <w:spacing w:after="0" w:line="3" w:lineRule="exact"/>
        <w:rPr>
          <w:sz w:val="20"/>
          <w:szCs w:val="20"/>
          <w:color w:val="auto"/>
        </w:rPr>
      </w:pPr>
    </w:p>
    <w:p>
      <w:pPr>
        <w:ind w:left="660"/>
        <w:spacing w:after="0"/>
        <w:tabs>
          <w:tab w:leader="none" w:pos="4800" w:val="left"/>
        </w:tabs>
        <w:rPr>
          <w:sz w:val="20"/>
          <w:szCs w:val="20"/>
          <w:color w:val="auto"/>
        </w:rPr>
      </w:pPr>
      <w:r>
        <w:rPr>
          <w:rFonts w:ascii="Arial" w:cs="Arial" w:eastAsia="Arial" w:hAnsi="Arial"/>
          <w:sz w:val="18"/>
          <w:szCs w:val="18"/>
          <w:i w:val="1"/>
          <w:iCs w:val="1"/>
          <w:color w:val="auto"/>
        </w:rPr>
        <w:t>further</w:t>
      </w:r>
      <w:r>
        <w:rPr>
          <w:rFonts w:ascii="Arial" w:cs="Arial" w:eastAsia="Arial" w:hAnsi="Arial"/>
          <w:sz w:val="18"/>
          <w:szCs w:val="18"/>
          <w:color w:val="auto"/>
        </w:rPr>
        <w:t>, that the first Interest Payment Date shall be</w:t>
      </w:r>
      <w:r>
        <w:rPr>
          <w:sz w:val="20"/>
          <w:szCs w:val="20"/>
          <w:color w:val="auto"/>
        </w:rPr>
        <w:tab/>
      </w:r>
      <w:r>
        <w:rPr>
          <w:rFonts w:ascii="Arial" w:cs="Arial" w:eastAsia="Arial" w:hAnsi="Arial"/>
          <w:sz w:val="16"/>
          <w:szCs w:val="16"/>
          <w:color w:val="auto"/>
        </w:rPr>
        <w:t>. Interest will be computed on the basis of a 360-day year of twelve 30-day months.</w:t>
      </w:r>
    </w:p>
    <w:p>
      <w:pPr>
        <w:spacing w:after="0" w:line="211" w:lineRule="exact"/>
        <w:rPr>
          <w:sz w:val="20"/>
          <w:szCs w:val="20"/>
          <w:color w:val="auto"/>
        </w:rPr>
      </w:pPr>
    </w:p>
    <w:p>
      <w:pPr>
        <w:ind w:left="660" w:right="40" w:firstLine="645"/>
        <w:spacing w:after="0" w:line="270" w:lineRule="auto"/>
        <w:tabs>
          <w:tab w:leader="none" w:pos="1964"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METHOD OF PAYMENT</w:t>
      </w:r>
      <w:r>
        <w:rPr>
          <w:rFonts w:ascii="Arial" w:cs="Arial" w:eastAsia="Arial" w:hAnsi="Arial"/>
          <w:sz w:val="17"/>
          <w:szCs w:val="17"/>
          <w:color w:val="auto"/>
        </w:rPr>
        <w:t>. The Company shall pay interest on the Notes (except defaulted interest) to the Persons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registered Holders of Notes at the close of business on the April 1 and October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1" w:lineRule="exact"/>
        <w:rPr>
          <w:rFonts w:ascii="Arial" w:cs="Arial" w:eastAsia="Arial" w:hAnsi="Arial"/>
          <w:sz w:val="17"/>
          <w:szCs w:val="17"/>
          <w:color w:val="auto"/>
        </w:rPr>
      </w:pPr>
    </w:p>
    <w:p>
      <w:pPr>
        <w:jc w:val="both"/>
        <w:ind w:left="660" w:firstLine="645"/>
        <w:spacing w:after="0" w:line="264" w:lineRule="auto"/>
        <w:tabs>
          <w:tab w:leader="none" w:pos="1964"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Delaware Trust Company,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the Paying Agent or Registrar without prior notice to the Holders of the Notes. The Company or any of its Subsidiaries or parent entities may act as Paying Agent or Registrar.</w:t>
      </w:r>
    </w:p>
    <w:p>
      <w:pPr>
        <w:spacing w:after="0" w:line="181" w:lineRule="exact"/>
        <w:rPr>
          <w:rFonts w:ascii="Arial" w:cs="Arial" w:eastAsia="Arial" w:hAnsi="Arial"/>
          <w:sz w:val="18"/>
          <w:szCs w:val="18"/>
          <w:color w:val="auto"/>
        </w:rPr>
      </w:pPr>
    </w:p>
    <w:p>
      <w:pPr>
        <w:ind w:left="660" w:right="40" w:firstLine="645"/>
        <w:spacing w:after="0" w:line="255" w:lineRule="auto"/>
        <w:tabs>
          <w:tab w:leader="none" w:pos="1964"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Company issued the Notes under an Indenture dated as of October 1, 2018 (the “</w:t>
      </w:r>
      <w:r>
        <w:rPr>
          <w:rFonts w:ascii="Arial" w:cs="Arial" w:eastAsia="Arial" w:hAnsi="Arial"/>
          <w:sz w:val="18"/>
          <w:szCs w:val="18"/>
          <w:i w:val="1"/>
          <w:iCs w:val="1"/>
          <w:color w:val="auto"/>
        </w:rPr>
        <w:t>Indenture</w:t>
      </w:r>
      <w:r>
        <w:rPr>
          <w:rFonts w:ascii="Arial" w:cs="Arial" w:eastAsia="Arial" w:hAnsi="Arial"/>
          <w:sz w:val="18"/>
          <w:szCs w:val="18"/>
          <w:color w:val="auto"/>
        </w:rPr>
        <w:t>”) among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Guarantors and the Trustee. The terms of the Notes include those stated in the Indenture and those made part of the Indenture by reference to the TIA. The Notes are subject to all such terms, and Holders are referred to the Indenture and the TIA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type w:val="continuous"/>
        </w:sectPr>
      </w:pPr>
    </w:p>
    <w:bookmarkStart w:id="49" w:name="page50"/>
    <w:bookmarkEnd w:id="49"/>
    <w:p>
      <w:pPr>
        <w:ind w:left="1300" w:hanging="655"/>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OPTIONAL REDEMPTION.</w:t>
      </w:r>
    </w:p>
    <w:p>
      <w:pPr>
        <w:spacing w:after="0" w:line="225" w:lineRule="exact"/>
        <w:rPr>
          <w:rFonts w:ascii="Arial" w:cs="Arial" w:eastAsia="Arial" w:hAnsi="Arial"/>
          <w:sz w:val="18"/>
          <w:szCs w:val="18"/>
          <w:color w:val="auto"/>
        </w:rPr>
      </w:pPr>
    </w:p>
    <w:p>
      <w:pPr>
        <w:ind w:right="440" w:firstLine="1293"/>
        <w:spacing w:after="0" w:line="257" w:lineRule="auto"/>
        <w:tabs>
          <w:tab w:leader="none" w:pos="194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At any time prior to October 15, 2021, the Company may on any one or more occasions redeem up to 35% of the aggregate principal amount of the Notes, upon not less than 15 nor more than 60 days’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rFonts w:ascii="Arial" w:cs="Arial" w:eastAsia="Arial" w:hAnsi="Arial"/>
          <w:sz w:val="18"/>
          <w:szCs w:val="18"/>
          <w:color w:val="auto"/>
        </w:rPr>
      </w:pPr>
    </w:p>
    <w:p>
      <w:pPr>
        <w:ind w:left="1300" w:right="120" w:firstLine="641"/>
        <w:spacing w:after="0" w:line="264" w:lineRule="auto"/>
        <w:tabs>
          <w:tab w:leader="none" w:pos="2618"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originally issued under this Indenture (excluding Notes held by the Company, its Subsidiaries and parent entities) remains outstanding immediately after the occurrence of such redemption; and</w:t>
      </w:r>
    </w:p>
    <w:p>
      <w:pPr>
        <w:spacing w:after="0" w:line="181" w:lineRule="exact"/>
        <w:rPr>
          <w:rFonts w:ascii="Arial" w:cs="Arial" w:eastAsia="Arial" w:hAnsi="Arial"/>
          <w:sz w:val="18"/>
          <w:szCs w:val="18"/>
          <w:color w:val="auto"/>
        </w:rPr>
      </w:pPr>
    </w:p>
    <w:p>
      <w:pPr>
        <w:ind w:left="2620" w:hanging="679"/>
        <w:spacing w:after="0"/>
        <w:tabs>
          <w:tab w:leader="none" w:pos="262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ind w:right="60" w:firstLine="1293"/>
        <w:spacing w:after="0" w:line="259" w:lineRule="auto"/>
        <w:tabs>
          <w:tab w:leader="none" w:pos="195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At any time prior to October 15, 2021, the Company may on any one or more occasions redeem all or a part of the Notes, upon not less than 15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960" w:hanging="667"/>
        <w:spacing w:after="0"/>
        <w:tabs>
          <w:tab w:leader="none" w:pos="19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15, 2021.</w:t>
      </w:r>
    </w:p>
    <w:p>
      <w:pPr>
        <w:spacing w:after="0" w:line="211" w:lineRule="exact"/>
        <w:rPr>
          <w:sz w:val="20"/>
          <w:szCs w:val="20"/>
          <w:color w:val="auto"/>
        </w:rPr>
      </w:pPr>
    </w:p>
    <w:p>
      <w:pPr>
        <w:ind w:right="20" w:firstLine="1293"/>
        <w:spacing w:after="0" w:line="257" w:lineRule="auto"/>
        <w:tabs>
          <w:tab w:leader="none" w:pos="19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or after October 15, 2021, the Company may on any one or more occasions redeem all or a part of the Notes, upon not less than 15 nor more than 60 days’ prior notice, at the redemption prices (expressed as percentages of principal amount) set forth below, plus accrued and unpaid interest, if any, on the Notes redeemed, to the applicable date of redemption, if redeemed during the twelve-month period beginning on October 15 of the years indicated below, subject to the rights of Holders on the relevant record date to receive interest on the relevant interest payment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Percentage</w:t>
            </w:r>
          </w:p>
        </w:tc>
        <w:tc>
          <w:tcPr>
            <w:tcW w:w="280" w:type="dxa"/>
            <w:vAlign w:val="bottom"/>
            <w:tcBorders>
              <w:bottom w:val="single" w:sz="8" w:color="CCEEFF"/>
            </w:tcBorders>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102.875%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101.437%</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left="1960" w:hanging="667"/>
        <w:spacing w:after="0"/>
        <w:tabs>
          <w:tab w:leader="none" w:pos="19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redemption pursuant to this Section 5 shall be made pursuant to the provisions of Sections 3.01 through 3.06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420" w:firstLine="1293"/>
        <w:spacing w:after="0" w:line="277" w:lineRule="auto"/>
        <w:tabs>
          <w:tab w:leader="none" w:pos="194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provisions of Article 3 of the Indenture do not prohibit the Company or its affiliates from acquiring the Notes in market transactions by means other than a redemption, whether pursuant to a tender offer or otherwise.</w:t>
      </w:r>
    </w:p>
    <w:p>
      <w:pPr>
        <w:spacing w:after="0" w:line="170" w:lineRule="exact"/>
        <w:rPr>
          <w:rFonts w:ascii="Arial" w:cs="Arial" w:eastAsia="Arial" w:hAnsi="Arial"/>
          <w:sz w:val="18"/>
          <w:szCs w:val="18"/>
          <w:color w:val="auto"/>
        </w:rPr>
      </w:pPr>
    </w:p>
    <w:p>
      <w:pPr>
        <w:ind w:right="440" w:firstLine="645"/>
        <w:spacing w:after="0" w:line="277" w:lineRule="auto"/>
        <w:tabs>
          <w:tab w:leader="none" w:pos="1304"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mandatory redemption or sinking fund payments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Notes.</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55"/>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REPURCHASE AT THE OPTION OF HOLDER.</w:t>
      </w:r>
    </w:p>
    <w:p>
      <w:pPr>
        <w:spacing w:after="0" w:line="225" w:lineRule="exact"/>
        <w:rPr>
          <w:rFonts w:ascii="Arial" w:cs="Arial" w:eastAsia="Arial" w:hAnsi="Arial"/>
          <w:sz w:val="18"/>
          <w:szCs w:val="18"/>
          <w:color w:val="auto"/>
        </w:rPr>
      </w:pPr>
    </w:p>
    <w:p>
      <w:pPr>
        <w:ind w:right="40" w:firstLine="1293"/>
        <w:spacing w:after="0" w:line="273" w:lineRule="auto"/>
        <w:tabs>
          <w:tab w:leader="none" w:pos="194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Upon the occurrence of a Change of Control Triggering Event, the Company will make an offer (a “</w:t>
      </w:r>
      <w:r>
        <w:rPr>
          <w:rFonts w:ascii="Arial" w:cs="Arial" w:eastAsia="Arial" w:hAnsi="Arial"/>
          <w:sz w:val="17"/>
          <w:szCs w:val="17"/>
          <w:i w:val="1"/>
          <w:iCs w:val="1"/>
          <w:color w:val="auto"/>
        </w:rPr>
        <w:t>Change of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Offer</w:t>
      </w:r>
      <w:r>
        <w:rPr>
          <w:rFonts w:ascii="Arial" w:cs="Arial" w:eastAsia="Arial" w:hAnsi="Arial"/>
          <w:sz w:val="17"/>
          <w:szCs w:val="17"/>
          <w:color w:val="auto"/>
        </w:rPr>
        <w:t>”) to each Holder to repurchase all or any part (equal to $2,000 or an integral multiple of $1,000 in excess of $2,000) of that Holder’s Notes at a</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7"/>
          <w:szCs w:val="17"/>
          <w:i w:val="1"/>
          <w:iCs w:val="1"/>
          <w:color w:val="auto"/>
        </w:rPr>
        <w:t>Change of Control Payment</w:t>
      </w:r>
      <w:r>
        <w:rPr>
          <w:rFonts w:ascii="Arial" w:cs="Arial" w:eastAsia="Arial" w:hAnsi="Arial"/>
          <w:sz w:val="17"/>
          <w:szCs w:val="17"/>
          <w:color w:val="auto"/>
        </w:rPr>
        <w:t>”). Within 30 days following any Change of Control, the Company will mail a notice to each Holder setting forth the procedures governing the Change of Control Offer as required by the Indenture.</w:t>
      </w:r>
    </w:p>
    <w:p>
      <w:pPr>
        <w:spacing w:after="0" w:line="178" w:lineRule="exact"/>
        <w:rPr>
          <w:rFonts w:ascii="Arial" w:cs="Arial" w:eastAsia="Arial" w:hAnsi="Arial"/>
          <w:sz w:val="17"/>
          <w:szCs w:val="17"/>
          <w:color w:val="auto"/>
        </w:rPr>
      </w:pPr>
    </w:p>
    <w:p>
      <w:pPr>
        <w:ind w:right="160" w:firstLine="645"/>
        <w:spacing w:after="0" w:line="273" w:lineRule="auto"/>
        <w:tabs>
          <w:tab w:leader="none" w:pos="1304"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NOTICE OF REDEMPTION</w:t>
      </w:r>
      <w:r>
        <w:rPr>
          <w:rFonts w:ascii="Arial" w:cs="Arial" w:eastAsia="Arial" w:hAnsi="Arial"/>
          <w:sz w:val="17"/>
          <w:szCs w:val="17"/>
          <w:color w:val="auto"/>
        </w:rPr>
        <w:t>. At least 15 days but not more than 60 days before a redemption date, the Company shall mail 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178" w:lineRule="exact"/>
        <w:rPr>
          <w:rFonts w:ascii="Arial" w:cs="Arial" w:eastAsia="Arial" w:hAnsi="Arial"/>
          <w:sz w:val="17"/>
          <w:szCs w:val="17"/>
          <w:color w:val="auto"/>
        </w:rPr>
      </w:pPr>
    </w:p>
    <w:p>
      <w:pPr>
        <w:ind w:firstLine="645"/>
        <w:spacing w:after="0" w:line="272" w:lineRule="auto"/>
        <w:tabs>
          <w:tab w:leader="none" w:pos="1304"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Notes are in registered form without coupons in denominations of $2,000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77" w:lineRule="exact"/>
        <w:rPr>
          <w:rFonts w:ascii="Arial" w:cs="Arial" w:eastAsia="Arial" w:hAnsi="Arial"/>
          <w:sz w:val="17"/>
          <w:szCs w:val="17"/>
          <w:color w:val="auto"/>
        </w:rPr>
      </w:pPr>
    </w:p>
    <w:p>
      <w:pPr>
        <w:ind w:right="720" w:firstLine="645"/>
        <w:spacing w:after="0" w:line="277" w:lineRule="auto"/>
        <w:tabs>
          <w:tab w:leader="none" w:pos="1299"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the owner of it for all purposes. Only</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Holders have rights under the Indenture.</w:t>
      </w:r>
    </w:p>
    <w:p>
      <w:pPr>
        <w:sectPr>
          <w:pgSz w:w="11900" w:h="16838" w:orient="portrait"/>
          <w:cols w:equalWidth="0" w:num="1">
            <w:col w:w="10760"/>
          </w:cols>
          <w:pgMar w:left="900" w:top="584" w:right="239" w:bottom="72" w:gutter="0" w:footer="0" w:header="0"/>
        </w:sectPr>
      </w:pPr>
    </w:p>
    <w:bookmarkStart w:id="50" w:name="page51"/>
    <w:bookmarkEnd w:id="50"/>
    <w:p>
      <w:pPr>
        <w:ind w:left="4" w:right="80" w:firstLine="645"/>
        <w:spacing w:after="0" w:line="253" w:lineRule="auto"/>
        <w:tabs>
          <w:tab w:leader="none" w:pos="1296"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 Subject to certain exceptions, the Indenture, the Notes or the Guarantees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or 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 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 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w:t>
      </w:r>
    </w:p>
    <w:p>
      <w:pPr>
        <w:spacing w:after="0" w:line="19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such Holder, (v) to comply with the requirements of the SEC in order to effect or maintain the qualification of the Indenture under the TIA,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w:t>
      </w:r>
    </w:p>
    <w:p>
      <w:pPr>
        <w:spacing w:after="0" w:line="2" w:lineRule="exact"/>
        <w:rPr>
          <w:sz w:val="20"/>
          <w:szCs w:val="20"/>
          <w:color w:val="auto"/>
        </w:rPr>
      </w:pPr>
    </w:p>
    <w:p>
      <w:pPr>
        <w:ind w:left="304" w:hanging="304"/>
        <w:spacing w:after="0"/>
        <w:tabs>
          <w:tab w:leader="none" w:pos="3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Guarantee with respect to the Notes.</w:t>
      </w:r>
    </w:p>
    <w:p>
      <w:pPr>
        <w:spacing w:after="0" w:line="210" w:lineRule="exact"/>
        <w:rPr>
          <w:rFonts w:ascii="Arial" w:cs="Arial" w:eastAsia="Arial" w:hAnsi="Arial"/>
          <w:sz w:val="18"/>
          <w:szCs w:val="18"/>
          <w:color w:val="auto"/>
        </w:rPr>
      </w:pPr>
    </w:p>
    <w:p>
      <w:pPr>
        <w:ind w:left="4" w:right="80" w:firstLine="645"/>
        <w:spacing w:after="0" w:line="283" w:lineRule="auto"/>
        <w:tabs>
          <w:tab w:leader="none" w:pos="1303" w:val="left"/>
        </w:tabs>
        <w:numPr>
          <w:ilvl w:val="1"/>
          <w:numId w:val="143"/>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Events of Default include: (i) default for 30 days in the payment when due of interest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(ii) default in the payment when due of the principal of, or premium on, if any, the Notes, (iii) failure by the Company or any Guarantor for 60 days after written notice to the Company by the Trustee or the Holders of at least 25% in aggregate principal amount of the Notes then outstanding to comply with any of the agreements in the Indenture (other than a default referred to in clause (i) or (ii)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Arial" w:cs="Arial" w:eastAsia="Arial" w:hAnsi="Arial"/>
          <w:sz w:val="16"/>
          <w:szCs w:val="16"/>
          <w:i w:val="1"/>
          <w:iCs w:val="1"/>
          <w:color w:val="auto"/>
        </w:rPr>
        <w:t>Payment Default</w:t>
      </w:r>
      <w:r>
        <w:rPr>
          <w:rFonts w:ascii="Arial" w:cs="Arial" w:eastAsia="Arial" w:hAnsi="Arial"/>
          <w:sz w:val="16"/>
          <w:szCs w:val="16"/>
          <w:color w:val="auto"/>
        </w:rPr>
        <w: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w:t>
      </w:r>
    </w:p>
    <w:p>
      <w:pPr>
        <w:spacing w:after="0" w:line="4" w:lineRule="exact"/>
        <w:rPr>
          <w:rFonts w:ascii="Arial" w:cs="Arial" w:eastAsia="Arial" w:hAnsi="Arial"/>
          <w:sz w:val="16"/>
          <w:szCs w:val="16"/>
          <w:color w:val="auto"/>
        </w:rPr>
      </w:pPr>
    </w:p>
    <w:p>
      <w:pPr>
        <w:ind w:left="4" w:right="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(2) $100.0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(iv) shall not apply to secured Indebtedness that becomes due as a result of the voluntary sale or transfer of the property or assets securing such Indebtedness to a Person that is not an Affiliate of the Company; (v) one or more judgments for the payment of money in an aggregate amount in excess of the greater of (i) 1.5% of Total Assets and (ii) $100.0 million (excluding therefrom any amount reasonably expected to be covered by insurance) shall be rendered against the Company or any Guarantor or Guarantors or any combination thereof and the same shall not have been paid, discharged or stayed for a period of 60 days after such judgment became final and non-appealable; (vi) except as permitted by the Indenture, any Guarantee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w:t>
      </w:r>
    </w:p>
    <w:p>
      <w:pPr>
        <w:spacing w:after="0" w:line="6" w:lineRule="exact"/>
        <w:rPr>
          <w:rFonts w:ascii="Arial" w:cs="Arial" w:eastAsia="Arial" w:hAnsi="Arial"/>
          <w:sz w:val="16"/>
          <w:szCs w:val="16"/>
          <w:color w:val="auto"/>
        </w:rPr>
      </w:pPr>
    </w:p>
    <w:p>
      <w:pPr>
        <w:ind w:left="4" w:right="40" w:hanging="4"/>
        <w:spacing w:after="0" w:line="268" w:lineRule="auto"/>
        <w:tabs>
          <w:tab w:leader="none" w:pos="35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Company or any Guarantor of the Company that, if a Subsidiary of the Company, would constitute a Significant Subsidiary or any group of Guarantors of the Company that, if Subsidiaries of the Company, taken together, would constitute a Significant Subsidiary: (A)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 they become due; or (viii) a court of competent jurisdiction enters an order or decree under any Bankruptcy Law that: (A) is for relief against the Company or any Guarantor of the Company that, if a Subsidiary of the Company, would constitute a Significant Subsidiary or any group of Guarantors of the Company that, if Subsidiaries of the Company, taken together, would constitute a Significant Subsidiary; (B) appoints a custodian of the Company or any Guarantor of the Company that, if a Subsidiary of the</w:t>
      </w:r>
    </w:p>
    <w:p>
      <w:pPr>
        <w:spacing w:after="0" w:line="18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spacing w:after="0" w:line="188" w:lineRule="exact"/>
        <w:rPr>
          <w:sz w:val="20"/>
          <w:szCs w:val="20"/>
          <w:color w:val="auto"/>
        </w:rPr>
      </w:pPr>
    </w:p>
    <w:p>
      <w:pPr>
        <w:ind w:left="4" w:right="40" w:firstLine="645"/>
        <w:spacing w:after="0" w:line="257" w:lineRule="auto"/>
        <w:tabs>
          <w:tab w:leader="none" w:pos="1303"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r>
        <w:rPr>
          <w:rFonts w:ascii="Arial" w:cs="Arial" w:eastAsia="Arial" w:hAnsi="Arial"/>
          <w:sz w:val="18"/>
          <w:szCs w:val="18"/>
          <w:color w:val="auto"/>
        </w:rPr>
        <w:t>. The Trustee, in its individual or any other capacity, may make loans to, accept deposits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spacing w:after="0" w:line="188" w:lineRule="exact"/>
        <w:rPr>
          <w:rFonts w:ascii="Arial" w:cs="Arial" w:eastAsia="Arial" w:hAnsi="Arial"/>
          <w:sz w:val="18"/>
          <w:szCs w:val="18"/>
          <w:color w:val="auto"/>
        </w:rPr>
      </w:pPr>
    </w:p>
    <w:p>
      <w:pPr>
        <w:ind w:left="4" w:firstLine="645"/>
        <w:spacing w:after="0" w:line="257" w:lineRule="auto"/>
        <w:tabs>
          <w:tab w:leader="none" w:pos="1303"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 director, officer, employee, incorporator or stockholder of the Company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as 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ind w:left="1304" w:hanging="655"/>
        <w:spacing w:after="0"/>
        <w:tabs>
          <w:tab w:leader="none" w:pos="1304"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Note will not be valid until authenticated by the manual signature of the Trustee or an authenticating</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agent.</w:t>
      </w:r>
    </w:p>
    <w:p>
      <w:pPr>
        <w:sectPr>
          <w:pgSz w:w="11900" w:h="16838" w:orient="portrait"/>
          <w:cols w:equalWidth="0" w:num="1">
            <w:col w:w="10764"/>
          </w:cols>
          <w:pgMar w:left="896" w:top="125" w:right="239" w:bottom="18" w:gutter="0" w:footer="0" w:header="0"/>
        </w:sectPr>
      </w:pPr>
    </w:p>
    <w:bookmarkStart w:id="51" w:name="page52"/>
    <w:bookmarkEnd w:id="51"/>
    <w:p>
      <w:pPr>
        <w:ind w:left="660" w:right="120" w:firstLine="645"/>
        <w:spacing w:after="0" w:line="264" w:lineRule="auto"/>
        <w:tabs>
          <w:tab w:leader="none" w:pos="1959"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w:t>
      </w:r>
      <w:r>
        <w:rPr>
          <w:rFonts w:ascii="Arial" w:cs="Arial" w:eastAsia="Arial" w:hAnsi="Arial"/>
          <w:sz w:val="18"/>
          <w:szCs w:val="18"/>
          <w:i w:val="1"/>
          <w:iCs w:val="1"/>
          <w:color w:val="auto"/>
        </w:rPr>
        <w:t xml:space="preserve"> </w:t>
      </w:r>
      <w:r>
        <w:rPr>
          <w:rFonts w:ascii="Arial" w:cs="Arial" w:eastAsia="Arial" w:hAnsi="Arial"/>
          <w:sz w:val="18"/>
          <w:szCs w:val="18"/>
          <w:color w:val="auto"/>
        </w:rPr>
        <w:t>in 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left="660" w:right="20" w:firstLine="645"/>
        <w:spacing w:after="0" w:line="255" w:lineRule="auto"/>
        <w:tabs>
          <w:tab w:leader="none" w:pos="1959"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ADDITIONAL RIGHTS OF HOLDERS OF RESTRICTED GLOBAL NOTES AND RESTRICTED DEFINITIVE NOTES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rights provided to Holders of Notes under the Indenture, Holders of Restricted Global Notes and Restricted Definitive Notes will have all the rights set forth in the Registration Rights Agreement dated as of October 1, 2018, among the Company, the Guarantors and the other parties named on the signature pages thereof or, in the case of Additional Notes, Holders of Restricted Global Notes and Restricted Definitive Notes will have the rights set forth in one or more registration rights agreements, if any, among the Company, the Guarantors and the other parties thereto, relating to rights given by the Company and the Guarantors to the purchasers of any Additional Notes (collectively, the “</w:t>
      </w:r>
      <w:r>
        <w:rPr>
          <w:rFonts w:ascii="Arial" w:cs="Arial" w:eastAsia="Arial" w:hAnsi="Arial"/>
          <w:sz w:val="18"/>
          <w:szCs w:val="18"/>
          <w:i w:val="1"/>
          <w:i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right="20" w:firstLine="645"/>
        <w:spacing w:after="0" w:line="279" w:lineRule="auto"/>
        <w:tabs>
          <w:tab w:leader="none" w:pos="1959"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CUSIP NUMBERS</w:t>
      </w:r>
      <w:r>
        <w:rPr>
          <w:rFonts w:ascii="Arial" w:cs="Arial" w:eastAsia="Arial" w:hAnsi="Arial"/>
          <w:sz w:val="17"/>
          <w:szCs w:val="17"/>
          <w:color w:val="auto"/>
        </w:rPr>
        <w:t>. Pursuant to a recommendation promulgated by the Committee on Uniform Security Identification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firstLine="645"/>
        <w:spacing w:after="0" w:line="259" w:lineRule="auto"/>
        <w:tabs>
          <w:tab w:leader="none" w:pos="1959"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INTERNAL LAW OF THE STATE OF NEW YORK WILL GOVERN AND BE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THE INDENTURE, THIS NOTE AND THE GUARANTEES WITHOUT GIVING EFFECT TO APPLICABLE PRINCIPLES OF CONFLICTS OF LAW TO THE EXTENT THAT THE APPLICATION OF THE LAWS OF ANOTHER JURISDICTION WOULD BE REQUIRED THEREBY.</w:t>
      </w:r>
    </w:p>
    <w:p>
      <w:pPr>
        <w:spacing w:after="0" w:line="187"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Company shall furnish to any Holder upon written request and without charge a copy of the Indenture and/or the Registration Rights Agreement. Requests may be made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-130810</wp:posOffset>
            </wp:positionV>
            <wp:extent cx="48450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9360" w:type="dxa"/>
            <w:vAlign w:val="bottom"/>
            <w:tcBorders>
              <w:top w:val="single" w:sz="8" w:color="auto"/>
            </w:tcBorders>
            <w:gridSpan w:val="3"/>
          </w:tcPr>
          <w:p>
            <w:pPr>
              <w:ind w:left="1740"/>
              <w:spacing w:after="0"/>
              <w:rPr>
                <w:sz w:val="20"/>
                <w:szCs w:val="20"/>
                <w:color w:val="auto"/>
              </w:rPr>
            </w:pPr>
            <w:r>
              <w:rPr>
                <w:rFonts w:ascii="Arial" w:cs="Arial" w:eastAsia="Arial" w:hAnsi="Arial"/>
                <w:sz w:val="18"/>
                <w:szCs w:val="18"/>
                <w:color w:val="auto"/>
              </w:rPr>
              <w:t>(Print or type assignee’s name, address and zip code)</w:t>
            </w:r>
          </w:p>
        </w:tc>
      </w:tr>
      <w:tr>
        <w:trPr>
          <w:trHeight w:val="404"/>
        </w:trPr>
        <w:tc>
          <w:tcPr>
            <w:tcW w:w="20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360" w:type="dxa"/>
            <w:vAlign w:val="bottom"/>
            <w:gridSpan w:val="3"/>
          </w:tcPr>
          <w:p>
            <w:pPr>
              <w:ind w:left="2900"/>
              <w:spacing w:after="0"/>
              <w:rPr>
                <w:sz w:val="20"/>
                <w:szCs w:val="20"/>
                <w:color w:val="auto"/>
              </w:rPr>
            </w:pPr>
            <w:r>
              <w:rPr>
                <w:rFonts w:ascii="Arial" w:cs="Arial" w:eastAsia="Arial" w:hAnsi="Arial"/>
                <w:sz w:val="18"/>
                <w:szCs w:val="18"/>
                <w:color w:val="auto"/>
                <w:w w:val="92"/>
              </w:rPr>
              <w:t>to transfer this Note on the books of the Company. The agent may substitute another to</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act for him.</w:t>
            </w:r>
          </w:p>
        </w:tc>
        <w:tc>
          <w:tcPr>
            <w:tcW w:w="3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2"/>
        </w:trPr>
        <w:tc>
          <w:tcPr>
            <w:tcW w:w="2060" w:type="dxa"/>
            <w:vAlign w:val="bottom"/>
            <w:gridSpan w:val="2"/>
          </w:tcPr>
          <w:p>
            <w:pPr>
              <w:spacing w:after="0"/>
              <w:rPr>
                <w:sz w:val="20"/>
                <w:szCs w:val="20"/>
                <w:color w:val="auto"/>
              </w:rPr>
            </w:pPr>
            <w:r>
              <w:rPr>
                <w:rFonts w:ascii="Arial" w:cs="Arial" w:eastAsia="Arial" w:hAnsi="Arial"/>
                <w:sz w:val="18"/>
                <w:szCs w:val="18"/>
                <w:color w:val="auto"/>
              </w:rPr>
              <w:t>Date:</w:t>
            </w:r>
          </w:p>
        </w:tc>
        <w:tc>
          <w:tcPr>
            <w:tcW w:w="3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12"/>
        </w:trPr>
        <w:tc>
          <w:tcPr>
            <w:tcW w:w="6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560" w:type="dxa"/>
            <w:vAlign w:val="bottom"/>
            <w:tcBorders>
              <w:top w:val="single" w:sz="8" w:color="auto"/>
            </w:tcBorders>
          </w:tcPr>
          <w:p>
            <w:pPr>
              <w:spacing w:after="0"/>
              <w:rPr>
                <w:sz w:val="24"/>
                <w:szCs w:val="24"/>
                <w:color w:val="auto"/>
              </w:rPr>
            </w:pPr>
          </w:p>
        </w:tc>
        <w:tc>
          <w:tcPr>
            <w:tcW w:w="1700" w:type="dxa"/>
            <w:vAlign w:val="bottom"/>
          </w:tcPr>
          <w:p>
            <w:pPr>
              <w:ind w:left="220"/>
              <w:spacing w:after="0"/>
              <w:rPr>
                <w:sz w:val="20"/>
                <w:szCs w:val="20"/>
                <w:color w:val="auto"/>
              </w:rPr>
            </w:pPr>
            <w:r>
              <w:rPr>
                <w:rFonts w:ascii="Arial" w:cs="Arial" w:eastAsia="Arial" w:hAnsi="Arial"/>
                <w:sz w:val="18"/>
                <w:szCs w:val="18"/>
                <w:color w:val="auto"/>
              </w:rPr>
              <w:t>Your Signature:</w:t>
            </w:r>
          </w:p>
        </w:tc>
        <w:tc>
          <w:tcPr>
            <w:tcW w:w="4100" w:type="dxa"/>
            <w:vAlign w:val="bottom"/>
            <w:tcBorders>
              <w:bottom w:val="single" w:sz="8" w:color="auto"/>
            </w:tcBorders>
          </w:tcPr>
          <w:p>
            <w:pPr>
              <w:spacing w:after="0"/>
              <w:rPr>
                <w:sz w:val="24"/>
                <w:szCs w:val="24"/>
                <w:color w:val="auto"/>
              </w:rPr>
            </w:pPr>
          </w:p>
        </w:tc>
      </w:tr>
      <w:tr>
        <w:trPr>
          <w:trHeight w:val="224"/>
        </w:trPr>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800" w:type="dxa"/>
            <w:vAlign w:val="bottom"/>
            <w:gridSpan w:val="2"/>
          </w:tcPr>
          <w:p>
            <w:pPr>
              <w:ind w:left="1460"/>
              <w:spacing w:after="0"/>
              <w:rPr>
                <w:sz w:val="20"/>
                <w:szCs w:val="20"/>
                <w:color w:val="auto"/>
              </w:rPr>
            </w:pPr>
            <w:r>
              <w:rPr>
                <w:rFonts w:ascii="Arial" w:cs="Arial" w:eastAsia="Arial" w:hAnsi="Arial"/>
                <w:sz w:val="18"/>
                <w:szCs w:val="18"/>
                <w:color w:val="auto"/>
                <w:w w:val="89"/>
              </w:rPr>
              <w:t>(Sign exactly as your name appears on the face of this Note)</w:t>
            </w:r>
          </w:p>
        </w:tc>
      </w:tr>
      <w:tr>
        <w:trPr>
          <w:trHeight w:val="404"/>
        </w:trPr>
        <w:tc>
          <w:tcPr>
            <w:tcW w:w="20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356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80" w:right="1820" w:hanging="5572"/>
        <w:spacing w:after="0" w:line="528" w:lineRule="auto"/>
        <w:tabs>
          <w:tab w:leader="none" w:pos="6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want to elect to have this Note purchased by the Company pursuant to Section 4.09 of the Indenture, check here: o</w:t>
      </w:r>
    </w:p>
    <w:p>
      <w:pPr>
        <w:sectPr>
          <w:pgSz w:w="11900" w:h="16838" w:orient="portrait"/>
          <w:cols w:equalWidth="0" w:num="1">
            <w:col w:w="11420"/>
          </w:cols>
          <w:pgMar w:left="240" w:top="125" w:right="239" w:bottom="0" w:gutter="0" w:footer="0" w:header="0"/>
        </w:sectPr>
      </w:pPr>
    </w:p>
    <w:bookmarkStart w:id="52" w:name="page53"/>
    <w:bookmarkEnd w:id="52"/>
    <w:p>
      <w:pPr>
        <w:spacing w:after="0" w:line="2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4.09 of the Indenture, state the amount you elect to have purchased:</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902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-116205</wp:posOffset>
            </wp:positionV>
            <wp:extent cx="26073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Tax Identification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14605</wp:posOffset>
            </wp:positionV>
            <wp:extent cx="2263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63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right="1820" w:hanging="5572"/>
        <w:spacing w:after="0" w:line="528" w:lineRule="auto"/>
        <w:tabs>
          <w:tab w:leader="none" w:pos="65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 *</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Amount of</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 Amount</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increase in</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of</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decrease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2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this Global Note</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this Global Note</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Custodian</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20" w:right="5520" w:hanging="5512"/>
        <w:spacing w:after="0" w:line="573" w:lineRule="auto"/>
        <w:tabs>
          <w:tab w:leader="none" w:pos="319"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This schedule should be included only if the Note is issued in global form</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5.750% Senior Notes due 2025</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Reference is hereby made to the Indenture, dated as of October 1, 2018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1"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 (the “</w:t>
      </w:r>
      <w:r>
        <w:rPr>
          <w:rFonts w:ascii="Arial" w:cs="Arial" w:eastAsia="Arial" w:hAnsi="Arial"/>
          <w:sz w:val="17"/>
          <w:szCs w:val="17"/>
          <w:i w:val="1"/>
          <w:iCs w:val="1"/>
          <w:color w:val="auto"/>
        </w:rPr>
        <w:t>Transferor</w:t>
      </w:r>
      <w:r>
        <w:rPr>
          <w:rFonts w:ascii="Arial" w:cs="Arial" w:eastAsia="Arial" w:hAnsi="Arial"/>
          <w:sz w:val="17"/>
          <w:szCs w:val="17"/>
          <w:color w:val="auto"/>
        </w:rPr>
        <w:t>”) owns and proposes to transfer the Note[s] or interest in such Note[s] specified in Annex A hereto, in the</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principal amount of $ 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 (the “</w:t>
      </w:r>
      <w:r>
        <w:rPr>
          <w:rFonts w:ascii="Arial" w:cs="Arial" w:eastAsia="Arial" w:hAnsi="Arial"/>
          <w:sz w:val="18"/>
          <w:szCs w:val="18"/>
          <w:i w:val="1"/>
          <w:iCs w:val="1"/>
          <w:color w:val="auto"/>
        </w:rPr>
        <w:t>Transferee</w:t>
      </w:r>
      <w:r>
        <w:rPr>
          <w:rFonts w:ascii="Arial" w:cs="Arial" w:eastAsia="Arial" w:hAnsi="Arial"/>
          <w:sz w:val="18"/>
          <w:szCs w:val="18"/>
          <w:color w:val="auto"/>
        </w:rPr>
        <w:t>”), as further specified in Annex A hereto. In connection with the Transfer, the Transferor hereby certifies that: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221" w:lineRule="exact"/>
        <w:rPr>
          <w:sz w:val="20"/>
          <w:szCs w:val="20"/>
          <w:color w:val="auto"/>
        </w:rPr>
      </w:pPr>
    </w:p>
    <w:p>
      <w:pPr>
        <w:ind w:right="20" w:firstLine="656"/>
        <w:spacing w:after="0" w:line="292" w:lineRule="auto"/>
        <w:tabs>
          <w:tab w:leader="none" w:pos="87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b w:val="1"/>
          <w:bCs w:val="1"/>
          <w:u w:val="single" w:color="auto"/>
          <w:color w:val="auto"/>
        </w:rPr>
        <w:t>Check if Transferee will take delivery of a beneficial interest in the 144A Global Note or a Restricted Definitive Note pursuant to</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Rule 144A</w:t>
      </w:r>
      <w:r>
        <w:rPr>
          <w:rFonts w:ascii="Arial" w:cs="Arial" w:eastAsia="Arial" w:hAnsi="Arial"/>
          <w:sz w:val="16"/>
          <w:szCs w:val="16"/>
          <w:color w:val="auto"/>
        </w:rPr>
        <w:t>. The Transfer is being effected pursuant to and in accordance with Rule 144A under the Securities Act of 1933, as amended (the “</w:t>
      </w:r>
      <w:r>
        <w:rPr>
          <w:rFonts w:ascii="Arial" w:cs="Arial" w:eastAsia="Arial" w:hAnsi="Arial"/>
          <w:sz w:val="16"/>
          <w:szCs w:val="16"/>
          <w:i w:val="1"/>
          <w:iCs w:val="1"/>
          <w:color w:val="auto"/>
        </w:rPr>
        <w:t>Securities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and, accordingly, the Transferor hereby further certifies that the beneficial interest or Definitive Note is being transferred to a Person that the Transferor</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w:t>
      </w:r>
    </w:p>
    <w:p>
      <w:pPr>
        <w:sectPr>
          <w:pgSz w:w="11900" w:h="16866" w:orient="portrait"/>
          <w:cols w:equalWidth="0" w:num="1">
            <w:col w:w="11420"/>
          </w:cols>
          <w:pgMar w:left="240" w:top="341" w:right="239" w:bottom="0" w:gutter="0" w:footer="0" w:header="0"/>
        </w:sectPr>
      </w:pPr>
    </w:p>
    <w:bookmarkStart w:id="53" w:name="page54"/>
    <w:bookmarkEnd w:id="53"/>
    <w:p>
      <w:pPr>
        <w:spacing w:after="0" w:line="1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 subject to the restrictions on transfer enumerated in the Private Placement Legend printed on the 144A Global Note and/or the Restricted Definitive Note and in the Indenture and the Securities Act.</w:t>
      </w:r>
    </w:p>
    <w:p>
      <w:pPr>
        <w:spacing w:after="0" w:line="166" w:lineRule="exact"/>
        <w:rPr>
          <w:sz w:val="20"/>
          <w:szCs w:val="20"/>
          <w:color w:val="auto"/>
        </w:rPr>
      </w:pPr>
    </w:p>
    <w:p>
      <w:pPr>
        <w:ind w:right="100" w:firstLine="656"/>
        <w:spacing w:after="0" w:line="273" w:lineRule="auto"/>
        <w:tabs>
          <w:tab w:leader="none" w:pos="87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u w:val="single" w:color="auto"/>
          <w:color w:val="auto"/>
        </w:rPr>
        <w:t>Check if Transferee will take delivery of a beneficial interest in the Regulation S Global Note or a Restricted Definitive Note pursuant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to Regulation S</w:t>
      </w:r>
      <w:r>
        <w:rPr>
          <w:rFonts w:ascii="Arial" w:cs="Arial" w:eastAsia="Arial" w:hAnsi="Arial"/>
          <w:sz w:val="17"/>
          <w:szCs w:val="17"/>
          <w:color w:val="auto"/>
        </w:rPr>
        <w:t>. The Transfer is being effected pursuant to and in accordance with Rule 903 or Rule 904 under the Securities Act and, accordingly,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69" w:lineRule="exact"/>
        <w:rPr>
          <w:sz w:val="20"/>
          <w:szCs w:val="20"/>
          <w:color w:val="auto"/>
        </w:rPr>
      </w:pPr>
    </w:p>
    <w:p>
      <w:pPr>
        <w:ind w:right="60" w:firstLine="656"/>
        <w:spacing w:after="0" w:line="303" w:lineRule="auto"/>
        <w:tabs>
          <w:tab w:leader="none" w:pos="87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b w:val="1"/>
          <w:bCs w:val="1"/>
          <w:u w:val="single" w:color="auto"/>
          <w:color w:val="auto"/>
        </w:rPr>
        <w:t>Check and complete if Transferee will take delivery of a beneficial interest in the IAI Global Note or a Restricted Definitive Note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pursuant to any provision of the Securities Act other than Rule 144A or Regulation S</w:t>
      </w:r>
      <w:r>
        <w:rPr>
          <w:rFonts w:ascii="Arial" w:cs="Arial" w:eastAsia="Arial" w:hAnsi="Arial"/>
          <w:sz w:val="16"/>
          <w:szCs w:val="16"/>
          <w:color w:val="auto"/>
        </w:rPr>
        <w:t>. The Transfer is being effected in compliance with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55" w:lineRule="exact"/>
        <w:rPr>
          <w:rFonts w:ascii="Arial" w:cs="Arial" w:eastAsia="Arial" w:hAnsi="Arial"/>
          <w:sz w:val="16"/>
          <w:szCs w:val="16"/>
          <w:color w:val="auto"/>
        </w:rPr>
      </w:pPr>
    </w:p>
    <w:p>
      <w:pPr>
        <w:ind w:left="1960" w:hanging="649"/>
        <w:spacing w:after="0"/>
        <w:tabs>
          <w:tab w:leader="none" w:pos="19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 such Transfer is being effected pursuant to and in accordance with Rule 144 under the Securities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640" w:right="4140" w:hanging="4329"/>
        <w:spacing w:after="0" w:line="501" w:lineRule="auto"/>
        <w:tabs>
          <w:tab w:leader="none" w:pos="196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 such Transfer is being effected to the Company or a subsidiary thereof; or</w:t>
      </w:r>
    </w:p>
    <w:p>
      <w:pPr>
        <w:ind w:left="820" w:right="200" w:firstLine="491"/>
        <w:spacing w:after="0" w:line="277" w:lineRule="auto"/>
        <w:tabs>
          <w:tab w:leader="none" w:pos="19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 such Transfer is being effected pursuant to an effective registration statement under the Securities Act and in compliance with the prospectus delivery requirements of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820" w:right="20" w:firstLine="491"/>
        <w:spacing w:after="0" w:line="270" w:lineRule="auto"/>
        <w:tabs>
          <w:tab w:leader="none" w:pos="1968"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o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3" w:lineRule="exact"/>
        <w:rPr>
          <w:rFonts w:ascii="Arial" w:cs="Arial" w:eastAsia="Arial" w:hAnsi="Arial"/>
          <w:sz w:val="17"/>
          <w:szCs w:val="17"/>
          <w:color w:val="auto"/>
        </w:rPr>
      </w:pPr>
    </w:p>
    <w:p>
      <w:pPr>
        <w:ind w:left="880" w:hanging="224"/>
        <w:spacing w:after="0"/>
        <w:tabs>
          <w:tab w:leader="none" w:pos="8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7"/>
          <w:szCs w:val="17"/>
          <w:color w:val="auto"/>
        </w:rPr>
        <w:t>.</w:t>
      </w:r>
    </w:p>
    <w:p>
      <w:pPr>
        <w:spacing w:after="0" w:line="237" w:lineRule="exact"/>
        <w:rPr>
          <w:sz w:val="20"/>
          <w:szCs w:val="20"/>
          <w:color w:val="auto"/>
        </w:rPr>
      </w:pPr>
    </w:p>
    <w:p>
      <w:pPr>
        <w:ind w:right="600" w:firstLine="656"/>
        <w:spacing w:after="0" w:line="282" w:lineRule="auto"/>
        <w:tabs>
          <w:tab w:leader="none" w:pos="93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Transfer is pursuant to Rule 144</w:t>
      </w:r>
      <w:r>
        <w:rPr>
          <w:rFonts w:ascii="Arial" w:cs="Arial" w:eastAsia="Arial" w:hAnsi="Arial"/>
          <w:sz w:val="18"/>
          <w:szCs w:val="18"/>
          <w:color w:val="auto"/>
        </w:rPr>
        <w:t>. (i) The Transfer is being effected pursuant to and in accordance with Rule 144 under the Securities Act and in compliance with the transfer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84" w:lineRule="exact"/>
        <w:rPr>
          <w:sz w:val="20"/>
          <w:szCs w:val="20"/>
          <w:color w:val="auto"/>
        </w:rPr>
      </w:pPr>
    </w:p>
    <w:p>
      <w:pPr>
        <w:ind w:right="80" w:firstLine="656"/>
        <w:spacing w:after="0" w:line="256" w:lineRule="auto"/>
        <w:tabs>
          <w:tab w:leader="none" w:pos="94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Transfer is Pursuant to Regulation S</w:t>
      </w:r>
      <w:r>
        <w:rPr>
          <w:rFonts w:ascii="Arial" w:cs="Arial" w:eastAsia="Arial" w:hAnsi="Arial"/>
          <w:sz w:val="18"/>
          <w:szCs w:val="18"/>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87" w:lineRule="exact"/>
        <w:rPr>
          <w:rFonts w:ascii="Arial" w:cs="Arial" w:eastAsia="Arial" w:hAnsi="Arial"/>
          <w:sz w:val="18"/>
          <w:szCs w:val="18"/>
          <w:color w:val="auto"/>
        </w:rPr>
      </w:pPr>
    </w:p>
    <w:p>
      <w:pPr>
        <w:ind w:firstLine="656"/>
        <w:spacing w:after="0" w:line="303" w:lineRule="auto"/>
        <w:tabs>
          <w:tab w:leader="none" w:pos="93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Check if Transfer is Pursuant to Other Exemption</w:t>
      </w:r>
      <w:r>
        <w:rPr>
          <w:rFonts w:ascii="Arial" w:cs="Arial" w:eastAsia="Arial" w:hAnsi="Arial"/>
          <w:sz w:val="16"/>
          <w:szCs w:val="16"/>
          <w:color w:val="auto"/>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w:t>
      </w:r>
    </w:p>
    <w:p>
      <w:pPr>
        <w:sectPr>
          <w:pgSz w:w="11900" w:h="16944" w:orient="portrait"/>
          <w:cols w:equalWidth="0" w:num="1">
            <w:col w:w="11400"/>
          </w:cols>
          <w:pgMar w:left="240" w:top="125" w:right="259" w:bottom="0" w:gutter="0" w:footer="0" w:header="0"/>
        </w:sectPr>
      </w:pPr>
    </w:p>
    <w:bookmarkStart w:id="54" w:name="page55"/>
    <w:bookmarkEnd w:id="54"/>
    <w:p>
      <w:pPr>
        <w:ind w:right="140"/>
        <w:spacing w:after="0" w:line="308" w:lineRule="auto"/>
        <w:rPr>
          <w:sz w:val="20"/>
          <w:szCs w:val="20"/>
          <w:color w:val="auto"/>
        </w:rPr>
      </w:pPr>
      <w:r>
        <w:rPr>
          <w:rFonts w:ascii="Arial" w:cs="Arial" w:eastAsia="Arial" w:hAnsi="Arial"/>
          <w:sz w:val="17"/>
          <w:szCs w:val="17"/>
          <w:color w:val="auto"/>
        </w:rPr>
        <w:t>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5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26416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1300" w:hanging="64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ONE OF (a) OR (b)]</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 o a beneficial interest in the: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o 144A Global Note (CUSIP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11" w:lineRule="exact"/>
        <w:rPr>
          <w:sz w:val="20"/>
          <w:szCs w:val="20"/>
          <w:color w:val="auto"/>
        </w:rPr>
      </w:pPr>
    </w:p>
    <w:p>
      <w:pPr>
        <w:sectPr>
          <w:pgSz w:w="11900" w:h="16838" w:orient="portrait"/>
          <w:cols w:equalWidth="0" w:num="2">
            <w:col w:w="4720" w:space="460"/>
            <w:col w:w="6240"/>
          </w:cols>
          <w:pgMar w:left="240" w:top="125" w:right="239" w:bottom="0" w:gutter="0" w:footer="0" w:header="0"/>
          <w:type w:val="continuous"/>
        </w:sectPr>
      </w:pPr>
    </w:p>
    <w:p>
      <w:pPr>
        <w:spacing w:after="0" w:line="37"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o Regulation S Global Note (CUSIP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5260" w:space="460"/>
            <w:col w:w="5700"/>
          </w:cols>
          <w:pgMar w:left="240" w:top="125" w:right="239" w:bottom="0" w:gutter="0" w:footer="0" w:header="0"/>
          <w:type w:val="continuous"/>
        </w:sectPr>
      </w:pPr>
    </w:p>
    <w:p>
      <w:pPr>
        <w:spacing w:after="0" w:line="48"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17"/>
          <w:szCs w:val="17"/>
          <w:color w:val="auto"/>
        </w:rPr>
        <w:t>(iii)</w:t>
      </w:r>
      <w:r>
        <w:rPr>
          <w:sz w:val="20"/>
          <w:szCs w:val="20"/>
          <w:color w:val="auto"/>
        </w:rPr>
        <w:tab/>
      </w:r>
      <w:r>
        <w:rPr>
          <w:rFonts w:ascii="Arial" w:cs="Arial" w:eastAsia="Arial" w:hAnsi="Arial"/>
          <w:sz w:val="17"/>
          <w:szCs w:val="17"/>
          <w:color w:val="auto"/>
        </w:rPr>
        <w:t>o IAI Global Note (CUSIP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11" w:lineRule="exact"/>
        <w:rPr>
          <w:sz w:val="20"/>
          <w:szCs w:val="20"/>
          <w:color w:val="auto"/>
        </w:rPr>
      </w:pPr>
    </w:p>
    <w:p>
      <w:pPr>
        <w:sectPr>
          <w:pgSz w:w="11900" w:h="16838" w:orient="portrait"/>
          <w:cols w:equalWidth="0" w:num="2">
            <w:col w:w="4580" w:space="460"/>
            <w:col w:w="6380"/>
          </w:cols>
          <w:pgMar w:left="240" w:top="125" w:right="239" w:bottom="0" w:gutter="0" w:footer="0" w:header="0"/>
          <w:type w:val="continuous"/>
        </w:sectPr>
      </w:pPr>
    </w:p>
    <w:p>
      <w:pPr>
        <w:spacing w:after="0" w:line="37" w:lineRule="exact"/>
        <w:rPr>
          <w:sz w:val="20"/>
          <w:szCs w:val="20"/>
          <w:color w:val="auto"/>
        </w:rPr>
      </w:pPr>
    </w:p>
    <w:p>
      <w:pPr>
        <w:ind w:left="2000" w:hanging="294"/>
        <w:spacing w:after="0"/>
        <w:tabs>
          <w:tab w:leader="none" w:pos="20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 a Restricted Definitive Note.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w w:val="95"/>
              </w:rPr>
              <w:t>[CHECK ONE]</w:t>
            </w:r>
          </w:p>
        </w:tc>
      </w:tr>
      <w:tr>
        <w:trPr>
          <w:trHeight w:val="432"/>
        </w:trPr>
        <w:tc>
          <w:tcPr>
            <w:tcW w:w="3180" w:type="dxa"/>
            <w:vAlign w:val="bottom"/>
            <w:gridSpan w:val="3"/>
          </w:tcPr>
          <w:p>
            <w:pPr>
              <w:spacing w:after="0"/>
              <w:rPr>
                <w:sz w:val="20"/>
                <w:szCs w:val="20"/>
                <w:color w:val="auto"/>
              </w:rPr>
            </w:pPr>
            <w:r>
              <w:rPr>
                <w:rFonts w:ascii="Arial" w:cs="Arial" w:eastAsia="Arial" w:hAnsi="Arial"/>
                <w:sz w:val="18"/>
                <w:szCs w:val="18"/>
                <w:color w:val="auto"/>
              </w:rPr>
              <w:t>(a) o a beneficial interest in the:</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760" w:type="dxa"/>
            <w:vAlign w:val="bottom"/>
          </w:tcPr>
          <w:p>
            <w:pPr>
              <w:ind w:left="340"/>
              <w:spacing w:after="0"/>
              <w:rPr>
                <w:sz w:val="20"/>
                <w:szCs w:val="20"/>
                <w:color w:val="auto"/>
              </w:rPr>
            </w:pPr>
            <w:r>
              <w:rPr>
                <w:rFonts w:ascii="Arial" w:cs="Arial" w:eastAsia="Arial" w:hAnsi="Arial"/>
                <w:sz w:val="18"/>
                <w:szCs w:val="18"/>
                <w:color w:val="auto"/>
              </w:rPr>
              <w:t>(i)</w:t>
            </w: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rPr>
              <w:t>o 144A Global Note (CUSIP</w:t>
            </w:r>
          </w:p>
        </w:tc>
        <w:tc>
          <w:tcPr>
            <w:tcW w:w="700" w:type="dxa"/>
            <w:vAlign w:val="bottom"/>
          </w:tcPr>
          <w:p>
            <w:pPr>
              <w:ind w:left="300"/>
              <w:spacing w:after="0"/>
              <w:rPr>
                <w:sz w:val="20"/>
                <w:szCs w:val="20"/>
                <w:color w:val="auto"/>
              </w:rPr>
            </w:pPr>
            <w:r>
              <w:rPr>
                <w:rFonts w:ascii="Arial" w:cs="Arial" w:eastAsia="Arial" w:hAnsi="Arial"/>
                <w:sz w:val="18"/>
                <w:szCs w:val="18"/>
                <w:color w:val="auto"/>
              </w:rPr>
              <w:t>), or</w:t>
            </w:r>
          </w:p>
        </w:tc>
        <w:tc>
          <w:tcPr>
            <w:tcW w:w="700" w:type="dxa"/>
            <w:vAlign w:val="bottom"/>
          </w:tcPr>
          <w:p>
            <w:pPr>
              <w:spacing w:after="0"/>
              <w:rPr>
                <w:sz w:val="24"/>
                <w:szCs w:val="24"/>
                <w:color w:val="auto"/>
              </w:rPr>
            </w:pPr>
          </w:p>
        </w:tc>
      </w:tr>
      <w:tr>
        <w:trPr>
          <w:trHeight w:val="432"/>
        </w:trPr>
        <w:tc>
          <w:tcPr>
            <w:tcW w:w="760" w:type="dxa"/>
            <w:vAlign w:val="bottom"/>
          </w:tcPr>
          <w:p>
            <w:pPr>
              <w:ind w:left="340"/>
              <w:spacing w:after="0"/>
              <w:rPr>
                <w:sz w:val="20"/>
                <w:szCs w:val="20"/>
                <w:color w:val="auto"/>
              </w:rPr>
            </w:pPr>
            <w:r>
              <w:rPr>
                <w:rFonts w:ascii="Arial" w:cs="Arial" w:eastAsia="Arial" w:hAnsi="Arial"/>
                <w:sz w:val="18"/>
                <w:szCs w:val="18"/>
                <w:color w:val="auto"/>
              </w:rPr>
              <w:t>(ii)</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o</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Regulation S Global Note (CUSIP</w:t>
            </w:r>
          </w:p>
        </w:tc>
        <w:tc>
          <w:tcPr>
            <w:tcW w:w="700" w:type="dxa"/>
            <w:vAlign w:val="bottom"/>
          </w:tcPr>
          <w:p>
            <w:pPr>
              <w:ind w:left="140"/>
              <w:spacing w:after="0"/>
              <w:rPr>
                <w:sz w:val="20"/>
                <w:szCs w:val="20"/>
                <w:color w:val="auto"/>
              </w:rPr>
            </w:pPr>
            <w:r>
              <w:rPr>
                <w:rFonts w:ascii="Arial" w:cs="Arial" w:eastAsia="Arial" w:hAnsi="Arial"/>
                <w:sz w:val="18"/>
                <w:szCs w:val="18"/>
                <w:color w:val="auto"/>
              </w:rPr>
              <w:t>), or</w:t>
            </w:r>
          </w:p>
        </w:tc>
      </w:tr>
      <w:tr>
        <w:trPr>
          <w:trHeight w:val="432"/>
        </w:trPr>
        <w:tc>
          <w:tcPr>
            <w:tcW w:w="760" w:type="dxa"/>
            <w:vAlign w:val="bottom"/>
          </w:tcPr>
          <w:p>
            <w:pPr>
              <w:ind w:left="340"/>
              <w:spacing w:after="0"/>
              <w:rPr>
                <w:sz w:val="20"/>
                <w:szCs w:val="20"/>
                <w:color w:val="auto"/>
              </w:rPr>
            </w:pPr>
            <w:r>
              <w:rPr>
                <w:rFonts w:ascii="Arial" w:cs="Arial" w:eastAsia="Arial" w:hAnsi="Arial"/>
                <w:sz w:val="18"/>
                <w:szCs w:val="18"/>
                <w:color w:val="auto"/>
              </w:rPr>
              <w:t>(iii)</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o</w:t>
            </w:r>
          </w:p>
        </w:tc>
        <w:tc>
          <w:tcPr>
            <w:tcW w:w="2140" w:type="dxa"/>
            <w:vAlign w:val="bottom"/>
          </w:tcPr>
          <w:p>
            <w:pPr>
              <w:ind w:left="60"/>
              <w:spacing w:after="0"/>
              <w:rPr>
                <w:sz w:val="20"/>
                <w:szCs w:val="20"/>
                <w:color w:val="auto"/>
              </w:rPr>
            </w:pPr>
            <w:r>
              <w:rPr>
                <w:rFonts w:ascii="Arial" w:cs="Arial" w:eastAsia="Arial" w:hAnsi="Arial"/>
                <w:sz w:val="18"/>
                <w:szCs w:val="18"/>
                <w:color w:val="auto"/>
              </w:rPr>
              <w:t>IAI Global Note (CUSIP</w:t>
            </w:r>
          </w:p>
        </w:tc>
        <w:tc>
          <w:tcPr>
            <w:tcW w:w="700" w:type="dxa"/>
            <w:vAlign w:val="bottom"/>
          </w:tcPr>
          <w:p>
            <w:pPr>
              <w:ind w:left="160"/>
              <w:spacing w:after="0"/>
              <w:rPr>
                <w:sz w:val="20"/>
                <w:szCs w:val="20"/>
                <w:color w:val="auto"/>
              </w:rPr>
            </w:pPr>
            <w:r>
              <w:rPr>
                <w:rFonts w:ascii="Arial" w:cs="Arial" w:eastAsia="Arial" w:hAnsi="Arial"/>
                <w:sz w:val="18"/>
                <w:szCs w:val="18"/>
                <w:color w:val="auto"/>
              </w:rPr>
              <w:t>); or</w:t>
            </w:r>
          </w:p>
        </w:tc>
        <w:tc>
          <w:tcPr>
            <w:tcW w:w="700" w:type="dxa"/>
            <w:vAlign w:val="bottom"/>
          </w:tcPr>
          <w:p>
            <w:pPr>
              <w:spacing w:after="0"/>
              <w:rPr>
                <w:sz w:val="24"/>
                <w:szCs w:val="24"/>
                <w:color w:val="auto"/>
              </w:rPr>
            </w:pPr>
          </w:p>
        </w:tc>
      </w:tr>
      <w:tr>
        <w:trPr>
          <w:trHeight w:val="432"/>
        </w:trPr>
        <w:tc>
          <w:tcPr>
            <w:tcW w:w="760" w:type="dxa"/>
            <w:vAlign w:val="bottom"/>
          </w:tcPr>
          <w:p>
            <w:pPr>
              <w:ind w:left="340"/>
              <w:spacing w:after="0"/>
              <w:rPr>
                <w:sz w:val="20"/>
                <w:szCs w:val="20"/>
                <w:color w:val="auto"/>
              </w:rPr>
            </w:pPr>
            <w:r>
              <w:rPr>
                <w:rFonts w:ascii="Arial" w:cs="Arial" w:eastAsia="Arial" w:hAnsi="Arial"/>
                <w:sz w:val="18"/>
                <w:szCs w:val="18"/>
                <w:color w:val="auto"/>
              </w:rPr>
              <w:t>(iv)</w:t>
            </w:r>
          </w:p>
        </w:tc>
        <w:tc>
          <w:tcPr>
            <w:tcW w:w="280" w:type="dxa"/>
            <w:vAlign w:val="bottom"/>
          </w:tcPr>
          <w:p>
            <w:pPr>
              <w:ind w:left="140"/>
              <w:spacing w:after="0"/>
              <w:rPr>
                <w:sz w:val="20"/>
                <w:szCs w:val="20"/>
                <w:color w:val="auto"/>
              </w:rPr>
            </w:pPr>
            <w:r>
              <w:rPr>
                <w:rFonts w:ascii="Arial" w:cs="Arial" w:eastAsia="Arial" w:hAnsi="Arial"/>
                <w:sz w:val="18"/>
                <w:szCs w:val="18"/>
                <w:color w:val="auto"/>
              </w:rPr>
              <w:t>o</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Unrestricted Global Note (CUSIP</w:t>
            </w:r>
          </w:p>
        </w:tc>
        <w:tc>
          <w:tcPr>
            <w:tcW w:w="700" w:type="dxa"/>
            <w:vAlign w:val="bottom"/>
          </w:tcPr>
          <w:p>
            <w:pPr>
              <w:ind w:left="80"/>
              <w:spacing w:after="0"/>
              <w:rPr>
                <w:sz w:val="20"/>
                <w:szCs w:val="20"/>
                <w:color w:val="auto"/>
              </w:rPr>
            </w:pPr>
            <w:r>
              <w:rPr>
                <w:rFonts w:ascii="Arial" w:cs="Arial" w:eastAsia="Arial" w:hAnsi="Arial"/>
                <w:sz w:val="18"/>
                <w:szCs w:val="18"/>
                <w:color w:val="auto"/>
              </w:rPr>
              <w:t>); or</w:t>
            </w:r>
          </w:p>
        </w:tc>
      </w:tr>
    </w:tbl>
    <w:p>
      <w:pPr>
        <w:spacing w:after="0" w:line="202" w:lineRule="exact"/>
        <w:rPr>
          <w:sz w:val="20"/>
          <w:szCs w:val="20"/>
          <w:color w:val="auto"/>
        </w:rPr>
      </w:pPr>
    </w:p>
    <w:p>
      <w:pPr>
        <w:ind w:left="2000" w:hanging="294"/>
        <w:spacing w:after="0"/>
        <w:tabs>
          <w:tab w:leader="none" w:pos="2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 a Restricted Definitive Note; or</w:t>
      </w:r>
    </w:p>
    <w:p>
      <w:pPr>
        <w:spacing w:after="0" w:line="225" w:lineRule="exact"/>
        <w:rPr>
          <w:rFonts w:ascii="Arial" w:cs="Arial" w:eastAsia="Arial" w:hAnsi="Arial"/>
          <w:sz w:val="18"/>
          <w:szCs w:val="18"/>
          <w:color w:val="auto"/>
        </w:rPr>
      </w:pPr>
    </w:p>
    <w:p>
      <w:pPr>
        <w:ind w:left="2000" w:hanging="294"/>
        <w:spacing w:after="0"/>
        <w:tabs>
          <w:tab w:leader="none" w:pos="2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 an Unrestricted Definitive Note,</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in accordance with the terms of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5.750% Senior Notes due 2025</w:t>
      </w:r>
    </w:p>
    <w:p>
      <w:pPr>
        <w:sectPr>
          <w:pgSz w:w="11900" w:h="16838" w:orient="portrait"/>
          <w:cols w:equalWidth="0" w:num="1">
            <w:col w:w="11420"/>
          </w:cols>
          <w:pgMar w:left="240" w:top="125" w:right="239" w:bottom="0" w:gutter="0" w:footer="0" w:header="0"/>
          <w:type w:val="continuous"/>
        </w:sectPr>
      </w:pPr>
    </w:p>
    <w:bookmarkStart w:id="55" w:name="page56"/>
    <w:bookmarkEnd w:id="55"/>
    <w:p>
      <w:pPr>
        <w:ind w:left="5120"/>
        <w:spacing w:after="0"/>
        <w:tabs>
          <w:tab w:leader="none" w:pos="6180" w:val="left"/>
        </w:tabs>
        <w:rPr>
          <w:sz w:val="20"/>
          <w:szCs w:val="20"/>
          <w:color w:val="auto"/>
        </w:rPr>
      </w:pPr>
      <w:r>
        <w:rPr>
          <w:rFonts w:ascii="Arial" w:cs="Arial" w:eastAsia="Arial" w:hAnsi="Arial"/>
          <w:sz w:val="18"/>
          <w:szCs w:val="18"/>
          <w:color w:val="auto"/>
        </w:rPr>
        <w:t>(CUSIP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Reference is hereby made to the Indenture, dated as of October 1, 2018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 principal amount of</w:t>
      </w:r>
    </w:p>
    <w:p>
      <w:pPr>
        <w:spacing w:after="0" w:line="46" w:lineRule="exact"/>
        <w:rPr>
          <w:sz w:val="20"/>
          <w:szCs w:val="20"/>
          <w:color w:val="auto"/>
        </w:rPr>
      </w:pPr>
    </w:p>
    <w:p>
      <w:pPr>
        <w:ind w:left="680" w:hanging="672"/>
        <w:spacing w:after="0"/>
        <w:tabs>
          <w:tab w:leader="none" w:pos="6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p>
      <w:pPr>
        <w:spacing w:after="0" w:line="206" w:lineRule="exact"/>
        <w:rPr>
          <w:rFonts w:ascii="Arial" w:cs="Arial" w:eastAsia="Arial" w:hAnsi="Arial"/>
          <w:sz w:val="18"/>
          <w:szCs w:val="18"/>
          <w:color w:val="auto"/>
        </w:rPr>
      </w:pPr>
    </w:p>
    <w:p>
      <w:pPr>
        <w:ind w:right="420" w:firstLine="656"/>
        <w:spacing w:after="0" w:line="282" w:lineRule="auto"/>
        <w:tabs>
          <w:tab w:leader="none" w:pos="1296" w:val="left"/>
        </w:tabs>
        <w:numPr>
          <w:ilvl w:val="1"/>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2" w:lineRule="exact"/>
        <w:rPr>
          <w:sz w:val="20"/>
          <w:szCs w:val="20"/>
          <w:color w:val="auto"/>
        </w:rPr>
      </w:pPr>
    </w:p>
    <w:p>
      <w:pPr>
        <w:ind w:right="120" w:firstLine="656"/>
        <w:spacing w:after="0" w:line="273" w:lineRule="auto"/>
        <w:tabs>
          <w:tab w:leader="none" w:pos="93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beneficial interest in a Restricted Global Note to beneficial interest in an Unrestricted Global Note</w:t>
      </w:r>
      <w:r>
        <w:rPr>
          <w:rFonts w:ascii="Arial" w:cs="Arial" w:eastAsia="Arial" w:hAnsi="Arial"/>
          <w:sz w:val="17"/>
          <w:szCs w:val="17"/>
          <w:color w:val="auto"/>
        </w:rPr>
        <w:t>.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2" w:lineRule="exact"/>
        <w:rPr>
          <w:rFonts w:ascii="Arial" w:cs="Arial" w:eastAsia="Arial" w:hAnsi="Arial"/>
          <w:sz w:val="17"/>
          <w:szCs w:val="17"/>
          <w:color w:val="auto"/>
        </w:rPr>
      </w:pPr>
    </w:p>
    <w:p>
      <w:pPr>
        <w:ind w:firstLine="656"/>
        <w:spacing w:after="0" w:line="256" w:lineRule="auto"/>
        <w:tabs>
          <w:tab w:leader="none" w:pos="94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Exchange is from beneficial interest in a Restricted Global Note to Unrestricted Definitive Note</w:t>
      </w:r>
      <w:r>
        <w:rPr>
          <w:rFonts w:ascii="Arial" w:cs="Arial" w:eastAsia="Arial" w:hAnsi="Arial"/>
          <w:sz w:val="18"/>
          <w:szCs w:val="18"/>
          <w:color w:val="auto"/>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56"/>
        <w:spacing w:after="0" w:line="274" w:lineRule="auto"/>
        <w:tabs>
          <w:tab w:leader="none" w:pos="93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Restricted Definitive Note to beneficial interest in an Unrestricted Global Note</w:t>
      </w:r>
      <w:r>
        <w:rPr>
          <w:rFonts w:ascii="Arial" w:cs="Arial" w:eastAsia="Arial" w:hAnsi="Arial"/>
          <w:sz w:val="17"/>
          <w:szCs w:val="17"/>
          <w:color w:val="auto"/>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ind w:right="80" w:firstLine="656"/>
        <w:spacing w:after="0" w:line="256" w:lineRule="auto"/>
        <w:tabs>
          <w:tab w:leader="none" w:pos="94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Exchange is from Restricted Definitive Note to Unrestricted Definitive Note</w:t>
      </w:r>
      <w:r>
        <w:rPr>
          <w:rFonts w:ascii="Arial" w:cs="Arial" w:eastAsia="Arial" w:hAnsi="Arial"/>
          <w:sz w:val="18"/>
          <w:szCs w:val="18"/>
          <w:color w:val="auto"/>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88" w:lineRule="exact"/>
        <w:rPr>
          <w:sz w:val="20"/>
          <w:szCs w:val="20"/>
          <w:color w:val="auto"/>
        </w:rPr>
      </w:pPr>
    </w:p>
    <w:p>
      <w:pPr>
        <w:ind w:right="680" w:firstLine="656"/>
        <w:spacing w:after="0" w:line="282" w:lineRule="auto"/>
        <w:tabs>
          <w:tab w:leader="none" w:pos="1296"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62" w:lineRule="exact"/>
        <w:rPr>
          <w:sz w:val="20"/>
          <w:szCs w:val="20"/>
          <w:color w:val="auto"/>
        </w:rPr>
      </w:pPr>
    </w:p>
    <w:p>
      <w:pPr>
        <w:ind w:firstLine="656"/>
        <w:spacing w:after="0" w:line="277" w:lineRule="auto"/>
        <w:tabs>
          <w:tab w:leader="none" w:pos="93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beneficial interest in a Restricted Global Note to Restricted Definitive Note.</w:t>
      </w:r>
      <w:r>
        <w:rPr>
          <w:rFonts w:ascii="Arial" w:cs="Arial" w:eastAsia="Arial" w:hAnsi="Arial"/>
          <w:sz w:val="17"/>
          <w:szCs w:val="17"/>
          <w:color w:val="auto"/>
        </w:rPr>
        <w:t xml:space="preserv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68" w:lineRule="exact"/>
        <w:rPr>
          <w:rFonts w:ascii="Arial" w:cs="Arial" w:eastAsia="Arial" w:hAnsi="Arial"/>
          <w:sz w:val="17"/>
          <w:szCs w:val="17"/>
          <w:color w:val="auto"/>
        </w:rPr>
      </w:pPr>
    </w:p>
    <w:p>
      <w:pPr>
        <w:ind w:right="20" w:firstLine="656"/>
        <w:spacing w:after="0" w:line="273" w:lineRule="auto"/>
        <w:tabs>
          <w:tab w:leader="none" w:pos="94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Restricted Definitive Note to beneficial interest in a Restricted Global Note</w:t>
      </w:r>
      <w:r>
        <w:rPr>
          <w:rFonts w:ascii="Arial" w:cs="Arial" w:eastAsia="Arial" w:hAnsi="Arial"/>
          <w:sz w:val="17"/>
          <w:szCs w:val="17"/>
          <w:color w:val="auto"/>
        </w:rPr>
        <w:t>. In connection with the Exchange of the Owner’s Restricted Definitive Note for a beneficial interest in the [CHECK ONE] o 144A Global Note, o Regulation S Global Note, o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341"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1299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5.750% Senior Notes due 2025</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Reference is hereby made to the Indenture, dated as of October 1, 2018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1" w:lineRule="exact"/>
        <w:rPr>
          <w:sz w:val="20"/>
          <w:szCs w:val="20"/>
          <w:color w:val="auto"/>
        </w:rPr>
      </w:pPr>
    </w:p>
    <w:p>
      <w:pPr>
        <w:ind w:left="660"/>
        <w:spacing w:after="0"/>
        <w:tabs>
          <w:tab w:leader="none" w:pos="458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6"/>
          <w:szCs w:val="16"/>
          <w:color w:val="auto"/>
        </w:rPr>
        <w:t>aggregate principal amount of:</w:t>
      </w:r>
    </w:p>
    <w:p>
      <w:pPr>
        <w:spacing w:after="0" w:line="225" w:lineRule="exact"/>
        <w:rPr>
          <w:sz w:val="20"/>
          <w:szCs w:val="20"/>
          <w:color w:val="auto"/>
        </w:rPr>
      </w:pPr>
    </w:p>
    <w:p>
      <w:pPr>
        <w:ind w:left="940" w:hanging="284"/>
        <w:spacing w:after="0"/>
        <w:tabs>
          <w:tab w:leader="none" w:pos="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 a beneficial interest in a Global Note, or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 a Definitive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ind w:right="80" w:firstLine="656"/>
        <w:spacing w:after="0" w:line="286" w:lineRule="auto"/>
        <w:tabs>
          <w:tab w:leader="none" w:pos="1296" w:val="left"/>
        </w:tabs>
        <w:numPr>
          <w:ilvl w:val="1"/>
          <w:numId w:val="169"/>
        </w:numPr>
        <w:rPr>
          <w:rFonts w:ascii="Arial" w:cs="Arial" w:eastAsia="Arial" w:hAnsi="Arial"/>
          <w:sz w:val="17"/>
          <w:szCs w:val="17"/>
          <w:color w:val="auto"/>
        </w:rPr>
      </w:pPr>
      <w:r>
        <w:rPr>
          <w:rFonts w:ascii="Arial" w:cs="Arial" w:eastAsia="Arial" w:hAnsi="Arial"/>
          <w:sz w:val="17"/>
          <w:szCs w:val="17"/>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20" w:firstLine="656"/>
        <w:spacing w:after="0" w:line="284" w:lineRule="auto"/>
        <w:tabs>
          <w:tab w:leader="none" w:pos="1296" w:val="left"/>
        </w:tabs>
        <w:numPr>
          <w:ilvl w:val="1"/>
          <w:numId w:val="169"/>
        </w:numPr>
        <w:rPr>
          <w:rFonts w:ascii="Arial" w:cs="Arial" w:eastAsia="Arial" w:hAnsi="Arial"/>
          <w:sz w:val="16"/>
          <w:szCs w:val="16"/>
          <w:color w:val="auto"/>
        </w:rPr>
      </w:pPr>
      <w:r>
        <w:rPr>
          <w:rFonts w:ascii="Arial" w:cs="Arial" w:eastAsia="Arial" w:hAnsi="Arial"/>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 under the Securities Act or</w:t>
      </w:r>
    </w:p>
    <w:p>
      <w:pPr>
        <w:spacing w:after="0" w:line="1" w:lineRule="exact"/>
        <w:rPr>
          <w:rFonts w:ascii="Arial" w:cs="Arial" w:eastAsia="Arial" w:hAnsi="Arial"/>
          <w:sz w:val="16"/>
          <w:szCs w:val="16"/>
          <w:color w:val="auto"/>
        </w:rPr>
      </w:pPr>
    </w:p>
    <w:p>
      <w:pPr>
        <w:ind w:right="240" w:firstLine="8"/>
        <w:spacing w:after="0" w:line="255" w:lineRule="auto"/>
        <w:tabs>
          <w:tab w:leader="none" w:pos="26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60" w:firstLine="656"/>
        <w:spacing w:after="0" w:line="312" w:lineRule="auto"/>
        <w:tabs>
          <w:tab w:leader="none" w:pos="129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46" w:lineRule="exact"/>
        <w:rPr>
          <w:rFonts w:ascii="Arial" w:cs="Arial" w:eastAsia="Arial" w:hAnsi="Arial"/>
          <w:sz w:val="16"/>
          <w:szCs w:val="16"/>
          <w:color w:val="auto"/>
        </w:rPr>
      </w:pPr>
    </w:p>
    <w:p>
      <w:pPr>
        <w:ind w:firstLine="656"/>
        <w:spacing w:after="0" w:line="264"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1" w:lineRule="exact"/>
        <w:rPr>
          <w:rFonts w:ascii="Arial" w:cs="Arial" w:eastAsia="Arial" w:hAnsi="Arial"/>
          <w:sz w:val="18"/>
          <w:szCs w:val="18"/>
          <w:color w:val="auto"/>
        </w:rPr>
      </w:pPr>
    </w:p>
    <w:p>
      <w:pPr>
        <w:ind w:right="60" w:firstLine="656"/>
        <w:spacing w:after="0" w:line="277"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40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57" w:name="page58"/>
    <w:bookmarkEnd w:id="57"/>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1216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 among (the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 subsidiary of Clearway Energy Operating LLC (or its permitted successor),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4"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right="20" w:firstLine="656"/>
        <w:spacing w:after="0" w:line="257"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ind w:right="80" w:firstLine="656"/>
        <w:spacing w:after="0" w:line="264"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77" w:lineRule="auto"/>
        <w:tabs>
          <w:tab w:leader="none" w:pos="129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right="460" w:firstLine="656"/>
        <w:spacing w:after="0" w:line="264" w:lineRule="auto"/>
        <w:tabs>
          <w:tab w:leader="none" w:pos="129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ectPr>
          <w:pgSz w:w="11900" w:h="16838" w:orient="portrait"/>
          <w:cols w:equalWidth="0" w:num="1">
            <w:col w:w="11420"/>
          </w:cols>
          <w:pgMar w:left="240" w:top="125" w:right="239" w:bottom="0" w:gutter="0" w:footer="0" w:header="0"/>
        </w:sectPr>
      </w:pPr>
    </w:p>
    <w:bookmarkStart w:id="58" w:name="page59"/>
    <w:bookmarkEnd w:id="58"/>
    <w:p>
      <w:pPr>
        <w:spacing w:after="0"/>
        <w:tabs>
          <w:tab w:leader="none" w:pos="12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-130810</wp:posOffset>
            </wp:positionV>
            <wp:extent cx="32670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CLEARWAY ENERGY OPERATING LLC</w:t>
      </w:r>
    </w:p>
    <w:p>
      <w:pPr>
        <w:spacing w:after="0" w:line="23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-130810</wp:posOffset>
            </wp:positionV>
            <wp:extent cx="32670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[EXISTING GUARANTORS]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-130810</wp:posOffset>
            </wp:positionV>
            <wp:extent cx="32670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[TRUSTEE],</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-130810</wp:posOffset>
            </wp:positionV>
            <wp:extent cx="32670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CLEARWAY ENERGY OPERATING LLC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$600,000,000 5.750% Senior Notes Due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5.750% Senior Notes due 2025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October 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Representative of the Initial Purchasers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Clearway Energy Operating LLC, a limited liability company organized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sell to the several parties in Schedule I hereto (each, an “</w:t>
      </w:r>
      <w:r>
        <w:rPr>
          <w:rFonts w:ascii="Arial" w:cs="Arial" w:eastAsia="Arial" w:hAnsi="Arial"/>
          <w:sz w:val="18"/>
          <w:szCs w:val="18"/>
          <w:b w:val="1"/>
          <w:bCs w:val="1"/>
          <w:color w:val="auto"/>
        </w:rPr>
        <w:t>Initial Purchaser</w:t>
      </w:r>
      <w:r>
        <w:rPr>
          <w:rFonts w:ascii="Arial" w:cs="Arial" w:eastAsia="Arial" w:hAnsi="Arial"/>
          <w:sz w:val="18"/>
          <w:szCs w:val="18"/>
          <w:color w:val="auto"/>
        </w:rPr>
        <w:t>” and collectively, the “</w:t>
      </w:r>
      <w:r>
        <w:rPr>
          <w:rFonts w:ascii="Arial" w:cs="Arial" w:eastAsia="Arial" w:hAnsi="Arial"/>
          <w:sz w:val="18"/>
          <w:szCs w:val="18"/>
          <w:b w:val="1"/>
          <w:bCs w:val="1"/>
          <w:color w:val="auto"/>
        </w:rPr>
        <w:t>Initial Purchasers</w:t>
      </w:r>
      <w:r>
        <w:rPr>
          <w:rFonts w:ascii="Arial" w:cs="Arial" w:eastAsia="Arial" w:hAnsi="Arial"/>
          <w:sz w:val="18"/>
          <w:szCs w:val="18"/>
          <w:color w:val="auto"/>
        </w:rPr>
        <w:t>”) for whom you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w:t>
      </w:r>
      <w:r>
        <w:rPr>
          <w:rFonts w:ascii="Arial" w:cs="Arial" w:eastAsia="Arial" w:hAnsi="Arial"/>
          <w:sz w:val="16"/>
          <w:szCs w:val="16"/>
          <w:color w:val="auto"/>
        </w:rPr>
        <w:t>”) are acting as representative, $600,000,000 principal amount of its 5.750% Senior Notes due 2025 (the “</w:t>
      </w:r>
      <w:r>
        <w:rPr>
          <w:rFonts w:ascii="Arial" w:cs="Arial" w:eastAsia="Arial" w:hAnsi="Arial"/>
          <w:sz w:val="16"/>
          <w:szCs w:val="16"/>
          <w:b w:val="1"/>
          <w:bCs w:val="1"/>
          <w:color w:val="auto"/>
        </w:rPr>
        <w:t>Notes</w:t>
      </w:r>
      <w:r>
        <w:rPr>
          <w:rFonts w:ascii="Arial" w:cs="Arial" w:eastAsia="Arial" w:hAnsi="Arial"/>
          <w:sz w:val="16"/>
          <w:szCs w:val="16"/>
          <w:color w:val="auto"/>
        </w:rPr>
        <w:t>”), upon the terms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dated as of September 17, 2018, among the Representative, the Company, Clearway Energy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Clearway LLC</w:t>
      </w:r>
      <w:r>
        <w:rPr>
          <w:rFonts w:ascii="Arial" w:cs="Arial" w:eastAsia="Arial" w:hAnsi="Arial"/>
          <w:sz w:val="17"/>
          <w:szCs w:val="17"/>
          <w:color w:val="auto"/>
        </w:rPr>
        <w:t>”) and the other guarantors listed on the signature pages thereto (the “</w:t>
      </w:r>
      <w:r>
        <w:rPr>
          <w:rFonts w:ascii="Arial" w:cs="Arial" w:eastAsia="Arial" w:hAnsi="Arial"/>
          <w:sz w:val="17"/>
          <w:szCs w:val="17"/>
          <w:b w:val="1"/>
          <w:bCs w:val="1"/>
          <w:color w:val="auto"/>
        </w:rPr>
        <w:t>Subsidiary Guarantors</w:t>
      </w:r>
      <w:r>
        <w:rPr>
          <w:rFonts w:ascii="Arial" w:cs="Arial" w:eastAsia="Arial" w:hAnsi="Arial"/>
          <w:sz w:val="17"/>
          <w:szCs w:val="17"/>
          <w:color w:val="auto"/>
        </w:rPr>
        <w:t>” and together with the Company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Clearway LLC, the “</w:t>
      </w:r>
      <w:r>
        <w:rPr>
          <w:rFonts w:ascii="Arial" w:cs="Arial" w:eastAsia="Arial" w:hAnsi="Arial"/>
          <w:sz w:val="16"/>
          <w:szCs w:val="16"/>
          <w:b w:val="1"/>
          <w:bCs w:val="1"/>
          <w:color w:val="auto"/>
        </w:rPr>
        <w:t>Issuers</w:t>
      </w:r>
      <w:r>
        <w:rPr>
          <w:rFonts w:ascii="Arial" w:cs="Arial" w:eastAsia="Arial" w:hAnsi="Arial"/>
          <w:sz w:val="16"/>
          <w:szCs w:val="16"/>
          <w:color w:val="auto"/>
        </w:rPr>
        <w:t>”) relating to the initial placement of the Notes (the “</w:t>
      </w:r>
      <w:r>
        <w:rPr>
          <w:rFonts w:ascii="Arial" w:cs="Arial" w:eastAsia="Arial" w:hAnsi="Arial"/>
          <w:sz w:val="16"/>
          <w:szCs w:val="16"/>
          <w:b w:val="1"/>
          <w:bCs w:val="1"/>
          <w:color w:val="auto"/>
        </w:rPr>
        <w:t>Initial Placement</w:t>
      </w:r>
      <w:r>
        <w:rPr>
          <w:rFonts w:ascii="Arial" w:cs="Arial" w:eastAsia="Arial" w:hAnsi="Arial"/>
          <w:sz w:val="16"/>
          <w:szCs w:val="16"/>
          <w:color w:val="auto"/>
        </w:rPr>
        <w:t>”). The Company’s obligations under the Notes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Indenture (as defined below) will be jointly and severally, unconditionally guaranteed (the “</w:t>
      </w:r>
      <w:r>
        <w:rPr>
          <w:rFonts w:ascii="Arial" w:cs="Arial" w:eastAsia="Arial" w:hAnsi="Arial"/>
          <w:sz w:val="17"/>
          <w:szCs w:val="17"/>
          <w:b w:val="1"/>
          <w:bCs w:val="1"/>
          <w:color w:val="auto"/>
        </w:rPr>
        <w:t>Guarantees</w:t>
      </w:r>
      <w:r>
        <w:rPr>
          <w:rFonts w:ascii="Arial" w:cs="Arial" w:eastAsia="Arial" w:hAnsi="Arial"/>
          <w:sz w:val="17"/>
          <w:szCs w:val="17"/>
          <w:color w:val="auto"/>
        </w:rPr>
        <w:t>”), on a senior basis, by Clearway LLC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Guarantors. The Notes and the Guarantees are herein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are to be issued under an indenture, dated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hereof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Clearway LLC, the Subsidiary Guarantors and Delaware Trust Company,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induce the Representative to enter into the Purchase Agreement and to satisfy a condition of your obligations thereunder, the Issuers agree with you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your benefit and the benefit of the holders from time to time of the Securities and Exchange Notes (including the Initial Purchasers) (each a “</w:t>
      </w:r>
      <w:r>
        <w:rPr>
          <w:rFonts w:ascii="Arial" w:cs="Arial" w:eastAsia="Arial" w:hAnsi="Arial"/>
          <w:sz w:val="16"/>
          <w:szCs w:val="16"/>
          <w:b w:val="1"/>
          <w:bCs w:val="1"/>
          <w:color w:val="auto"/>
        </w:rPr>
        <w:t>Holder</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Holders</w:t>
      </w:r>
      <w:r>
        <w:rPr>
          <w:rFonts w:ascii="Arial" w:cs="Arial" w:eastAsia="Arial" w:hAnsi="Arial"/>
          <w:sz w:val="18"/>
          <w:szCs w:val="18"/>
          <w:color w:val="auto"/>
        </w:rPr>
        <w:t>”), as follows:</w:t>
      </w:r>
    </w:p>
    <w:p>
      <w:pPr>
        <w:spacing w:after="0" w:line="211" w:lineRule="exact"/>
        <w:rPr>
          <w:sz w:val="20"/>
          <w:szCs w:val="20"/>
          <w:color w:val="auto"/>
        </w:rPr>
      </w:pPr>
    </w:p>
    <w:p>
      <w:pPr>
        <w:ind w:right="940" w:firstLine="1305"/>
        <w:spacing w:after="0" w:line="277" w:lineRule="auto"/>
        <w:tabs>
          <w:tab w:leader="none" w:pos="16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their respective meanings set forth in the Purchase Agreement. As used in this Agreement, the following capitalized defined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237"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have the meaning specified in Rule 405 under the Act and the terms “controlling” and “controlled” shall have meanings correlative thereto.</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Broker-Dealer</w:t>
      </w:r>
      <w:r>
        <w:rPr>
          <w:rFonts w:ascii="Arial" w:cs="Arial" w:eastAsia="Arial" w:hAnsi="Arial"/>
          <w:sz w:val="18"/>
          <w:szCs w:val="18"/>
          <w:color w:val="auto"/>
        </w:rPr>
        <w:t>” shall mean any broker or dealer registered as such under the Exchange Act.</w:t>
      </w:r>
    </w:p>
    <w:p>
      <w:pPr>
        <w:spacing w:after="0" w:line="225" w:lineRule="exact"/>
        <w:rPr>
          <w:sz w:val="20"/>
          <w:szCs w:val="20"/>
          <w:color w:val="auto"/>
        </w:rPr>
      </w:pPr>
    </w:p>
    <w:p>
      <w:pPr>
        <w:ind w:right="5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the first issuance of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Deferral Period</w:t>
      </w:r>
      <w:r>
        <w:rPr>
          <w:rFonts w:ascii="Arial" w:cs="Arial" w:eastAsia="Arial" w:hAnsi="Arial"/>
          <w:sz w:val="18"/>
          <w:szCs w:val="18"/>
          <w:color w:val="auto"/>
        </w:rPr>
        <w:t>” shall have the meaning indicated in Section 4(l) hereof.</w:t>
      </w:r>
    </w:p>
    <w:p>
      <w:pPr>
        <w:spacing w:after="0" w:line="225" w:lineRule="exact"/>
        <w:rPr>
          <w:sz w:val="20"/>
          <w:szCs w:val="20"/>
          <w:color w:val="auto"/>
        </w:rPr>
      </w:pPr>
    </w:p>
    <w:p>
      <w:pPr>
        <w:ind w:right="8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jc w:val="both"/>
        <w:ind w:right="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Exchanging Dealer</w:t>
      </w:r>
      <w:r>
        <w:rPr>
          <w:rFonts w:ascii="Arial" w:cs="Arial" w:eastAsia="Arial" w:hAnsi="Arial"/>
          <w:sz w:val="18"/>
          <w:szCs w:val="18"/>
          <w:color w:val="auto"/>
        </w:rPr>
        <w:t>” shall mean any Holder (which may include any Initial Purchaser) that is a Broker-Dealer and elects to exchange for Exchange Notes any Securities that it acquired for its own account as a result of market-making activities or other trading activities (but not directly from any Issuer or any Affiliate of any Issuer) for Exchange Notes.</w:t>
      </w:r>
    </w:p>
    <w:p>
      <w:pPr>
        <w:spacing w:after="0" w:line="176"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Notes</w:t>
      </w:r>
      <w:r>
        <w:rPr>
          <w:rFonts w:ascii="Arial" w:cs="Arial" w:eastAsia="Arial" w:hAnsi="Arial"/>
          <w:sz w:val="18"/>
          <w:szCs w:val="18"/>
          <w:color w:val="auto"/>
        </w:rPr>
        <w:t>” shall mean debt securities of the Issuers identical in all material respects to the Securities (except that the transfer restrictions shall be modified or eliminated, as appropriate) to be issued under the Exchange Notes Indenture.</w:t>
      </w:r>
    </w:p>
    <w:p>
      <w:pPr>
        <w:spacing w:after="0" w:line="162"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Notes Indenture</w:t>
      </w:r>
      <w:r>
        <w:rPr>
          <w:rFonts w:ascii="Arial" w:cs="Arial" w:eastAsia="Arial" w:hAnsi="Arial"/>
          <w:sz w:val="18"/>
          <w:szCs w:val="18"/>
          <w:color w:val="auto"/>
        </w:rPr>
        <w:t>” shall mean an indenture among the Issuers and the Exchange Notes Trustee, identical in all material respects to the Indenture (except that the transfer restrictions shall be modified or eliminated, as appropriate), which may be the Indenture if in the terms thereof appropriate provision is made for the Exchange Notes.</w:t>
      </w:r>
    </w:p>
    <w:p>
      <w:pPr>
        <w:sectPr>
          <w:pgSz w:w="11900" w:h="16838" w:orient="portrait"/>
          <w:cols w:equalWidth="0" w:num="1">
            <w:col w:w="11420"/>
          </w:cols>
          <w:pgMar w:left="240" w:top="121" w:right="239" w:bottom="0" w:gutter="0" w:footer="0" w:header="0"/>
        </w:sectPr>
      </w:pPr>
    </w:p>
    <w:bookmarkStart w:id="60" w:name="page61"/>
    <w:bookmarkEnd w:id="60"/>
    <w:p>
      <w:pPr>
        <w:spacing w:after="0" w:line="24"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Notes Trustee</w:t>
      </w:r>
      <w:r>
        <w:rPr>
          <w:rFonts w:ascii="Arial" w:cs="Arial" w:eastAsia="Arial" w:hAnsi="Arial"/>
          <w:sz w:val="18"/>
          <w:szCs w:val="18"/>
          <w:color w:val="auto"/>
        </w:rPr>
        <w:t>” shall mean a bank or trust company reasonably satisfactory to the Representative, as trustee with respect to the Exchange Notes under the Exchange Notes Indenture.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Offer</w:t>
      </w:r>
      <w:r>
        <w:rPr>
          <w:rFonts w:ascii="Arial" w:cs="Arial" w:eastAsia="Arial" w:hAnsi="Arial"/>
          <w:sz w:val="18"/>
          <w:szCs w:val="18"/>
          <w:color w:val="auto"/>
        </w:rPr>
        <w:t>” shall mean the proposed offer of the Issuers to issue and deliver to the Holders of the Securities that are not prohibited by any law or policy of the Commission from participating in such offer, in exchange for the Securities, a like aggregate principal amount of the Exchange Notes.</w:t>
      </w:r>
    </w:p>
    <w:p>
      <w:pPr>
        <w:spacing w:after="0" w:line="176" w:lineRule="exact"/>
        <w:rPr>
          <w:sz w:val="20"/>
          <w:szCs w:val="20"/>
          <w:color w:val="auto"/>
        </w:rPr>
      </w:pPr>
    </w:p>
    <w:p>
      <w:pPr>
        <w:ind w:right="32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Offer Registration Period</w:t>
      </w:r>
      <w:r>
        <w:rPr>
          <w:rFonts w:ascii="Arial" w:cs="Arial" w:eastAsia="Arial" w:hAnsi="Arial"/>
          <w:sz w:val="16"/>
          <w:szCs w:val="16"/>
          <w:color w:val="auto"/>
        </w:rPr>
        <w:t>” shall mean the one-year period following the consummation of the Registered Exchange Offer, exclusive of any period during which any stop order shall be in effect suspending the effectiveness of the Exchange Offer Registration Statement.</w:t>
      </w:r>
    </w:p>
    <w:p>
      <w:pPr>
        <w:spacing w:after="0" w:line="116" w:lineRule="exact"/>
        <w:rPr>
          <w:sz w:val="20"/>
          <w:szCs w:val="20"/>
          <w:color w:val="auto"/>
        </w:rPr>
      </w:pPr>
    </w:p>
    <w:p>
      <w:pPr>
        <w:jc w:val="both"/>
        <w:ind w:right="28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Offer Registration Statement</w:t>
      </w:r>
      <w:r>
        <w:rPr>
          <w:rFonts w:ascii="Arial" w:cs="Arial" w:eastAsia="Arial" w:hAnsi="Arial"/>
          <w:sz w:val="17"/>
          <w:szCs w:val="17"/>
          <w:color w:val="auto"/>
        </w:rPr>
        <w:t>” shall mean a registration statement of the Issuers on an appropriate form under the Act with respect to the Registered Exchange Offer, all amendments and supplements to such registration statement, including post-effective amendments thereto, in each case including the Prospectus contained therein, all exhibits thereto and all material incorporated by reference therein.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Offering Memorandum</w:t>
      </w:r>
      <w:r>
        <w:rPr>
          <w:rFonts w:ascii="Arial" w:cs="Arial" w:eastAsia="Arial" w:hAnsi="Arial"/>
          <w:sz w:val="18"/>
          <w:szCs w:val="18"/>
          <w:color w:val="auto"/>
        </w:rPr>
        <w:t>” shall have the meaning set forth in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FINRA Rules</w:t>
      </w:r>
      <w:r>
        <w:rPr>
          <w:rFonts w:ascii="Arial" w:cs="Arial" w:eastAsia="Arial" w:hAnsi="Arial"/>
          <w:sz w:val="18"/>
          <w:szCs w:val="18"/>
          <w:color w:val="auto"/>
        </w:rPr>
        <w:t>” shall mean the Conduct Rules and the By-Laws of the Financial Industry Regulatory Authority.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Placement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have the meaning set forth in Section 6(d) hereof.</w:t>
      </w:r>
    </w:p>
    <w:p>
      <w:pPr>
        <w:spacing w:after="0" w:line="22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Holders</w:t>
      </w:r>
      <w:r>
        <w:rPr>
          <w:rFonts w:ascii="Arial" w:cs="Arial" w:eastAsia="Arial" w:hAnsi="Arial"/>
          <w:sz w:val="18"/>
          <w:szCs w:val="18"/>
          <w:color w:val="auto"/>
        </w:rPr>
        <w:t>” shall mean, the Holders of a majority of the aggregate principal amount of Securities and Exchange Notes registered under a Registration Statement.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Managing Underwriters</w:t>
      </w:r>
      <w:r>
        <w:rPr>
          <w:rFonts w:ascii="Arial" w:cs="Arial" w:eastAsia="Arial" w:hAnsi="Arial"/>
          <w:sz w:val="18"/>
          <w:szCs w:val="18"/>
          <w:color w:val="auto"/>
        </w:rPr>
        <w:t>” shall mean the investment banker or investment bankers and manager or managers that administer an underwritten offering, if any, under a Registration Statement.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9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62"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shall mean the prospectus included in any Registration Statement (including, without limitation, a prospectus that discloses information previously omitted from a prospectus filed as part of an effective registration statement in reliance upon Rule 430A under the Act), as amended or supplemented by any prospectus supplement, with respect to the terms of the offering of any portion of the Securities or the Exchange Notes covered by such Registration Statement, and all amendments and supplements thereto, including any and all exhibits thereto and any information incorporated by reference therein.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40" w:firstLine="133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shall mean each of the Notes (and the related Guarantee) until the earliest to occur of: (A) the date on which such Note (and the related Guarantee) has been exchanged by a Person other than a Broker-Dealer for an Exchange Note in the Exchange Offer; (B) following the exchange by a Broker-Dealer in the Exchange Offer of a Note (and the related Guarantee) for an Exchange Note, the date on which such Exchange Note is sold to a purchaser who receives from such Broker-Dealer on or prior to the date of such sale a copy of the Prospectus contained in the Exchange Offer Registration Statement; (C) the date on which such Note (and the related Guarantee) has been effectively registered under the Act and disposed of in accordance with the Shelf Registration Statement; or (D) the date on which such Note (and the related Guarantee) is actually sold pursuant to Rule 144 under the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Note will not cease to be a Registrable Security for purposes of the Exchange Offer by virtue of this clause (D).</w:t>
      </w:r>
    </w:p>
    <w:p>
      <w:pPr>
        <w:spacing w:after="0" w:line="162" w:lineRule="exact"/>
        <w:rPr>
          <w:sz w:val="20"/>
          <w:szCs w:val="20"/>
          <w:color w:val="auto"/>
        </w:rPr>
      </w:pPr>
    </w:p>
    <w:p>
      <w:pPr>
        <w:jc w:val="both"/>
        <w:ind w:right="260"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mean any Exchange Offer Registration Statement or Shelf Registration Statement that covers any of the Securities or the Exchange Notes pursuant to the provisions of this Agreement, any amendments and supplements to such registration statement, including post-effective amendments (in each case including the Prospectus contained therein), all exhibits thereto and all material incorporated by reference therein.</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shall have the meaning set forth in the preamble hereto.</w:t>
      </w:r>
    </w:p>
    <w:p>
      <w:pPr>
        <w:sectPr>
          <w:pgSz w:w="11900" w:h="16862" w:orient="portrait"/>
          <w:cols w:equalWidth="0" w:num="1">
            <w:col w:w="11420"/>
          </w:cols>
          <w:pgMar w:left="240" w:top="121" w:right="239" w:bottom="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62" w:orient="portrait"/>
          <w:cols w:equalWidth="0" w:num="1">
            <w:col w:w="11420"/>
          </w:cols>
          <w:pgMar w:left="240" w:top="121" w:right="239" w:bottom="0" w:gutter="0" w:footer="0" w:header="0"/>
          <w:type w:val="continuous"/>
        </w:sectPr>
      </w:pPr>
    </w:p>
    <w:bookmarkStart w:id="61" w:name="page62"/>
    <w:bookmarkEnd w:id="61"/>
    <w:p>
      <w:pPr>
        <w:ind w:left="1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Securities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w:t>
      </w:r>
      <w:r>
        <w:rPr>
          <w:rFonts w:ascii="Arial" w:cs="Arial" w:eastAsia="Arial" w:hAnsi="Arial"/>
          <w:sz w:val="18"/>
          <w:szCs w:val="18"/>
          <w:color w:val="auto"/>
        </w:rPr>
        <w:t>” shall mean a registration effected pursuant to Section 3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 Period</w:t>
      </w:r>
      <w:r>
        <w:rPr>
          <w:rFonts w:ascii="Arial" w:cs="Arial" w:eastAsia="Arial" w:hAnsi="Arial"/>
          <w:sz w:val="18"/>
          <w:szCs w:val="18"/>
          <w:color w:val="auto"/>
        </w:rPr>
        <w:t>” shall have the meaning set forth in Section 3(c) hereof.</w:t>
      </w:r>
    </w:p>
    <w:p>
      <w:pPr>
        <w:spacing w:after="0" w:line="225" w:lineRule="exact"/>
        <w:rPr>
          <w:sz w:val="20"/>
          <w:szCs w:val="20"/>
          <w:color w:val="auto"/>
        </w:rPr>
      </w:pPr>
    </w:p>
    <w:p>
      <w:pPr>
        <w:ind w:right="280"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Shelf Registration Statement</w:t>
      </w:r>
      <w:r>
        <w:rPr>
          <w:rFonts w:ascii="Arial" w:cs="Arial" w:eastAsia="Arial" w:hAnsi="Arial"/>
          <w:sz w:val="17"/>
          <w:szCs w:val="17"/>
          <w:color w:val="auto"/>
        </w:rPr>
        <w:t>” shall mean a “shelf” registration statement of the Issuers pursuant to the provisions of Section 3 hereof which covers some or all of the Securities or Exchange Notes, as applicable,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shall have the meaning set forth in Section 8 hereof.</w:t>
      </w:r>
    </w:p>
    <w:p>
      <w:pPr>
        <w:spacing w:after="0" w:line="225" w:lineRule="exact"/>
        <w:rPr>
          <w:sz w:val="20"/>
          <w:szCs w:val="20"/>
          <w:color w:val="auto"/>
        </w:rPr>
      </w:pPr>
    </w:p>
    <w:p>
      <w:pPr>
        <w:ind w:right="7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shall mean the Trust Indenture Act of 1939, as amended, and the rules and regulations of the Commission promulgated thereunder.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w:t>
      </w:r>
      <w:r>
        <w:rPr>
          <w:rFonts w:ascii="Arial" w:cs="Arial" w:eastAsia="Arial" w:hAnsi="Arial"/>
          <w:sz w:val="17"/>
          <w:szCs w:val="17"/>
          <w:color w:val="auto"/>
        </w:rPr>
        <w:t>” shall mean any underwriter of Securities in connection with an offering thereof under a Shelf Registration Statement.</w:t>
      </w:r>
    </w:p>
    <w:p>
      <w:pPr>
        <w:spacing w:after="0" w:line="241" w:lineRule="exact"/>
        <w:rPr>
          <w:sz w:val="20"/>
          <w:szCs w:val="20"/>
          <w:color w:val="auto"/>
        </w:rPr>
      </w:pPr>
    </w:p>
    <w:p>
      <w:pPr>
        <w:ind w:left="1620" w:hanging="315"/>
        <w:spacing w:after="0"/>
        <w:tabs>
          <w:tab w:leader="none" w:pos="162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Exchange Offer</w:t>
      </w:r>
      <w:r>
        <w:rPr>
          <w:rFonts w:ascii="Arial" w:cs="Arial" w:eastAsia="Arial" w:hAnsi="Arial"/>
          <w:sz w:val="18"/>
          <w:szCs w:val="18"/>
          <w:color w:val="auto"/>
        </w:rPr>
        <w:t>.</w:t>
      </w:r>
    </w:p>
    <w:p>
      <w:pPr>
        <w:spacing w:after="0" w:line="225" w:lineRule="exact"/>
        <w:rPr>
          <w:sz w:val="20"/>
          <w:szCs w:val="20"/>
          <w:color w:val="auto"/>
        </w:rPr>
      </w:pPr>
    </w:p>
    <w:p>
      <w:pPr>
        <w:ind w:left="1620" w:hanging="315"/>
        <w:spacing w:after="0"/>
        <w:tabs>
          <w:tab w:leader="none" w:pos="16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Unless the Exchange Offer would not be permitted by applicable law or Commission policy, the Issuers will:</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use all commercially reasonable efforts to cause to be filed with the Commission, after the Closing Date, a Registration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Statement; and</w:t>
      </w:r>
    </w:p>
    <w:p>
      <w:pPr>
        <w:spacing w:after="0" w:line="210" w:lineRule="exact"/>
        <w:rPr>
          <w:rFonts w:ascii="Arial" w:cs="Arial" w:eastAsia="Arial" w:hAnsi="Arial"/>
          <w:sz w:val="16"/>
          <w:szCs w:val="16"/>
          <w:color w:val="auto"/>
        </w:rPr>
      </w:pPr>
    </w:p>
    <w:p>
      <w:pPr>
        <w:ind w:left="1300" w:right="260" w:firstLine="653"/>
        <w:spacing w:after="0" w:line="277" w:lineRule="auto"/>
        <w:tabs>
          <w:tab w:leader="none" w:pos="262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use all commercially reasonable efforts to cause such Registration Statement to become effective under the Act within 365 days of the Closing Date.</w:t>
      </w:r>
    </w:p>
    <w:p>
      <w:pPr>
        <w:spacing w:after="0" w:line="170" w:lineRule="exact"/>
        <w:rPr>
          <w:rFonts w:ascii="Arial" w:cs="Arial" w:eastAsia="Arial" w:hAnsi="Arial"/>
          <w:sz w:val="18"/>
          <w:szCs w:val="18"/>
          <w:color w:val="auto"/>
        </w:rPr>
      </w:pPr>
    </w:p>
    <w:p>
      <w:pPr>
        <w:ind w:right="60" w:firstLine="1305"/>
        <w:spacing w:after="0" w:line="277" w:lineRule="auto"/>
        <w:tabs>
          <w:tab w:leader="none" w:pos="162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Upon the effectiveness of the Exchange Offer Registration Statement, unless the Exchange Offer would not be permitted by applicable law or Commission policy, the Issuers shall promptly commence the Exchange Offer.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40" w:hanging="335"/>
        <w:spacing w:after="0"/>
        <w:tabs>
          <w:tab w:leader="none" w:pos="1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connection with the Exchange Offer, the Issuers shall:</w:t>
      </w:r>
    </w:p>
    <w:p>
      <w:pPr>
        <w:spacing w:after="0" w:line="225" w:lineRule="exact"/>
        <w:rPr>
          <w:rFonts w:ascii="Arial" w:cs="Arial" w:eastAsia="Arial" w:hAnsi="Arial"/>
          <w:sz w:val="18"/>
          <w:szCs w:val="18"/>
          <w:color w:val="auto"/>
        </w:rPr>
      </w:pPr>
    </w:p>
    <w:p>
      <w:pPr>
        <w:ind w:left="1300" w:right="220" w:firstLine="653"/>
        <w:spacing w:after="0" w:line="277" w:lineRule="auto"/>
        <w:tabs>
          <w:tab w:leader="none" w:pos="261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distribute to each Holder a copy of the Prospectus forming part of the Exchange Offer Registration Statement, together with an appropriate letter of transmittal and related documents;</w:t>
      </w:r>
    </w:p>
    <w:p>
      <w:pPr>
        <w:spacing w:after="0" w:line="170" w:lineRule="exact"/>
        <w:rPr>
          <w:rFonts w:ascii="Arial" w:cs="Arial" w:eastAsia="Arial" w:hAnsi="Arial"/>
          <w:sz w:val="18"/>
          <w:szCs w:val="18"/>
          <w:color w:val="auto"/>
        </w:rPr>
      </w:pPr>
    </w:p>
    <w:p>
      <w:pPr>
        <w:ind w:left="1300" w:right="400" w:firstLine="653"/>
        <w:spacing w:after="0" w:line="277" w:lineRule="auto"/>
        <w:tabs>
          <w:tab w:leader="none" w:pos="262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keep the Exchange Offer open for not less than 20 Business Days and not more than 30 Business Days after the date notice thereof is mailed to the Holders (or, in each case, longer if required by applicable law);</w:t>
      </w:r>
    </w:p>
    <w:p>
      <w:pPr>
        <w:spacing w:after="0" w:line="170" w:lineRule="exact"/>
        <w:rPr>
          <w:rFonts w:ascii="Arial" w:cs="Arial" w:eastAsia="Arial" w:hAnsi="Arial"/>
          <w:sz w:val="18"/>
          <w:szCs w:val="18"/>
          <w:color w:val="auto"/>
        </w:rPr>
      </w:pPr>
    </w:p>
    <w:p>
      <w:pPr>
        <w:jc w:val="both"/>
        <w:ind w:left="1300" w:right="40" w:firstLine="653"/>
        <w:spacing w:after="0" w:line="264" w:lineRule="auto"/>
        <w:tabs>
          <w:tab w:leader="none" w:pos="263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use their reasonable best efforts to keep the Exchange Offer Registration Statement continuously effective, supplemented and amended as required, under the Act in order to ensure that it is available for sales of Exchange Notes by Exchanging Dealers during the Exchange Offer Registration Period;</w:t>
      </w:r>
    </w:p>
    <w:p>
      <w:pPr>
        <w:spacing w:after="0" w:line="181" w:lineRule="exact"/>
        <w:rPr>
          <w:rFonts w:ascii="Arial" w:cs="Arial" w:eastAsia="Arial" w:hAnsi="Arial"/>
          <w:sz w:val="18"/>
          <w:szCs w:val="18"/>
          <w:color w:val="auto"/>
        </w:rPr>
      </w:pPr>
    </w:p>
    <w:p>
      <w:pPr>
        <w:ind w:left="1300" w:right="360" w:firstLine="653"/>
        <w:spacing w:after="0" w:line="277" w:lineRule="auto"/>
        <w:tabs>
          <w:tab w:leader="none" w:pos="261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utilize the services of a depositary for the Exchange Offer with an address in the Borough of Manhattan in New York City, which may be the Trustee, the Exchange Notes Trustee or an Affiliate of either of them;</w:t>
      </w:r>
    </w:p>
    <w:p>
      <w:pPr>
        <w:spacing w:after="0" w:line="170" w:lineRule="exact"/>
        <w:rPr>
          <w:rFonts w:ascii="Arial" w:cs="Arial" w:eastAsia="Arial" w:hAnsi="Arial"/>
          <w:sz w:val="18"/>
          <w:szCs w:val="18"/>
          <w:color w:val="auto"/>
        </w:rPr>
      </w:pPr>
    </w:p>
    <w:p>
      <w:pPr>
        <w:ind w:left="1300" w:right="400" w:firstLine="653"/>
        <w:spacing w:after="0" w:line="277" w:lineRule="auto"/>
        <w:tabs>
          <w:tab w:leader="none" w:pos="260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permit Holders to withdraw tendered Securities at any time prior to the close of business, New York time, on the last Business Day on which the Exchange Offer is open;</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prior to effectiveness of the Exchange Offer Registration Statement, provide a supplemental letter to the Commission</w:t>
      </w:r>
    </w:p>
    <w:p>
      <w:pPr>
        <w:spacing w:after="0" w:line="34" w:lineRule="exact"/>
        <w:rPr>
          <w:rFonts w:ascii="Arial" w:cs="Arial" w:eastAsia="Arial" w:hAnsi="Arial"/>
          <w:sz w:val="17"/>
          <w:szCs w:val="17"/>
          <w:color w:val="auto"/>
        </w:rPr>
      </w:pPr>
    </w:p>
    <w:p>
      <w:pPr>
        <w:ind w:left="1300"/>
        <w:spacing w:after="0" w:line="252" w:lineRule="auto"/>
        <w:rPr>
          <w:rFonts w:ascii="Arial" w:cs="Arial" w:eastAsia="Arial" w:hAnsi="Arial"/>
          <w:sz w:val="17"/>
          <w:szCs w:val="17"/>
          <w:color w:val="auto"/>
        </w:rPr>
      </w:pPr>
      <w:r>
        <w:rPr>
          <w:rFonts w:ascii="Arial" w:cs="Arial" w:eastAsia="Arial" w:hAnsi="Arial"/>
          <w:sz w:val="18"/>
          <w:szCs w:val="18"/>
          <w:color w:val="auto"/>
        </w:rPr>
        <w:t xml:space="preserve">(A) stating that the Issuers are conducting the Exchange Offer in reliance on the position of the Commission in </w:t>
      </w:r>
      <w:r>
        <w:rPr>
          <w:rFonts w:ascii="Arial" w:cs="Arial" w:eastAsia="Arial" w:hAnsi="Arial"/>
          <w:sz w:val="18"/>
          <w:szCs w:val="18"/>
          <w:i w:val="1"/>
          <w:iCs w:val="1"/>
          <w:u w:val="single" w:color="auto"/>
          <w:color w:val="auto"/>
        </w:rPr>
        <w:t>Exxon Capital Holdings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(pub. avail. May 13, 1988)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Morgan Stanley and Co., Inc</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(pub. avail. June 5, 1991); and (B) including a representation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Issuers have not entered into any arrangement or understanding with any Person to distribute the Exchange Notes to be received in the Exchange Offer and that, to the best of the Issuers’ information and belief, each Holder participating in the Exchange Offer is acquiring the Exchange Notes in the ordinary course of business and has no arrangement or understanding with any Person to participate in the distribution of the Exchange Notes; and</w:t>
      </w:r>
    </w:p>
    <w:p>
      <w:pPr>
        <w:spacing w:after="0" w:line="194" w:lineRule="exact"/>
        <w:rPr>
          <w:rFonts w:ascii="Arial" w:cs="Arial" w:eastAsia="Arial" w:hAnsi="Arial"/>
          <w:sz w:val="17"/>
          <w:szCs w:val="17"/>
          <w:color w:val="auto"/>
        </w:rPr>
      </w:pPr>
    </w:p>
    <w:p>
      <w:pPr>
        <w:ind w:left="2620" w:hanging="667"/>
        <w:spacing w:after="0"/>
        <w:tabs>
          <w:tab w:leader="none" w:pos="2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comply in all respects with all applicable 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40" w:hanging="335"/>
        <w:spacing w:after="0"/>
        <w:tabs>
          <w:tab w:leader="none" w:pos="1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As soon as practicable after the close of the Exchange Offer, the Issuers shall:</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accept for exchange all Securities tendered and not validly withdrawn pursuant to the Exchange Offer;</w:t>
      </w:r>
    </w:p>
    <w:p>
      <w:pPr>
        <w:sectPr>
          <w:pgSz w:w="11900" w:h="16838" w:orient="portrait"/>
          <w:cols w:equalWidth="0" w:num="1">
            <w:col w:w="11400"/>
          </w:cols>
          <w:pgMar w:left="240" w:top="729" w:right="259" w:bottom="0" w:gutter="0" w:footer="0" w:header="0"/>
        </w:sectPr>
      </w:pPr>
    </w:p>
    <w:bookmarkStart w:id="62" w:name="page63"/>
    <w:bookmarkEnd w:id="62"/>
    <w:p>
      <w:pPr>
        <w:ind w:left="2640" w:hanging="687"/>
        <w:spacing w:after="0"/>
        <w:tabs>
          <w:tab w:leader="none" w:pos="264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deliver to the Trustee for cancellation in accordance with Section 4(s) all Securities so accepted for exchange; and</w:t>
      </w:r>
    </w:p>
    <w:p>
      <w:pPr>
        <w:spacing w:after="0" w:line="236" w:lineRule="exact"/>
        <w:rPr>
          <w:rFonts w:ascii="Arial" w:cs="Arial" w:eastAsia="Arial" w:hAnsi="Arial"/>
          <w:sz w:val="17"/>
          <w:szCs w:val="17"/>
          <w:color w:val="auto"/>
        </w:rPr>
      </w:pPr>
    </w:p>
    <w:p>
      <w:pPr>
        <w:ind w:left="1300" w:right="20" w:firstLine="653"/>
        <w:spacing w:after="0" w:line="277" w:lineRule="auto"/>
        <w:tabs>
          <w:tab w:leader="none" w:pos="263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cause the Exchange Notes Trustee promptly to authenticate and deliver to each Holder of Securities a principal amount of Exchange Notes equal to the principal amount of the Securities of such Holder so accepted for exchange.</w:t>
      </w:r>
    </w:p>
    <w:p>
      <w:pPr>
        <w:spacing w:after="0" w:line="170" w:lineRule="exact"/>
        <w:rPr>
          <w:rFonts w:ascii="Arial" w:cs="Arial" w:eastAsia="Arial" w:hAnsi="Arial"/>
          <w:sz w:val="18"/>
          <w:szCs w:val="18"/>
          <w:color w:val="auto"/>
        </w:rPr>
      </w:pPr>
    </w:p>
    <w:p>
      <w:pPr>
        <w:ind w:right="40" w:firstLine="1305"/>
        <w:spacing w:after="0" w:line="290" w:lineRule="auto"/>
        <w:tabs>
          <w:tab w:leader="none" w:pos="163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Each Holder hereby acknowledges and agrees that any Broker-Dealer and any such Holder using the Exchange Offer to participate in a distribution of the Exchange Notes (x) could not under Commission policy as in effect on the date of this Agreement rely on the position of the Commission in </w:t>
      </w:r>
      <w:r>
        <w:rPr>
          <w:rFonts w:ascii="Arial" w:cs="Arial" w:eastAsia="Arial" w:hAnsi="Arial"/>
          <w:sz w:val="16"/>
          <w:szCs w:val="16"/>
          <w:i w:val="1"/>
          <w:iCs w:val="1"/>
          <w:u w:val="single" w:color="auto"/>
          <w:color w:val="auto"/>
        </w:rPr>
        <w:t>Exxon Capital Holdings Corporation</w:t>
      </w:r>
      <w:r>
        <w:rPr>
          <w:rFonts w:ascii="Arial" w:cs="Arial" w:eastAsia="Arial" w:hAnsi="Arial"/>
          <w:sz w:val="16"/>
          <w:szCs w:val="16"/>
          <w:color w:val="auto"/>
        </w:rPr>
        <w:t xml:space="preserve"> (pub. avail. May 13, 1988) and </w:t>
      </w:r>
      <w:r>
        <w:rPr>
          <w:rFonts w:ascii="Arial" w:cs="Arial" w:eastAsia="Arial" w:hAnsi="Arial"/>
          <w:sz w:val="16"/>
          <w:szCs w:val="16"/>
          <w:i w:val="1"/>
          <w:iCs w:val="1"/>
          <w:u w:val="single" w:color="auto"/>
          <w:color w:val="auto"/>
        </w:rPr>
        <w:t>Morgan Stanley and Co., Inc</w:t>
      </w:r>
      <w:r>
        <w:rPr>
          <w:rFonts w:ascii="Arial" w:cs="Arial" w:eastAsia="Arial" w:hAnsi="Arial"/>
          <w:sz w:val="16"/>
          <w:szCs w:val="16"/>
          <w:u w:val="single" w:color="auto"/>
          <w:color w:val="auto"/>
        </w:rPr>
        <w:t>.</w:t>
      </w:r>
      <w:r>
        <w:rPr>
          <w:rFonts w:ascii="Arial" w:cs="Arial" w:eastAsia="Arial" w:hAnsi="Arial"/>
          <w:sz w:val="16"/>
          <w:szCs w:val="16"/>
          <w:color w:val="auto"/>
        </w:rPr>
        <w:t xml:space="preserve"> (pub. avail. June 5, 1991), as interpreted in the Commission’s letter to Shearman &amp; Sterling dated July 2, 1993 and similar no-action letters; and (y) must comply with the registration and prospectus delivery requirements of the Act in connection with any secondary resale transaction, which must be covered by an effective registration statement containing the selling security holder information required by Item 507 or 508, as applicable, of Regulation S-K under the Act if the resales are of Exchange Notes obtained by such Holder in exchange for Securities acquired by such Holder directly from any Issuer or one of its Affiliates. Accordingly, each Holder participating in the Exchange Offer shall be required to represent to the Issuers that, at the time of the consummation of the Exchange Offer:</w:t>
      </w:r>
    </w:p>
    <w:p>
      <w:pPr>
        <w:spacing w:after="0" w:line="166" w:lineRule="exact"/>
        <w:rPr>
          <w:rFonts w:ascii="Arial" w:cs="Arial" w:eastAsia="Arial" w:hAnsi="Arial"/>
          <w:sz w:val="16"/>
          <w:szCs w:val="16"/>
          <w:color w:val="auto"/>
        </w:rPr>
      </w:pPr>
    </w:p>
    <w:p>
      <w:pPr>
        <w:ind w:left="2620" w:hanging="667"/>
        <w:spacing w:after="0"/>
        <w:tabs>
          <w:tab w:leader="none" w:pos="2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Exchange Notes received by such Holder will be acquired in the ordinary course of business;</w:t>
      </w:r>
    </w:p>
    <w:p>
      <w:pPr>
        <w:spacing w:after="0" w:line="225" w:lineRule="exact"/>
        <w:rPr>
          <w:rFonts w:ascii="Arial" w:cs="Arial" w:eastAsia="Arial" w:hAnsi="Arial"/>
          <w:sz w:val="18"/>
          <w:szCs w:val="18"/>
          <w:color w:val="auto"/>
        </w:rPr>
      </w:pPr>
    </w:p>
    <w:p>
      <w:pPr>
        <w:ind w:left="1300" w:right="40" w:firstLine="653"/>
        <w:spacing w:after="0" w:line="277" w:lineRule="auto"/>
        <w:tabs>
          <w:tab w:leader="none" w:pos="262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such Holder will have no arrangement or understanding with any Person to participate in the distribution of the Securities or the Exchange Notes within the meaning of the Act; and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such Holder is not an Affiliate of any Issuer.</w:t>
      </w:r>
    </w:p>
    <w:p>
      <w:pPr>
        <w:spacing w:after="0" w:line="225" w:lineRule="exact"/>
        <w:rPr>
          <w:rFonts w:ascii="Arial" w:cs="Arial" w:eastAsia="Arial" w:hAnsi="Arial"/>
          <w:sz w:val="18"/>
          <w:szCs w:val="18"/>
          <w:color w:val="auto"/>
        </w:rPr>
      </w:pPr>
    </w:p>
    <w:p>
      <w:pPr>
        <w:ind w:right="140" w:firstLine="1305"/>
        <w:spacing w:after="0" w:line="264" w:lineRule="auto"/>
        <w:tabs>
          <w:tab w:leader="none" w:pos="162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any Initial Purchaser determines that it is not eligible to participate in the Exchange Offer with respect to the exchange of Securities constituting any portion of an unsold allotment, at the request of such Initial Purchaser, the Issuers shall issue and deliver to such Initial Purchaser or the Person purchasing Exchange Notes registered under a Shelf Registration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Statement as contemplated by Section 3 hereof from such Initial Purchaser, in exchange for such Securities, a like principal amount of Exchange Notes. The Issuers shall use their reasonable best efforts to cause the CUSIP Service Bureau to issue the same CUSIP number for such Exchange Notes as for Exchange Notes issued pursuant to the Exchange Offer.</w:t>
      </w:r>
    </w:p>
    <w:p>
      <w:pPr>
        <w:spacing w:after="0" w:line="181" w:lineRule="exact"/>
        <w:rPr>
          <w:sz w:val="20"/>
          <w:szCs w:val="20"/>
          <w:color w:val="auto"/>
        </w:rPr>
      </w:pPr>
    </w:p>
    <w:p>
      <w:pPr>
        <w:ind w:left="1620" w:hanging="315"/>
        <w:spacing w:after="0"/>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right="100" w:firstLine="1305"/>
        <w:spacing w:after="0" w:line="243" w:lineRule="auto"/>
        <w:tabs>
          <w:tab w:leader="none" w:pos="16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(i) the Issuers are not (A) required to file the Exchange Offer Registration Statement or (B) permitted to consummate the Exchange Offer because the Exchange Offer is not permitted by applicable law or Commission policy or (ii) any Holder of Registrable Securities notifies the Company prior to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following consummation of the Exchange Offer that (A) it is prohibited by law or Commission policy from participating in the Exchange Offer; (B) it may not resell the Exchange Notes acquired by it in the Exchange Offer to the public without delivering a prospectus and the Prospectus contained in the Exchange Offer Registration Statement is not appropriate or available for such resales; or (C) it is a Broker-Dealer and owns Securities acquired directly from the Company or an Affiliate of the Company, the Issuers shall effect a Shelf Registration Statement in accordance with subsection (b) below.</w:t>
      </w:r>
    </w:p>
    <w:p>
      <w:pPr>
        <w:spacing w:after="0" w:line="203" w:lineRule="exact"/>
        <w:rPr>
          <w:rFonts w:ascii="Arial" w:cs="Arial" w:eastAsia="Arial" w:hAnsi="Arial"/>
          <w:sz w:val="18"/>
          <w:szCs w:val="18"/>
          <w:color w:val="auto"/>
        </w:rPr>
      </w:pPr>
    </w:p>
    <w:p>
      <w:pPr>
        <w:ind w:firstLine="1305"/>
        <w:spacing w:after="0" w:line="287" w:lineRule="auto"/>
        <w:tabs>
          <w:tab w:leader="none" w:pos="162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If obligated to file the Shelf Registration Statement, as applicable, the Issuers shall use all commercially reasonable efforts to file the Shelf Registration Statement with the Commission on or prior to 30 days after such obligation arises and shall use all commercially reasonable efforts to cause the Shelf Registration Statement to be declared effective by the Commission on or prior to 90 days after such obligation arises; such Shelf Registration Statement shall relate to the offer and sale of the Securities or the Exchange Notes, as applicable, by the Holders thereof from time to time in accordance with the methods of distribution elected by such Holders and set forth in such Shelf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Holder (other than an Initial Purchaser) shall be entitled to have the Securities held by it covered by such Shelf Registration Statement unless such Holder agrees in writing to be bound by all of the provisions of this Agreement applicable to such Holder;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with respect to Exchange Notes received by an Initial Purchaser in exchange for Securities constituting any portion of an unsold allotment, the Issuers may, if permitted by current interpretations by the Commission’s staff, file a post-effective amendment to the Exchange Offer Registration Statement containing the information required by Item 507 or 508 of Regulation S-K, as applicable, in satisfaction of their obligations under this subsection with respect thereto, and any such Exchange Offer Registration Statement, as so amended, shall be referred to herein as, and governed by the provisions herein applicable to, a Shelf Registration Statement.</w:t>
      </w:r>
    </w:p>
    <w:p>
      <w:pPr>
        <w:spacing w:after="0" w:line="172" w:lineRule="exact"/>
        <w:rPr>
          <w:rFonts w:ascii="Arial" w:cs="Arial" w:eastAsia="Arial" w:hAnsi="Arial"/>
          <w:sz w:val="16"/>
          <w:szCs w:val="16"/>
          <w:color w:val="auto"/>
        </w:rPr>
      </w:pPr>
    </w:p>
    <w:p>
      <w:pPr>
        <w:ind w:left="1640" w:hanging="335"/>
        <w:spacing w:after="0"/>
        <w:tabs>
          <w:tab w:leader="none" w:pos="16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Issuers shall use their reasonable best efforts to keep the Shelf Registration Statement continuously effective, supplemented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amended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required by the Act, in order to permit the Prospectus forming part thereof to be usable by Holders for a period (the “</w:t>
      </w:r>
      <w:r>
        <w:rPr>
          <w:rFonts w:ascii="Arial" w:cs="Arial" w:eastAsia="Arial" w:hAnsi="Arial"/>
          <w:sz w:val="18"/>
          <w:szCs w:val="18"/>
          <w:b w:val="1"/>
          <w:bCs w:val="1"/>
          <w:color w:val="auto"/>
        </w:rPr>
        <w:t>Shelf Registration Period</w:t>
      </w:r>
      <w:r>
        <w:rPr>
          <w:rFonts w:ascii="Arial" w:cs="Arial" w:eastAsia="Arial" w:hAnsi="Arial"/>
          <w:sz w:val="18"/>
          <w:szCs w:val="18"/>
          <w:color w:val="auto"/>
        </w:rPr>
        <w:t>”) from the date the Shelf Registration Statement is declared effective by the Commission until (A) the second anniversary thereof or (B) the date upon which all the Securities or Exchange Notes, as applicable, covered by the Shelf Registration Statement have been sold pursuant to the Shelf Registration Statement. The Issuers shall be deemed not to have used their reasonable best efforts to keep the Shelf Registration Statement effective during the Shelf Registration Period if any of them voluntarily takes any action that would result in Holders of Securities covered thereby not being able to offer and sell such Securities during the Shelf Registration Period, unless such action is (x) required by applicable law or otherwise undertaken by the Issuers in good faith and for valid business reasons (not including avoidance of such Issuer’s obligations hereunder), including the acquisition or divestiture of assets, and (y) permitted pursuant to Section 4(k)(ii) hereof.</w:t>
      </w:r>
    </w:p>
    <w:p>
      <w:pPr>
        <w:spacing w:after="0" w:line="189" w:lineRule="exact"/>
        <w:rPr>
          <w:sz w:val="20"/>
          <w:szCs w:val="20"/>
          <w:color w:val="auto"/>
        </w:rPr>
      </w:pPr>
    </w:p>
    <w:p>
      <w:pPr>
        <w:ind w:right="20" w:firstLine="1305"/>
        <w:spacing w:after="0" w:line="302" w:lineRule="auto"/>
        <w:tabs>
          <w:tab w:leader="none" w:pos="162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Issuers shall cause the Shelf Registration Statement and the related Prospectus and any amendment or supplement thereto, as of the effective date of the Shelf Registration Statement or such amendment or supplement, (A) to comply in all material respects with the applicable requirements of the Act; and (B) not to contain any untrue statement of a material fact or omit to state a material fact required to be stated therein or necessary in order to make the statements therein (in the case of the Prospectus, in the light of the circumstances under which they were made), not misleading.</w:t>
      </w:r>
    </w:p>
    <w:p>
      <w:pPr>
        <w:sectPr>
          <w:pgSz w:w="11900" w:h="16838" w:orient="portrait"/>
          <w:cols w:equalWidth="0" w:num="1">
            <w:col w:w="11420"/>
          </w:cols>
          <w:pgMar w:left="240" w:top="125" w:right="239" w:bottom="0" w:gutter="0" w:footer="0" w:header="0"/>
        </w:sectPr>
      </w:pPr>
    </w:p>
    <w:bookmarkStart w:id="63" w:name="page64"/>
    <w:bookmarkEnd w:id="63"/>
    <w:p>
      <w:pPr>
        <w:ind w:left="-8" w:right="160" w:firstLine="1305"/>
        <w:spacing w:after="0" w:line="277" w:lineRule="auto"/>
        <w:tabs>
          <w:tab w:leader="none" w:pos="1612"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Additional Registration Procedures</w:t>
      </w:r>
      <w:r>
        <w:rPr>
          <w:rFonts w:ascii="Arial" w:cs="Arial" w:eastAsia="Arial" w:hAnsi="Arial"/>
          <w:sz w:val="18"/>
          <w:szCs w:val="18"/>
          <w:color w:val="auto"/>
        </w:rPr>
        <w:t>. In connection with any Exchange Offer Registration Statement and, to the extent applicable, any Shelf Registration Statement, the following provisions shall apply.</w:t>
      </w:r>
    </w:p>
    <w:p>
      <w:pPr>
        <w:spacing w:after="0" w:line="170" w:lineRule="exact"/>
        <w:rPr>
          <w:sz w:val="20"/>
          <w:szCs w:val="20"/>
          <w:color w:val="auto"/>
        </w:rPr>
      </w:pPr>
    </w:p>
    <w:p>
      <w:pPr>
        <w:ind w:left="1612" w:hanging="315"/>
        <w:spacing w:after="0"/>
        <w:tabs>
          <w:tab w:leader="none" w:pos="161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Issuers shall:</w:t>
      </w:r>
    </w:p>
    <w:p>
      <w:pPr>
        <w:spacing w:after="0" w:line="225" w:lineRule="exact"/>
        <w:rPr>
          <w:rFonts w:ascii="Arial" w:cs="Arial" w:eastAsia="Arial" w:hAnsi="Arial"/>
          <w:sz w:val="18"/>
          <w:szCs w:val="18"/>
          <w:color w:val="auto"/>
        </w:rPr>
      </w:pPr>
    </w:p>
    <w:p>
      <w:pPr>
        <w:ind w:left="1292" w:right="40" w:firstLine="653"/>
        <w:spacing w:after="0" w:line="276" w:lineRule="auto"/>
        <w:tabs>
          <w:tab w:leader="none" w:pos="261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furnish to the Representative and to counsel for the Holders, not less than five Business Days prior to the filing thereof with the Commission, a copy of the Exchange Offer Registration Statement or the Shelf Registration Statement, as the case may be, and each amendment thereto and each amendment or supplement, if any, to the Prospectus included therein (including all documents incorporated by reference therein after the initial filing) and shall use their reasonable best efforts to reflect in each such document, when so filed with the Commission, such comments as the Representative reasonably proposes;</w:t>
      </w:r>
    </w:p>
    <w:p>
      <w:pPr>
        <w:spacing w:after="0" w:line="172" w:lineRule="exact"/>
        <w:rPr>
          <w:rFonts w:ascii="Arial" w:cs="Arial" w:eastAsia="Arial" w:hAnsi="Arial"/>
          <w:sz w:val="17"/>
          <w:szCs w:val="17"/>
          <w:color w:val="auto"/>
        </w:rPr>
      </w:pPr>
    </w:p>
    <w:p>
      <w:pPr>
        <w:ind w:left="1292" w:right="140" w:firstLine="653"/>
        <w:spacing w:after="0" w:line="308" w:lineRule="auto"/>
        <w:tabs>
          <w:tab w:leader="none" w:pos="2619" w:val="left"/>
        </w:tabs>
        <w:numPr>
          <w:ilvl w:val="1"/>
          <w:numId w:val="185"/>
        </w:numPr>
        <w:rPr>
          <w:rFonts w:ascii="Arial" w:cs="Arial" w:eastAsia="Arial" w:hAnsi="Arial"/>
          <w:sz w:val="17"/>
          <w:szCs w:val="17"/>
          <w:color w:val="auto"/>
        </w:rPr>
      </w:pPr>
      <w:r>
        <w:rPr>
          <w:rFonts w:ascii="Arial" w:cs="Arial" w:eastAsia="Arial" w:hAnsi="Arial"/>
          <w:sz w:val="17"/>
          <w:szCs w:val="17"/>
          <w:color w:val="auto"/>
        </w:rPr>
        <w:t>include the information set forth in Annex A hereto on the facing page of the Exchange Offer Registration Statement; in Annex B hereto in the forepart of the Exchange Offer Registration Statement in a section setting forth details of the</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80"/>
        <w:spacing w:after="0" w:line="308" w:lineRule="auto"/>
        <w:rPr>
          <w:sz w:val="20"/>
          <w:szCs w:val="20"/>
          <w:color w:val="auto"/>
        </w:rPr>
      </w:pPr>
      <w:r>
        <w:rPr>
          <w:rFonts w:ascii="Arial" w:cs="Arial" w:eastAsia="Arial" w:hAnsi="Arial"/>
          <w:sz w:val="17"/>
          <w:szCs w:val="17"/>
          <w:color w:val="auto"/>
        </w:rPr>
        <w:t>Exchange Offer; in Annex C hereto in the underwriting or plan of distribution section of the Prospectus contained in the Exchange Offer Registration Statement; and in Annex D hereto in the letter of transmittal delivered pursuant to the Exchange Offer;</w:t>
      </w:r>
    </w:p>
    <w:p>
      <w:pPr>
        <w:spacing w:after="0" w:line="147" w:lineRule="exact"/>
        <w:rPr>
          <w:sz w:val="20"/>
          <w:szCs w:val="20"/>
          <w:color w:val="auto"/>
        </w:rPr>
      </w:pPr>
    </w:p>
    <w:p>
      <w:pPr>
        <w:ind w:left="1292" w:right="820" w:firstLine="653"/>
        <w:spacing w:after="0" w:line="277" w:lineRule="auto"/>
        <w:tabs>
          <w:tab w:leader="none" w:pos="2629" w:val="left"/>
        </w:tabs>
        <w:numPr>
          <w:ilvl w:val="2"/>
          <w:numId w:val="186"/>
        </w:numPr>
        <w:rPr>
          <w:rFonts w:ascii="Arial" w:cs="Arial" w:eastAsia="Arial" w:hAnsi="Arial"/>
          <w:sz w:val="18"/>
          <w:szCs w:val="18"/>
          <w:color w:val="auto"/>
        </w:rPr>
      </w:pPr>
      <w:r>
        <w:rPr>
          <w:rFonts w:ascii="Arial" w:cs="Arial" w:eastAsia="Arial" w:hAnsi="Arial"/>
          <w:sz w:val="18"/>
          <w:szCs w:val="18"/>
          <w:color w:val="auto"/>
        </w:rPr>
        <w:t>if requested by an Initial Purchaser, include the information required by Item 507 or 508 of Regulation S-K, as applicable, in the Prospectus contained in the Exchange Offer Registration Statement; and</w:t>
      </w:r>
    </w:p>
    <w:p>
      <w:pPr>
        <w:spacing w:after="0" w:line="170" w:lineRule="exact"/>
        <w:rPr>
          <w:rFonts w:ascii="Arial" w:cs="Arial" w:eastAsia="Arial" w:hAnsi="Arial"/>
          <w:sz w:val="18"/>
          <w:szCs w:val="18"/>
          <w:color w:val="auto"/>
        </w:rPr>
      </w:pPr>
    </w:p>
    <w:p>
      <w:pPr>
        <w:ind w:left="1292" w:right="120" w:firstLine="653"/>
        <w:spacing w:after="0" w:line="277" w:lineRule="auto"/>
        <w:tabs>
          <w:tab w:leader="none" w:pos="2605" w:val="left"/>
        </w:tabs>
        <w:numPr>
          <w:ilvl w:val="2"/>
          <w:numId w:val="186"/>
        </w:numPr>
        <w:rPr>
          <w:rFonts w:ascii="Arial" w:cs="Arial" w:eastAsia="Arial" w:hAnsi="Arial"/>
          <w:sz w:val="18"/>
          <w:szCs w:val="18"/>
          <w:color w:val="auto"/>
        </w:rPr>
      </w:pPr>
      <w:r>
        <w:rPr>
          <w:rFonts w:ascii="Arial" w:cs="Arial" w:eastAsia="Arial" w:hAnsi="Arial"/>
          <w:sz w:val="18"/>
          <w:szCs w:val="18"/>
          <w:color w:val="auto"/>
        </w:rPr>
        <w:t>in the case of a Shelf Registration Statement, include the names of the Holders that propose to sell Securities pursuant to the Shelf Registration Statement as selling security holders.</w:t>
      </w:r>
    </w:p>
    <w:p>
      <w:pPr>
        <w:spacing w:after="0" w:line="170" w:lineRule="exact"/>
        <w:rPr>
          <w:rFonts w:ascii="Arial" w:cs="Arial" w:eastAsia="Arial" w:hAnsi="Arial"/>
          <w:sz w:val="18"/>
          <w:szCs w:val="18"/>
          <w:color w:val="auto"/>
        </w:rPr>
      </w:pPr>
    </w:p>
    <w:p>
      <w:pPr>
        <w:ind w:left="1632" w:hanging="335"/>
        <w:spacing w:after="0"/>
        <w:tabs>
          <w:tab w:leader="none" w:pos="16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Issuers shall ensure that:</w:t>
      </w:r>
    </w:p>
    <w:p>
      <w:pPr>
        <w:spacing w:after="0" w:line="225" w:lineRule="exact"/>
        <w:rPr>
          <w:rFonts w:ascii="Arial" w:cs="Arial" w:eastAsia="Arial" w:hAnsi="Arial"/>
          <w:sz w:val="18"/>
          <w:szCs w:val="18"/>
          <w:color w:val="auto"/>
        </w:rPr>
      </w:pPr>
    </w:p>
    <w:p>
      <w:pPr>
        <w:ind w:left="1292" w:right="700" w:firstLine="653"/>
        <w:spacing w:after="0" w:line="277" w:lineRule="auto"/>
        <w:tabs>
          <w:tab w:leader="none" w:pos="261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any Registration Statement, any amendment thereto, any Prospectus forming part thereof and any amendment or supplement thereto complies in all material respects with the Act; and</w:t>
      </w:r>
    </w:p>
    <w:p>
      <w:pPr>
        <w:spacing w:after="0" w:line="170" w:lineRule="exact"/>
        <w:rPr>
          <w:rFonts w:ascii="Arial" w:cs="Arial" w:eastAsia="Arial" w:hAnsi="Arial"/>
          <w:sz w:val="18"/>
          <w:szCs w:val="18"/>
          <w:color w:val="auto"/>
        </w:rPr>
      </w:pPr>
    </w:p>
    <w:p>
      <w:pPr>
        <w:ind w:left="1292" w:right="100" w:firstLine="653"/>
        <w:spacing w:after="0" w:line="342" w:lineRule="auto"/>
        <w:tabs>
          <w:tab w:leader="none" w:pos="2619" w:val="left"/>
        </w:tabs>
        <w:numPr>
          <w:ilvl w:val="2"/>
          <w:numId w:val="187"/>
        </w:numPr>
        <w:rPr>
          <w:rFonts w:ascii="Arial" w:cs="Arial" w:eastAsia="Arial" w:hAnsi="Arial"/>
          <w:sz w:val="16"/>
          <w:szCs w:val="16"/>
          <w:color w:val="auto"/>
        </w:rPr>
      </w:pPr>
      <w:r>
        <w:rPr>
          <w:rFonts w:ascii="Arial" w:cs="Arial" w:eastAsia="Arial" w:hAnsi="Arial"/>
          <w:sz w:val="16"/>
          <w:szCs w:val="16"/>
          <w:color w:val="auto"/>
        </w:rPr>
        <w:t>any Registration Statement and any amendment thereto does not, when it becomes effective, contain an untrue statement of a material fact or omit to state a material fact required to be stated therein or necessary to make the statements therein not misleading.</w:t>
      </w:r>
    </w:p>
    <w:p>
      <w:pPr>
        <w:spacing w:after="0" w:line="123" w:lineRule="exact"/>
        <w:rPr>
          <w:rFonts w:ascii="Arial" w:cs="Arial" w:eastAsia="Arial" w:hAnsi="Arial"/>
          <w:sz w:val="16"/>
          <w:szCs w:val="16"/>
          <w:color w:val="auto"/>
        </w:rPr>
      </w:pPr>
    </w:p>
    <w:p>
      <w:pPr>
        <w:ind w:left="-8" w:right="40" w:firstLine="1305"/>
        <w:spacing w:after="0" w:line="288" w:lineRule="auto"/>
        <w:tabs>
          <w:tab w:leader="none" w:pos="1623"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Issuers shall advise the Representative, the Holders of Securities covered by any Shelf Registration Statement and any Exchanging Dealer under any Exchange Offer Registration Statement that has provided in writing to the Issuers a telephone or facsimile number and address for notices, and, if requested by the Representative or any such Holder or Exchanging Dealer, shall confirm such advice in writing (which notice pursuant to clauses (ii)-</w:t>
      </w:r>
    </w:p>
    <w:p>
      <w:pPr>
        <w:ind w:left="-8" w:right="320" w:firstLine="8"/>
        <w:spacing w:after="0" w:line="261" w:lineRule="auto"/>
        <w:tabs>
          <w:tab w:leader="none" w:pos="2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of this Section 4(c) shall be accompanied by an instruction to suspend the use of the Prospectus until the Issuers shall have remedied the basis for such suspension):</w:t>
      </w:r>
    </w:p>
    <w:p>
      <w:pPr>
        <w:spacing w:after="0" w:line="183" w:lineRule="exact"/>
        <w:rPr>
          <w:rFonts w:ascii="Arial" w:cs="Arial" w:eastAsia="Arial" w:hAnsi="Arial"/>
          <w:sz w:val="18"/>
          <w:szCs w:val="18"/>
          <w:color w:val="auto"/>
        </w:rPr>
      </w:pPr>
    </w:p>
    <w:p>
      <w:pPr>
        <w:ind w:left="1292" w:right="100" w:firstLine="653"/>
        <w:spacing w:after="0" w:line="277" w:lineRule="auto"/>
        <w:tabs>
          <w:tab w:leader="none" w:pos="261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the Registration Statement or any post-effective amendment thereto has become effective;</w:t>
      </w:r>
    </w:p>
    <w:p>
      <w:pPr>
        <w:spacing w:after="0" w:line="170" w:lineRule="exact"/>
        <w:rPr>
          <w:rFonts w:ascii="Arial" w:cs="Arial" w:eastAsia="Arial" w:hAnsi="Arial"/>
          <w:sz w:val="18"/>
          <w:szCs w:val="18"/>
          <w:color w:val="auto"/>
        </w:rPr>
      </w:pPr>
    </w:p>
    <w:p>
      <w:pPr>
        <w:ind w:left="1292" w:right="180" w:firstLine="653"/>
        <w:spacing w:after="0" w:line="277" w:lineRule="auto"/>
        <w:tabs>
          <w:tab w:leader="none" w:pos="2619" w:val="left"/>
        </w:tabs>
        <w:numPr>
          <w:ilvl w:val="2"/>
          <w:numId w:val="188"/>
        </w:numPr>
        <w:rPr>
          <w:rFonts w:ascii="Arial" w:cs="Arial" w:eastAsia="Arial" w:hAnsi="Arial"/>
          <w:sz w:val="18"/>
          <w:szCs w:val="18"/>
          <w:color w:val="auto"/>
        </w:rPr>
      </w:pPr>
      <w:r>
        <w:rPr>
          <w:rFonts w:ascii="Arial" w:cs="Arial" w:eastAsia="Arial" w:hAnsi="Arial"/>
          <w:sz w:val="18"/>
          <w:szCs w:val="18"/>
          <w:color w:val="auto"/>
        </w:rPr>
        <w:t>of any request by the Commission for any amendment or supplement to the Registration Statement or the Prospectus or for additional information;</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80" w:firstLine="653"/>
        <w:spacing w:after="0" w:line="277" w:lineRule="auto"/>
        <w:tabs>
          <w:tab w:leader="none" w:pos="262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the Registration Statement or the initiation or threatening of any proceedings for that purpose;</w:t>
      </w:r>
    </w:p>
    <w:p>
      <w:pPr>
        <w:spacing w:after="0" w:line="170" w:lineRule="exact"/>
        <w:rPr>
          <w:rFonts w:ascii="Arial" w:cs="Arial" w:eastAsia="Arial" w:hAnsi="Arial"/>
          <w:sz w:val="18"/>
          <w:szCs w:val="18"/>
          <w:color w:val="auto"/>
        </w:rPr>
      </w:pPr>
    </w:p>
    <w:p>
      <w:pPr>
        <w:ind w:left="1292" w:firstLine="653"/>
        <w:spacing w:after="0" w:line="277" w:lineRule="auto"/>
        <w:tabs>
          <w:tab w:leader="none" w:pos="260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of the receipt by any Issuer of any notification with respect to the suspension of the qualification of the securities included therein for sale in any jurisdiction or the initiation or threatening of any proceedings for such purpose; and</w:t>
      </w:r>
    </w:p>
    <w:p>
      <w:pPr>
        <w:spacing w:after="0" w:line="170" w:lineRule="exact"/>
        <w:rPr>
          <w:rFonts w:ascii="Arial" w:cs="Arial" w:eastAsia="Arial" w:hAnsi="Arial"/>
          <w:sz w:val="18"/>
          <w:szCs w:val="18"/>
          <w:color w:val="auto"/>
        </w:rPr>
      </w:pPr>
    </w:p>
    <w:p>
      <w:pPr>
        <w:jc w:val="both"/>
        <w:ind w:left="1292" w:right="80" w:firstLine="653"/>
        <w:spacing w:after="0" w:line="259" w:lineRule="auto"/>
        <w:tabs>
          <w:tab w:leader="none" w:pos="259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of the happening of any event that requires any change in the Registration Statement or the Prospectus so that, as of such date, they (A) do not contain any untrue statement of a material fact and (B) do not omit to state a material fact required to be stated therein or necessary to make the statements therein (in the case of the Prospectus, in the light of the circumstances under which they were made) not misleading.</w:t>
      </w:r>
    </w:p>
    <w:p>
      <w:pPr>
        <w:spacing w:after="0" w:line="186" w:lineRule="exact"/>
        <w:rPr>
          <w:rFonts w:ascii="Arial" w:cs="Arial" w:eastAsia="Arial" w:hAnsi="Arial"/>
          <w:sz w:val="18"/>
          <w:szCs w:val="18"/>
          <w:color w:val="auto"/>
        </w:rPr>
      </w:pPr>
    </w:p>
    <w:p>
      <w:pPr>
        <w:ind w:left="-8" w:right="120" w:firstLine="1305"/>
        <w:spacing w:after="0" w:line="342" w:lineRule="auto"/>
        <w:tabs>
          <w:tab w:leader="none" w:pos="16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Issuers shall use their reasonable best efforts to prevent the issuance of any order suspending the effectiveness of any Registration Statement or the qualification of the securities therein for sale in any jurisdiction and, if issued, to obtain as soon as possible the withdrawal thereof.</w:t>
      </w:r>
    </w:p>
    <w:p>
      <w:pPr>
        <w:spacing w:after="0" w:line="123" w:lineRule="exact"/>
        <w:rPr>
          <w:rFonts w:ascii="Arial" w:cs="Arial" w:eastAsia="Arial" w:hAnsi="Arial"/>
          <w:sz w:val="16"/>
          <w:szCs w:val="16"/>
          <w:color w:val="auto"/>
        </w:rPr>
      </w:pPr>
    </w:p>
    <w:p>
      <w:pPr>
        <w:ind w:left="-8" w:right="240" w:firstLine="1305"/>
        <w:spacing w:after="0" w:line="286" w:lineRule="auto"/>
        <w:tabs>
          <w:tab w:leader="none" w:pos="162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Issuers shall furnish to each Holder of Securities covered by any Shelf Registration Statement, upon written request and without charge, at least one copy of such Shelf Registration Statement and any post-effective amendment thereto, including all material incorporated therein by reference, and, if the Holder so requests in writing, all exhibits thereto (including exhibits incorporated by reference therein).</w:t>
      </w:r>
    </w:p>
    <w:p>
      <w:pPr>
        <w:spacing w:after="0" w:line="165" w:lineRule="exact"/>
        <w:rPr>
          <w:rFonts w:ascii="Arial" w:cs="Arial" w:eastAsia="Arial" w:hAnsi="Arial"/>
          <w:sz w:val="17"/>
          <w:szCs w:val="17"/>
          <w:color w:val="auto"/>
        </w:rPr>
      </w:pPr>
    </w:p>
    <w:p>
      <w:pPr>
        <w:ind w:left="-8" w:right="200" w:firstLine="1305"/>
        <w:spacing w:after="0" w:line="276" w:lineRule="auto"/>
        <w:tabs>
          <w:tab w:leader="none" w:pos="161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Issuers shall, during the Shelf Registration Period, deliver to each Holder of Securities covered by any Shelf Registration Statement, without charge, as many copies of the Prospectus (including any preliminary Prospectus) included in such Shelf Registration Statement and any amendment or supplement thereto as such Holder may reasonably request in writing. The Issuers consent to the use of the Prospectus or any amendment or supplement thereto by each of the selling Holders of Securities in connection with the offering and sale of the Securities covered by the Prospectus, or any amendment or supplement thereto, included in the Shelf Registration Statement.</w:t>
      </w:r>
    </w:p>
    <w:p>
      <w:pPr>
        <w:sectPr>
          <w:pgSz w:w="11900" w:h="16838" w:orient="portrait"/>
          <w:cols w:equalWidth="0" w:num="1">
            <w:col w:w="11412"/>
          </w:cols>
          <w:pgMar w:left="248" w:top="125" w:right="239" w:bottom="0" w:gutter="0" w:footer="0" w:header="0"/>
        </w:sectPr>
      </w:pPr>
    </w:p>
    <w:bookmarkStart w:id="64" w:name="page65"/>
    <w:bookmarkEnd w:id="64"/>
    <w:p>
      <w:pPr>
        <w:ind w:right="280" w:firstLine="1305"/>
        <w:spacing w:after="0" w:line="264" w:lineRule="auto"/>
        <w:tabs>
          <w:tab w:leader="none" w:pos="164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Issuers shall furnish to each Exchanging Dealer which so requests in writing, without charge, at least one copy of the Exchange Offer Registration Statement and any post-effective amendment thereto, including all material incorporated by reference therein, and, if the Exchanging Dealer so requests in writing, all exhibits thereto (including exhibits incorporated by reference therein).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3" w:lineRule="auto"/>
        <w:tabs>
          <w:tab w:leader="none" w:pos="162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Issuers shall promptly deliver to each Initial Purchaser, each Exchanging Dealer and each other Person required to deliver a Prospectus during the Exchange Offer Registration Period, without charge, as many copies of the Prospectus included in such Exchange Offer Registration Statement and any amendment or supplement thereto as any such Person may reasonably request in writing. The Issuers consent to the use of the Prospectus or any amendment or supplement thereto by any Initial Purchaser, any Exchanging Dealer and any such other Person that may be required to deliver a Prospectus following the Exchange Offer in connection with the offering and sale of the Exchange Notes covered by the Prospectus, or any amendment or supplement thereto, included in the Exchange Offer Registration Statement.</w:t>
      </w:r>
    </w:p>
    <w:p>
      <w:pPr>
        <w:spacing w:after="0" w:line="178" w:lineRule="exact"/>
        <w:rPr>
          <w:rFonts w:ascii="Arial" w:cs="Arial" w:eastAsia="Arial" w:hAnsi="Arial"/>
          <w:sz w:val="17"/>
          <w:szCs w:val="17"/>
          <w:color w:val="auto"/>
        </w:rPr>
      </w:pPr>
    </w:p>
    <w:p>
      <w:pPr>
        <w:ind w:firstLine="1305"/>
        <w:spacing w:after="0" w:line="297" w:lineRule="auto"/>
        <w:tabs>
          <w:tab w:leader="none" w:pos="164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Prior to the Exchange Offer or any other offering of Securities pursuant to any Registration Statement, the Issuers shall arrange, if necessary, for the qualification of the Securities or the Exchange Notes for sale under the laws of such jurisdictions as any Holder shall reasonably request and shall maintain such qualification in effect so long as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any Issuer be obligated to qualify to do business in any jurisdiction where it is not then so qualified or to take any action that would subject it to service of process in suits, other than those arising out of the Initial Placement, the Exchange Offer or any offering pursuant to a Shelf Registration Statement, in any such jurisdiction where it is not then so subject.</w:t>
      </w:r>
    </w:p>
    <w:p>
      <w:pPr>
        <w:spacing w:after="0" w:line="158" w:lineRule="exact"/>
        <w:rPr>
          <w:rFonts w:ascii="Arial" w:cs="Arial" w:eastAsia="Arial" w:hAnsi="Arial"/>
          <w:sz w:val="16"/>
          <w:szCs w:val="16"/>
          <w:color w:val="auto"/>
        </w:rPr>
      </w:pPr>
    </w:p>
    <w:p>
      <w:pPr>
        <w:ind w:right="360" w:firstLine="1305"/>
        <w:spacing w:after="0" w:line="264" w:lineRule="auto"/>
        <w:tabs>
          <w:tab w:leader="none" w:pos="162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Issuers shall cooperate with the Holders to facilitate the timely preparation and delivery of certificates representing Exchange Notes or Securities to be issued or sold pursuant to any Registration Statement free of any restrictive legends and in such denominations and registered in such names as Holders may request.</w:t>
      </w:r>
    </w:p>
    <w:p>
      <w:pPr>
        <w:spacing w:after="0" w:line="181" w:lineRule="exact"/>
        <w:rPr>
          <w:rFonts w:ascii="Arial" w:cs="Arial" w:eastAsia="Arial" w:hAnsi="Arial"/>
          <w:sz w:val="18"/>
          <w:szCs w:val="18"/>
          <w:color w:val="auto"/>
        </w:rPr>
      </w:pPr>
    </w:p>
    <w:p>
      <w:pPr>
        <w:ind w:left="1300" w:right="20" w:firstLine="5"/>
        <w:spacing w:after="0" w:line="271" w:lineRule="auto"/>
        <w:tabs>
          <w:tab w:leader="none" w:pos="195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 Upon the occurrence of any event contemplated by subsections (c)(ii) through (v) above, the Issuers shall promptly (or within the time period provided for by clause (ii) hereof, if applicable) prepare a post-effective amendment to the applicable Registration Statement or an amendment or supplement to the related Prospectus or file any other required document so that, as thereafter delivered to initial purchasers of the securities included therein, the Prospectus will not include an untrue statement of a material fact or omit to state any material fact necessary to make the statements therein, in the light of the circumstances under which they were made, not misleading. In such circumstances, the period of effectiveness of the Exchange Offer Registration Statement provided for in Section 2 shall be extended by the number of days from and including the date of the giving of a notice of suspension pursuant to Section 4(c) to and including the date when the Initial Purchasers, the Holders and any known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Exchanging Dealer shall have received such amended or supplemented Prospectus pursuant to this Section 4.</w:t>
      </w:r>
    </w:p>
    <w:p>
      <w:pPr>
        <w:spacing w:after="0" w:line="225" w:lineRule="exact"/>
        <w:rPr>
          <w:sz w:val="20"/>
          <w:szCs w:val="20"/>
          <w:color w:val="auto"/>
        </w:rPr>
      </w:pPr>
    </w:p>
    <w:p>
      <w:pPr>
        <w:ind w:left="1300" w:firstLine="653"/>
        <w:spacing w:after="0" w:line="270" w:lineRule="auto"/>
        <w:tabs>
          <w:tab w:leader="none" w:pos="2627" w:val="left"/>
        </w:tabs>
        <w:numPr>
          <w:ilvl w:val="1"/>
          <w:numId w:val="193"/>
        </w:numPr>
        <w:rPr>
          <w:rFonts w:ascii="Arial" w:cs="Arial" w:eastAsia="Arial" w:hAnsi="Arial"/>
          <w:sz w:val="17"/>
          <w:szCs w:val="17"/>
          <w:color w:val="auto"/>
        </w:rPr>
      </w:pPr>
      <w:r>
        <w:rPr>
          <w:rFonts w:ascii="Arial" w:cs="Arial" w:eastAsia="Arial" w:hAnsi="Arial"/>
          <w:sz w:val="17"/>
          <w:szCs w:val="17"/>
          <w:color w:val="auto"/>
        </w:rPr>
        <w:t>Upon the occurrence or existence of any pending corporate development or any other material event that, in the reasonable judgment of any Issuer, makes it appropriate to suspend the availability of a Shelf Registration Statement and the related Prospectus, the Issuer shall give notice (without notice of the nature or details of such events) to the Holders that the availability of the Shelf Registration is suspended and, upon actual receipt of any such notice, each Holder agrees not to sell any Registrable Securities pursuant to the Shelf Registration until such Holder’s receipt of copies of the supplemented or amended Prospectus provided for in clause (i) of this Section 4(k), or until it is advised in writing by any Issuer that the Prospectus may be used, and has received copies of any additional or supplemental filings that are incorporated or deemed incorporated by reference in such Prospectus. The period during which the availability of the Shelf Registration and any Prospectus is suspended (the “</w:t>
      </w:r>
      <w:r>
        <w:rPr>
          <w:rFonts w:ascii="Arial" w:cs="Arial" w:eastAsia="Arial" w:hAnsi="Arial"/>
          <w:sz w:val="17"/>
          <w:szCs w:val="17"/>
          <w:b w:val="1"/>
          <w:bCs w:val="1"/>
          <w:color w:val="auto"/>
        </w:rPr>
        <w:t>Deferral Period</w:t>
      </w:r>
      <w:r>
        <w:rPr>
          <w:rFonts w:ascii="Arial" w:cs="Arial" w:eastAsia="Arial" w:hAnsi="Arial"/>
          <w:sz w:val="17"/>
          <w:szCs w:val="17"/>
          <w:color w:val="auto"/>
        </w:rPr>
        <w:t>”) shall not exceed 45 days in any three-month period or 90 days in any 12-month period.</w:t>
      </w:r>
    </w:p>
    <w:p>
      <w:pPr>
        <w:spacing w:after="0" w:line="181" w:lineRule="exact"/>
        <w:rPr>
          <w:rFonts w:ascii="Arial" w:cs="Arial" w:eastAsia="Arial" w:hAnsi="Arial"/>
          <w:sz w:val="17"/>
          <w:szCs w:val="17"/>
          <w:color w:val="auto"/>
        </w:rPr>
      </w:pPr>
    </w:p>
    <w:p>
      <w:pPr>
        <w:jc w:val="both"/>
        <w:ind w:right="420" w:firstLine="1305"/>
        <w:spacing w:after="0" w:line="264" w:lineRule="auto"/>
        <w:tabs>
          <w:tab w:leader="none" w:pos="164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later than the effective date of any Registration Statement, the Issuers shall provide a CUSIP number for the Securities or the Exchange Notes, as the case may be, registered under such Registration Statement and provide the Trustee with printed certificates for such Securities or Exchange Notes, in a form eligible for deposit with The Depository Trust Company.</w:t>
      </w:r>
    </w:p>
    <w:p>
      <w:pPr>
        <w:spacing w:after="0" w:line="181" w:lineRule="exact"/>
        <w:rPr>
          <w:rFonts w:ascii="Arial" w:cs="Arial" w:eastAsia="Arial" w:hAnsi="Arial"/>
          <w:sz w:val="18"/>
          <w:szCs w:val="18"/>
          <w:color w:val="auto"/>
        </w:rPr>
      </w:pPr>
    </w:p>
    <w:p>
      <w:pPr>
        <w:ind w:right="20" w:firstLine="1305"/>
        <w:spacing w:after="0" w:line="279" w:lineRule="auto"/>
        <w:tabs>
          <w:tab w:leader="none" w:pos="1624"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Issuers shall comply with all applicable rules and regulations of the Commission and shall make generally available to their security holders an earnings statement satisfying the provisions of Section 11(a) of the Act as soon as practicable after the effective date of the applicable Registration Statement and in any event no later than 45 days after the end of a 12-month period (or 90 days, if such period is a fiscal year) beginning with the first month of the Company’s first fiscal quarter commencing after the effective date of the applicable Registration Statement.</w:t>
      </w:r>
    </w:p>
    <w:p>
      <w:pPr>
        <w:spacing w:after="0" w:line="171" w:lineRule="exact"/>
        <w:rPr>
          <w:rFonts w:ascii="Arial" w:cs="Arial" w:eastAsia="Arial" w:hAnsi="Arial"/>
          <w:sz w:val="17"/>
          <w:szCs w:val="17"/>
          <w:color w:val="auto"/>
        </w:rPr>
      </w:pPr>
    </w:p>
    <w:p>
      <w:pPr>
        <w:ind w:right="280" w:firstLine="1305"/>
        <w:spacing w:after="0" w:line="277" w:lineRule="auto"/>
        <w:tabs>
          <w:tab w:leader="none" w:pos="16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Issuers shall cause the Indenture or the Exchange Notes Indenture, as the case may be, to be qualified under the Trust Indenture Act in a timely manner.</w:t>
      </w:r>
    </w:p>
    <w:p>
      <w:pPr>
        <w:spacing w:after="0" w:line="170" w:lineRule="exact"/>
        <w:rPr>
          <w:rFonts w:ascii="Arial" w:cs="Arial" w:eastAsia="Arial" w:hAnsi="Arial"/>
          <w:sz w:val="18"/>
          <w:szCs w:val="18"/>
          <w:color w:val="auto"/>
        </w:rPr>
      </w:pPr>
    </w:p>
    <w:p>
      <w:pPr>
        <w:ind w:right="80" w:firstLine="1305"/>
        <w:spacing w:after="0" w:line="264" w:lineRule="auto"/>
        <w:tabs>
          <w:tab w:leader="none" w:pos="16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Issuers may require each Holder of securities to be sold pursuant to any Shelf Registration Statement to furnish to the Issuers such information regarding the Holder and the distribution of such securities as the Issuers may from time to time reasonably require for inclusion in such Registration Statement. The Issuers may exclude from such Shelf Registration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Statement the Securities of any Holder that unreasonably fails to furnish such information within a reasonable time after receiving such request.</w:t>
      </w:r>
    </w:p>
    <w:p>
      <w:pPr>
        <w:spacing w:after="0" w:line="225" w:lineRule="exact"/>
        <w:rPr>
          <w:sz w:val="20"/>
          <w:szCs w:val="20"/>
          <w:color w:val="auto"/>
        </w:rPr>
      </w:pPr>
    </w:p>
    <w:p>
      <w:pPr>
        <w:ind w:right="340" w:firstLine="1305"/>
        <w:spacing w:after="0" w:line="342" w:lineRule="auto"/>
        <w:tabs>
          <w:tab w:leader="none" w:pos="162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the case of any Shelf Registration Statement, the Issuers shall enter into customary agreements (including if requested, an underwriting agreement in customary form) and take all other appropriate actions in order to expedite or facilitate the registration or the disposition of the</w:t>
      </w:r>
    </w:p>
    <w:p>
      <w:pPr>
        <w:sectPr>
          <w:pgSz w:w="11900" w:h="16838" w:orient="portrait"/>
          <w:cols w:equalWidth="0" w:num="1">
            <w:col w:w="11420"/>
          </w:cols>
          <w:pgMar w:left="240" w:top="125" w:right="239" w:bottom="0" w:gutter="0" w:footer="0" w:header="0"/>
        </w:sectPr>
      </w:pPr>
    </w:p>
    <w:bookmarkStart w:id="65" w:name="page66"/>
    <w:bookmarkEnd w:id="65"/>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and in connection therewith, if an underwriting agreement is entered into, cause the same to contain indemnification provisions and procedures no less favorable than those set forth in Section 6 hereof.</w:t>
      </w:r>
    </w:p>
    <w:p>
      <w:pPr>
        <w:spacing w:after="0" w:line="170" w:lineRule="exact"/>
        <w:rPr>
          <w:sz w:val="20"/>
          <w:szCs w:val="20"/>
          <w:color w:val="auto"/>
        </w:rPr>
      </w:pPr>
    </w:p>
    <w:p>
      <w:pPr>
        <w:ind w:left="1640" w:hanging="335"/>
        <w:spacing w:after="0"/>
        <w:tabs>
          <w:tab w:leader="none" w:pos="1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case of any Shelf Registration Statement, the Issuers shall:</w:t>
      </w:r>
    </w:p>
    <w:p>
      <w:pPr>
        <w:spacing w:after="0" w:line="225" w:lineRule="exact"/>
        <w:rPr>
          <w:rFonts w:ascii="Arial" w:cs="Arial" w:eastAsia="Arial" w:hAnsi="Arial"/>
          <w:sz w:val="18"/>
          <w:szCs w:val="18"/>
          <w:color w:val="auto"/>
        </w:rPr>
      </w:pPr>
    </w:p>
    <w:p>
      <w:pPr>
        <w:ind w:left="1300" w:right="200" w:firstLine="653"/>
        <w:spacing w:after="0" w:line="259" w:lineRule="auto"/>
        <w:tabs>
          <w:tab w:leader="none" w:pos="261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make reasonably available for inspection by the Holders of Securities to be registered thereunder, any underwriter participating in any disposition pursuant to such Shelf Registration Statement and any attorney, accountant or other agent retained by the Holders or any such underwriter all relevant financial and other records and pertinent corporate documents of the Issuers and their subsidiaries;</w:t>
      </w:r>
    </w:p>
    <w:p>
      <w:pPr>
        <w:spacing w:after="0" w:line="186" w:lineRule="exact"/>
        <w:rPr>
          <w:rFonts w:ascii="Arial" w:cs="Arial" w:eastAsia="Arial" w:hAnsi="Arial"/>
          <w:sz w:val="18"/>
          <w:szCs w:val="18"/>
          <w:color w:val="auto"/>
        </w:rPr>
      </w:pPr>
    </w:p>
    <w:p>
      <w:pPr>
        <w:ind w:left="1300" w:right="80" w:firstLine="653"/>
        <w:spacing w:after="0" w:line="264" w:lineRule="auto"/>
        <w:tabs>
          <w:tab w:leader="none" w:pos="262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cause the officers, directors, employees, accountants and auditors of any Issuer to supply all relevant information reasonably requested by the Holders or any such underwriter, attorney, accountant or agent in connection with any such Shelf Registration Statement as is customary for similar due diligence examinations;</w:t>
      </w:r>
    </w:p>
    <w:p>
      <w:pPr>
        <w:spacing w:after="0" w:line="181" w:lineRule="exact"/>
        <w:rPr>
          <w:rFonts w:ascii="Arial" w:cs="Arial" w:eastAsia="Arial" w:hAnsi="Arial"/>
          <w:sz w:val="18"/>
          <w:szCs w:val="18"/>
          <w:color w:val="auto"/>
        </w:rPr>
      </w:pPr>
    </w:p>
    <w:p>
      <w:pPr>
        <w:ind w:left="1300" w:right="60" w:firstLine="653"/>
        <w:spacing w:after="0" w:line="264" w:lineRule="auto"/>
        <w:tabs>
          <w:tab w:leader="none" w:pos="263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make such representations and warranties to the Holders of Securities registered thereunder and the underwriters, if any, in form, substance and scope as are customarily made by issuers to underwriters in primary underwritten offerings and covering matters including, but not limited to, those set forth in the Purchase Agreement;</w:t>
      </w:r>
    </w:p>
    <w:p>
      <w:pPr>
        <w:spacing w:after="0" w:line="181" w:lineRule="exact"/>
        <w:rPr>
          <w:rFonts w:ascii="Arial" w:cs="Arial" w:eastAsia="Arial" w:hAnsi="Arial"/>
          <w:sz w:val="18"/>
          <w:szCs w:val="18"/>
          <w:color w:val="auto"/>
        </w:rPr>
      </w:pPr>
    </w:p>
    <w:p>
      <w:pPr>
        <w:ind w:left="1300" w:firstLine="653"/>
        <w:spacing w:after="0" w:line="259" w:lineRule="auto"/>
        <w:tabs>
          <w:tab w:leader="none" w:pos="261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obtain opinions of counsel to the Issuers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primary underwritten offerings and such other matters as may be reasonably requested by such Holders and underwriters;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firstLine="653"/>
        <w:spacing w:after="0" w:line="276" w:lineRule="auto"/>
        <w:tabs>
          <w:tab w:leader="none" w:pos="260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obtain “comfort” letters and updates thereof from the independent certified public accountants of Clearway LLC (and, if necessary, any other independent certified public accountants of any subsidiary of Clearway LLC or of any business acquired by Clearway LLC for which financial statements and financial data are, or are required to be, included in the Shelf Registration Statement), addressed to each selling Holder registered thereunder and the underwriters, if any, in customary form and covering matters of the type customarily covered in “comfort” letters in connection with primary underwritten offerings; and</w:t>
      </w:r>
    </w:p>
    <w:p>
      <w:pPr>
        <w:spacing w:after="0" w:line="172" w:lineRule="exact"/>
        <w:rPr>
          <w:rFonts w:ascii="Arial" w:cs="Arial" w:eastAsia="Arial" w:hAnsi="Arial"/>
          <w:sz w:val="17"/>
          <w:szCs w:val="17"/>
          <w:color w:val="auto"/>
        </w:rPr>
      </w:pPr>
    </w:p>
    <w:p>
      <w:pPr>
        <w:ind w:left="1300" w:right="100" w:firstLine="653"/>
        <w:spacing w:after="0" w:line="264" w:lineRule="auto"/>
        <w:tabs>
          <w:tab w:leader="none" w:pos="261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deliver such documents and certificates as may be reasonably requested by the Majority Holders or the Managing Underwriters, if any, including those to evidence compliance with Section 4(k) hereof and with any customary conditions contained in the underwriting agreement or other agreement entered into by the Issuers.</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actions set forth in clauses (iii), (iv), (v) and (vi) of this Section 4(q) shall be performed at (A) the effectiveness of such Registration Statement and each post-effective amendment thereto; and (B) each closing under any underwriting or similar agreement as and to the extent required thereunder.</w:t>
      </w:r>
    </w:p>
    <w:p>
      <w:pPr>
        <w:spacing w:after="0" w:line="147" w:lineRule="exact"/>
        <w:rPr>
          <w:sz w:val="20"/>
          <w:szCs w:val="20"/>
          <w:color w:val="auto"/>
        </w:rPr>
      </w:pPr>
    </w:p>
    <w:p>
      <w:pPr>
        <w:ind w:right="80" w:firstLine="1305"/>
        <w:spacing w:after="0" w:line="277" w:lineRule="auto"/>
        <w:tabs>
          <w:tab w:leader="none" w:pos="163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the case of any Exchange Offer Registration Statement, the Issuers shall, if requested by an Initial Purchaser or by a Broker-Dealer that holds Securities that were acquired as a result of market-making or other trading activities:</w:t>
      </w:r>
    </w:p>
    <w:p>
      <w:pPr>
        <w:spacing w:after="0" w:line="170" w:lineRule="exact"/>
        <w:rPr>
          <w:rFonts w:ascii="Arial" w:cs="Arial" w:eastAsia="Arial" w:hAnsi="Arial"/>
          <w:sz w:val="18"/>
          <w:szCs w:val="18"/>
          <w:color w:val="auto"/>
        </w:rPr>
      </w:pPr>
    </w:p>
    <w:p>
      <w:pPr>
        <w:ind w:left="1300" w:right="40" w:firstLine="653"/>
        <w:spacing w:after="0" w:line="264" w:lineRule="auto"/>
        <w:tabs>
          <w:tab w:leader="none" w:pos="261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make reasonably available for inspection by the requesting party, and any attorney, accountant or other agent retained by the requesting party, all relevant financial and other records, pertinent corporate documents and properties of the Issuers and their subsidiaries;</w:t>
      </w:r>
    </w:p>
    <w:p>
      <w:pPr>
        <w:spacing w:after="0" w:line="181" w:lineRule="exact"/>
        <w:rPr>
          <w:rFonts w:ascii="Arial" w:cs="Arial" w:eastAsia="Arial" w:hAnsi="Arial"/>
          <w:sz w:val="18"/>
          <w:szCs w:val="18"/>
          <w:color w:val="auto"/>
        </w:rPr>
      </w:pPr>
    </w:p>
    <w:p>
      <w:pPr>
        <w:ind w:left="1300" w:right="80" w:firstLine="653"/>
        <w:spacing w:after="0" w:line="264" w:lineRule="auto"/>
        <w:tabs>
          <w:tab w:leader="none" w:pos="262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cause the officers, directors, employees, accountants and auditors of any Issuer to supply all relevant information reasonably requested by the requesting party or any such attorney, accountant or agent in connection with any such Registration Statement as is customary for similar due diligence examinations;</w:t>
      </w:r>
    </w:p>
    <w:p>
      <w:pPr>
        <w:spacing w:after="0" w:line="181" w:lineRule="exact"/>
        <w:rPr>
          <w:rFonts w:ascii="Arial" w:cs="Arial" w:eastAsia="Arial" w:hAnsi="Arial"/>
          <w:sz w:val="18"/>
          <w:szCs w:val="18"/>
          <w:color w:val="auto"/>
        </w:rPr>
      </w:pPr>
    </w:p>
    <w:p>
      <w:pPr>
        <w:ind w:left="1300" w:right="80" w:firstLine="653"/>
        <w:spacing w:after="0" w:line="264" w:lineRule="auto"/>
        <w:tabs>
          <w:tab w:leader="none" w:pos="263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make such representations and warranties to the requesting party, in form, substance and scope as are customarily made by issuers to underwriters in primary underwritten offerings and covering matters including, but not limited to, those set forth in the Purchase Agreement;</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firstLine="653"/>
        <w:spacing w:after="0" w:line="259" w:lineRule="auto"/>
        <w:tabs>
          <w:tab w:leader="none" w:pos="261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obtain opinions of counsel to the Issuers and updates thereof (which counsel and opinions (in form, scope and substance) shall be reasonably satisfactory to the requesting party and its counsel), addressed to the requesting party, covering such matters as are customarily covered in opinions requested in primary underwritten offerings and such other matters as may be reasonably requested by the requesting party or its counsel;</w:t>
      </w:r>
    </w:p>
    <w:p>
      <w:pPr>
        <w:spacing w:after="0" w:line="186" w:lineRule="exact"/>
        <w:rPr>
          <w:rFonts w:ascii="Arial" w:cs="Arial" w:eastAsia="Arial" w:hAnsi="Arial"/>
          <w:sz w:val="18"/>
          <w:szCs w:val="18"/>
          <w:color w:val="auto"/>
        </w:rPr>
      </w:pPr>
    </w:p>
    <w:p>
      <w:pPr>
        <w:jc w:val="both"/>
        <w:ind w:left="1300" w:right="60" w:firstLine="653"/>
        <w:spacing w:after="0" w:line="293" w:lineRule="auto"/>
        <w:tabs>
          <w:tab w:leader="none" w:pos="260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obtain “comfort” letters and updates thereof from the independent certified public accountants of Clearway LLC (and, if necessary, any other independent certified public accountants of any subsidiary of Clearway LLC or of any business acquired by Clearway LLC for which financial statements and financial data are, or are required to be, included in the Registration Statement), addressed to the requesting party, in customary form and covering matters of the type customarily covered in “comfort” letters in connection with primary underwritten offerings, or if requested by the requesting party or its counsel in lieu of a “comfort” letter, an agreed-upon procedures letter under AT section 201, </w:t>
      </w:r>
      <w:r>
        <w:rPr>
          <w:rFonts w:ascii="Arial" w:cs="Arial" w:eastAsia="Arial" w:hAnsi="Arial"/>
          <w:sz w:val="16"/>
          <w:szCs w:val="16"/>
          <w:i w:val="1"/>
          <w:iCs w:val="1"/>
          <w:color w:val="auto"/>
        </w:rPr>
        <w:t>Agreed-Upon Procedures Engagements</w:t>
      </w:r>
      <w:r>
        <w:rPr>
          <w:rFonts w:ascii="Arial" w:cs="Arial" w:eastAsia="Arial" w:hAnsi="Arial"/>
          <w:sz w:val="16"/>
          <w:szCs w:val="16"/>
          <w:color w:val="auto"/>
        </w:rPr>
        <w:t>, covering matters requested by the requesting party or its counsel; and</w:t>
      </w:r>
    </w:p>
    <w:p>
      <w:pPr>
        <w:spacing w:after="0" w:line="164" w:lineRule="exact"/>
        <w:rPr>
          <w:rFonts w:ascii="Arial" w:cs="Arial" w:eastAsia="Arial" w:hAnsi="Arial"/>
          <w:sz w:val="16"/>
          <w:szCs w:val="16"/>
          <w:color w:val="auto"/>
        </w:rPr>
      </w:pPr>
    </w:p>
    <w:p>
      <w:pPr>
        <w:ind w:left="1300" w:right="80" w:firstLine="653"/>
        <w:spacing w:after="0" w:line="308" w:lineRule="auto"/>
        <w:tabs>
          <w:tab w:leader="none" w:pos="261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deliver such documents and certificates as may be reasonably requested by the requesting party or its counsel, including those to evidence compliance with Section 4(k) and with conditions customarily contained in underwriting agreements.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actions set forth in clauses (iii), (iv), (v) and (vi) of this Section 4(r) shall be performed at the close of the Exchange Offer and the effective date of any post-effective amendment to the Exchange Offer Registration Statement.</w:t>
      </w:r>
    </w:p>
    <w:p>
      <w:pPr>
        <w:sectPr>
          <w:pgSz w:w="11900" w:h="16929" w:orient="portrait"/>
          <w:cols w:equalWidth="0" w:num="1">
            <w:col w:w="11340"/>
          </w:cols>
          <w:pgMar w:left="240" w:top="125" w:right="319" w:bottom="0" w:gutter="0" w:footer="0" w:header="0"/>
        </w:sectPr>
      </w:pPr>
    </w:p>
    <w:bookmarkStart w:id="66" w:name="page67"/>
    <w:bookmarkEnd w:id="66"/>
    <w:p>
      <w:pPr>
        <w:ind w:right="540" w:firstLine="1305"/>
        <w:spacing w:after="0" w:line="312" w:lineRule="auto"/>
        <w:tabs>
          <w:tab w:leader="none" w:pos="163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an Exchange Offer is to be consummated, upon delivery of the Securities by Holders to the Issuers (or to such other Person as directed by the Issuers) in exchange for the Exchange Notes, the Issuers shall mark, or caused to be marked, on the Securities so exchanged that such Securities are being cancelled in exchange for the Exchange Notes. In no event shall the Securities be marked as paid or otherwise satisfied.</w:t>
      </w:r>
    </w:p>
    <w:p>
      <w:pPr>
        <w:spacing w:after="0" w:line="146" w:lineRule="exact"/>
        <w:rPr>
          <w:rFonts w:ascii="Arial" w:cs="Arial" w:eastAsia="Arial" w:hAnsi="Arial"/>
          <w:sz w:val="16"/>
          <w:szCs w:val="16"/>
          <w:color w:val="auto"/>
        </w:rPr>
      </w:pPr>
    </w:p>
    <w:p>
      <w:pPr>
        <w:ind w:right="80" w:firstLine="1305"/>
        <w:spacing w:after="0" w:line="308" w:lineRule="auto"/>
        <w:tabs>
          <w:tab w:leader="none" w:pos="162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Issuers shall use their reasonable best efforts if the Securities have been rated prior to the initial sale of such Securities, to confirm such ratings will apply to the Securities or the Exchange Notes, as the case may be, covered by a Registration Statement.</w:t>
      </w:r>
    </w:p>
    <w:p>
      <w:pPr>
        <w:spacing w:after="0" w:line="146" w:lineRule="exact"/>
        <w:rPr>
          <w:rFonts w:ascii="Arial" w:cs="Arial" w:eastAsia="Arial" w:hAnsi="Arial"/>
          <w:sz w:val="17"/>
          <w:szCs w:val="17"/>
          <w:color w:val="auto"/>
        </w:rPr>
      </w:pPr>
    </w:p>
    <w:p>
      <w:pPr>
        <w:ind w:left="5620" w:right="160" w:hanging="4315"/>
        <w:spacing w:after="0" w:line="528" w:lineRule="auto"/>
        <w:tabs>
          <w:tab w:leader="none" w:pos="16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event that any Broker-Dealer shall underwrite any Securities or participate as a member of an underwriting syndicate or selling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group or “assist in the distribution” (within the meaning of the FINRA Rules) thereof, whether as a Holder or as an underwriter, a placement or sales agent or a broker or dealer in respect thereof, or otherwise, the Issuers shall assist such Broker-Dealer in complying with the FINRA Rules.</w:t>
      </w:r>
    </w:p>
    <w:p>
      <w:pPr>
        <w:spacing w:after="0" w:line="147" w:lineRule="exact"/>
        <w:rPr>
          <w:sz w:val="20"/>
          <w:szCs w:val="20"/>
          <w:color w:val="auto"/>
        </w:rPr>
      </w:pPr>
    </w:p>
    <w:p>
      <w:pPr>
        <w:ind w:right="480" w:firstLine="1305"/>
        <w:spacing w:after="0" w:line="277" w:lineRule="auto"/>
        <w:tabs>
          <w:tab w:leader="none" w:pos="162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Issuers shall use their reasonable best efforts to take all other steps necessary to effect the registration of the Securities or the Exchange Notes, as the case may be, covered by a Registration Statement.</w:t>
      </w:r>
    </w:p>
    <w:p>
      <w:pPr>
        <w:spacing w:after="0" w:line="170" w:lineRule="exact"/>
        <w:rPr>
          <w:sz w:val="20"/>
          <w:szCs w:val="20"/>
          <w:color w:val="auto"/>
        </w:rPr>
      </w:pPr>
    </w:p>
    <w:p>
      <w:pPr>
        <w:ind w:right="100" w:firstLine="1305"/>
        <w:spacing w:after="0" w:line="302" w:lineRule="auto"/>
        <w:tabs>
          <w:tab w:leader="none" w:pos="1620"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Issuers shall bear all expenses incurred in connection with the performance of their obligations under Sections 2, 3 and 4 hereof and, in the event of any Shelf Registration Statement, will reimburse the Holders for the reasonable fees and disbursements of one firm or counsel designated by the Majority Holders to act as counsel for the Holders in connection therewith, and, in the case of any Exchange Offer Registration Statement, will reimburse the Initial Purchasers for the reasonable fees and disbursements of counsel acting in connection therewith.</w:t>
      </w:r>
    </w:p>
    <w:p>
      <w:pPr>
        <w:spacing w:after="0" w:line="154" w:lineRule="exact"/>
        <w:rPr>
          <w:rFonts w:ascii="Arial" w:cs="Arial" w:eastAsia="Arial" w:hAnsi="Arial"/>
          <w:sz w:val="16"/>
          <w:szCs w:val="16"/>
          <w:color w:val="auto"/>
        </w:rPr>
      </w:pPr>
    </w:p>
    <w:p>
      <w:pPr>
        <w:ind w:left="1620" w:hanging="315"/>
        <w:spacing w:after="0"/>
        <w:tabs>
          <w:tab w:leader="none" w:pos="16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280" w:firstLine="1305"/>
        <w:spacing w:after="0" w:line="274" w:lineRule="auto"/>
        <w:tabs>
          <w:tab w:leader="none" w:pos="161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Each of the Issuers jointly and severally agrees to indemnify and hold harmless each Holder of Securities or Exchange Notes, as the case may be, covered by any Registration Statement, each Initial Purchaser and, with respect to any Prospectus delivery as contemplated in</w:t>
      </w:r>
    </w:p>
    <w:p>
      <w:pPr>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Section 4(h) hereof, each Exchanging Dealer, and their respective affiliates and each Person who controls any such Holder, Initial Purchaser, Exchanging Dealer or affiliate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any preliminary Prospectus or the Prospectus, or in any amendment thereof or supplement thereto, or arise out of or are based upon the omission or alleged omission to state therein a material fact required to be stated therein or necessary to make the statements therein (in the case of any preliminary Prospectus or the Prospectus, in the light of the circumstances under which they were made) not misleading, and agrees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Issuers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Issuers by or on behalf of the party claiming indemnification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specifically for inclusion therein. This indemnity agreement shall be in addition to any liability that the Issuers may otherwise have.</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Each of the Issuers also jointly and severally agrees to indemnify as provided in this Section 6(a) or contribute as provided in Section 6(d) to Losses, as defined below, of each underwriter, if any, of Securities or Exchange Notes, as the case may be, registered under a Shelf Registration Statement, their respective affiliates and each Person who controls such underwriter or affiliate on substantially the same basis as that of the indemnification of the Initial Purchasers and the selling Holders provided in this Section 6(a) and shall, if requested by any Holder, enter into an underwriting agreement reflecting such agreement, as provided in Section 4(q) hereof.</w:t>
      </w:r>
    </w:p>
    <w:p>
      <w:pPr>
        <w:spacing w:after="0" w:line="188" w:lineRule="exact"/>
        <w:rPr>
          <w:sz w:val="20"/>
          <w:szCs w:val="20"/>
          <w:color w:val="auto"/>
        </w:rPr>
      </w:pPr>
    </w:p>
    <w:p>
      <w:pPr>
        <w:ind w:firstLine="1305"/>
        <w:spacing w:after="0" w:line="255" w:lineRule="auto"/>
        <w:tabs>
          <w:tab w:leader="none" w:pos="162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Each Holder of Securities covered by a Registration Statement (including each Initial Purchaser that is a Holder, in such capacity) severally and not jointly agrees to indemnify and hold harmless the Issuers, each of their respective directors, each of their respective officers who signs such Registration Statement and each Person who controls any Issuer within the meaning of either the Act or the Exchange Act, to the same extent as the foregoing indemnity from the Issuers to each such Holder, but only with reference to written information relating to such Holder furnished to the Issuers by or on behalf of such Holder specifically for inclusion in the documents referred to in the foregoing indemnity. This indemnity agreement will be in addition to any liability that any such Holder may otherwise have.</w:t>
      </w:r>
    </w:p>
    <w:p>
      <w:pPr>
        <w:spacing w:after="0" w:line="193" w:lineRule="exact"/>
        <w:rPr>
          <w:rFonts w:ascii="Arial" w:cs="Arial" w:eastAsia="Arial" w:hAnsi="Arial"/>
          <w:sz w:val="18"/>
          <w:szCs w:val="18"/>
          <w:color w:val="auto"/>
        </w:rPr>
      </w:pPr>
    </w:p>
    <w:p>
      <w:pPr>
        <w:ind w:right="160" w:firstLine="1305"/>
        <w:spacing w:after="0" w:line="286" w:lineRule="auto"/>
        <w:tabs>
          <w:tab w:leader="none" w:pos="1631" w:val="left"/>
        </w:tabs>
        <w:numPr>
          <w:ilvl w:val="1"/>
          <w:numId w:val="204"/>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6 or notice of the commencement of any action, such indemnified party will, if a claim in respect thereof is to be made against the indemnifying party under this Section,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1" w:lineRule="exact"/>
        <w:rPr>
          <w:rFonts w:ascii="Arial" w:cs="Arial" w:eastAsia="Arial" w:hAnsi="Arial"/>
          <w:sz w:val="16"/>
          <w:szCs w:val="16"/>
          <w:color w:val="auto"/>
        </w:rPr>
      </w:pPr>
    </w:p>
    <w:p>
      <w:pPr>
        <w:ind w:right="20" w:firstLine="8"/>
        <w:spacing w:after="0" w:line="252" w:lineRule="auto"/>
        <w:tabs>
          <w:tab w:leader="none" w:pos="2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will not, in any event, relieve the indemnifying party from any obligations to any indemnified party other than the indemnification obligation provided in paragraph (a) or (b) above.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counsel shall be satisfactory to the indemnified party. Notwithstanding the indemnifying party’s election to appoint counsel (including local counsel) to represent the indemnified party in an action, the indemnified party shall have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2" w:gutter="0" w:footer="0" w:header="0"/>
        </w:sectPr>
      </w:pPr>
    </w:p>
    <w:bookmarkStart w:id="67" w:name="page68"/>
    <w:bookmarkEnd w:id="67"/>
    <w:p>
      <w:pPr>
        <w:ind w:right="220"/>
        <w:spacing w:after="0" w:line="291" w:lineRule="auto"/>
        <w:rPr>
          <w:sz w:val="20"/>
          <w:szCs w:val="20"/>
          <w:color w:val="auto"/>
        </w:rPr>
      </w:pPr>
      <w:r>
        <w:rPr>
          <w:rFonts w:ascii="Arial" w:cs="Arial" w:eastAsia="Arial" w:hAnsi="Arial"/>
          <w:sz w:val="16"/>
          <w:szCs w:val="16"/>
          <w:color w:val="auto"/>
        </w:rPr>
        <w:t>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w:t>
      </w:r>
    </w:p>
    <w:p>
      <w:pPr>
        <w:ind w:right="40" w:firstLine="8"/>
        <w:spacing w:after="0" w:line="251" w:lineRule="auto"/>
        <w:tabs>
          <w:tab w:leader="none" w:pos="2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actual or potential defendants in, or targets of, any such action include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not have employed counsel satisfactory to the indemnified party to represent the indemnified party within a reasonable time after notice of the initiation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198" w:lineRule="exact"/>
        <w:rPr>
          <w:rFonts w:ascii="Arial" w:cs="Arial" w:eastAsia="Arial" w:hAnsi="Arial"/>
          <w:sz w:val="18"/>
          <w:szCs w:val="18"/>
          <w:color w:val="auto"/>
        </w:rPr>
      </w:pPr>
    </w:p>
    <w:p>
      <w:pPr>
        <w:ind w:right="40" w:firstLine="1305"/>
        <w:spacing w:after="0" w:line="268" w:lineRule="auto"/>
        <w:tabs>
          <w:tab w:leader="none" w:pos="1628" w:val="left"/>
        </w:tabs>
        <w:numPr>
          <w:ilvl w:val="1"/>
          <w:numId w:val="206"/>
        </w:numPr>
        <w:rPr>
          <w:rFonts w:ascii="Arial" w:cs="Arial" w:eastAsia="Arial" w:hAnsi="Arial"/>
          <w:sz w:val="17"/>
          <w:szCs w:val="17"/>
          <w:color w:val="auto"/>
        </w:rPr>
      </w:pPr>
      <w:r>
        <w:rPr>
          <w:rFonts w:ascii="Arial" w:cs="Arial" w:eastAsia="Arial" w:hAnsi="Arial"/>
          <w:sz w:val="17"/>
          <w:szCs w:val="17"/>
          <w:color w:val="auto"/>
        </w:rPr>
        <w:t>In the event that the indemnity provided in paragraph (a) or (b) of this Section is unavailable to or insufficient to hold harmless an indemnified party for any reason, then each applicable indemnifying party shall have a joint and several obligation to contribute to the aggregate losses, claims, damages and liabilities (including legal or other expenses reasonably incurred in connection with investigating or defending any loss, claim, liability, damage or action) (collectively “</w:t>
      </w:r>
      <w:r>
        <w:rPr>
          <w:rFonts w:ascii="Arial" w:cs="Arial" w:eastAsia="Arial" w:hAnsi="Arial"/>
          <w:sz w:val="17"/>
          <w:szCs w:val="17"/>
          <w:b w:val="1"/>
          <w:bCs w:val="1"/>
          <w:color w:val="auto"/>
        </w:rPr>
        <w:t>Losses</w:t>
      </w:r>
      <w:r>
        <w:rPr>
          <w:rFonts w:ascii="Arial" w:cs="Arial" w:eastAsia="Arial" w:hAnsi="Arial"/>
          <w:sz w:val="17"/>
          <w:szCs w:val="17"/>
          <w:color w:val="auto"/>
        </w:rPr>
        <w:t xml:space="preserve">”) to which such indemnified party may be subject in such proportion as is appropriate to reflect the relative benefits received by such indemnifying party, on the one hand, and such indemnified party, on the other hand, from the Initial Placement and the Registration Statement which resulted in such Losses;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case shall any Initial Purchaser be responsible, in the aggregate, for any amount in excess of the purchase discount or commission applicable to such Security, or in the case of an Exchange Note, applicable to the Security that was exchangeable into such Exchange Note, as set forth in the Final Offering Memorandum, nor shall any underwriter be responsible for any amount in excess of the underwriting discount or commission applicable to the securities purchased by such underwriter under the Registration Statement which resulted in such Losses.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Issuers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shall be deemed to be equal to the total net proceeds from the Initial Placement (before deducting expenses) as set forth in the Final Offering Memorandum. Benefits received by the Initial Purchasers shall be deemed to be equal to the total purchase discounts and commissions as set forth on the cover page of the Final Offering Memorandum, and benefits received by any other Holders shall be deemed to be equal to the value of receiving Securities or Exchange Notes, as applicable, registered under the Act. Benefits received by any underwriter shall be deemed to be equal to the total underwriting discounts and commissions, as set forth on the cover page of the Prospectus forming a part of the Registration Statement which resulted in such Losses. Relative fault shall be determined by reference to, among other things, whether any untrue or any alleged untrue statement of a material fact or omission or alleged omission to state a material fact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each Person who controls a Holder within the meaning of either the Act or the Exchange Act and each director, officer, employee and agent of such Holder shall have the same rights to contribution as such Holder, and each Person who controls any Issuer within the meaning of either the Act or the Exchange Act, each officer of any Issuer who shall have signed the Registration Statement and each director of any Issuer shall have the same rights to contribution as the Issuers, subject in each case to the applicable terms and conditions of this paragraph (d).</w:t>
      </w:r>
    </w:p>
    <w:p>
      <w:pPr>
        <w:spacing w:after="0" w:line="385" w:lineRule="exact"/>
        <w:rPr>
          <w:sz w:val="20"/>
          <w:szCs w:val="20"/>
          <w:color w:val="auto"/>
        </w:rPr>
      </w:pPr>
    </w:p>
    <w:p>
      <w:pPr>
        <w:ind w:right="140" w:firstLine="1305"/>
        <w:spacing w:after="0" w:line="264" w:lineRule="auto"/>
        <w:tabs>
          <w:tab w:leader="none" w:pos="163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provisions of this Section will remain in full force and effect, regardless of any investigation made by or on behalf of any Holder or the Issuers or any of the indemnified Persons referred to in this Section 6, and will survive the sale by a Holder of securities covered by a Registration Statement.</w:t>
      </w:r>
    </w:p>
    <w:p>
      <w:pPr>
        <w:spacing w:after="0" w:line="181" w:lineRule="exact"/>
        <w:rPr>
          <w:sz w:val="20"/>
          <w:szCs w:val="20"/>
          <w:color w:val="auto"/>
        </w:rPr>
      </w:pPr>
    </w:p>
    <w:p>
      <w:pPr>
        <w:ind w:left="1660" w:hanging="355"/>
        <w:spacing w:after="0"/>
        <w:tabs>
          <w:tab w:leader="none" w:pos="166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Underwritten Registrations</w:t>
      </w:r>
      <w:r>
        <w:rPr>
          <w:rFonts w:ascii="Arial" w:cs="Arial" w:eastAsia="Arial" w:hAnsi="Arial"/>
          <w:sz w:val="18"/>
          <w:szCs w:val="18"/>
          <w:color w:val="auto"/>
        </w:rPr>
        <w:t>.</w:t>
      </w:r>
    </w:p>
    <w:p>
      <w:pPr>
        <w:spacing w:after="0" w:line="225" w:lineRule="exact"/>
        <w:rPr>
          <w:sz w:val="20"/>
          <w:szCs w:val="20"/>
          <w:color w:val="auto"/>
        </w:rPr>
      </w:pPr>
    </w:p>
    <w:p>
      <w:pPr>
        <w:ind w:right="540" w:firstLine="1305"/>
        <w:spacing w:after="0" w:line="277" w:lineRule="auto"/>
        <w:tabs>
          <w:tab w:leader="none" w:pos="163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any of the Securities or Exchange Notes, as the case may be, covered by any Shelf Registration Statement are to be sold in an underwritten offering, the Managing Underwriters shall be selected by the Majority Holders.</w:t>
      </w:r>
    </w:p>
    <w:p>
      <w:pPr>
        <w:spacing w:after="0" w:line="170" w:lineRule="exact"/>
        <w:rPr>
          <w:rFonts w:ascii="Arial" w:cs="Arial" w:eastAsia="Arial" w:hAnsi="Arial"/>
          <w:sz w:val="18"/>
          <w:szCs w:val="18"/>
          <w:color w:val="auto"/>
        </w:rPr>
      </w:pPr>
    </w:p>
    <w:p>
      <w:pPr>
        <w:ind w:right="120" w:firstLine="1305"/>
        <w:spacing w:after="0" w:line="264" w:lineRule="auto"/>
        <w:tabs>
          <w:tab w:leader="none" w:pos="164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 Person may participate in any underwritten offering pursuant to any Shelf Registration Statement, unless such Person (i) agrees to sell such Person’s Securities or Exchange Notes, as the case may be, on the basis reasonably provided in any underwriting arrangements approved by the Persons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166" w:lineRule="exact"/>
        <w:rPr>
          <w:sz w:val="20"/>
          <w:szCs w:val="20"/>
          <w:color w:val="auto"/>
        </w:rPr>
      </w:pPr>
    </w:p>
    <w:p>
      <w:pPr>
        <w:ind w:firstLine="1305"/>
        <w:spacing w:after="0" w:line="282" w:lineRule="auto"/>
        <w:tabs>
          <w:tab w:leader="none" w:pos="1657"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Registration Defaults</w:t>
      </w:r>
      <w:r>
        <w:rPr>
          <w:rFonts w:ascii="Arial" w:cs="Arial" w:eastAsia="Arial" w:hAnsi="Arial"/>
          <w:sz w:val="18"/>
          <w:szCs w:val="18"/>
          <w:color w:val="auto"/>
        </w:rPr>
        <w:t>. If any of the following events (each, a “</w:t>
      </w:r>
      <w:r>
        <w:rPr>
          <w:rFonts w:ascii="Arial" w:cs="Arial" w:eastAsia="Arial" w:hAnsi="Arial"/>
          <w:sz w:val="18"/>
          <w:szCs w:val="18"/>
          <w:b w:val="1"/>
          <w:bCs w:val="1"/>
          <w:color w:val="auto"/>
        </w:rPr>
        <w:t>Registration Default</w:t>
      </w:r>
      <w:r>
        <w:rPr>
          <w:rFonts w:ascii="Arial" w:cs="Arial" w:eastAsia="Arial" w:hAnsi="Arial"/>
          <w:sz w:val="18"/>
          <w:szCs w:val="18"/>
          <w:color w:val="auto"/>
        </w:rPr>
        <w:t>”) shall occur, then the Issuers shall pay liquidated damages (the “</w:t>
      </w:r>
      <w:r>
        <w:rPr>
          <w:rFonts w:ascii="Arial" w:cs="Arial" w:eastAsia="Arial" w:hAnsi="Arial"/>
          <w:sz w:val="18"/>
          <w:szCs w:val="18"/>
          <w:b w:val="1"/>
          <w:bCs w:val="1"/>
          <w:color w:val="auto"/>
        </w:rPr>
        <w:t>Special Interest</w:t>
      </w:r>
      <w:r>
        <w:rPr>
          <w:rFonts w:ascii="Arial" w:cs="Arial" w:eastAsia="Arial" w:hAnsi="Arial"/>
          <w:sz w:val="18"/>
          <w:szCs w:val="18"/>
          <w:color w:val="auto"/>
        </w:rPr>
        <w:t>”) to the Holders of Securities in respect of the Securities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if the Issuers fail to consummate the Exchange Offer within 365 Days following the Closing Date; or</w:t>
      </w:r>
    </w:p>
    <w:p>
      <w:pPr>
        <w:sectPr>
          <w:pgSz w:w="11900" w:h="16838" w:orient="portrait"/>
          <w:cols w:equalWidth="0" w:num="1">
            <w:col w:w="11380"/>
          </w:cols>
          <w:pgMar w:left="240" w:top="584" w:right="279" w:bottom="221" w:gutter="0" w:footer="0" w:header="0"/>
        </w:sectPr>
      </w:pPr>
    </w:p>
    <w:bookmarkStart w:id="68" w:name="page69"/>
    <w:bookmarkEnd w:id="68"/>
    <w:p>
      <w:pPr>
        <w:spacing w:after="0" w:line="137" w:lineRule="exact"/>
        <w:rPr>
          <w:sz w:val="20"/>
          <w:szCs w:val="20"/>
          <w:color w:val="auto"/>
        </w:rPr>
      </w:pPr>
    </w:p>
    <w:p>
      <w:pPr>
        <w:ind w:right="40" w:firstLine="1305"/>
        <w:spacing w:after="0" w:line="269" w:lineRule="auto"/>
        <w:tabs>
          <w:tab w:leader="none" w:pos="164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if the Shelf Registration Statement or the Exchange Offer Registration Statement is declared effective but thereafter ceases to be effective or usable in connection with resales of Registrable Securities during the periods specified in this Agreement, then, in each case, as of the date any such event occurs, Special Interest shall accrue on the Registrable Securities at a rate of 0.25% per annum of the principal amount of Registrable Securities outstanding for the first 90 days from and including such date; thereafter, the Special Interest will increase by an additional 0.25% per annum with respect to each subsequent 90-day period until all Registration Defaults have been cured, up to a maximum amount of 1.0% per annum of the principal amount of the Registrable Securities outstanding. All accrued Special Interest will be paid by the Issuers on the next scheduled interest payment date to DTC or its nominee by wire transfer of immediately available funds or by federal funds check and to Holders of certificated notes by wire transfer to the accounts specified by them or by mailing checks to their registered addresses if no such accounts have been specified. A Registration Default shall have been cured for purposes hereof (1) upon consummation of the Exchange Offer (in the case of paragraph (a) above) or (2) upon the effectiveness of the Registration Statement which had ceased to remain effective (in the case of paragraph (b) above). Immediately upon the cure of all Registration Defaults, the accrual of Special Interest will cease.</w:t>
      </w:r>
    </w:p>
    <w:p>
      <w:pPr>
        <w:spacing w:after="0" w:line="183" w:lineRule="exact"/>
        <w:rPr>
          <w:sz w:val="20"/>
          <w:szCs w:val="20"/>
          <w:color w:val="auto"/>
        </w:rPr>
      </w:pPr>
    </w:p>
    <w:p>
      <w:pPr>
        <w:ind w:right="140" w:firstLine="1305"/>
        <w:spacing w:after="0" w:line="342" w:lineRule="auto"/>
        <w:tabs>
          <w:tab w:leader="none" w:pos="1657"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No Issuer has, as of the date hereof, entered into, nor shall it, on or after the date hereof, any agreement with respect to its Securities that is inconsistent with the rights granted to the Holders herein or that otherwise conflicts with the provisions hereof.</w:t>
      </w:r>
    </w:p>
    <w:p>
      <w:pPr>
        <w:spacing w:after="0" w:line="123" w:lineRule="exact"/>
        <w:rPr>
          <w:rFonts w:ascii="Arial" w:cs="Arial" w:eastAsia="Arial" w:hAnsi="Arial"/>
          <w:sz w:val="16"/>
          <w:szCs w:val="16"/>
          <w:color w:val="auto"/>
        </w:rPr>
      </w:pPr>
    </w:p>
    <w:p>
      <w:pPr>
        <w:ind w:right="80" w:firstLine="1305"/>
        <w:spacing w:after="0" w:line="259" w:lineRule="auto"/>
        <w:tabs>
          <w:tab w:leader="none" w:pos="1611"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The provisions of this Agreement may not be amended, qualified, modified or supplemented, and waivers or consents to departures from the provisions hereof may not be given, unless the Issuers have obtained the written consent of the Majority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matter that directly or indirectly affects the rights of any Initial Purchaser hereunder, the Issuers shall obtain the written consent of each such Initial Purchaser against which such amendment, qualification, supplement,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waiver or consent is to be effective;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amendment, qualification, supplement, waiver or consent with respect to Section 8 hereof shall be effective as against any Holder of Registrable Securities unless consented to in writing by such Holder;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provisions of this Section 10 may not be amended, qualified, modified or supplemented, and waivers or consents to departures from the provisions hereof may not be given, unless the Issuers have obtained the written consent of the Representative and each Holder. Notwithstanding the foregoing (except the foregoing provisos), a waiver or consent to departure from the provisions hereof with respect to a matter that relates exclusively to the rights of Holders whose Securities or Exchange Notes, as the case may be, are being sold pursuant to a Registration Statement and that does not directly or indirectly affect the rights of other Holders may be given by the Majority Holders, determined on the basis of Securities or Exchange Notes, as the case may be, being sold rather than registered under such Registration Statement.</w:t>
      </w:r>
    </w:p>
    <w:p>
      <w:pPr>
        <w:spacing w:after="0" w:line="179" w:lineRule="exact"/>
        <w:rPr>
          <w:sz w:val="20"/>
          <w:szCs w:val="20"/>
          <w:color w:val="auto"/>
        </w:rPr>
      </w:pPr>
    </w:p>
    <w:p>
      <w:pPr>
        <w:ind w:right="260" w:firstLine="1305"/>
        <w:spacing w:after="0" w:line="277" w:lineRule="auto"/>
        <w:tabs>
          <w:tab w:leader="none" w:pos="160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in writing by hand-delivery, first-class mail, telex, telecopier or air courier guaranteeing overnight delivery:</w:t>
      </w:r>
    </w:p>
    <w:p>
      <w:pPr>
        <w:spacing w:after="0" w:line="170" w:lineRule="exact"/>
        <w:rPr>
          <w:sz w:val="20"/>
          <w:szCs w:val="20"/>
          <w:color w:val="auto"/>
        </w:rPr>
      </w:pPr>
    </w:p>
    <w:p>
      <w:pPr>
        <w:ind w:right="400" w:firstLine="1305"/>
        <w:spacing w:after="0" w:line="308" w:lineRule="auto"/>
        <w:tabs>
          <w:tab w:leader="none" w:pos="163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if to a Holder, at the most current address given by such Holder to the Issuers in accordance with the provisions of this Section 11, which address initially is, with respect to each Holder, the address of such Holder maintained by the Registrar under the Indenture;</w:t>
      </w:r>
    </w:p>
    <w:p>
      <w:pPr>
        <w:spacing w:after="0" w:line="146" w:lineRule="exact"/>
        <w:rPr>
          <w:rFonts w:ascii="Arial" w:cs="Arial" w:eastAsia="Arial" w:hAnsi="Arial"/>
          <w:sz w:val="17"/>
          <w:szCs w:val="17"/>
          <w:color w:val="auto"/>
        </w:rPr>
      </w:pPr>
    </w:p>
    <w:p>
      <w:pPr>
        <w:ind w:left="1640" w:hanging="335"/>
        <w:spacing w:after="0"/>
        <w:tabs>
          <w:tab w:leader="none" w:pos="16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to the Representative, initially at the address set forth in the Purchase Agreement; and</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to the Issuers, initially at the address of the Company set forth in the Purchase Agreement.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All such notices and communications shall be deemed to have been duly given when received. The Representative or the Issuers by notice to the other parties may designate additional or different addresses for subsequent notices or communications.</w:t>
      </w:r>
    </w:p>
    <w:p>
      <w:pPr>
        <w:spacing w:after="0" w:line="170" w:lineRule="exact"/>
        <w:rPr>
          <w:sz w:val="20"/>
          <w:szCs w:val="20"/>
          <w:color w:val="auto"/>
        </w:rPr>
      </w:pPr>
    </w:p>
    <w:p>
      <w:pPr>
        <w:ind w:right="200" w:firstLine="1305"/>
        <w:spacing w:after="0" w:line="302" w:lineRule="auto"/>
        <w:tabs>
          <w:tab w:leader="none" w:pos="1611"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Holder, in addition to being entitled to exercise all rights provided to it herein, in the Indenture or in the Purchase Agreement or granted by law, including recovery of liquidated or other damages, will be entitled to specific performance of its rights under this Agreement. The Issuers agree that monetary damages would not be adequate compensation for any loss incurred by reason of a breach by them of the provisions of this Agreement and hereby agree to waive in any action for specific performance the defense that a remedy at law would be adequate.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1305"/>
        <w:spacing w:after="0" w:line="302" w:lineRule="auto"/>
        <w:tabs>
          <w:tab w:leader="none" w:pos="1611"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inure to the benefit of and be binding upon the parties hereto, their respective successors and assigns, including, without the need for an express assignment or any consent by the Issuers thereto, subsequent Holders of Securities and the Exchange Notes, and the indemnified Persons referred to in Section 6 hereof. The Issuers hereby agree to extend the benefits of this Agreement to any Holder of Securities or the Exchange Notes, and any such Holder may specifically enforce the provisions of this Agreement as if an original party hereto.</w:t>
      </w:r>
    </w:p>
    <w:p>
      <w:pPr>
        <w:spacing w:after="0" w:line="154" w:lineRule="exact"/>
        <w:rPr>
          <w:rFonts w:ascii="Arial" w:cs="Arial" w:eastAsia="Arial" w:hAnsi="Arial"/>
          <w:sz w:val="16"/>
          <w:szCs w:val="16"/>
          <w:color w:val="auto"/>
        </w:rPr>
      </w:pPr>
    </w:p>
    <w:p>
      <w:pPr>
        <w:ind w:right="80" w:firstLine="1305"/>
        <w:spacing w:after="0" w:line="277" w:lineRule="auto"/>
        <w:tabs>
          <w:tab w:leader="none" w:pos="161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in signed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herein are for convenience only and shall not affect the construction hereof.</w:t>
      </w:r>
    </w:p>
    <w:p>
      <w:pPr>
        <w:spacing w:after="0" w:line="225" w:lineRule="exact"/>
        <w:rPr>
          <w:rFonts w:ascii="Arial" w:cs="Arial" w:eastAsia="Arial" w:hAnsi="Arial"/>
          <w:sz w:val="18"/>
          <w:szCs w:val="18"/>
          <w:color w:val="auto"/>
        </w:rPr>
      </w:pPr>
    </w:p>
    <w:p>
      <w:pPr>
        <w:ind w:right="80" w:firstLine="1305"/>
        <w:spacing w:after="0" w:line="264" w:lineRule="auto"/>
        <w:tabs>
          <w:tab w:leader="none" w:pos="161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the State of New York applicable to contracts made and to be performed in the State of New York. The parties hereto each hereby waive any right to trial by jury in any action, proceeding or counterclaim arising out of or relating to this Agreement.</w:t>
      </w:r>
    </w:p>
    <w:p>
      <w:pPr>
        <w:spacing w:after="0" w:line="181" w:lineRule="exact"/>
        <w:rPr>
          <w:rFonts w:ascii="Arial" w:cs="Arial" w:eastAsia="Arial" w:hAnsi="Arial"/>
          <w:sz w:val="18"/>
          <w:szCs w:val="18"/>
          <w:color w:val="auto"/>
        </w:rPr>
      </w:pPr>
    </w:p>
    <w:p>
      <w:pPr>
        <w:ind w:right="60" w:firstLine="1305"/>
        <w:spacing w:after="0" w:line="259" w:lineRule="auto"/>
        <w:tabs>
          <w:tab w:leader="none" w:pos="161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pacing w:after="0" w:line="186" w:lineRule="exact"/>
        <w:rPr>
          <w:rFonts w:ascii="Arial" w:cs="Arial" w:eastAsia="Arial" w:hAnsi="Arial"/>
          <w:sz w:val="18"/>
          <w:szCs w:val="18"/>
          <w:color w:val="auto"/>
        </w:rPr>
      </w:pPr>
    </w:p>
    <w:p>
      <w:pPr>
        <w:ind w:right="280" w:firstLine="1305"/>
        <w:spacing w:after="0" w:line="342" w:lineRule="auto"/>
        <w:tabs>
          <w:tab w:leader="none" w:pos="1611"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Securities Held by the Issuers</w:t>
      </w:r>
      <w:r>
        <w:rPr>
          <w:rFonts w:ascii="Arial" w:cs="Arial" w:eastAsia="Arial" w:hAnsi="Arial"/>
          <w:sz w:val="16"/>
          <w:szCs w:val="16"/>
          <w:color w:val="auto"/>
        </w:rPr>
        <w:t>. Whenever the consent or approval of Holders of a specified percentage of principal amount of Securities or Exchange Notes is required hereunder, Securities or Exchange Notes, as applicable, held by any Issuer or its Affiliates (other than subsequent</w:t>
      </w:r>
    </w:p>
    <w:p>
      <w:pPr>
        <w:sectPr>
          <w:pgSz w:w="11900" w:h="16975" w:orient="portrait"/>
          <w:cols w:equalWidth="0" w:num="1">
            <w:col w:w="11420"/>
          </w:cols>
          <w:pgMar w:left="240" w:top="125" w:right="239" w:bottom="0" w:gutter="0" w:footer="0" w:header="0"/>
        </w:sectPr>
      </w:pPr>
    </w:p>
    <w:bookmarkStart w:id="69" w:name="page70"/>
    <w:bookmarkEnd w:id="69"/>
    <w:p>
      <w:pPr>
        <w:ind w:right="520"/>
        <w:spacing w:after="0" w:line="342" w:lineRule="auto"/>
        <w:rPr>
          <w:sz w:val="20"/>
          <w:szCs w:val="20"/>
          <w:color w:val="auto"/>
        </w:rPr>
      </w:pPr>
      <w:r>
        <w:rPr>
          <w:rFonts w:ascii="Arial" w:cs="Arial" w:eastAsia="Arial" w:hAnsi="Arial"/>
          <w:sz w:val="16"/>
          <w:szCs w:val="16"/>
          <w:color w:val="auto"/>
        </w:rPr>
        <w:t>Holders of Securities or Exchange Notes if such subsequent Holders are deemed to be Affiliates solely by reason of their holdings of such Securities or Exchange Notes) shall not be counted in determining whether such consent or approval was given by the Holders of such required percentage.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Agreement and your acceptance shall represent a binding agreement between the Issuers and the several Initial Purchasers.</w:t>
      </w:r>
    </w:p>
    <w:p>
      <w:pPr>
        <w:spacing w:after="0" w:line="14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Clearway Energy LLC, as managing member</w:t>
      </w:r>
    </w:p>
    <w:p>
      <w:pPr>
        <w:spacing w:after="0" w:line="21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Chad Plotkin</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Senior Vice President &amp; Chief Financial Officer</w:t>
            </w:r>
          </w:p>
        </w:tc>
      </w:tr>
    </w:tbl>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Clearway Energy, Inc., as managing member</w:t>
      </w:r>
    </w:p>
    <w:p>
      <w:pPr>
        <w:spacing w:after="0" w:line="21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Chad Plotkin</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ALTA WIND 1-5 HOLDING COMPANY, LLC</w:t>
      </w:r>
      <w:r>
        <w:rPr>
          <w:rFonts w:ascii="Arial" w:cs="Arial" w:eastAsia="Arial" w:hAnsi="Arial"/>
          <w:sz w:val="18"/>
          <w:szCs w:val="18"/>
          <w:color w:val="auto"/>
        </w:rPr>
        <w:t>,</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 Guarantor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Alta Wind Company, LLC, as managing member</w:t>
      </w:r>
    </w:p>
    <w:p>
      <w:pPr>
        <w:spacing w:after="0" w:line="21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Chad Plotkin</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UB FUEL CELL, LLC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CENTRAL CA FUEL CELL 1, LLC</w:t>
      </w:r>
      <w:r>
        <w:rPr>
          <w:rFonts w:ascii="Arial" w:cs="Arial" w:eastAsia="Arial" w:hAnsi="Arial"/>
          <w:sz w:val="18"/>
          <w:szCs w:val="18"/>
          <w:color w:val="auto"/>
        </w:rPr>
        <w:t>, as Guarantors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NYLD Fuel Cell Holdings LLC, as 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ALTA WIND COMPANY, LLC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NYLD FUEL CELL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SOUTH TRENT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YIELD DGPV HOLDING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YIELD RPV HOLDING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SOLAR LAS VEGAS MB 1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SOLAR IGUANA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SOLAR STAR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SOLAR TABERNACLE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THERMAL CANADA INFRASTRUCTURE</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THERMAL INFRASTRUCTURE DEVELOPMENT</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HOLDINGS, LLC</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Guarantors,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Clearway Energy Operating LLC, as managing member</w:t>
      </w:r>
    </w:p>
    <w:p>
      <w:pPr>
        <w:spacing w:after="0" w:line="211"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bl>
    <w:p>
      <w:pPr>
        <w:sectPr>
          <w:pgSz w:w="11900" w:h="16838" w:orient="portrait"/>
          <w:cols w:equalWidth="0" w:num="1">
            <w:col w:w="11420"/>
          </w:cols>
          <w:pgMar w:left="240" w:top="125" w:right="239" w:bottom="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SPP FUND II, LLC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SPP FUND II-B, LLC</w:t>
      </w:r>
      <w:r>
        <w:rPr>
          <w:rFonts w:ascii="Arial" w:cs="Arial" w:eastAsia="Arial" w:hAnsi="Arial"/>
          <w:sz w:val="18"/>
          <w:szCs w:val="18"/>
          <w:color w:val="auto"/>
        </w:rPr>
        <w:t>, as Guarantors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SPP Fund II Holdings, LLC, as 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CAPITAL MARKETS, LLC</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Acting on behalf of itself</w:t>
      </w:r>
    </w:p>
    <w:p>
      <w:pPr>
        <w:spacing w:after="0" w:line="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and as the Representative of</w:t>
      </w:r>
    </w:p>
    <w:p>
      <w:pPr>
        <w:spacing w:after="0" w:line="9" w:lineRule="exact"/>
        <w:rPr>
          <w:sz w:val="20"/>
          <w:szCs w:val="20"/>
          <w:color w:val="auto"/>
        </w:rPr>
      </w:pPr>
    </w:p>
    <w:p>
      <w:pPr>
        <w:jc w:val="center"/>
        <w:ind w:right="8980"/>
        <w:spacing w:after="0"/>
        <w:rPr>
          <w:sz w:val="20"/>
          <w:szCs w:val="20"/>
          <w:color w:val="auto"/>
        </w:rPr>
      </w:pPr>
      <w:r>
        <w:rPr>
          <w:rFonts w:ascii="Arial" w:cs="Arial" w:eastAsia="Arial" w:hAnsi="Arial"/>
          <w:sz w:val="18"/>
          <w:szCs w:val="18"/>
          <w:color w:val="auto"/>
        </w:rPr>
        <w:t>the several Initial Purchasers</w:t>
      </w:r>
    </w:p>
    <w:p>
      <w:pPr>
        <w:spacing w:after="0" w:line="9" w:lineRule="exact"/>
        <w:rPr>
          <w:sz w:val="20"/>
          <w:szCs w:val="20"/>
          <w:color w:val="auto"/>
        </w:rPr>
      </w:pPr>
    </w:p>
    <w:p>
      <w:pPr>
        <w:jc w:val="center"/>
        <w:ind w:right="9120"/>
        <w:spacing w:after="0"/>
        <w:rPr>
          <w:sz w:val="20"/>
          <w:szCs w:val="20"/>
          <w:color w:val="auto"/>
        </w:rPr>
      </w:pPr>
      <w:r>
        <w:rPr>
          <w:rFonts w:ascii="Arial" w:cs="Arial" w:eastAsia="Arial" w:hAnsi="Arial"/>
          <w:sz w:val="17"/>
          <w:szCs w:val="17"/>
          <w:color w:val="auto"/>
        </w:rPr>
        <w:t>By: RBC Capital Markets, LLC</w:t>
      </w:r>
    </w:p>
    <w:p>
      <w:pPr>
        <w:spacing w:after="0" w:line="22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 Wolfe</w:t>
      </w:r>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James. S. Wolfe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Managing Director and</w:t>
            </w:r>
          </w:p>
        </w:tc>
      </w:tr>
      <w:tr>
        <w:trPr>
          <w:trHeight w:val="230"/>
        </w:trPr>
        <w:tc>
          <w:tcPr>
            <w:tcW w:w="620" w:type="dxa"/>
            <w:vAlign w:val="bottom"/>
          </w:tcPr>
          <w:p>
            <w:pPr>
              <w:spacing w:after="0"/>
              <w:rPr>
                <w:sz w:val="20"/>
                <w:szCs w:val="20"/>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Head of Global Leveraged Finance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Initial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25" w:lineRule="exact"/>
        <w:rPr>
          <w:sz w:val="20"/>
          <w:szCs w:val="20"/>
          <w:color w:val="auto"/>
        </w:rPr>
      </w:pPr>
    </w:p>
    <w:p>
      <w:pPr>
        <w:jc w:val="center"/>
        <w:ind w:right="8620"/>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jc w:val="center"/>
        <w:ind w:right="85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Each Broker-Dealer that receives Exchange Notes for its own account pursuant to the Exchange Offer must acknowledge that it will deliver a Prospectus in connection with any resale of such Exchange Notes. The Letter of Transmittal states that by so acknowledging and by delivering a Prospectus, a Broker-Dealer will not be deemed to admit that it is an “underwriter” within the meaning of the Act. This Prospectus, as it may be amended or supplemented from time to time, may be used by a Broker-Dealer in connection with resales of Exchange Notes received in exchange for Securities where such Securities were acquired by such Broker-Dealer as a result of market-making activities or other trading activities. Each of the Company, Clearway LLC and the Subsidiary Guarantors has agreed that, starting on the expiration date and ending on the close of business one year after the expiration date, it will make this Prospectus available, as amended or supplemented, to any Broker-Dealer for use in connection with any such resale. See “Plan of Distribution”.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86"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Each broker-dealer that receives new securities for its own account in exchange for securities, where such securities were acquired by such broker-dealer as a result of market-making activities or other trading activities, must acknowledge that it will deliver a prospectus in connection with any resale of such new securities. See “Plan of Distribution”.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Securities where such Securities were acquired as a result of market-making activities or other trading activities. The Company, Clearway LLC and each of the Subsidiary Guarantors has agreed that, starting on the expiration date and ending on the close of business one year after the expiration date, they will make this Prospectus, as amended or supplemented, available</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to any Broker-Dealer for use in connection with any such resale. In addition, until , 20 , all dealers effecting transactions in the Exchange Notes may be required to deliver a Prospectus.</w:t>
      </w:r>
    </w:p>
    <w:p>
      <w:pPr>
        <w:spacing w:after="0" w:line="184" w:lineRule="exact"/>
        <w:rPr>
          <w:sz w:val="20"/>
          <w:szCs w:val="20"/>
          <w:color w:val="auto"/>
        </w:rPr>
      </w:pPr>
    </w:p>
    <w:p>
      <w:pPr>
        <w:ind w:right="160" w:firstLine="1297"/>
        <w:spacing w:after="0" w:line="288" w:lineRule="auto"/>
        <w:rPr>
          <w:sz w:val="20"/>
          <w:szCs w:val="20"/>
          <w:color w:val="auto"/>
        </w:rPr>
      </w:pPr>
      <w:r>
        <w:rPr>
          <w:rFonts w:ascii="Arial" w:cs="Arial" w:eastAsia="Arial" w:hAnsi="Arial"/>
          <w:sz w:val="16"/>
          <w:szCs w:val="16"/>
          <w:color w:val="auto"/>
        </w:rPr>
        <w:t>The Company, Clearway LLC and the Subsidiary Guarantors will not receive any proceeds from any sale of Exchange Notes by brokers-dealers.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Act and any profit of any such resale of Exchange Notes and any commissions or concessions received by any such Persons may be deemed to be underwriting compensation under the Act. The Letter of Transmittal states that by acknowledging that it will deliver and by delivering a Prospectus, a Broker-Dealer will not be deemed to admit that it is an “underwriter” within the meaning of the Act.</w:t>
      </w:r>
    </w:p>
    <w:p>
      <w:pPr>
        <w:spacing w:after="0" w:line="169"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For a period of one year after the expiration date, each of the Company, Clearway LLC and the Subsidiary Guarantors will promptly send additional copies of this Prospectus and any amendment or supplement to this Prospectus to any Broker-Dealer that requests such documents in the Letter of Transmittal. Each of the company and the guarantors has agreed to pay all expenses incident to the Exchange Offer (including the expenses of one counsel for the Holders of the Securities) other than commissions or concessions of any brokers or dealers and will indemnify the Holders of the Securities (including any Broker-Dealers) against certain liabilities, including liabilities under the Act.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applicable, add information required by Regulation S-K Items 507 and/or 508.]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Rider A</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PLEASE FILL IN YOUR NAME AND ADDRESS BELOW IF YOU ARE A BROKER-DEALER AND WISH TO RECEIVE 10 ADDITIONAL COPIES OF THE PROSPECTUS AND 10 COPIES OF ANY AMENDMENTS OR SUPPLEMENTS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151765</wp:posOffset>
            </wp:positionV>
            <wp:extent cx="2658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5715</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-130810</wp:posOffset>
            </wp:positionV>
            <wp:extent cx="2658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Rider B</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the undersigned is not a Broker-Dealer, the undersigned represents that it acquired the Exchange Notes in the ordinary course of its business, it is not engaged in, and does not intend to engage in, a distribution of Exchange Notes and it has no arrangements or understandings with any Person to participate in a distribution of the Exchange Notes. If the undersigned is a Broker-Dealer that will receive Exchange Notes for its own account in exchange for Securities, it represents that the Securities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the undersigned will not be deemed to admit that it is an “underwriter” within the meaning of the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155DBC"/>
    <w:multiLevelType w:val="hybridMultilevel"/>
    <w:lvl w:ilvl="0">
      <w:lvlJc w:val="left"/>
      <w:lvlText w:val="o"/>
      <w:numFmt w:val="bullet"/>
      <w:start w:val="1"/>
    </w:lvl>
  </w:abstractNum>
  <w:abstractNum w:abstractNumId="1">
    <w:nsid w:val="1D9F6E5F"/>
    <w:multiLevelType w:val="hybridMultilevel"/>
    <w:lvl w:ilvl="0">
      <w:lvlJc w:val="left"/>
      <w:lvlText w:val="(%1)"/>
      <w:numFmt w:val="lowerLetter"/>
      <w:start w:val="4"/>
    </w:lvl>
  </w:abstractNum>
  <w:abstractNum w:abstractNumId="2">
    <w:nsid w:val="97E1B4E"/>
    <w:multiLevelType w:val="hybridMultilevel"/>
    <w:lvl w:ilvl="0">
      <w:lvlJc w:val="left"/>
      <w:lvlText w:val="(%1)"/>
      <w:numFmt w:val="decimal"/>
      <w:start w:val="1"/>
    </w:lvl>
  </w:abstractNum>
  <w:abstractNum w:abstractNumId="3">
    <w:nsid w:val="51088277"/>
    <w:multiLevelType w:val="hybridMultilevel"/>
    <w:lvl w:ilvl="0">
      <w:lvlJc w:val="left"/>
      <w:lvlText w:val="(%1)"/>
      <w:numFmt w:val="decimal"/>
      <w:start w:val="7"/>
    </w:lvl>
  </w:abstractNum>
  <w:abstractNum w:abstractNumId="4">
    <w:nsid w:val="1CA0C5FA"/>
    <w:multiLevelType w:val="hybridMultilevel"/>
    <w:lvl w:ilvl="0">
      <w:lvlJc w:val="left"/>
      <w:lvlText w:val="(%1)"/>
      <w:numFmt w:val="decimal"/>
      <w:start w:val="1"/>
    </w:lvl>
  </w:abstractNum>
  <w:abstractNum w:abstractNumId="5">
    <w:nsid w:val="53584BCB"/>
    <w:multiLevelType w:val="hybridMultilevel"/>
    <w:lvl w:ilvl="0">
      <w:lvlJc w:val="left"/>
      <w:lvlText w:val="(%1)"/>
      <w:numFmt w:val="decimal"/>
      <w:start w:val="4"/>
    </w:lvl>
  </w:abstractNum>
  <w:abstractNum w:abstractNumId="6">
    <w:nsid w:val="415E286C"/>
    <w:multiLevelType w:val="hybridMultilevel"/>
    <w:lvl w:ilvl="0">
      <w:lvlJc w:val="left"/>
      <w:lvlText w:val="(%1)"/>
      <w:numFmt w:val="decimal"/>
      <w:start w:val="1"/>
    </w:lvl>
    <w:lvl w:ilvl="1">
      <w:lvlJc w:val="left"/>
      <w:lvlText w:val="(%2)"/>
      <w:numFmt w:val="lowerLetter"/>
      <w:start w:val="1"/>
    </w:lvl>
  </w:abstractNum>
  <w:abstractNum w:abstractNumId="7">
    <w:nsid w:val="7C58FD05"/>
    <w:multiLevelType w:val="hybridMultilevel"/>
    <w:lvl w:ilvl="0">
      <w:lvlJc w:val="left"/>
      <w:lvlText w:val="(%1)"/>
      <w:numFmt w:val="decimal"/>
      <w:start w:val="1"/>
    </w:lvl>
  </w:abstractNum>
  <w:abstractNum w:abstractNumId="8">
    <w:nsid w:val="23D86AAC"/>
    <w:multiLevelType w:val="hybridMultilevel"/>
    <w:lvl w:ilvl="0">
      <w:lvlJc w:val="left"/>
      <w:lvlText w:val="(%1)"/>
      <w:numFmt w:val="decimal"/>
      <w:start w:val="2"/>
    </w:lvl>
  </w:abstractNum>
  <w:abstractNum w:abstractNumId="9">
    <w:nsid w:val="45E6D486"/>
    <w:multiLevelType w:val="hybridMultilevel"/>
    <w:lvl w:ilvl="0">
      <w:lvlJc w:val="left"/>
      <w:lvlText w:val="(%1)"/>
      <w:numFmt w:val="decimal"/>
      <w:start w:val="1"/>
    </w:lvl>
  </w:abstractNum>
  <w:abstractNum w:abstractNumId="10">
    <w:nsid w:val="5C10FE21"/>
    <w:multiLevelType w:val="hybridMultilevel"/>
    <w:lvl w:ilvl="0">
      <w:lvlJc w:val="left"/>
      <w:lvlText w:val="(%1)"/>
      <w:numFmt w:val="decimal"/>
      <w:start w:val="1"/>
    </w:lvl>
  </w:abstractNum>
  <w:abstractNum w:abstractNumId="11">
    <w:nsid w:val="E7FFA2B"/>
    <w:multiLevelType w:val="hybridMultilevel"/>
    <w:lvl w:ilvl="0">
      <w:lvlJc w:val="left"/>
      <w:lvlText w:val="(%1)"/>
      <w:numFmt w:val="decimal"/>
      <w:start w:val="1"/>
    </w:lvl>
  </w:abstractNum>
  <w:abstractNum w:abstractNumId="12">
    <w:nsid w:val="3C5991AA"/>
    <w:multiLevelType w:val="hybridMultilevel"/>
    <w:lvl w:ilvl="0">
      <w:lvlJc w:val="left"/>
      <w:lvlText w:val="(%1)"/>
      <w:numFmt w:val="decimal"/>
      <w:start w:val="1"/>
    </w:lvl>
  </w:abstractNum>
  <w:abstractNum w:abstractNumId="13">
    <w:nsid w:val="4BD8591A"/>
    <w:multiLevelType w:val="hybridMultilevel"/>
    <w:lvl w:ilvl="0">
      <w:lvlJc w:val="left"/>
      <w:lvlText w:val="(%1)"/>
      <w:numFmt w:val="decimal"/>
      <w:start w:val="1"/>
    </w:lvl>
  </w:abstractNum>
  <w:abstractNum w:abstractNumId="14">
    <w:nsid w:val="78DF6A55"/>
    <w:multiLevelType w:val="hybridMultilevel"/>
    <w:lvl w:ilvl="0">
      <w:lvlJc w:val="left"/>
      <w:lvlText w:val="(%1)"/>
      <w:numFmt w:val="decimal"/>
      <w:start w:val="1"/>
    </w:lvl>
  </w:abstractNum>
  <w:abstractNum w:abstractNumId="15">
    <w:nsid w:val="39B7AAA2"/>
    <w:multiLevelType w:val="hybridMultilevel"/>
    <w:lvl w:ilvl="0">
      <w:lvlJc w:val="left"/>
      <w:lvlText w:val="(%1)"/>
      <w:numFmt w:val="decimal"/>
      <w:start w:val="4"/>
    </w:lvl>
  </w:abstractNum>
  <w:abstractNum w:abstractNumId="16">
    <w:nsid w:val="2B0D8DBE"/>
    <w:multiLevelType w:val="hybridMultilevel"/>
    <w:lvl w:ilvl="0">
      <w:lvlJc w:val="left"/>
      <w:lvlText w:val="(%1)"/>
      <w:numFmt w:val="decimal"/>
      <w:start w:val="1"/>
    </w:lvl>
  </w:abstractNum>
  <w:abstractNum w:abstractNumId="17">
    <w:nsid w:val="6C80EC70"/>
    <w:multiLevelType w:val="hybridMultilevel"/>
    <w:lvl w:ilvl="0">
      <w:lvlJc w:val="left"/>
      <w:lvlText w:val="(%1)"/>
      <w:numFmt w:val="decimal"/>
      <w:start w:val="2"/>
    </w:lvl>
  </w:abstractNum>
  <w:abstractNum w:abstractNumId="18">
    <w:nsid w:val="379E21B5"/>
    <w:multiLevelType w:val="hybridMultilevel"/>
    <w:lvl w:ilvl="0">
      <w:lvlJc w:val="left"/>
      <w:lvlText w:val="(%1)"/>
      <w:numFmt w:val="lowerLetter"/>
      <w:start w:val="1"/>
    </w:lvl>
  </w:abstractNum>
  <w:abstractNum w:abstractNumId="19">
    <w:nsid w:val="69E373"/>
    <w:multiLevelType w:val="hybridMultilevel"/>
    <w:lvl w:ilvl="0">
      <w:lvlJc w:val="left"/>
      <w:lvlText w:val="(%1)"/>
      <w:numFmt w:val="decimal"/>
      <w:start w:val="1"/>
    </w:lvl>
  </w:abstractNum>
  <w:abstractNum w:abstractNumId="20">
    <w:nsid w:val="2C27173B"/>
    <w:multiLevelType w:val="hybridMultilevel"/>
    <w:lvl w:ilvl="0">
      <w:lvlJc w:val="left"/>
      <w:lvlText w:val="(%1)"/>
      <w:numFmt w:val="decimal"/>
      <w:start w:val="2"/>
    </w:lvl>
  </w:abstractNum>
  <w:abstractNum w:abstractNumId="21">
    <w:nsid w:val="4C9B0904"/>
    <w:multiLevelType w:val="hybridMultilevel"/>
    <w:lvl w:ilvl="0">
      <w:lvlJc w:val="left"/>
      <w:lvlText w:val="(%1)"/>
      <w:numFmt w:val="decimal"/>
      <w:start w:val="1"/>
    </w:lvl>
  </w:abstractNum>
  <w:abstractNum w:abstractNumId="22">
    <w:nsid w:val="6AA7B75C"/>
    <w:multiLevelType w:val="hybridMultilevel"/>
    <w:lvl w:ilvl="0">
      <w:lvlJc w:val="left"/>
      <w:lvlText w:val="(%1)"/>
      <w:numFmt w:val="decimal"/>
      <w:start w:val="1"/>
    </w:lvl>
  </w:abstractNum>
  <w:abstractNum w:abstractNumId="23">
    <w:nsid w:val="1DF029D3"/>
    <w:multiLevelType w:val="hybridMultilevel"/>
    <w:lvl w:ilvl="0">
      <w:lvlJc w:val="left"/>
      <w:lvlText w:val="(%1)"/>
      <w:numFmt w:val="lowerLetter"/>
      <w:start w:val="1"/>
    </w:lvl>
  </w:abstractNum>
  <w:abstractNum w:abstractNumId="24">
    <w:nsid w:val="5675FF36"/>
    <w:multiLevelType w:val="hybridMultilevel"/>
    <w:lvl w:ilvl="0">
      <w:lvlJc w:val="left"/>
      <w:lvlText w:val="(%1)"/>
      <w:numFmt w:val="decimal"/>
      <w:start w:val="1"/>
    </w:lvl>
  </w:abstractNum>
  <w:abstractNum w:abstractNumId="25">
    <w:nsid w:val="3DD15094"/>
    <w:multiLevelType w:val="hybridMultilevel"/>
    <w:lvl w:ilvl="0">
      <w:lvlJc w:val="left"/>
      <w:lvlText w:val="(%1)"/>
      <w:numFmt w:val="decimal"/>
      <w:start w:val="3"/>
    </w:lvl>
  </w:abstractNum>
  <w:abstractNum w:abstractNumId="26">
    <w:nsid w:val="3DB012B3"/>
    <w:multiLevelType w:val="hybridMultilevel"/>
    <w:lvl w:ilvl="0">
      <w:lvlJc w:val="left"/>
      <w:lvlText w:val="(%1)"/>
      <w:numFmt w:val="decimal"/>
      <w:start w:val="14"/>
    </w:lvl>
  </w:abstractNum>
  <w:abstractNum w:abstractNumId="27">
    <w:nsid w:val="2708C9AF"/>
    <w:multiLevelType w:val="hybridMultilevel"/>
    <w:lvl w:ilvl="0">
      <w:lvlJc w:val="left"/>
      <w:lvlText w:val="(%1)"/>
      <w:numFmt w:val="lowerLetter"/>
      <w:start w:val="2"/>
    </w:lvl>
  </w:abstractNum>
  <w:abstractNum w:abstractNumId="28">
    <w:nsid w:val="5B25ACE2"/>
    <w:multiLevelType w:val="hybridMultilevel"/>
    <w:lvl w:ilvl="0">
      <w:lvlJc w:val="left"/>
      <w:lvlText w:val="(%1)"/>
      <w:numFmt w:val="lowerLetter"/>
      <w:start w:val="3"/>
    </w:lvl>
  </w:abstractNum>
  <w:abstractNum w:abstractNumId="29">
    <w:nsid w:val="175DFCF0"/>
    <w:multiLevelType w:val="hybridMultilevel"/>
    <w:lvl w:ilvl="0">
      <w:lvlJc w:val="left"/>
      <w:lvlText w:val="(%1)"/>
      <w:numFmt w:val="lowerLetter"/>
      <w:start w:val="1"/>
    </w:lvl>
    <w:lvl w:ilvl="1">
      <w:lvlJc w:val="left"/>
      <w:lvlText w:val="(%2)"/>
      <w:numFmt w:val="decimal"/>
      <w:start w:val="1"/>
    </w:lvl>
  </w:abstractNum>
  <w:abstractNum w:abstractNumId="30">
    <w:nsid w:val="4F97E3E4"/>
    <w:multiLevelType w:val="hybridMultilevel"/>
    <w:lvl w:ilvl="0">
      <w:lvlJc w:val="left"/>
      <w:lvlText w:val="(%1)"/>
      <w:numFmt w:val="decimal"/>
      <w:start w:val="2"/>
    </w:lvl>
  </w:abstractNum>
  <w:abstractNum w:abstractNumId="31">
    <w:nsid w:val="53B0A9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2">
    <w:nsid w:val="34FD6B4F"/>
    <w:multiLevelType w:val="hybridMultilevel"/>
    <w:lvl w:ilvl="0">
      <w:lvlJc w:val="left"/>
      <w:lvlText w:val="(%1)"/>
      <w:numFmt w:val="lowerRoman"/>
      <w:start w:val="1"/>
    </w:lvl>
  </w:abstractNum>
  <w:abstractNum w:abstractNumId="33">
    <w:nsid w:val="5915FF32"/>
    <w:multiLevelType w:val="hybridMultilevel"/>
    <w:lvl w:ilvl="0">
      <w:lvlJc w:val="left"/>
      <w:lvlText w:val="%1"/>
      <w:numFmt w:val="upperLetter"/>
      <w:start w:val="1"/>
    </w:lvl>
    <w:lvl w:ilvl="1">
      <w:lvlJc w:val="left"/>
      <w:lvlText w:val="(%2)"/>
      <w:numFmt w:val="lowerRoman"/>
      <w:start w:val="2"/>
    </w:lvl>
  </w:abstractNum>
  <w:abstractNum w:abstractNumId="34">
    <w:nsid w:val="56438D15"/>
    <w:multiLevelType w:val="hybridMultilevel"/>
    <w:lvl w:ilvl="0">
      <w:lvlJc w:val="left"/>
      <w:lvlText w:val="(%1)"/>
      <w:numFmt w:val="upperLetter"/>
      <w:start w:val="2"/>
    </w:lvl>
    <w:lvl w:ilvl="1">
      <w:lvlJc w:val="left"/>
      <w:lvlText w:val="(%2)"/>
      <w:numFmt w:val="lowerRoman"/>
      <w:start w:val="1"/>
    </w:lvl>
  </w:abstractNum>
  <w:abstractNum w:abstractNumId="35">
    <w:nsid w:val="519E3149"/>
    <w:multiLevelType w:val="hybridMultilevel"/>
    <w:lvl w:ilvl="0">
      <w:lvlJc w:val="left"/>
      <w:lvlText w:val="(%1)"/>
      <w:numFmt w:val="decimal"/>
      <w:start w:val="3"/>
    </w:lvl>
    <w:lvl w:ilvl="1">
      <w:lvlJc w:val="left"/>
      <w:lvlText w:val="(%2)"/>
      <w:numFmt w:val="upperLetter"/>
      <w:start w:val="1"/>
    </w:lvl>
  </w:abstractNum>
  <w:abstractNum w:abstractNumId="36">
    <w:nsid w:val="2C6E4AFD"/>
    <w:multiLevelType w:val="hybridMultilevel"/>
    <w:lvl w:ilvl="0">
      <w:lvlJc w:val="left"/>
      <w:lvlText w:val="(%1)"/>
      <w:numFmt w:val="decimal"/>
      <w:start w:val="3"/>
    </w:lvl>
    <w:lvl w:ilvl="1">
      <w:lvlJc w:val="left"/>
      <w:lvlText w:val="%2"/>
      <w:numFmt w:val="upperLetter"/>
      <w:start w:val="1"/>
    </w:lvl>
  </w:abstractNum>
  <w:abstractNum w:abstractNumId="37">
    <w:nsid w:val="17A1B582"/>
    <w:multiLevelType w:val="hybridMultilevel"/>
    <w:lvl w:ilvl="0">
      <w:lvlJc w:val="left"/>
      <w:lvlText w:val="(%1)"/>
      <w:numFmt w:val="upperLetter"/>
      <w:start w:val="1"/>
    </w:lvl>
    <w:lvl w:ilvl="1">
      <w:lvlJc w:val="left"/>
      <w:lvlText w:val="(%2)"/>
      <w:numFmt w:val="lowerRoman"/>
      <w:start w:val="1"/>
    </w:lvl>
  </w:abstractNum>
  <w:abstractNum w:abstractNumId="38">
    <w:nsid w:val="4DF72E4E"/>
    <w:multiLevelType w:val="hybridMultilevel"/>
    <w:lvl w:ilvl="0">
      <w:lvlJc w:val="left"/>
      <w:lvlText w:val="(%1)"/>
      <w:numFmt w:val="lowerLetter"/>
      <w:start w:val="3"/>
    </w:lvl>
    <w:lvl w:ilvl="1">
      <w:lvlJc w:val="left"/>
      <w:lvlText w:val="(%2)"/>
      <w:numFmt w:val="decimal"/>
      <w:start w:val="1"/>
    </w:lvl>
  </w:abstractNum>
  <w:abstractNum w:abstractNumId="39">
    <w:nsid w:val="5046B5A9"/>
    <w:multiLevelType w:val="hybridMultilevel"/>
    <w:lvl w:ilvl="0">
      <w:lvlJc w:val="left"/>
      <w:lvlText w:val="(%1)"/>
      <w:numFmt w:val="upperLetter"/>
      <w:start w:val="1"/>
    </w:lvl>
  </w:abstractNum>
  <w:abstractNum w:abstractNumId="40">
    <w:nsid w:val="5D888A08"/>
    <w:multiLevelType w:val="hybridMultilevel"/>
    <w:lvl w:ilvl="0">
      <w:lvlJc w:val="left"/>
      <w:lvlText w:val="(%1)"/>
      <w:numFmt w:val="lowerLetter"/>
      <w:start w:val="1"/>
    </w:lvl>
    <w:lvl w:ilvl="1">
      <w:lvlJc w:val="left"/>
      <w:lvlText w:val="(%2)"/>
      <w:numFmt w:val="upperLetter"/>
      <w:start w:val="2"/>
    </w:lvl>
  </w:abstractNum>
  <w:abstractNum w:abstractNumId="41">
    <w:nsid w:val="2A082C70"/>
    <w:multiLevelType w:val="hybridMultilevel"/>
    <w:lvl w:ilvl="0">
      <w:lvlJc w:val="left"/>
      <w:lvlText w:val="%1"/>
      <w:numFmt w:val="lowerLetter"/>
      <w:start w:val="1"/>
    </w:lvl>
    <w:lvl w:ilvl="1">
      <w:lvlJc w:val="left"/>
      <w:lvlText w:val="(%2)"/>
      <w:numFmt w:val="upperLetter"/>
      <w:start w:val="4"/>
    </w:lvl>
  </w:abstractNum>
  <w:abstractNum w:abstractNumId="42">
    <w:nsid w:val="5EC6AFD4"/>
    <w:multiLevelType w:val="hybridMultilevel"/>
    <w:lvl w:ilvl="0">
      <w:lvlJc w:val="left"/>
      <w:lvlText w:val="(%1)"/>
      <w:numFmt w:val="lowerLetter"/>
      <w:start w:val="1"/>
    </w:lvl>
    <w:lvl w:ilvl="1">
      <w:lvlJc w:val="left"/>
      <w:lvlText w:val="(%2)"/>
      <w:numFmt w:val="upperLetter"/>
      <w:start w:val="5"/>
    </w:lvl>
  </w:abstractNum>
  <w:abstractNum w:abstractNumId="43">
    <w:nsid w:val="19E21BB2"/>
    <w:multiLevelType w:val="hybridMultilevel"/>
    <w:lvl w:ilvl="0">
      <w:lvlJc w:val="left"/>
      <w:lvlText w:val="(%1)"/>
      <w:numFmt w:val="decimal"/>
      <w:start w:val="2"/>
    </w:lvl>
  </w:abstractNum>
  <w:abstractNum w:abstractNumId="44">
    <w:nsid w:val="75E0858A"/>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45">
    <w:nsid w:val="57A61A29"/>
    <w:multiLevelType w:val="hybridMultilevel"/>
    <w:lvl w:ilvl="0">
      <w:lvlJc w:val="left"/>
      <w:lvlText w:val="(%1)"/>
      <w:numFmt w:val="lowerRoman"/>
      <w:start w:val="3"/>
    </w:lvl>
    <w:lvl w:ilvl="1">
      <w:lvlJc w:val="left"/>
      <w:lvlText w:val="(%2)"/>
      <w:numFmt w:val="upperLetter"/>
      <w:start w:val="2"/>
    </w:lvl>
    <w:lvl w:ilvl="2">
      <w:lvlJc w:val="left"/>
      <w:lvlText w:val="(%3)"/>
      <w:numFmt w:val="lowerRoman"/>
      <w:start w:val="1"/>
    </w:lvl>
  </w:abstractNum>
  <w:abstractNum w:abstractNumId="46">
    <w:nsid w:val="5399C654"/>
    <w:multiLevelType w:val="hybridMultilevel"/>
    <w:lvl w:ilvl="0">
      <w:lvlJc w:val="left"/>
      <w:lvlText w:val="(%1)"/>
      <w:numFmt w:val="decimal"/>
      <w:start w:val="3"/>
    </w:lvl>
  </w:abstractNum>
  <w:abstractNum w:abstractNumId="47">
    <w:nsid w:val="20EE1348"/>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48">
    <w:nsid w:val="4427069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6"/>
    </w:lvl>
  </w:abstractNum>
  <w:abstractNum w:abstractNumId="49">
    <w:nsid w:val="B37E80A"/>
    <w:multiLevelType w:val="hybridMultilevel"/>
    <w:lvl w:ilvl="0">
      <w:lvlJc w:val="left"/>
      <w:lvlText w:val="(%1)"/>
      <w:numFmt w:val="upperLetter"/>
      <w:start w:val="1"/>
    </w:lvl>
    <w:lvl w:ilvl="1">
      <w:lvlJc w:val="left"/>
      <w:lvlText w:val="(%2)"/>
      <w:numFmt w:val="decimal"/>
      <w:start w:val="2"/>
    </w:lvl>
  </w:abstractNum>
  <w:abstractNum w:abstractNumId="50">
    <w:nsid w:val="2157F6BC"/>
    <w:multiLevelType w:val="hybridMultilevel"/>
    <w:lvl w:ilvl="0">
      <w:lvlJc w:val="left"/>
      <w:lvlText w:val="(%1)"/>
      <w:numFmt w:val="upperLetter"/>
      <w:start w:val="1"/>
    </w:lvl>
    <w:lvl w:ilvl="1">
      <w:lvlJc w:val="left"/>
      <w:lvlText w:val="(%2)"/>
      <w:numFmt w:val="lowerRoman"/>
      <w:start w:val="1"/>
    </w:lvl>
  </w:abstractNum>
  <w:abstractNum w:abstractNumId="51">
    <w:nsid w:val="704E1DD5"/>
    <w:multiLevelType w:val="hybridMultilevel"/>
    <w:lvl w:ilvl="0">
      <w:lvlJc w:val="left"/>
      <w:lvlText w:val="(%1)"/>
      <w:numFmt w:val="decimal"/>
      <w:start w:val="3"/>
    </w:lvl>
  </w:abstractNum>
  <w:abstractNum w:abstractNumId="52">
    <w:nsid w:val="57D2F10E"/>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53">
    <w:nsid w:val="BFFAE18"/>
    <w:multiLevelType w:val="hybridMultilevel"/>
    <w:lvl w:ilvl="0">
      <w:lvlJc w:val="left"/>
      <w:lvlText w:val="(%1)"/>
      <w:numFmt w:val="lowerRoman"/>
      <w:start w:val="1"/>
    </w:lvl>
  </w:abstractNum>
  <w:abstractNum w:abstractNumId="54">
    <w:nsid w:val="E3E47A8"/>
    <w:multiLevelType w:val="hybridMultilevel"/>
    <w:lvl w:ilvl="0">
      <w:lvlJc w:val="left"/>
      <w:lvlText w:val="(%1)"/>
      <w:numFmt w:val="lowerRoman"/>
      <w:start w:val="2"/>
    </w:lvl>
  </w:abstractNum>
  <w:abstractNum w:abstractNumId="55">
    <w:nsid w:val="2E48F044"/>
    <w:multiLevelType w:val="hybridMultilevel"/>
    <w:lvl w:ilvl="0">
      <w:lvlJc w:val="left"/>
      <w:lvlText w:val="(%1)"/>
      <w:numFmt w:val="decimal"/>
      <w:start w:val="3"/>
    </w:lvl>
  </w:abstractNum>
  <w:abstractNum w:abstractNumId="56">
    <w:nsid w:val="49D0FEAC"/>
    <w:multiLevelType w:val="hybridMultilevel"/>
    <w:lvl w:ilvl="0">
      <w:lvlJc w:val="left"/>
      <w:lvlText w:val="(%1)"/>
      <w:numFmt w:val="lowerLetter"/>
      <w:start w:val="6"/>
    </w:lvl>
    <w:lvl w:ilvl="1">
      <w:lvlJc w:val="left"/>
      <w:lvlText w:val="(%2)"/>
      <w:numFmt w:val="decimal"/>
      <w:start w:val="1"/>
    </w:lvl>
  </w:abstractNum>
  <w:abstractNum w:abstractNumId="57">
    <w:nsid w:val="4BEE5A5B"/>
    <w:multiLevelType w:val="hybridMultilevel"/>
    <w:lvl w:ilvl="0">
      <w:lvlJc w:val="left"/>
      <w:lvlText w:val="(%1)"/>
      <w:numFmt w:val="lowerLetter"/>
      <w:start w:val="7"/>
    </w:lvl>
  </w:abstractNum>
  <w:abstractNum w:abstractNumId="58">
    <w:nsid w:val="5551B9F3"/>
    <w:multiLevelType w:val="hybridMultilevel"/>
    <w:lvl w:ilvl="0">
      <w:lvlJc w:val="left"/>
      <w:lvlText w:val="(%1)"/>
      <w:numFmt w:val="decimal"/>
      <w:start w:val="1"/>
    </w:lvl>
    <w:lvl w:ilvl="1">
      <w:lvlJc w:val="left"/>
      <w:lvlText w:val="(%2)"/>
      <w:numFmt w:val="upperLetter"/>
      <w:start w:val="1"/>
    </w:lvl>
  </w:abstractNum>
  <w:abstractNum w:abstractNumId="59">
    <w:nsid w:val="24F6AB8E"/>
    <w:multiLevelType w:val="hybridMultilevel"/>
    <w:lvl w:ilvl="0">
      <w:lvlJc w:val="left"/>
      <w:lvlText w:val="(%1)"/>
      <w:numFmt w:val="upperLetter"/>
      <w:start w:val="3"/>
    </w:lvl>
    <w:lvl w:ilvl="1">
      <w:lvlJc w:val="left"/>
      <w:lvlText w:val="(%2)"/>
      <w:numFmt w:val="upperLetter"/>
      <w:start w:val="2"/>
    </w:lvl>
  </w:abstractNum>
  <w:abstractNum w:abstractNumId="60">
    <w:nsid w:val="634C574C"/>
    <w:multiLevelType w:val="hybridMultilevel"/>
    <w:lvl w:ilvl="0">
      <w:lvlJc w:val="left"/>
      <w:lvlText w:val="(%1)"/>
      <w:numFmt w:val="decimal"/>
      <w:start w:val="2"/>
    </w:lvl>
  </w:abstractNum>
  <w:abstractNum w:abstractNumId="61">
    <w:nsid w:val="24E99DD7"/>
    <w:multiLevelType w:val="hybridMultilevel"/>
    <w:lvl w:ilvl="0">
      <w:lvlJc w:val="left"/>
      <w:lvlText w:val="(%1)"/>
      <w:numFmt w:val="decimal"/>
      <w:start w:val="3"/>
    </w:lvl>
  </w:abstractNum>
  <w:abstractNum w:abstractNumId="62">
    <w:nsid w:val="2A31B62D"/>
    <w:multiLevelType w:val="hybridMultilevel"/>
    <w:lvl w:ilvl="0">
      <w:lvlJc w:val="left"/>
      <w:lvlText w:val="(%1)"/>
      <w:numFmt w:val="lowerLetter"/>
      <w:start w:val="8"/>
    </w:lvl>
    <w:lvl w:ilvl="1">
      <w:lvlJc w:val="left"/>
      <w:lvlText w:val="(%2)"/>
      <w:numFmt w:val="decimal"/>
      <w:start w:val="1"/>
    </w:lvl>
  </w:abstractNum>
  <w:abstractNum w:abstractNumId="63">
    <w:nsid w:val="1849C29B"/>
    <w:multiLevelType w:val="hybridMultilevel"/>
    <w:lvl w:ilvl="0">
      <w:lvlJc w:val="left"/>
      <w:lvlText w:val="(%1)"/>
      <w:numFmt w:val="decimal"/>
      <w:start w:val="3"/>
    </w:lvl>
    <w:lvl w:ilvl="1">
      <w:lvlJc w:val="left"/>
      <w:lvlText w:val="(%2)"/>
      <w:numFmt w:val="upperLetter"/>
      <w:start w:val="1"/>
    </w:lvl>
  </w:abstractNum>
  <w:abstractNum w:abstractNumId="64">
    <w:nsid w:val="7DFF9D09"/>
    <w:multiLevelType w:val="hybridMultilevel"/>
    <w:lvl w:ilvl="0">
      <w:lvlJc w:val="left"/>
      <w:lvlText w:val="(%1)"/>
      <w:numFmt w:val="lowerLetter"/>
      <w:start w:val="1"/>
    </w:lvl>
  </w:abstractNum>
  <w:abstractNum w:abstractNumId="65">
    <w:nsid w:val="754342"/>
    <w:multiLevelType w:val="hybridMultilevel"/>
    <w:lvl w:ilvl="0">
      <w:lvlJc w:val="left"/>
      <w:lvlText w:val="(%1)"/>
      <w:numFmt w:val="decimal"/>
      <w:start w:val="1"/>
    </w:lvl>
  </w:abstractNum>
  <w:abstractNum w:abstractNumId="66">
    <w:nsid w:val="69E7F3E5"/>
    <w:multiLevelType w:val="hybridMultilevel"/>
    <w:lvl w:ilvl="0">
      <w:lvlJc w:val="left"/>
      <w:lvlText w:val="(%1)"/>
      <w:numFmt w:val="decimal"/>
      <w:start w:val="3"/>
    </w:lvl>
  </w:abstractNum>
  <w:abstractNum w:abstractNumId="67">
    <w:nsid w:val="2A6DE806"/>
    <w:multiLevelType w:val="hybridMultilevel"/>
    <w:lvl w:ilvl="0">
      <w:lvlJc w:val="left"/>
      <w:lvlText w:val="(%1)"/>
      <w:numFmt w:val="decimal"/>
      <w:start w:val="1"/>
    </w:lvl>
  </w:abstractNum>
  <w:abstractNum w:abstractNumId="68">
    <w:nsid w:val="1816F8C4"/>
    <w:multiLevelType w:val="hybridMultilevel"/>
    <w:lvl w:ilvl="0">
      <w:lvlJc w:val="left"/>
      <w:lvlText w:val="(%1)"/>
      <w:numFmt w:val="decimal"/>
      <w:start w:val="2"/>
    </w:lvl>
  </w:abstractNum>
  <w:abstractNum w:abstractNumId="69">
    <w:nsid w:val="37DF2233"/>
    <w:multiLevelType w:val="hybridMultilevel"/>
    <w:lvl w:ilvl="0">
      <w:lvlJc w:val="left"/>
      <w:lvlText w:val="(%1)"/>
      <w:numFmt w:val="decimal"/>
      <w:start w:val="3"/>
    </w:lvl>
  </w:abstractNum>
  <w:abstractNum w:abstractNumId="70">
    <w:nsid w:val="7AB49DAF"/>
    <w:multiLevelType w:val="hybridMultilevel"/>
    <w:lvl w:ilvl="0">
      <w:lvlJc w:val="left"/>
      <w:lvlText w:val="(%1)"/>
      <w:numFmt w:val="decimal"/>
      <w:start w:val="6"/>
    </w:lvl>
  </w:abstractNum>
  <w:abstractNum w:abstractNumId="71">
    <w:nsid w:val="759F82CD"/>
    <w:multiLevelType w:val="hybridMultilevel"/>
    <w:lvl w:ilvl="0">
      <w:lvlJc w:val="left"/>
      <w:lvlText w:val="(%1)"/>
      <w:numFmt w:val="lowerLetter"/>
      <w:start w:val="1"/>
    </w:lvl>
    <w:lvl w:ilvl="1">
      <w:lvlJc w:val="left"/>
      <w:lvlText w:val="(%2)"/>
      <w:numFmt w:val="decimal"/>
      <w:start w:val="1"/>
    </w:lvl>
  </w:abstractNum>
  <w:abstractNum w:abstractNumId="72">
    <w:nsid w:val="61E74EA3"/>
    <w:multiLevelType w:val="hybridMultilevel"/>
    <w:lvl w:ilvl="0">
      <w:lvlJc w:val="left"/>
      <w:lvlText w:val="(%1)"/>
      <w:numFmt w:val="lowerLetter"/>
      <w:start w:val="5"/>
    </w:lvl>
  </w:abstractNum>
  <w:abstractNum w:abstractNumId="73">
    <w:nsid w:val="597B4D84"/>
    <w:multiLevelType w:val="hybridMultilevel"/>
    <w:lvl w:ilvl="0">
      <w:lvlJc w:val="left"/>
      <w:lvlText w:val="(%1)"/>
      <w:numFmt w:val="lowerLetter"/>
      <w:start w:val="1"/>
    </w:lvl>
    <w:lvl w:ilvl="1">
      <w:lvlJc w:val="left"/>
      <w:lvlText w:val="(%2)"/>
      <w:numFmt w:val="decimal"/>
      <w:start w:val="1"/>
    </w:lvl>
  </w:abstractNum>
  <w:abstractNum w:abstractNumId="74">
    <w:nsid w:val="F819E7F"/>
    <w:multiLevelType w:val="hybridMultilevel"/>
    <w:lvl w:ilvl="0">
      <w:lvlJc w:val="left"/>
      <w:lvlText w:val="(%1)"/>
      <w:numFmt w:val="lowerLetter"/>
      <w:start w:val="2"/>
    </w:lvl>
  </w:abstractNum>
  <w:abstractNum w:abstractNumId="75">
    <w:nsid w:val="57C7D42D"/>
    <w:multiLevelType w:val="hybridMultilevel"/>
    <w:lvl w:ilvl="0">
      <w:lvlJc w:val="left"/>
      <w:lvlText w:val="(%1)"/>
      <w:numFmt w:val="lowerLetter"/>
      <w:start w:val="3"/>
    </w:lvl>
  </w:abstractNum>
  <w:abstractNum w:abstractNumId="76">
    <w:nsid w:val="312167AD"/>
    <w:multiLevelType w:val="hybridMultilevel"/>
    <w:lvl w:ilvl="0">
      <w:lvlJc w:val="left"/>
      <w:lvlText w:val="(%1)"/>
      <w:numFmt w:val="lowerLetter"/>
      <w:start w:val="1"/>
    </w:lvl>
  </w:abstractNum>
  <w:abstractNum w:abstractNumId="77">
    <w:nsid w:val="631B64D4"/>
    <w:multiLevelType w:val="hybridMultilevel"/>
    <w:lvl w:ilvl="0">
      <w:lvlJc w:val="left"/>
      <w:lvlText w:val="%1"/>
      <w:numFmt w:val="lowerLetter"/>
      <w:start w:val="1"/>
    </w:lvl>
    <w:lvl w:ilvl="1">
      <w:lvlJc w:val="left"/>
      <w:lvlText w:val="(%2)"/>
      <w:numFmt w:val="decimal"/>
      <w:start w:val="1"/>
    </w:lvl>
  </w:abstractNum>
  <w:abstractNum w:abstractNumId="78">
    <w:nsid w:val="78B5E776"/>
    <w:multiLevelType w:val="hybridMultilevel"/>
    <w:lvl w:ilvl="0">
      <w:lvlJc w:val="left"/>
      <w:lvlText w:val="(%1)"/>
      <w:numFmt w:val="lowerLetter"/>
      <w:start w:val="2"/>
    </w:lvl>
    <w:lvl w:ilvl="1">
      <w:lvlJc w:val="left"/>
      <w:lvlText w:val="(%2)"/>
      <w:numFmt w:val="decimal"/>
      <w:start w:val="4"/>
    </w:lvl>
  </w:abstractNum>
  <w:abstractNum w:abstractNumId="79">
    <w:nsid w:val="75486E47"/>
    <w:multiLevelType w:val="hybridMultilevel"/>
    <w:lvl w:ilvl="0">
      <w:lvlJc w:val="left"/>
      <w:lvlText w:val="(%1)"/>
      <w:numFmt w:val="decimal"/>
      <w:start w:val="5"/>
    </w:lvl>
  </w:abstractNum>
  <w:abstractNum w:abstractNumId="80">
    <w:nsid w:val="6E534CDE"/>
    <w:multiLevelType w:val="hybridMultilevel"/>
    <w:lvl w:ilvl="0">
      <w:lvlJc w:val="left"/>
      <w:lvlText w:val="(%1)"/>
      <w:numFmt w:val="decimal"/>
      <w:start w:val="11"/>
    </w:lvl>
  </w:abstractNum>
  <w:abstractNum w:abstractNumId="81">
    <w:nsid w:val="1A0DDE32"/>
    <w:multiLevelType w:val="hybridMultilevel"/>
    <w:lvl w:ilvl="0">
      <w:lvlJc w:val="left"/>
      <w:lvlText w:val="(%1)"/>
      <w:numFmt w:val="decimal"/>
      <w:start w:val="1"/>
    </w:lvl>
  </w:abstractNum>
  <w:abstractNum w:abstractNumId="82">
    <w:nsid w:val="65968C1C"/>
    <w:multiLevelType w:val="hybridMultilevel"/>
    <w:lvl w:ilvl="0">
      <w:lvlJc w:val="left"/>
      <w:lvlText w:val="(%1)"/>
      <w:numFmt w:val="lowerLetter"/>
      <w:start w:val="1"/>
    </w:lvl>
    <w:lvl w:ilvl="1">
      <w:lvlJc w:val="left"/>
      <w:lvlText w:val="(%2)"/>
      <w:numFmt w:val="decimal"/>
      <w:start w:val="1"/>
    </w:lvl>
  </w:abstractNum>
  <w:abstractNum w:abstractNumId="83">
    <w:nsid w:val="46263DEC"/>
    <w:multiLevelType w:val="hybridMultilevel"/>
    <w:lvl w:ilvl="0">
      <w:lvlJc w:val="left"/>
      <w:lvlText w:val="(%1)"/>
      <w:numFmt w:val="decimal"/>
      <w:start w:val="2"/>
    </w:lvl>
  </w:abstractNum>
  <w:abstractNum w:abstractNumId="84">
    <w:nsid w:val="260D8C4A"/>
    <w:multiLevelType w:val="hybridMultilevel"/>
    <w:lvl w:ilvl="0">
      <w:lvlJc w:val="left"/>
      <w:lvlText w:val="(%1)"/>
      <w:numFmt w:val="lowerLetter"/>
      <w:start w:val="2"/>
    </w:lvl>
    <w:lvl w:ilvl="1">
      <w:lvlJc w:val="left"/>
      <w:lvlText w:val="(%2)"/>
      <w:numFmt w:val="decimal"/>
      <w:start w:val="1"/>
    </w:lvl>
  </w:abstractNum>
  <w:abstractNum w:abstractNumId="85">
    <w:nsid w:val="73D4D3C4"/>
    <w:multiLevelType w:val="hybridMultilevel"/>
    <w:lvl w:ilvl="0">
      <w:lvlJc w:val="left"/>
      <w:lvlText w:val="(%1)"/>
      <w:numFmt w:val="lowerLetter"/>
      <w:start w:val="3"/>
    </w:lvl>
  </w:abstractNum>
  <w:abstractNum w:abstractNumId="86">
    <w:nsid w:val="746F2E30"/>
    <w:multiLevelType w:val="hybridMultilevel"/>
    <w:lvl w:ilvl="0">
      <w:lvlJc w:val="left"/>
      <w:lvlText w:val="(%1)"/>
      <w:numFmt w:val="decimal"/>
      <w:start w:val="1"/>
    </w:lvl>
  </w:abstractNum>
  <w:abstractNum w:abstractNumId="87">
    <w:nsid w:val="6FDE8AF6"/>
    <w:multiLevelType w:val="hybridMultilevel"/>
    <w:lvl w:ilvl="0">
      <w:lvlJc w:val="left"/>
      <w:lvlText w:val="(%1)"/>
      <w:numFmt w:val="decimal"/>
      <w:start w:val="2"/>
    </w:lvl>
  </w:abstractNum>
  <w:abstractNum w:abstractNumId="88">
    <w:nsid w:val="3FC32E20"/>
    <w:multiLevelType w:val="hybridMultilevel"/>
    <w:lvl w:ilvl="0">
      <w:lvlJc w:val="left"/>
      <w:lvlText w:val="(%1)"/>
      <w:numFmt w:val="decimal"/>
      <w:start w:val="1"/>
    </w:lvl>
  </w:abstractNum>
  <w:abstractNum w:abstractNumId="89">
    <w:nsid w:val="49C0E823"/>
    <w:multiLevelType w:val="hybridMultilevel"/>
    <w:lvl w:ilvl="0">
      <w:lvlJc w:val="left"/>
      <w:lvlText w:val="(%1)"/>
      <w:numFmt w:val="decimal"/>
      <w:start w:val="1"/>
    </w:lvl>
    <w:lvl w:ilvl="1">
      <w:lvlJc w:val="left"/>
      <w:lvlText w:val="(%2)"/>
      <w:numFmt w:val="upperLetter"/>
      <w:start w:val="1"/>
    </w:lvl>
  </w:abstractNum>
  <w:abstractNum w:abstractNumId="90">
    <w:nsid w:val="14D53685"/>
    <w:multiLevelType w:val="hybridMultilevel"/>
    <w:lvl w:ilvl="0">
      <w:lvlJc w:val="left"/>
      <w:lvlText w:val="(%1)"/>
      <w:numFmt w:val="decimal"/>
      <w:start w:val="1"/>
    </w:lvl>
  </w:abstractNum>
  <w:abstractNum w:abstractNumId="91">
    <w:nsid w:val="230F856C"/>
    <w:multiLevelType w:val="hybridMultilevel"/>
    <w:lvl w:ilvl="0">
      <w:lvlJc w:val="left"/>
      <w:lvlText w:val="(%1)"/>
      <w:numFmt w:val="decimal"/>
      <w:start w:val="2"/>
    </w:lvl>
  </w:abstractNum>
  <w:abstractNum w:abstractNumId="92">
    <w:nsid w:val="6EAA85FB"/>
    <w:multiLevelType w:val="hybridMultilevel"/>
    <w:lvl w:ilvl="0">
      <w:lvlJc w:val="left"/>
      <w:lvlText w:val="(%1)"/>
      <w:numFmt w:val="decimal"/>
      <w:start w:val="1"/>
    </w:lvl>
  </w:abstractNum>
  <w:abstractNum w:abstractNumId="93">
    <w:nsid w:val="3F06ECB2"/>
    <w:multiLevelType w:val="hybridMultilevel"/>
    <w:lvl w:ilvl="0">
      <w:lvlJc w:val="left"/>
      <w:lvlText w:val="(%1)"/>
      <w:numFmt w:val="upperLetter"/>
      <w:start w:val="1"/>
    </w:lvl>
  </w:abstractNum>
  <w:abstractNum w:abstractNumId="94">
    <w:nsid w:val="3B594807"/>
    <w:multiLevelType w:val="hybridMultilevel"/>
    <w:lvl w:ilvl="0">
      <w:lvlJc w:val="left"/>
      <w:lvlText w:val="(%1)"/>
      <w:numFmt w:val="lowerRoman"/>
      <w:start w:val="2"/>
    </w:lvl>
    <w:lvl w:ilvl="1">
      <w:lvlJc w:val="left"/>
      <w:lvlText w:val="(%2)"/>
      <w:numFmt w:val="decimal"/>
      <w:start w:val="5"/>
    </w:lvl>
  </w:abstractNum>
  <w:abstractNum w:abstractNumId="95">
    <w:nsid w:val="6CAA2304"/>
    <w:multiLevelType w:val="hybridMultilevel"/>
    <w:lvl w:ilvl="0">
      <w:lvlJc w:val="left"/>
      <w:lvlText w:val="(%1)"/>
      <w:numFmt w:val="lowerRoman"/>
      <w:start w:val="2"/>
    </w:lvl>
    <w:lvl w:ilvl="1">
      <w:lvlJc w:val="left"/>
      <w:lvlText w:val="%2"/>
      <w:numFmt w:val="decimal"/>
      <w:start w:val="1"/>
    </w:lvl>
  </w:abstractNum>
  <w:abstractNum w:abstractNumId="96">
    <w:nsid w:val="3F7C2FF4"/>
    <w:multiLevelType w:val="hybridMultilevel"/>
    <w:lvl w:ilvl="0">
      <w:lvlJc w:val="left"/>
      <w:lvlText w:val="(%1)"/>
      <w:numFmt w:val="decimal"/>
      <w:start w:val="6"/>
    </w:lvl>
    <w:lvl w:ilvl="1">
      <w:lvlJc w:val="left"/>
      <w:lvlText w:val="(%2)"/>
      <w:numFmt w:val="upperLetter"/>
      <w:start w:val="1"/>
    </w:lvl>
  </w:abstractNum>
  <w:abstractNum w:abstractNumId="97">
    <w:nsid w:val="25413BEC"/>
    <w:multiLevelType w:val="hybridMultilevel"/>
    <w:lvl w:ilvl="0">
      <w:lvlJc w:val="left"/>
      <w:lvlText w:val="(%1)"/>
      <w:numFmt w:val="upperLetter"/>
      <w:start w:val="1"/>
    </w:lvl>
  </w:abstractNum>
  <w:abstractNum w:abstractNumId="98">
    <w:nsid w:val="17180B0B"/>
    <w:multiLevelType w:val="hybridMultilevel"/>
    <w:lvl w:ilvl="0">
      <w:lvlJc w:val="left"/>
      <w:lvlText w:val="(%1)"/>
      <w:numFmt w:val="decimal"/>
      <w:start w:val="1"/>
    </w:lvl>
  </w:abstractNum>
  <w:abstractNum w:abstractNumId="99">
    <w:nsid w:val="579328B9"/>
    <w:multiLevelType w:val="hybridMultilevel"/>
    <w:lvl w:ilvl="0">
      <w:lvlJc w:val="left"/>
      <w:lvlText w:val="(%1)"/>
      <w:numFmt w:val="decimal"/>
      <w:start w:val="3"/>
    </w:lvl>
  </w:abstractNum>
  <w:abstractNum w:abstractNumId="100">
    <w:nsid w:val="5D205E20"/>
    <w:multiLevelType w:val="hybridMultilevel"/>
    <w:lvl w:ilvl="0">
      <w:lvlJc w:val="left"/>
      <w:lvlText w:val="(%1)"/>
      <w:numFmt w:val="decimal"/>
      <w:start w:val="4"/>
    </w:lvl>
  </w:abstractNum>
  <w:abstractNum w:abstractNumId="101">
    <w:nsid w:val="11CCA8BA"/>
    <w:multiLevelType w:val="hybridMultilevel"/>
    <w:lvl w:ilvl="0">
      <w:lvlJc w:val="left"/>
      <w:lvlText w:val="(%1)"/>
      <w:numFmt w:val="decimal"/>
      <w:start w:val="5"/>
    </w:lvl>
  </w:abstractNum>
  <w:abstractNum w:abstractNumId="102">
    <w:nsid w:val="4D32AB86"/>
    <w:multiLevelType w:val="hybridMultilevel"/>
    <w:lvl w:ilvl="0">
      <w:lvlJc w:val="left"/>
      <w:lvlText w:val="(%1)"/>
      <w:numFmt w:val="lowerLetter"/>
      <w:start w:val="1"/>
    </w:lvl>
    <w:lvl w:ilvl="1">
      <w:lvlJc w:val="left"/>
      <w:lvlText w:val="(%2)"/>
      <w:numFmt w:val="decimal"/>
      <w:start w:val="1"/>
    </w:lvl>
  </w:abstractNum>
  <w:abstractNum w:abstractNumId="103">
    <w:nsid w:val="3F07ACC3"/>
    <w:multiLevelType w:val="hybridMultilevel"/>
    <w:lvl w:ilvl="0">
      <w:lvlJc w:val="left"/>
      <w:lvlText w:val="(%1)"/>
      <w:numFmt w:val="lowerLetter"/>
      <w:start w:val="7"/>
    </w:lvl>
  </w:abstractNum>
  <w:abstractNum w:abstractNumId="104">
    <w:nsid w:val="6B47F63E"/>
    <w:multiLevelType w:val="hybridMultilevel"/>
    <w:lvl w:ilvl="0">
      <w:lvlJc w:val="left"/>
      <w:lvlText w:val="(%1)"/>
      <w:numFmt w:val="lowerLetter"/>
      <w:start w:val="1"/>
    </w:lvl>
  </w:abstractNum>
  <w:abstractNum w:abstractNumId="105">
    <w:nsid w:val="5CB44A05"/>
    <w:multiLevelType w:val="hybridMultilevel"/>
    <w:lvl w:ilvl="0">
      <w:lvlJc w:val="left"/>
      <w:lvlText w:val="(%1)"/>
      <w:numFmt w:val="lowerLetter"/>
      <w:start w:val="5"/>
    </w:lvl>
  </w:abstractNum>
  <w:abstractNum w:abstractNumId="106">
    <w:nsid w:val="16CF80F1"/>
    <w:multiLevelType w:val="hybridMultilevel"/>
    <w:lvl w:ilvl="0">
      <w:lvlJc w:val="left"/>
      <w:lvlText w:val="(%1)"/>
      <w:numFmt w:val="lowerLetter"/>
      <w:start w:val="12"/>
    </w:lvl>
  </w:abstractNum>
  <w:abstractNum w:abstractNumId="107">
    <w:nsid w:val="1C695DEC"/>
    <w:multiLevelType w:val="hybridMultilevel"/>
    <w:lvl w:ilvl="0">
      <w:lvlJc w:val="left"/>
      <w:lvlText w:val="(%1)"/>
      <w:numFmt w:val="lowerLetter"/>
      <w:start w:val="13"/>
    </w:lvl>
  </w:abstractNum>
  <w:abstractNum w:abstractNumId="108">
    <w:nsid w:val="3FCFAED9"/>
    <w:multiLevelType w:val="hybridMultilevel"/>
    <w:lvl w:ilvl="0">
      <w:lvlJc w:val="left"/>
      <w:lvlText w:val="(%1)"/>
      <w:numFmt w:val="lowerLetter"/>
      <w:start w:val="1"/>
    </w:lvl>
  </w:abstractNum>
  <w:abstractNum w:abstractNumId="109">
    <w:nsid w:val="F856867"/>
    <w:multiLevelType w:val="hybridMultilevel"/>
    <w:lvl w:ilvl="0">
      <w:lvlJc w:val="left"/>
      <w:lvlText w:val="(%1)"/>
      <w:numFmt w:val="lowerLetter"/>
      <w:start w:val="2"/>
    </w:lvl>
  </w:abstractNum>
  <w:abstractNum w:abstractNumId="110">
    <w:nsid w:val="11B1CC33"/>
    <w:multiLevelType w:val="hybridMultilevel"/>
    <w:lvl w:ilvl="0">
      <w:lvlJc w:val="left"/>
      <w:lvlText w:val="(%1)"/>
      <w:numFmt w:val="lowerLetter"/>
      <w:start w:val="1"/>
    </w:lvl>
  </w:abstractNum>
  <w:abstractNum w:abstractNumId="111">
    <w:nsid w:val="2E22FBB7"/>
    <w:multiLevelType w:val="hybridMultilevel"/>
    <w:lvl w:ilvl="0">
      <w:lvlJc w:val="left"/>
      <w:lvlText w:val="(%1)"/>
      <w:numFmt w:val="lowerLetter"/>
      <w:start w:val="6"/>
    </w:lvl>
  </w:abstractNum>
  <w:abstractNum w:abstractNumId="112">
    <w:nsid w:val="29934699"/>
    <w:multiLevelType w:val="hybridMultilevel"/>
    <w:lvl w:ilvl="0">
      <w:lvlJc w:val="left"/>
      <w:lvlText w:val="(%1)"/>
      <w:numFmt w:val="lowerLetter"/>
      <w:start w:val="1"/>
    </w:lvl>
    <w:lvl w:ilvl="1">
      <w:lvlJc w:val="left"/>
      <w:lvlText w:val="(%2)"/>
      <w:numFmt w:val="decimal"/>
      <w:start w:val="1"/>
    </w:lvl>
  </w:abstractNum>
  <w:abstractNum w:abstractNumId="113">
    <w:nsid w:val="77485850"/>
    <w:multiLevelType w:val="hybridMultilevel"/>
    <w:lvl w:ilvl="0">
      <w:lvlJc w:val="left"/>
      <w:lvlText w:val="(%1)"/>
      <w:numFmt w:val="decimal"/>
      <w:start w:val="1"/>
    </w:lvl>
  </w:abstractNum>
  <w:abstractNum w:abstractNumId="114">
    <w:nsid w:val="744939A3"/>
    <w:multiLevelType w:val="hybridMultilevel"/>
    <w:lvl w:ilvl="0">
      <w:lvlJc w:val="left"/>
      <w:lvlText w:val="(%1)"/>
      <w:numFmt w:val="decimal"/>
      <w:start w:val="2"/>
    </w:lvl>
  </w:abstractNum>
  <w:abstractNum w:abstractNumId="115">
    <w:nsid w:val="4FA0D2E3"/>
    <w:multiLevelType w:val="hybridMultilevel"/>
    <w:lvl w:ilvl="0">
      <w:lvlJc w:val="left"/>
      <w:lvlText w:val="(%1)"/>
      <w:numFmt w:val="decimal"/>
      <w:start w:val="1"/>
    </w:lvl>
  </w:abstractNum>
  <w:abstractNum w:abstractNumId="116">
    <w:nsid w:val="6B1D2C14"/>
    <w:multiLevelType w:val="hybridMultilevel"/>
    <w:lvl w:ilvl="0">
      <w:lvlJc w:val="left"/>
      <w:lvlText w:val="(%1)"/>
      <w:numFmt w:val="upperLetter"/>
      <w:start w:val="1"/>
    </w:lvl>
  </w:abstractNum>
  <w:abstractNum w:abstractNumId="117">
    <w:nsid w:val="68B867D3"/>
    <w:multiLevelType w:val="hybridMultilevel"/>
    <w:lvl w:ilvl="0">
      <w:lvlJc w:val="left"/>
      <w:lvlText w:val="(%1)"/>
      <w:numFmt w:val="decimal"/>
      <w:start w:val="3"/>
    </w:lvl>
  </w:abstractNum>
  <w:abstractNum w:abstractNumId="118">
    <w:nsid w:val="3F7F5DD9"/>
    <w:multiLevelType w:val="hybridMultilevel"/>
    <w:lvl w:ilvl="0">
      <w:lvlJc w:val="left"/>
      <w:lvlText w:val="(%1)"/>
      <w:numFmt w:val="decimal"/>
      <w:start w:val="1"/>
    </w:lvl>
  </w:abstractNum>
  <w:abstractNum w:abstractNumId="119">
    <w:nsid w:val="2AE05A34"/>
    <w:multiLevelType w:val="hybridMultilevel"/>
    <w:lvl w:ilvl="0">
      <w:lvlJc w:val="left"/>
      <w:lvlText w:val="(%1)"/>
      <w:numFmt w:val="decimal"/>
      <w:start w:val="1"/>
    </w:lvl>
  </w:abstractNum>
  <w:abstractNum w:abstractNumId="120">
    <w:nsid w:val="32794FF7"/>
    <w:multiLevelType w:val="hybridMultilevel"/>
    <w:lvl w:ilvl="0">
      <w:lvlJc w:val="left"/>
      <w:lvlText w:val="(%1)"/>
      <w:numFmt w:val="lowerLetter"/>
      <w:start w:val="1"/>
    </w:lvl>
  </w:abstractNum>
  <w:abstractNum w:abstractNumId="121">
    <w:nsid w:val="5454945E"/>
    <w:multiLevelType w:val="hybridMultilevel"/>
    <w:lvl w:ilvl="0">
      <w:lvlJc w:val="left"/>
      <w:lvlText w:val="(%1)"/>
      <w:numFmt w:val="decimal"/>
      <w:start w:val="1"/>
    </w:lvl>
  </w:abstractNum>
  <w:abstractNum w:abstractNumId="122">
    <w:nsid w:val="4DEFDFA0"/>
    <w:multiLevelType w:val="hybridMultilevel"/>
    <w:lvl w:ilvl="0">
      <w:lvlJc w:val="left"/>
      <w:lvlText w:val="(%1)"/>
      <w:numFmt w:val="lowerLetter"/>
      <w:start w:val="2"/>
    </w:lvl>
  </w:abstractNum>
  <w:abstractNum w:abstractNumId="123">
    <w:nsid w:val="2123D5F2"/>
    <w:multiLevelType w:val="hybridMultilevel"/>
    <w:lvl w:ilvl="0">
      <w:lvlJc w:val="left"/>
      <w:lvlText w:val="(%1)"/>
      <w:numFmt w:val="decimal"/>
      <w:start w:val="1"/>
    </w:lvl>
  </w:abstractNum>
  <w:abstractNum w:abstractNumId="124">
    <w:nsid w:val="135B8110"/>
    <w:multiLevelType w:val="hybridMultilevel"/>
    <w:lvl w:ilvl="0">
      <w:lvlJc w:val="left"/>
      <w:lvlText w:val="(%1)"/>
      <w:numFmt w:val="decimal"/>
      <w:start w:val="2"/>
    </w:lvl>
  </w:abstractNum>
  <w:abstractNum w:abstractNumId="125">
    <w:nsid w:val="94927A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26">
    <w:nsid w:val="DCDF8F6"/>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27">
    <w:nsid w:val="52D7B105"/>
    <w:multiLevelType w:val="hybridMultilevel"/>
    <w:lvl w:ilvl="0">
      <w:lvlJc w:val="left"/>
      <w:lvlText w:val="(%1)"/>
      <w:numFmt w:val="lowerLetter"/>
      <w:start w:val="5"/>
    </w:lvl>
  </w:abstractNum>
  <w:abstractNum w:abstractNumId="128">
    <w:nsid w:val="2E8A6394"/>
    <w:multiLevelType w:val="hybridMultilevel"/>
    <w:lvl w:ilvl="0">
      <w:lvlJc w:val="left"/>
      <w:lvlText w:val="(%1)"/>
      <w:numFmt w:val="decimal"/>
      <w:start w:val="1"/>
    </w:lvl>
    <w:lvl w:ilvl="1">
      <w:lvlJc w:val="left"/>
      <w:lvlText w:val="(%2)"/>
      <w:numFmt w:val="lowerLetter"/>
      <w:start w:val="1"/>
    </w:lvl>
  </w:abstractNum>
  <w:abstractNum w:abstractNumId="129">
    <w:nsid w:val="24E60401"/>
    <w:multiLevelType w:val="hybridMultilevel"/>
    <w:lvl w:ilvl="0">
      <w:lvlJc w:val="left"/>
      <w:lvlText w:val="(%1)"/>
      <w:numFmt w:val="decimal"/>
      <w:start w:val="4"/>
    </w:lvl>
  </w:abstractNum>
  <w:abstractNum w:abstractNumId="130">
    <w:nsid w:val="2A6AD9BE"/>
    <w:multiLevelType w:val="hybridMultilevel"/>
    <w:lvl w:ilvl="0">
      <w:lvlJc w:val="left"/>
      <w:lvlText w:val="(%1)"/>
      <w:numFmt w:val="decimal"/>
      <w:start w:val="1"/>
    </w:lvl>
  </w:abstractNum>
  <w:abstractNum w:abstractNumId="131">
    <w:nsid w:val="BAAC1B4"/>
    <w:multiLevelType w:val="hybridMultilevel"/>
    <w:lvl w:ilvl="0">
      <w:lvlJc w:val="left"/>
      <w:lvlText w:val="(%1)"/>
      <w:numFmt w:val="decimal"/>
      <w:start w:val="1"/>
    </w:lvl>
  </w:abstractNum>
  <w:abstractNum w:abstractNumId="132">
    <w:nsid w:val="36B2ACBC"/>
    <w:multiLevelType w:val="hybridMultilevel"/>
    <w:lvl w:ilvl="0">
      <w:lvlJc w:val="left"/>
      <w:lvlText w:val="(%1)"/>
      <w:numFmt w:val="decimal"/>
      <w:start w:val="1"/>
    </w:lvl>
  </w:abstractNum>
  <w:abstractNum w:abstractNumId="133">
    <w:nsid w:val="779D8544"/>
    <w:multiLevelType w:val="hybridMultilevel"/>
    <w:lvl w:ilvl="0">
      <w:lvlJc w:val="left"/>
      <w:lvlText w:val="(%1)"/>
      <w:numFmt w:val="decimal"/>
      <w:start w:val="1"/>
    </w:lvl>
  </w:abstractNum>
  <w:abstractNum w:abstractNumId="134">
    <w:nsid w:val="4AB26E78"/>
    <w:multiLevelType w:val="hybridMultilevel"/>
    <w:lvl w:ilvl="0">
      <w:lvlJc w:val="left"/>
      <w:lvlText w:val="(%1)"/>
      <w:numFmt w:val="decimal"/>
      <w:start w:val="2"/>
    </w:lvl>
  </w:abstractNum>
  <w:abstractNum w:abstractNumId="135">
    <w:nsid w:val="21FAA2F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6">
    <w:nsid w:val="5451CF49"/>
    <w:multiLevelType w:val="hybridMultilevel"/>
    <w:lvl w:ilvl="0">
      <w:lvlJc w:val="left"/>
      <w:lvlText w:val="(%1)"/>
      <w:numFmt w:val="lowerLetter"/>
      <w:start w:val="4"/>
    </w:lvl>
  </w:abstractNum>
  <w:abstractNum w:abstractNumId="137">
    <w:nsid w:val="6181EF69"/>
    <w:multiLevelType w:val="hybridMultilevel"/>
    <w:lvl w:ilvl="0">
      <w:lvlJc w:val="left"/>
      <w:lvlText w:val="(%1)"/>
      <w:numFmt w:val="lowerLetter"/>
      <w:start w:val="5"/>
    </w:lvl>
  </w:abstractNum>
  <w:abstractNum w:abstractNumId="138">
    <w:nsid w:val="3E6400E6"/>
    <w:multiLevelType w:val="hybridMultilevel"/>
    <w:lvl w:ilvl="0">
      <w:lvlJc w:val="left"/>
      <w:lvlText w:val="%1"/>
      <w:numFmt w:val="decimal"/>
      <w:start w:val="1"/>
    </w:lvl>
    <w:lvl w:ilvl="1">
      <w:lvlJc w:val="left"/>
      <w:lvlText w:val="(%2)"/>
      <w:numFmt w:val="lowerLetter"/>
      <w:start w:val="6"/>
    </w:lvl>
  </w:abstractNum>
  <w:abstractNum w:abstractNumId="139">
    <w:nsid w:val="14217E23"/>
    <w:multiLevelType w:val="hybridMultilevel"/>
    <w:lvl w:ilvl="0">
      <w:lvlJc w:val="left"/>
      <w:lvlText w:val="(%1)"/>
      <w:numFmt w:val="decimal"/>
      <w:start w:val="6"/>
    </w:lvl>
    <w:lvl w:ilvl="1">
      <w:lvlJc w:val="left"/>
      <w:lvlText w:val="%2"/>
      <w:numFmt w:val="lowerLetter"/>
      <w:start w:val="1"/>
    </w:lvl>
  </w:abstractNum>
  <w:abstractNum w:abstractNumId="140">
    <w:nsid w:val="710757D0"/>
    <w:multiLevelType w:val="hybridMultilevel"/>
    <w:lvl w:ilvl="0">
      <w:lvlJc w:val="left"/>
      <w:lvlText w:val="(%1)"/>
      <w:numFmt w:val="decimal"/>
      <w:start w:val="7"/>
    </w:lvl>
    <w:lvl w:ilvl="1">
      <w:lvlJc w:val="left"/>
      <w:lvlText w:val="(%2)"/>
      <w:numFmt w:val="lowerLetter"/>
      <w:start w:val="1"/>
    </w:lvl>
  </w:abstractNum>
  <w:abstractNum w:abstractNumId="141">
    <w:nsid w:val="5015CD1A"/>
    <w:multiLevelType w:val="hybridMultilevel"/>
    <w:lvl w:ilvl="0">
      <w:lvlJc w:val="left"/>
      <w:lvlText w:val="(%1)"/>
      <w:numFmt w:val="decimal"/>
      <w:start w:val="11"/>
    </w:lvl>
  </w:abstractNum>
  <w:abstractNum w:abstractNumId="142">
    <w:nsid w:val="424479DA"/>
    <w:multiLevelType w:val="hybridMultilevel"/>
    <w:lvl w:ilvl="0">
      <w:lvlJc w:val="left"/>
      <w:lvlText w:val="(%1)"/>
      <w:numFmt w:val="lowerRoman"/>
      <w:start w:val="9"/>
    </w:lvl>
    <w:lvl w:ilvl="1">
      <w:lvlJc w:val="left"/>
      <w:lvlText w:val="(%2)"/>
      <w:numFmt w:val="decimal"/>
      <w:start w:val="12"/>
    </w:lvl>
  </w:abstractNum>
  <w:abstractNum w:abstractNumId="143">
    <w:nsid w:val="1A9A9E69"/>
    <w:multiLevelType w:val="hybridMultilevel"/>
    <w:lvl w:ilvl="0">
      <w:lvlJc w:val="left"/>
      <w:lvlText w:val="(%1)"/>
      <w:numFmt w:val="lowerRoman"/>
      <w:start w:val="7"/>
    </w:lvl>
    <w:lvl w:ilvl="1">
      <w:lvlJc w:val="left"/>
      <w:lvlText w:val="%2"/>
      <w:numFmt w:val="decimal"/>
      <w:start w:val="1"/>
    </w:lvl>
  </w:abstractNum>
  <w:abstractNum w:abstractNumId="144">
    <w:nsid w:val="475E256A"/>
    <w:multiLevelType w:val="hybridMultilevel"/>
    <w:lvl w:ilvl="0">
      <w:lvlJc w:val="left"/>
      <w:lvlText w:val="(%1)"/>
      <w:numFmt w:val="decimal"/>
      <w:start w:val="13"/>
    </w:lvl>
  </w:abstractNum>
  <w:abstractNum w:abstractNumId="145">
    <w:nsid w:val="368DB37E"/>
    <w:multiLevelType w:val="hybridMultilevel"/>
    <w:lvl w:ilvl="0">
      <w:lvlJc w:val="left"/>
      <w:lvlText w:val="(%1)"/>
      <w:numFmt w:val="decimal"/>
      <w:start w:val="16"/>
    </w:lvl>
  </w:abstractNum>
  <w:abstractNum w:abstractNumId="146">
    <w:nsid w:val="6A3B714C"/>
    <w:multiLevelType w:val="hybridMultilevel"/>
    <w:lvl w:ilvl="0">
      <w:lvlJc w:val="left"/>
      <w:lvlText w:val="(%1)"/>
      <w:numFmt w:val="decimal"/>
      <w:start w:val="19"/>
    </w:lvl>
  </w:abstractNum>
  <w:abstractNum w:abstractNumId="147">
    <w:nsid w:val="327B517E"/>
    <w:multiLevelType w:val="hybridMultilevel"/>
    <w:lvl w:ilvl="0">
      <w:lvlJc w:val="left"/>
      <w:lvlText w:val="*"/>
      <w:numFmt w:val="bullet"/>
      <w:start w:val="1"/>
    </w:lvl>
  </w:abstractNum>
  <w:abstractNum w:abstractNumId="148">
    <w:nsid w:val="1F461B51"/>
    <w:multiLevelType w:val="hybridMultilevel"/>
    <w:lvl w:ilvl="0">
      <w:lvlJc w:val="left"/>
      <w:lvlText w:val="*"/>
      <w:numFmt w:val="bullet"/>
      <w:start w:val="1"/>
    </w:lvl>
  </w:abstractNum>
  <w:abstractNum w:abstractNumId="149">
    <w:nsid w:val="29BACF25"/>
    <w:multiLevelType w:val="hybridMultilevel"/>
    <w:lvl w:ilvl="0">
      <w:lvlJc w:val="left"/>
      <w:lvlText w:val="*"/>
      <w:numFmt w:val="bullet"/>
      <w:start w:val="1"/>
    </w:lvl>
  </w:abstractNum>
  <w:abstractNum w:abstractNumId="150">
    <w:nsid w:val="5D5BABB3"/>
    <w:multiLevelType w:val="hybridMultilevel"/>
    <w:lvl w:ilvl="0">
      <w:lvlJc w:val="left"/>
      <w:lvlText w:val="%1."/>
      <w:numFmt w:val="decimal"/>
      <w:start w:val="1"/>
    </w:lvl>
  </w:abstractNum>
  <w:abstractNum w:abstractNumId="151">
    <w:nsid w:val="51BF6B48"/>
    <w:multiLevelType w:val="hybridMultilevel"/>
    <w:lvl w:ilvl="0">
      <w:lvlJc w:val="left"/>
      <w:lvlText w:val="%1."/>
      <w:numFmt w:val="decimal"/>
      <w:start w:val="2"/>
    </w:lvl>
  </w:abstractNum>
  <w:abstractNum w:abstractNumId="152">
    <w:nsid w:val="7E0F6384"/>
    <w:multiLevelType w:val="hybridMultilevel"/>
    <w:lvl w:ilvl="0">
      <w:lvlJc w:val="left"/>
      <w:lvlText w:val="%1."/>
      <w:numFmt w:val="decimal"/>
      <w:start w:val="3"/>
    </w:lvl>
    <w:lvl w:ilvl="1">
      <w:lvlJc w:val="left"/>
      <w:lvlText w:val="(%2)"/>
      <w:numFmt w:val="lowerLetter"/>
      <w:start w:val="1"/>
    </w:lvl>
  </w:abstractNum>
  <w:abstractNum w:abstractNumId="153">
    <w:nsid w:val="2B4B8B53"/>
    <w:multiLevelType w:val="hybridMultilevel"/>
    <w:lvl w:ilvl="0">
      <w:lvlJc w:val="left"/>
      <w:lvlText w:val="(%1)"/>
      <w:numFmt w:val="lowerLetter"/>
      <w:start w:val="2"/>
    </w:lvl>
  </w:abstractNum>
  <w:abstractNum w:abstractNumId="154">
    <w:nsid w:val="72E3413A"/>
    <w:multiLevelType w:val="hybridMultilevel"/>
    <w:lvl w:ilvl="0">
      <w:lvlJc w:val="left"/>
      <w:lvlText w:val="%1"/>
      <w:numFmt w:val="decimal"/>
      <w:start w:val="1"/>
    </w:lvl>
    <w:lvl w:ilvl="1">
      <w:lvlJc w:val="left"/>
      <w:lvlText w:val="(%2)"/>
      <w:numFmt w:val="lowerLetter"/>
      <w:start w:val="4"/>
    </w:lvl>
  </w:abstractNum>
  <w:abstractNum w:abstractNumId="155">
    <w:nsid w:val="116AE494"/>
    <w:multiLevelType w:val="hybridMultilevel"/>
    <w:lvl w:ilvl="0">
      <w:lvlJc w:val="left"/>
      <w:lvlText w:val="%1."/>
      <w:numFmt w:val="decimal"/>
      <w:start w:val="4"/>
    </w:lvl>
    <w:lvl w:ilvl="1">
      <w:lvlJc w:val="left"/>
      <w:lvlText w:val="%2"/>
      <w:numFmt w:val="lowerLetter"/>
      <w:start w:val="1"/>
    </w:lvl>
  </w:abstractNum>
  <w:abstractNum w:abstractNumId="156">
    <w:nsid w:val="3494B2FB"/>
    <w:multiLevelType w:val="hybridMultilevel"/>
    <w:lvl w:ilvl="0">
      <w:lvlJc w:val="left"/>
      <w:lvlText w:val="(%1)"/>
      <w:numFmt w:val="lowerLetter"/>
      <w:start w:val="1"/>
    </w:lvl>
  </w:abstractNum>
  <w:abstractNum w:abstractNumId="157">
    <w:nsid w:val="B13A31"/>
    <w:multiLevelType w:val="hybridMultilevel"/>
    <w:lvl w:ilvl="0">
      <w:lvlJc w:val="left"/>
      <w:lvlText w:val="(%1)"/>
      <w:numFmt w:val="lowerLetter"/>
      <w:start w:val="2"/>
    </w:lvl>
  </w:abstractNum>
  <w:abstractNum w:abstractNumId="158">
    <w:nsid w:val="64429599"/>
    <w:multiLevelType w:val="hybridMultilevel"/>
    <w:lvl w:ilvl="0">
      <w:lvlJc w:val="left"/>
      <w:lvlText w:val="%1."/>
      <w:numFmt w:val="decimal"/>
      <w:start w:val="1"/>
    </w:lvl>
  </w:abstractNum>
  <w:abstractNum w:abstractNumId="159">
    <w:nsid w:val="631F1690"/>
    <w:multiLevelType w:val="hybridMultilevel"/>
    <w:lvl w:ilvl="0">
      <w:lvlJc w:val="left"/>
      <w:lvlText w:val="%1"/>
      <w:numFmt w:val="decimal"/>
      <w:start w:val="1"/>
    </w:lvl>
    <w:lvl w:ilvl="1">
      <w:lvlJc w:val="left"/>
      <w:lvlText w:val="(%2)"/>
      <w:numFmt w:val="lowerLetter"/>
      <w:start w:val="2"/>
    </w:lvl>
  </w:abstractNum>
  <w:abstractNum w:abstractNumId="160">
    <w:nsid w:val="25973E32"/>
    <w:multiLevelType w:val="hybridMultilevel"/>
    <w:lvl w:ilvl="0">
      <w:lvlJc w:val="left"/>
      <w:lvlText w:val="%1."/>
      <w:numFmt w:val="decimal"/>
      <w:start w:val="2"/>
    </w:lvl>
    <w:lvl w:ilvl="1">
      <w:lvlJc w:val="left"/>
      <w:lvlText w:val="%2"/>
      <w:numFmt w:val="lowerLetter"/>
      <w:start w:val="1"/>
    </w:lvl>
  </w:abstractNum>
  <w:abstractNum w:abstractNumId="161">
    <w:nsid w:val="EAD6F57"/>
    <w:multiLevelType w:val="hybridMultilevel"/>
    <w:lvl w:ilvl="0">
      <w:lvlJc w:val="left"/>
      <w:lvlText w:val="(%1)"/>
      <w:numFmt w:val="lowerLetter"/>
      <w:start w:val="2"/>
    </w:lvl>
  </w:abstractNum>
  <w:abstractNum w:abstractNumId="162">
    <w:nsid w:val="6EC9D844"/>
    <w:multiLevelType w:val="hybridMultilevel"/>
    <w:lvl w:ilvl="0">
      <w:lvlJc w:val="left"/>
      <w:lvlText w:val="$"/>
      <w:numFmt w:val="bullet"/>
      <w:start w:val="1"/>
    </w:lvl>
    <w:lvl w:ilvl="1">
      <w:lvlJc w:val="left"/>
      <w:lvlText w:val="%2."/>
      <w:numFmt w:val="decimal"/>
      <w:start w:val="1"/>
    </w:lvl>
  </w:abstractNum>
  <w:abstractNum w:abstractNumId="163">
    <w:nsid w:val="5C49EAEE"/>
    <w:multiLevelType w:val="hybridMultilevel"/>
    <w:lvl w:ilvl="0">
      <w:lvlJc w:val="left"/>
      <w:lvlText w:val="(%1)"/>
      <w:numFmt w:val="lowerLetter"/>
      <w:start w:val="1"/>
    </w:lvl>
  </w:abstractNum>
  <w:abstractNum w:abstractNumId="164">
    <w:nsid w:val="64AF49B"/>
    <w:multiLevelType w:val="hybridMultilevel"/>
    <w:lvl w:ilvl="0">
      <w:lvlJc w:val="left"/>
      <w:lvlText w:val="(%1)"/>
      <w:numFmt w:val="lowerLetter"/>
      <w:start w:val="3"/>
    </w:lvl>
  </w:abstractNum>
  <w:abstractNum w:abstractNumId="165">
    <w:nsid w:val="397C46BC"/>
    <w:multiLevelType w:val="hybridMultilevel"/>
    <w:lvl w:ilvl="0">
      <w:lvlJc w:val="left"/>
      <w:lvlText w:val="%1."/>
      <w:numFmt w:val="decimal"/>
      <w:start w:val="2"/>
    </w:lvl>
  </w:abstractNum>
  <w:abstractNum w:abstractNumId="166">
    <w:nsid w:val="7E448DE9"/>
    <w:multiLevelType w:val="hybridMultilevel"/>
    <w:lvl w:ilvl="0">
      <w:lvlJc w:val="left"/>
      <w:lvlText w:val="(%1)"/>
      <w:numFmt w:val="lowerLetter"/>
      <w:start w:val="1"/>
    </w:lvl>
  </w:abstractNum>
  <w:abstractNum w:abstractNumId="167">
    <w:nsid w:val="5A9CC3E5"/>
    <w:multiLevelType w:val="hybridMultilevel"/>
    <w:lvl w:ilvl="0">
      <w:lvlJc w:val="left"/>
      <w:lvlText w:val="(%1)"/>
      <w:numFmt w:val="lowerLetter"/>
      <w:start w:val="1"/>
    </w:lvl>
  </w:abstractNum>
  <w:abstractNum w:abstractNumId="168">
    <w:nsid w:val="1AFE3625"/>
    <w:multiLevelType w:val="hybridMultilevel"/>
    <w:lvl w:ilvl="0">
      <w:lvlJc w:val="left"/>
      <w:lvlText w:val="%1"/>
      <w:numFmt w:val="upperLetter"/>
      <w:start w:val="1"/>
    </w:lvl>
    <w:lvl w:ilvl="1">
      <w:lvlJc w:val="left"/>
      <w:lvlText w:val="%2."/>
      <w:numFmt w:val="decimal"/>
      <w:start w:val="1"/>
    </w:lvl>
  </w:abstractNum>
  <w:abstractNum w:abstractNumId="169">
    <w:nsid w:val="3CA88ECF"/>
    <w:multiLevelType w:val="hybridMultilevel"/>
    <w:lvl w:ilvl="0">
      <w:lvlJc w:val="left"/>
      <w:lvlText w:val="(%1)"/>
      <w:numFmt w:val="upperLetter"/>
      <w:start w:val="6"/>
    </w:lvl>
    <w:lvl w:ilvl="1">
      <w:lvlJc w:val="left"/>
      <w:lvlText w:val="%2"/>
      <w:numFmt w:val="decimal"/>
      <w:start w:val="1"/>
    </w:lvl>
  </w:abstractNum>
  <w:abstractNum w:abstractNumId="170">
    <w:nsid w:val="6EBE4208"/>
    <w:multiLevelType w:val="hybridMultilevel"/>
    <w:lvl w:ilvl="0">
      <w:lvlJc w:val="left"/>
      <w:lvlText w:val="%1."/>
      <w:numFmt w:val="decimal"/>
      <w:start w:val="3"/>
    </w:lvl>
  </w:abstractNum>
  <w:abstractNum w:abstractNumId="171">
    <w:nsid w:val="C058DF5"/>
    <w:multiLevelType w:val="hybridMultilevel"/>
    <w:lvl w:ilvl="0">
      <w:lvlJc w:val="left"/>
      <w:lvlText w:val="%1."/>
      <w:numFmt w:val="decimal"/>
      <w:start w:val="1"/>
    </w:lvl>
  </w:abstractNum>
  <w:abstractNum w:abstractNumId="172">
    <w:nsid w:val="CBE5BE9"/>
    <w:multiLevelType w:val="hybridMultilevel"/>
    <w:lvl w:ilvl="0">
      <w:lvlJc w:val="left"/>
      <w:lvlText w:val="%1."/>
      <w:numFmt w:val="decimal"/>
      <w:start w:val="5"/>
    </w:lvl>
  </w:abstractNum>
  <w:abstractNum w:abstractNumId="173">
    <w:nsid w:val="3102BBE2"/>
    <w:multiLevelType w:val="hybridMultilevel"/>
    <w:lvl w:ilvl="0">
      <w:lvlJc w:val="left"/>
      <w:lvlText w:val="%1."/>
      <w:numFmt w:val="decimal"/>
      <w:start w:val="1"/>
    </w:lvl>
  </w:abstractNum>
  <w:abstractNum w:abstractNumId="174">
    <w:nsid w:val="26A02C5E"/>
    <w:multiLevelType w:val="hybridMultilevel"/>
    <w:lvl w:ilvl="0">
      <w:lvlJc w:val="left"/>
      <w:lvlText w:val="%1."/>
      <w:numFmt w:val="decimal"/>
      <w:start w:val="2"/>
    </w:lvl>
  </w:abstractNum>
  <w:abstractNum w:abstractNumId="175">
    <w:nsid w:val="541C8153"/>
    <w:multiLevelType w:val="hybridMultilevel"/>
    <w:lvl w:ilvl="0">
      <w:lvlJc w:val="left"/>
      <w:lvlText w:val="(%1)"/>
      <w:numFmt w:val="lowerLetter"/>
      <w:start w:val="1"/>
    </w:lvl>
    <w:lvl w:ilvl="1">
      <w:lvlJc w:val="left"/>
      <w:lvlText w:val="(%2)"/>
      <w:numFmt w:val="lowerRoman"/>
      <w:start w:val="1"/>
    </w:lvl>
  </w:abstractNum>
  <w:abstractNum w:abstractNumId="176">
    <w:nsid w:val="67906F60"/>
    <w:multiLevelType w:val="hybridMultilevel"/>
    <w:lvl w:ilvl="0">
      <w:lvlJc w:val="left"/>
      <w:lvlText w:val="(%1)"/>
      <w:numFmt w:val="lowerLetter"/>
      <w:start w:val="3"/>
    </w:lvl>
    <w:lvl w:ilvl="1">
      <w:lvlJc w:val="left"/>
      <w:lvlText w:val="(%2)"/>
      <w:numFmt w:val="lowerRoman"/>
      <w:start w:val="1"/>
    </w:lvl>
  </w:abstractNum>
  <w:abstractNum w:abstractNumId="177">
    <w:nsid w:val="10DB9DAA"/>
    <w:multiLevelType w:val="hybridMultilevel"/>
    <w:lvl w:ilvl="0">
      <w:lvlJc w:val="left"/>
      <w:lvlText w:val="(%1)"/>
      <w:numFmt w:val="lowerLetter"/>
      <w:start w:val="4"/>
    </w:lvl>
    <w:lvl w:ilvl="1">
      <w:lvlJc w:val="left"/>
      <w:lvlText w:val="(%2)"/>
      <w:numFmt w:val="lowerLetter"/>
      <w:start w:val="9"/>
    </w:lvl>
  </w:abstractNum>
  <w:abstractNum w:abstractNumId="178">
    <w:nsid w:val="697D2D2"/>
    <w:multiLevelType w:val="hybridMultilevel"/>
    <w:lvl w:ilvl="0">
      <w:lvlJc w:val="left"/>
      <w:lvlText w:val="%1"/>
      <w:numFmt w:val="lowerLetter"/>
      <w:start w:val="1"/>
    </w:lvl>
    <w:lvl w:ilvl="1">
      <w:lvlJc w:val="left"/>
      <w:lvlText w:val="(%2)"/>
      <w:numFmt w:val="lowerRoman"/>
      <w:start w:val="2"/>
    </w:lvl>
  </w:abstractNum>
  <w:abstractNum w:abstractNumId="179">
    <w:nsid w:val="6D68AB2"/>
    <w:multiLevelType w:val="hybridMultilevel"/>
    <w:lvl w:ilvl="0">
      <w:lvlJc w:val="left"/>
      <w:lvlText w:val="(%1)"/>
      <w:numFmt w:val="lowerLetter"/>
      <w:start w:val="5"/>
    </w:lvl>
    <w:lvl w:ilvl="1">
      <w:lvlJc w:val="left"/>
      <w:lvlText w:val="(%2)"/>
      <w:numFmt w:val="lowerRoman"/>
      <w:start w:val="1"/>
    </w:lvl>
  </w:abstractNum>
  <w:abstractNum w:abstractNumId="180">
    <w:nsid w:val="3A966CD0"/>
    <w:multiLevelType w:val="hybridMultilevel"/>
    <w:lvl w:ilvl="0">
      <w:lvlJc w:val="left"/>
      <w:lvlText w:val="%1."/>
      <w:numFmt w:val="decimal"/>
      <w:start w:val="3"/>
    </w:lvl>
  </w:abstractNum>
  <w:abstractNum w:abstractNumId="181">
    <w:nsid w:val="63F37E85"/>
    <w:multiLevelType w:val="hybridMultilevel"/>
    <w:lvl w:ilvl="0">
      <w:lvlJc w:val="left"/>
      <w:lvlText w:val="(%1)"/>
      <w:numFmt w:val="lowerLetter"/>
      <w:start w:val="1"/>
    </w:lvl>
  </w:abstractNum>
  <w:abstractNum w:abstractNumId="182">
    <w:nsid w:val="5895F5FA"/>
    <w:multiLevelType w:val="hybridMultilevel"/>
    <w:lvl w:ilvl="0">
      <w:lvlJc w:val="left"/>
      <w:lvlText w:val="(%1)"/>
      <w:numFmt w:val="lowerLetter"/>
      <w:start w:val="4"/>
    </w:lvl>
  </w:abstractNum>
  <w:abstractNum w:abstractNumId="183">
    <w:nsid w:val="38A5D054"/>
    <w:multiLevelType w:val="hybridMultilevel"/>
    <w:lvl w:ilvl="0">
      <w:lvlJc w:val="left"/>
      <w:lvlText w:val="%1."/>
      <w:numFmt w:val="decimal"/>
      <w:start w:val="4"/>
    </w:lvl>
  </w:abstractNum>
  <w:abstractNum w:abstractNumId="184">
    <w:nsid w:val="F3F09D8"/>
    <w:multiLevelType w:val="hybridMultilevel"/>
    <w:lvl w:ilvl="0">
      <w:lvlJc w:val="left"/>
      <w:lvlText w:val="(%1)"/>
      <w:numFmt w:val="lowerLetter"/>
      <w:start w:val="1"/>
    </w:lvl>
    <w:lvl w:ilvl="1">
      <w:lvlJc w:val="left"/>
      <w:lvlText w:val="(%2)"/>
      <w:numFmt w:val="lowerRoman"/>
      <w:start w:val="1"/>
    </w:lvl>
  </w:abstractNum>
  <w:abstractNum w:abstractNumId="185">
    <w:nsid w:val="4B79373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86">
    <w:nsid w:val="4A10B4E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87">
    <w:nsid w:val="43D3BCD4"/>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
    </w:lvl>
  </w:abstractNum>
  <w:abstractNum w:abstractNumId="188">
    <w:nsid w:val="4C2A7166"/>
    <w:multiLevelType w:val="hybridMultilevel"/>
    <w:lvl w:ilvl="0">
      <w:lvlJc w:val="left"/>
      <w:lvlText w:val="%1"/>
      <w:numFmt w:val="lowerLetter"/>
      <w:start w:val="1"/>
    </w:lvl>
    <w:lvl w:ilvl="1">
      <w:lvlJc w:val="left"/>
      <w:lvlText w:val="(%2)"/>
      <w:numFmt w:val="lowerRoman"/>
      <w:start w:val="3"/>
    </w:lvl>
  </w:abstractNum>
  <w:abstractNum w:abstractNumId="189">
    <w:nsid w:val="2E534A82"/>
    <w:multiLevelType w:val="hybridMultilevel"/>
    <w:lvl w:ilvl="0">
      <w:lvlJc w:val="left"/>
      <w:lvlText w:val="(%1)"/>
      <w:numFmt w:val="lowerLetter"/>
      <w:start w:val="4"/>
    </w:lvl>
    <w:lvl w:ilvl="1">
      <w:lvlJc w:val="left"/>
      <w:lvlText w:val="%2"/>
      <w:numFmt w:val="lowerRoman"/>
      <w:start w:val="1"/>
    </w:lvl>
  </w:abstractNum>
  <w:abstractNum w:abstractNumId="190">
    <w:nsid w:val="26F2D364"/>
    <w:multiLevelType w:val="hybridMultilevel"/>
    <w:lvl w:ilvl="0">
      <w:lvlJc w:val="left"/>
      <w:lvlText w:val="(%1)"/>
      <w:numFmt w:val="lowerLetter"/>
      <w:start w:val="7"/>
    </w:lvl>
  </w:abstractNum>
  <w:abstractNum w:abstractNumId="191">
    <w:nsid w:val="71C1AF98"/>
    <w:multiLevelType w:val="hybridMultilevel"/>
    <w:lvl w:ilvl="0">
      <w:lvlJc w:val="left"/>
      <w:lvlText w:val="(%1)"/>
      <w:numFmt w:val="lowerLetter"/>
      <w:start w:val="8"/>
    </w:lvl>
  </w:abstractNum>
  <w:abstractNum w:abstractNumId="192">
    <w:nsid w:val="3D00B9D9"/>
    <w:multiLevelType w:val="hybridMultilevel"/>
    <w:lvl w:ilvl="0">
      <w:lvlJc w:val="left"/>
      <w:lvlText w:val="%1"/>
      <w:numFmt w:val="lowerLetter"/>
      <w:start w:val="1"/>
    </w:lvl>
    <w:lvl w:ilvl="1">
      <w:lvlJc w:val="left"/>
      <w:lvlText w:val="(%2)"/>
      <w:numFmt w:val="lowerLetter"/>
      <w:start w:val="35"/>
    </w:lvl>
  </w:abstractNum>
  <w:abstractNum w:abstractNumId="193">
    <w:nsid w:val="15BCABA8"/>
    <w:multiLevelType w:val="hybridMultilevel"/>
    <w:lvl w:ilvl="0">
      <w:lvlJc w:val="left"/>
      <w:lvlText w:val="(%1)"/>
      <w:numFmt w:val="lowerLetter"/>
      <w:start w:val="12"/>
    </w:lvl>
    <w:lvl w:ilvl="1">
      <w:lvlJc w:val="left"/>
      <w:lvlText w:val="%2"/>
      <w:numFmt w:val="lowerLetter"/>
      <w:start w:val="1"/>
    </w:lvl>
  </w:abstractNum>
  <w:abstractNum w:abstractNumId="194">
    <w:nsid w:val="4E0B9A87"/>
    <w:multiLevelType w:val="hybridMultilevel"/>
    <w:lvl w:ilvl="0">
      <w:lvlJc w:val="left"/>
      <w:lvlText w:val="(%1)"/>
      <w:numFmt w:val="lowerLetter"/>
      <w:start w:val="16"/>
    </w:lvl>
  </w:abstractNum>
  <w:abstractNum w:abstractNumId="195">
    <w:nsid w:val="434BAE75"/>
    <w:multiLevelType w:val="hybridMultilevel"/>
    <w:lvl w:ilvl="0">
      <w:lvlJc w:val="left"/>
      <w:lvlText w:val="(%1)"/>
      <w:numFmt w:val="lowerLetter"/>
      <w:start w:val="17"/>
    </w:lvl>
    <w:lvl w:ilvl="1">
      <w:lvlJc w:val="left"/>
      <w:lvlText w:val="(%2)"/>
      <w:numFmt w:val="lowerRoman"/>
      <w:start w:val="1"/>
    </w:lvl>
  </w:abstractNum>
  <w:abstractNum w:abstractNumId="196">
    <w:nsid w:val="4F38F265"/>
    <w:multiLevelType w:val="hybridMultilevel"/>
    <w:lvl w:ilvl="0">
      <w:lvlJc w:val="left"/>
      <w:lvlText w:val="(%1)"/>
      <w:numFmt w:val="lowerRoman"/>
      <w:start w:val="5"/>
    </w:lvl>
  </w:abstractNum>
  <w:abstractNum w:abstractNumId="197">
    <w:nsid w:val="4C502870"/>
    <w:multiLevelType w:val="hybridMultilevel"/>
    <w:lvl w:ilvl="0">
      <w:lvlJc w:val="left"/>
      <w:lvlText w:val="(%1)"/>
      <w:numFmt w:val="lowerLetter"/>
      <w:start w:val="18"/>
    </w:lvl>
    <w:lvl w:ilvl="1">
      <w:lvlJc w:val="left"/>
      <w:lvlText w:val="(%2)"/>
      <w:numFmt w:val="lowerRoman"/>
      <w:start w:val="1"/>
    </w:lvl>
  </w:abstractNum>
  <w:abstractNum w:abstractNumId="198">
    <w:nsid w:val="1DE8725A"/>
    <w:multiLevelType w:val="hybridMultilevel"/>
    <w:lvl w:ilvl="0">
      <w:lvlJc w:val="left"/>
      <w:lvlText w:val="(%1)"/>
      <w:numFmt w:val="lowerRoman"/>
      <w:start w:val="4"/>
    </w:lvl>
  </w:abstractNum>
  <w:abstractNum w:abstractNumId="199">
    <w:nsid w:val="6A37288A"/>
    <w:multiLevelType w:val="hybridMultilevel"/>
    <w:lvl w:ilvl="0">
      <w:lvlJc w:val="left"/>
      <w:lvlText w:val="(%1)"/>
      <w:numFmt w:val="lowerLetter"/>
      <w:start w:val="19"/>
    </w:lvl>
  </w:abstractNum>
  <w:abstractNum w:abstractNumId="200">
    <w:nsid w:val="8F8B73F"/>
    <w:multiLevelType w:val="hybridMultilevel"/>
    <w:lvl w:ilvl="0">
      <w:lvlJc w:val="left"/>
      <w:lvlText w:val="(%1)"/>
      <w:numFmt w:val="lowerRoman"/>
      <w:start w:val="5"/>
    </w:lvl>
  </w:abstractNum>
  <w:abstractNum w:abstractNumId="201">
    <w:nsid w:val="CA6B462"/>
    <w:multiLevelType w:val="hybridMultilevel"/>
    <w:lvl w:ilvl="0">
      <w:lvlJc w:val="left"/>
      <w:lvlText w:val="%1."/>
      <w:numFmt w:val="decimal"/>
      <w:start w:val="5"/>
    </w:lvl>
  </w:abstractNum>
  <w:abstractNum w:abstractNumId="202">
    <w:nsid w:val="763CB680"/>
    <w:multiLevelType w:val="hybridMultilevel"/>
    <w:lvl w:ilvl="0">
      <w:lvlJc w:val="left"/>
      <w:lvlText w:val="(%1)"/>
      <w:numFmt w:val="lowerLetter"/>
      <w:start w:val="1"/>
    </w:lvl>
  </w:abstractNum>
  <w:abstractNum w:abstractNumId="203">
    <w:nsid w:val="15B71329"/>
    <w:multiLevelType w:val="hybridMultilevel"/>
    <w:lvl w:ilvl="0">
      <w:lvlJc w:val="left"/>
      <w:lvlText w:val="%1"/>
      <w:numFmt w:val="lowerLetter"/>
      <w:start w:val="1"/>
    </w:lvl>
    <w:lvl w:ilvl="1">
      <w:lvlJc w:val="left"/>
      <w:lvlText w:val="(%2)"/>
      <w:numFmt w:val="lowerLetter"/>
      <w:start w:val="2"/>
    </w:lvl>
  </w:abstractNum>
  <w:abstractNum w:abstractNumId="204">
    <w:nsid w:val="3DA97044"/>
    <w:multiLevelType w:val="hybridMultilevel"/>
    <w:lvl w:ilvl="0">
      <w:lvlJc w:val="left"/>
      <w:lvlText w:val="(%1)"/>
      <w:numFmt w:val="lowerLetter"/>
      <w:start w:val="35"/>
    </w:lvl>
    <w:lvl w:ilvl="1">
      <w:lvlJc w:val="left"/>
      <w:lvlText w:val="%2"/>
      <w:numFmt w:val="lowerLetter"/>
      <w:start w:val="1"/>
    </w:lvl>
  </w:abstractNum>
  <w:abstractNum w:abstractNumId="205">
    <w:nsid w:val="1CDCE2DE"/>
    <w:multiLevelType w:val="hybridMultilevel"/>
    <w:lvl w:ilvl="0">
      <w:lvlJc w:val="left"/>
      <w:lvlText w:val="(%1)"/>
      <w:numFmt w:val="lowerLetter"/>
      <w:start w:val="35"/>
    </w:lvl>
    <w:lvl w:ilvl="1">
      <w:lvlJc w:val="left"/>
      <w:lvlText w:val="(%2)"/>
      <w:numFmt w:val="lowerLetter"/>
      <w:start w:val="4"/>
    </w:lvl>
  </w:abstractNum>
  <w:abstractNum w:abstractNumId="206">
    <w:nsid w:val="69D3947C"/>
    <w:multiLevelType w:val="hybridMultilevel"/>
    <w:lvl w:ilvl="0">
      <w:lvlJc w:val="left"/>
      <w:lvlText w:val="(%1)"/>
      <w:numFmt w:val="lowerLetter"/>
      <w:start w:val="5"/>
    </w:lvl>
  </w:abstractNum>
  <w:abstractNum w:abstractNumId="207">
    <w:nsid w:val="2539DFA5"/>
    <w:multiLevelType w:val="hybridMultilevel"/>
    <w:lvl w:ilvl="0">
      <w:lvlJc w:val="left"/>
      <w:lvlText w:val="%1."/>
      <w:numFmt w:val="decimal"/>
      <w:start w:val="7"/>
    </w:lvl>
  </w:abstractNum>
  <w:abstractNum w:abstractNumId="208">
    <w:nsid w:val="2DB88089"/>
    <w:multiLevelType w:val="hybridMultilevel"/>
    <w:lvl w:ilvl="0">
      <w:lvlJc w:val="left"/>
      <w:lvlText w:val="(%1)"/>
      <w:numFmt w:val="lowerLetter"/>
      <w:start w:val="1"/>
    </w:lvl>
  </w:abstractNum>
  <w:abstractNum w:abstractNumId="209">
    <w:nsid w:val="706B674E"/>
    <w:multiLevelType w:val="hybridMultilevel"/>
    <w:lvl w:ilvl="0">
      <w:lvlJc w:val="left"/>
      <w:lvlText w:val="%1."/>
      <w:numFmt w:val="decimal"/>
      <w:start w:val="8"/>
    </w:lvl>
  </w:abstractNum>
  <w:abstractNum w:abstractNumId="210">
    <w:nsid w:val="2C106A57"/>
    <w:multiLevelType w:val="hybridMultilevel"/>
    <w:lvl w:ilvl="0">
      <w:lvlJc w:val="left"/>
      <w:lvlText w:val="(%1)"/>
      <w:numFmt w:val="lowerLetter"/>
      <w:start w:val="2"/>
    </w:lvl>
  </w:abstractNum>
  <w:abstractNum w:abstractNumId="211">
    <w:nsid w:val="684EED59"/>
    <w:multiLevelType w:val="hybridMultilevel"/>
    <w:lvl w:ilvl="0">
      <w:lvlJc w:val="left"/>
      <w:lvlText w:val="%1."/>
      <w:numFmt w:val="decimal"/>
      <w:start w:val="9"/>
    </w:lvl>
  </w:abstractNum>
  <w:abstractNum w:abstractNumId="212">
    <w:nsid w:val="545EE5D3"/>
    <w:multiLevelType w:val="hybridMultilevel"/>
    <w:lvl w:ilvl="0">
      <w:lvlJc w:val="left"/>
      <w:lvlText w:val="%1."/>
      <w:numFmt w:val="decimal"/>
      <w:start w:val="11"/>
    </w:lvl>
  </w:abstractNum>
  <w:abstractNum w:abstractNumId="213">
    <w:nsid w:val="4A66051"/>
    <w:multiLevelType w:val="hybridMultilevel"/>
    <w:lvl w:ilvl="0">
      <w:lvlJc w:val="left"/>
      <w:lvlText w:val="(%1)"/>
      <w:numFmt w:val="lowerLetter"/>
      <w:start w:val="1"/>
    </w:lvl>
  </w:abstractNum>
  <w:abstractNum w:abstractNumId="214">
    <w:nsid w:val="20F4BDAD"/>
    <w:multiLevelType w:val="hybridMultilevel"/>
    <w:lvl w:ilvl="0">
      <w:lvlJc w:val="left"/>
      <w:lvlText w:val="%1."/>
      <w:numFmt w:val="decimal"/>
      <w:start w:val="12"/>
    </w:lvl>
  </w:abstractNum>
  <w:abstractNum w:abstractNumId="215">
    <w:nsid w:val="639DEFA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2019-12-28T19:29:23Z</dcterms:created>
  <dcterms:modified xsi:type="dcterms:W3CDTF">2019-12-28T19:29:23Z</dcterms:modified>
</cp:coreProperties>
</file>