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24,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760"/>
        <w:spacing w:after="0"/>
        <w:tabs>
          <w:tab w:leader="none" w:pos="109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ind w:firstLine="648"/>
        <w:spacing w:after="0" w:line="257" w:lineRule="auto"/>
        <w:rPr>
          <w:sz w:val="20"/>
          <w:szCs w:val="20"/>
          <w:color w:val="auto"/>
        </w:rPr>
      </w:pPr>
      <w:r>
        <w:rPr>
          <w:rFonts w:ascii="Arial" w:cs="Arial" w:eastAsia="Arial" w:hAnsi="Arial"/>
          <w:sz w:val="18"/>
          <w:szCs w:val="18"/>
          <w:color w:val="auto"/>
        </w:rPr>
        <w:t>On September 24, 2018, Clearway Energy, Inc. (the “Company”) and Clearway Energy LLC (“Clearway LLC”) entered into an underwriting agreement (the “Underwriting Agreement”) with UBS Securities LLC, as underwriter (the “Underwriter”), providing for the issuance and sale in an underwritten public offering by the Company of 3,916,449 shares (the “Shares”) of the Company’s Class C common stock, $0.01 par value per share (the “Class C Common Stock”). The Underwriter purchased the Shares from the Company pursuant to the Underwriting Agreement at a price of $19.15 per share (the “Offering”). The Offering closed on September 27, 2018.</w:t>
      </w:r>
    </w:p>
    <w:p>
      <w:pPr>
        <w:spacing w:after="0" w:line="188" w:lineRule="exact"/>
        <w:rPr>
          <w:sz w:val="24"/>
          <w:szCs w:val="24"/>
          <w:color w:val="auto"/>
        </w:rPr>
      </w:pPr>
    </w:p>
    <w:p>
      <w:pPr>
        <w:ind w:right="60" w:firstLine="648"/>
        <w:spacing w:after="0" w:line="264" w:lineRule="auto"/>
        <w:rPr>
          <w:sz w:val="20"/>
          <w:szCs w:val="20"/>
          <w:color w:val="auto"/>
        </w:rPr>
      </w:pPr>
      <w:r>
        <w:rPr>
          <w:rFonts w:ascii="Arial" w:cs="Arial" w:eastAsia="Arial" w:hAnsi="Arial"/>
          <w:sz w:val="18"/>
          <w:szCs w:val="18"/>
          <w:color w:val="auto"/>
        </w:rPr>
        <w:t>The offer and sale of the Shares was registered under the Securities Act of 1933, as amended (the “Securities Act”), pursuant to a shelf registration statement on Form S-3 (File No. 333-224684) of the Company filed with the Securities and Exchange Commission (the “SEC”), which registration statement became effective upon filing with the SEC on May 4, 2018.</w:t>
      </w:r>
    </w:p>
    <w:p>
      <w:pPr>
        <w:spacing w:after="0" w:line="181" w:lineRule="exact"/>
        <w:rPr>
          <w:sz w:val="24"/>
          <w:szCs w:val="24"/>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The Underwriting Agreement contains customary representations, warranties, and covenants by the Company. In addition, pursuant to the terms of the Underwriting Agreement, the Company and Clearway LLC agreed to indemnify the Underwriter against certain liabilities, including liabilities under the Securities Act, and to contribute to payments the Underwriter may be required to make because of any of those liabilities.</w:t>
      </w:r>
    </w:p>
    <w:p>
      <w:pPr>
        <w:spacing w:after="0" w:line="166" w:lineRule="exact"/>
        <w:rPr>
          <w:sz w:val="24"/>
          <w:szCs w:val="24"/>
          <w:color w:val="auto"/>
        </w:rPr>
      </w:pPr>
    </w:p>
    <w:p>
      <w:pPr>
        <w:ind w:right="540" w:firstLine="648"/>
        <w:spacing w:after="0" w:line="264"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Underwriting Agreement, which is attached as Exhibit 1.1 to this Current Report on Form 8-K (this “Current Report”) and is incorporated by reference herein.</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connection with the Offering, the Company is filing the opinion of Baker Botts L.L.P. as part of this Current Report that is to be incorporated by reference into the Registration Statement. The opinion of Baker Botts L.L.P. is filed as Exhibit 5.1 to this Current Report and incorporated herein by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20" w:type="dxa"/>
            <w:vAlign w:val="bottom"/>
            <w:gridSpan w:val="7"/>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60" w:type="dxa"/>
            <w:vAlign w:val="bottom"/>
            <w:gridSpan w:val="9"/>
          </w:tcPr>
          <w:p>
            <w:pPr>
              <w:ind w:left="660"/>
              <w:spacing w:after="0"/>
              <w:rPr>
                <w:sz w:val="20"/>
                <w:szCs w:val="20"/>
                <w:color w:val="auto"/>
              </w:rPr>
            </w:pPr>
            <w:r>
              <w:rPr>
                <w:rFonts w:ascii="Arial" w:cs="Arial" w:eastAsia="Arial" w:hAnsi="Arial"/>
                <w:sz w:val="18"/>
                <w:szCs w:val="18"/>
                <w:color w:val="auto"/>
              </w:rPr>
              <w:t>(d) Exhibits.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240" w:type="dxa"/>
            <w:vAlign w:val="bottom"/>
            <w:gridSpan w:val="2"/>
          </w:tcPr>
          <w:p>
            <w:pPr>
              <w:ind w:left="66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5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ind w:left="660"/>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5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1.1</w:t>
            </w:r>
          </w:p>
        </w:tc>
        <w:tc>
          <w:tcPr>
            <w:tcW w:w="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58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Underwriting Agreement by and among Clearway Energy, Inc., Clearway Energy LLC and UBS Securities LLC, dated</w:t>
              </w:r>
            </w:hyperlink>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gridSpan w:val="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24, 2018.</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5.1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Opinion of Baker Botts L.L.P.</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2"/>
          </w:tcPr>
          <w:p>
            <w:pPr>
              <w:ind w:left="660"/>
              <w:spacing w:after="0" w:line="196" w:lineRule="exact"/>
              <w:rPr>
                <w:sz w:val="20"/>
                <w:szCs w:val="20"/>
                <w:color w:val="auto"/>
              </w:rPr>
            </w:pPr>
            <w:r>
              <w:rPr>
                <w:rFonts w:ascii="Arial" w:cs="Arial" w:eastAsia="Arial" w:hAnsi="Arial"/>
                <w:sz w:val="18"/>
                <w:szCs w:val="18"/>
                <w:color w:val="auto"/>
              </w:rPr>
              <w:t>23.1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20" w:type="dxa"/>
            <w:vAlign w:val="bottom"/>
            <w:gridSpan w:val="5"/>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Consent of Baker Botts L.L.P. (included in Exhibit 5.1).</w:t>
              </w:r>
            </w:hyperlink>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4020" w:type="dxa"/>
            <w:vAlign w:val="bottom"/>
            <w:tcBorders>
              <w:top w:val="single" w:sz="8" w:color="0000EE"/>
            </w:tcBorders>
            <w:gridSpan w:val="3"/>
          </w:tcPr>
          <w:p>
            <w:pPr>
              <w:ind w:left="3920"/>
              <w:spacing w:after="0"/>
              <w:rPr>
                <w:sz w:val="20"/>
                <w:szCs w:val="20"/>
                <w:color w:val="auto"/>
              </w:rPr>
            </w:pPr>
            <w:r>
              <w:rPr>
                <w:rFonts w:ascii="Arial" w:cs="Arial" w:eastAsia="Arial" w:hAnsi="Arial"/>
                <w:sz w:val="18"/>
                <w:szCs w:val="18"/>
                <w:color w:val="auto"/>
                <w:w w:val="79"/>
              </w:rPr>
              <w:t>2</w:t>
            </w:r>
          </w:p>
        </w:tc>
        <w:tc>
          <w:tcPr>
            <w:tcW w:w="4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Clearway Energy, Inc.</w:t>
      </w:r>
    </w:p>
    <w:p>
      <w:pPr>
        <w:spacing w:after="0" w:line="229"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Kevin P. Malcarney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3,916,449 Shares of Class C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3,916,449 Shares of Class C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24, 2018</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Clearway Energy, Inc., a Delaware corporation (the “Company”), confirms its agreement with UBS Securities LLC (the “Underwriters”), with respect to (i) the sale by the Company and the purchase by the Underwriters of 3,916,449 shares of Class C Common Stock, par value $0.01 per share, of the Company (“Common Stock”) (the aforesaid 3,916,449 shares of Common Stock to be purchased by the Underwriters are herein called the “Securities”). The Company is the sole managing member of Clearway Energy LLC, a Delaware limited liability company (“Clearway LLC”).</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Underwriters deem advisable after this Agreement has been executed and delivered.</w:t>
      </w:r>
    </w:p>
    <w:p>
      <w:pPr>
        <w:spacing w:after="0" w:line="170"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 has prepared and filed with the Securities and Exchange Commission (the “Commission”) an automatic shelf registration statement on Form S-3 (File No. 333-224684) covering the public offering and sale of certain securities, including the Securities, under the Securities Act of 1933, as amended (the “1933 Act”), and the rules and regulations promulgated thereunder (the “1933 Act Regulations”), which automatic shelf registration statement became effective under Rule 462(e) under the 1933 Act Regulations (“Rule 462(e)”). Such registration statement, as of any time, means such registration statement as amended by any post-effective amendments thereto to such time, including the exhibits and any schedules thereto at such time, the documents incorporated or deemed to be incorporated by reference therein at such time pursuant to Item 12 of Form S-3 under the 1933 Act and the documents otherwise deemed to be a part thereof as of such time pursuant to Rule 430B under the 1933 Act Regulations (“Rule 430B”), is referred to herein as the “Registration Statement;” provided, however, that the “Registration Statement” without reference to a time means such registration statement as amended by any post-effective amendments thereto as of the time of the first contract of sale for the Securities, which time shall be considered the “new effective date” of such registration statement with respect to the Securities within the meaning of paragraph (f)(2) of Rule 430B, including the exhibits and schedules thereto as of such time, the documents incorporated or deemed incorporated by reference therein at such time pursuant to Item 12 of Form S-3 under the 1933 Act and the documents otherwise deemed to be a part thereof as of such time pursuant to the Rule 430B. Each preliminary prospectus used in connection with the offering of the Securities, including the documents incorporated or deemed to be incorporated by reference therein pursuant to Item 12 of Form S-3 under the 1933 Act, are collectively referred to herein as a “preliminary prospectus.” Promptly after execution and delivery of this Agreement, the Company will prepare and file a final prospectus relating to the Securities in accordance with the provisions of Rule 424(b) under the 1933 Act Regulations</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(“Rule 424(b)”). The final prospectus, in the form first furnished or made available to the Underwriters for use in connection with the offering of the Securities, including the documents incorporated or deemed to be incorporated by reference therein pursuant to Item 12 of Form S-3 under the 1933 Act,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163830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collectively referred to herein as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system)(“EDGAR”).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660" w:right="320" w:firstLine="648"/>
        <w:spacing w:after="0" w:line="277" w:lineRule="auto"/>
        <w:rPr>
          <w:sz w:val="20"/>
          <w:szCs w:val="20"/>
          <w:color w:val="auto"/>
        </w:rPr>
      </w:pPr>
      <w:r>
        <w:rPr>
          <w:rFonts w:ascii="Arial" w:cs="Arial" w:eastAsia="Arial" w:hAnsi="Arial"/>
          <w:sz w:val="18"/>
          <w:szCs w:val="18"/>
          <w:color w:val="auto"/>
        </w:rPr>
        <w:t>“Applicable Time” means 4:15 P.M., New York City time, on September 24, 2018 or such other time as agreed by the Company and the Underwriters.</w:t>
      </w:r>
    </w:p>
    <w:p>
      <w:pPr>
        <w:spacing w:after="0" w:line="170" w:lineRule="exact"/>
        <w:rPr>
          <w:sz w:val="20"/>
          <w:szCs w:val="20"/>
          <w:color w:val="auto"/>
        </w:rPr>
      </w:pPr>
    </w:p>
    <w:p>
      <w:pPr>
        <w:ind w:left="660" w:right="100" w:firstLine="648"/>
        <w:spacing w:after="0" w:line="264" w:lineRule="auto"/>
        <w:rPr>
          <w:sz w:val="20"/>
          <w:szCs w:val="20"/>
          <w:color w:val="auto"/>
        </w:rPr>
      </w:pPr>
      <w:r>
        <w:rPr>
          <w:rFonts w:ascii="Arial" w:cs="Arial" w:eastAsia="Arial" w:hAnsi="Arial"/>
          <w:sz w:val="18"/>
          <w:szCs w:val="18"/>
          <w:color w:val="auto"/>
        </w:rPr>
        <w:t xml:space="preserve">“General Disclosure Package” means any Issuer General Use Free Writing Prospectuses issued at or prior to the Applicable Time, the most recent preliminary prospectus (including any documents incorporated therein by reference) that is distributed to investors prior to the Applicable Time and the information included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hereto, all considered together.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“Issuer Free Writing Prospectus” means any “issuer free writing prospectus,” as defined in Rule 433 of the 1933 Act Regulations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 433”), including without limitation any “free writing prospectus” (as defined in Rule 405 of the 1933 Act Regulations (“Rule 405”)) relating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Securities that is (i) required to be filed with the Commission by the Company, (ii) a “road show that is a written communication” within the</w:t>
      </w:r>
    </w:p>
    <w:p>
      <w:pPr>
        <w:sectPr>
          <w:pgSz w:w="11900" w:h="16865" w:orient="portrait"/>
          <w:cols w:equalWidth="0" w:num="1">
            <w:col w:w="11420"/>
          </w:cols>
          <w:pgMar w:left="240" w:top="121" w:right="239" w:bottom="0" w:gutter="0" w:footer="0" w:header="0"/>
        </w:sectPr>
      </w:pPr>
    </w:p>
    <w:bookmarkStart w:id="3" w:name="page4"/>
    <w:bookmarkEnd w:id="3"/>
    <w:p>
      <w:pPr>
        <w:spacing w:after="0" w:line="114"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87" w:lineRule="exact"/>
        <w:rPr>
          <w:sz w:val="20"/>
          <w:szCs w:val="20"/>
          <w:color w:val="auto"/>
        </w:rPr>
      </w:pPr>
    </w:p>
    <w:p>
      <w:pPr>
        <w:ind w:left="660" w:right="440"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as evidenced by its being specified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hereto.</w:t>
      </w:r>
    </w:p>
    <w:p>
      <w:pPr>
        <w:spacing w:after="0" w:line="181" w:lineRule="exact"/>
        <w:rPr>
          <w:sz w:val="20"/>
          <w:szCs w:val="20"/>
          <w:color w:val="auto"/>
        </w:rPr>
      </w:pPr>
    </w:p>
    <w:p>
      <w:pPr>
        <w:ind w:left="660" w:right="3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“subsidiary” means each direct and indirect subsidiary of the Company.</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64" w:lineRule="auto"/>
        <w:tabs>
          <w:tab w:leader="none" w:pos="129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Company and Clearway LLC</w:t>
      </w:r>
      <w:r>
        <w:rPr>
          <w:rFonts w:ascii="Arial" w:cs="Arial" w:eastAsia="Arial" w:hAnsi="Arial"/>
          <w:sz w:val="18"/>
          <w:szCs w:val="18"/>
          <w:color w:val="auto"/>
        </w:rPr>
        <w:t>. The Company and Clearway LLC, jointly and severally, represent</w:t>
      </w:r>
      <w:r>
        <w:rPr>
          <w:rFonts w:ascii="Arial" w:cs="Arial" w:eastAsia="Arial" w:hAnsi="Arial"/>
          <w:sz w:val="18"/>
          <w:szCs w:val="18"/>
          <w:i w:val="1"/>
          <w:iCs w:val="1"/>
          <w:color w:val="auto"/>
        </w:rPr>
        <w:t xml:space="preserve"> </w:t>
      </w:r>
      <w:r>
        <w:rPr>
          <w:rFonts w:ascii="Arial" w:cs="Arial" w:eastAsia="Arial" w:hAnsi="Arial"/>
          <w:sz w:val="18"/>
          <w:szCs w:val="18"/>
          <w:color w:val="auto"/>
        </w:rPr>
        <w:t>and warrant to the Underwriters as of the date hereof, the Applicable Time, the Closing Time (as defined below) and any Date of Delivery (as defined below), and agree with the Underwriters, as follows:</w:t>
      </w:r>
    </w:p>
    <w:p>
      <w:pPr>
        <w:spacing w:after="0" w:line="181" w:lineRule="exact"/>
        <w:rPr>
          <w:sz w:val="20"/>
          <w:szCs w:val="20"/>
          <w:color w:val="auto"/>
        </w:rPr>
      </w:pPr>
    </w:p>
    <w:p>
      <w:pPr>
        <w:ind w:right="40" w:firstLine="656"/>
        <w:spacing w:after="0" w:line="272" w:lineRule="auto"/>
        <w:tabs>
          <w:tab w:leader="none" w:pos="1318"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meets the requirements for use of Form S-3 under the 1933 Act. The Registration Statement is an “automatic shelf registration statement” (as defined in Rule 405) and the Securities have been and remain eligible for registration by the Company on such automatic shelf registration statement.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Each of the Registration Statement and any post-effective amendment thereto, at the time of its effectiveness and at each deemed effective date with respect to the Underwriters pursuant to Rule 430B(f)(2) under the 1933 Act Regulations, complied in all material respects with the requirements of the 1933 Act and the 1933 Act Regulations. Each of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complied in all material respects with the requirements of </w:t>
      </w:r>
      <w:r>
        <w:rPr>
          <w:rFonts w:ascii="Arial" w:cs="Arial" w:eastAsia="Arial" w:hAnsi="Arial"/>
          <w:sz w:val="15"/>
          <w:szCs w:val="15"/>
          <w:color w:val="auto"/>
        </w:rPr>
        <w:t>the Securities Exchange Act of 1934 Act, as amended (the “1934 Act”), and</w:t>
      </w:r>
      <w:r>
        <w:rPr>
          <w:rFonts w:ascii="Arial" w:cs="Arial" w:eastAsia="Arial" w:hAnsi="Arial"/>
          <w:sz w:val="16"/>
          <w:szCs w:val="16"/>
          <w:color w:val="auto"/>
        </w:rPr>
        <w:t xml:space="preserve"> the rules and regulations of the Commission under the 1934 Act. Each preliminary prospectus, the Prospectus and any amendment or supplement thereto, at the time each was filed with the Commission, complied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7" w:lineRule="exact"/>
        <w:rPr>
          <w:sz w:val="20"/>
          <w:szCs w:val="20"/>
          <w:color w:val="auto"/>
        </w:rPr>
      </w:pPr>
    </w:p>
    <w:p>
      <w:pPr>
        <w:ind w:firstLine="656"/>
        <w:spacing w:after="0" w:line="286" w:lineRule="auto"/>
        <w:tabs>
          <w:tab w:leader="none" w:pos="1327"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at the Closing Time or at any Date of Delivery, contained, contains or will contain an untrue statement of a material fact or omitted, omits or will omit to state a material fact required to be stated therein or necessary to make the statements therein not misleading. As of the Applicable Time, neither (A) the General Disclosure Package nor (B) any individual Issuer Limited Use Free Writing Prospectus, when considered together with the General Disclosure Package, included an untrue statement of a material fact or omitted to state a material fact necessary in order to make the statements therein, in the light of the circumstances under which they were made, not misleading. Neither the Prospectus nor any amendment or supplement thereto (including any prospectus wrapper),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 The documents incorporated or deemed to be incorporated by reference in the Registration Statement, the General Disclosure Package and the Prospectus, at the time the Registration Statement became effective or when such documents incorporated by reference were filed with the Commission, as the case may be, when read together with the other information in the Registration Statement, the General Disclosure Package or the Prospectus, as the case may be, did not and will not include an untrue statement of a material fact or omit to state a material fact required to be stated therein or necessary to make the statements therein not misleading.</w:t>
      </w:r>
    </w:p>
    <w:p>
      <w:pPr>
        <w:spacing w:after="0" w:line="17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the Underwriters expressly for use therein. For purposes of this Agreement, the only information so furnished shall be the information in the first paragraph under the subheading “Commissions and Discounts” and in the first and second paragraphs under the subheading “Short Positions” under the heading “Underwriting” in the Prospectus (collectively, the “Underwriter Information”).</w:t>
      </w:r>
    </w:p>
    <w:p>
      <w:pPr>
        <w:spacing w:after="0" w:line="173" w:lineRule="exact"/>
        <w:rPr>
          <w:sz w:val="20"/>
          <w:szCs w:val="20"/>
          <w:color w:val="auto"/>
        </w:rPr>
      </w:pPr>
    </w:p>
    <w:p>
      <w:pPr>
        <w:ind w:firstLine="656"/>
        <w:spacing w:after="0" w:line="276" w:lineRule="auto"/>
        <w:tabs>
          <w:tab w:leader="none" w:pos="1337"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or the Prospectus, including any document incorporated by reference therein, and any preliminary or other prospectus deemed to be a part thereof that has not been superseded or modified. Any offer that is a written communication relating to the Securities made prior to the initial filing of the Registration Statement by the Company or any person acting on its behalf (within the meaning, for this paragraph only, of Rule 163(c) of the 1933 Act Regulations) has been filed with the Commission in accordance with the exemption provided by Rule 163 under the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Act Regulations (“Rule 163”) and otherwise complied with the requirements of Rule 163, including without limitation the legending requirement, to qualify such offer for the exemption from Section 5(c) of the 1933 Act provided by Rule 163.</w:t>
      </w:r>
    </w:p>
    <w:p>
      <w:pPr>
        <w:spacing w:after="0" w:line="170" w:lineRule="exact"/>
        <w:rPr>
          <w:sz w:val="20"/>
          <w:szCs w:val="20"/>
          <w:color w:val="auto"/>
        </w:rPr>
      </w:pPr>
    </w:p>
    <w:p>
      <w:pPr>
        <w:ind w:right="100" w:firstLine="656"/>
        <w:spacing w:after="0" w:line="312" w:lineRule="auto"/>
        <w:tabs>
          <w:tab w:leader="none" w:pos="1313"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Well-Known Seasoned Issuer</w:t>
      </w:r>
      <w:r>
        <w:rPr>
          <w:rFonts w:ascii="Arial" w:cs="Arial" w:eastAsia="Arial" w:hAnsi="Arial"/>
          <w:sz w:val="16"/>
          <w:szCs w:val="16"/>
          <w:color w:val="auto"/>
        </w:rPr>
        <w:t>. (A) At the original effectiveness of the Registration Statement, (B) if applicable,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w:t>
      </w:r>
    </w:p>
    <w:p>
      <w:pPr>
        <w:sectPr>
          <w:pgSz w:w="11900" w:h="16952" w:orient="portrait"/>
          <w:cols w:equalWidth="0" w:num="1">
            <w:col w:w="11400"/>
          </w:cols>
          <w:pgMar w:left="240" w:top="125" w:right="259" w:bottom="0" w:gutter="0" w:footer="0" w:header="0"/>
        </w:sectPr>
      </w:pPr>
    </w:p>
    <w:bookmarkStart w:id="4" w:name="page5"/>
    <w:bookmarkEnd w:id="4"/>
    <w:p>
      <w:pPr>
        <w:ind w:right="160"/>
        <w:spacing w:after="0" w:line="342" w:lineRule="auto"/>
        <w:rPr>
          <w:sz w:val="20"/>
          <w:szCs w:val="20"/>
          <w:color w:val="auto"/>
        </w:rPr>
      </w:pPr>
      <w:r>
        <w:rPr>
          <w:rFonts w:ascii="Arial" w:cs="Arial" w:eastAsia="Arial" w:hAnsi="Arial"/>
          <w:sz w:val="16"/>
          <w:szCs w:val="16"/>
          <w:color w:val="auto"/>
        </w:rPr>
        <w:t>behalf (within the meaning, for this clause only, of Rule 163(c) under the 1933 Act) made any offer relating to the Securities in reliance on the exemption of Rule 163 under the 1933 Act, and (D) as of the Applicable Time, the Company was and is a “well-known seasoned issuer” (as defined in Rule 405).</w:t>
      </w:r>
    </w:p>
    <w:p>
      <w:pPr>
        <w:spacing w:after="0" w:line="124" w:lineRule="exact"/>
        <w:rPr>
          <w:sz w:val="20"/>
          <w:szCs w:val="20"/>
          <w:color w:val="auto"/>
        </w:rPr>
      </w:pPr>
    </w:p>
    <w:p>
      <w:pPr>
        <w:ind w:firstLine="656"/>
        <w:spacing w:after="0" w:line="279" w:lineRule="auto"/>
        <w:tabs>
          <w:tab w:leader="none" w:pos="1304"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Company Not Ineligible Issuer</w:t>
      </w:r>
      <w:r>
        <w:rPr>
          <w:rFonts w:ascii="Arial" w:cs="Arial" w:eastAsia="Arial" w:hAnsi="Arial"/>
          <w:sz w:val="17"/>
          <w:szCs w:val="17"/>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71" w:lineRule="exact"/>
        <w:rPr>
          <w:rFonts w:ascii="Arial" w:cs="Arial" w:eastAsia="Arial" w:hAnsi="Arial"/>
          <w:sz w:val="17"/>
          <w:szCs w:val="17"/>
          <w:color w:val="auto"/>
        </w:rPr>
      </w:pPr>
    </w:p>
    <w:p>
      <w:pPr>
        <w:ind w:right="60" w:firstLine="656"/>
        <w:spacing w:after="0" w:line="264" w:lineRule="auto"/>
        <w:tabs>
          <w:tab w:leader="none" w:pos="131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the 1934 Act, the 1934 Act Regulations and the Public Accounting Oversight Board.</w:t>
      </w:r>
    </w:p>
    <w:p>
      <w:pPr>
        <w:spacing w:after="0" w:line="181" w:lineRule="exact"/>
        <w:rPr>
          <w:rFonts w:ascii="Arial" w:cs="Arial" w:eastAsia="Arial" w:hAnsi="Arial"/>
          <w:sz w:val="18"/>
          <w:szCs w:val="18"/>
          <w:color w:val="auto"/>
        </w:rPr>
      </w:pPr>
    </w:p>
    <w:p>
      <w:pPr>
        <w:ind w:right="20" w:firstLine="656"/>
        <w:spacing w:after="0" w:line="286" w:lineRule="auto"/>
        <w:tabs>
          <w:tab w:leader="none" w:pos="132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Financial Statements; Non-GAAP Financial Measures</w:t>
      </w:r>
      <w:r>
        <w:rPr>
          <w:rFonts w:ascii="Arial" w:cs="Arial" w:eastAsia="Arial" w:hAnsi="Arial"/>
          <w:sz w:val="16"/>
          <w:szCs w:val="16"/>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its consolidated subsidiaries at the dates indicated and the statement of operations, stockholders’ equity and cash flows of the Company and its consolidated subsidiaries for the periods specified; said financial statements have been prepared in conformity with U.S. generally accepted accounting principles (“GAAP”) applied on a consistent basis throughout the periods involved, except as may be expressly stated in the related notes thereto.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or incorporated by reference therein, no historical or pro forma financial statements or supporting schedules are required to be included or incorporated by reference in the Registration Statement, the General Disclosure Package or the Prospectus under the 1933 Act or the 1933 Act Regulations. All disclosures contained in the Registration Statement, the General Disclosure Package or the Prospectus, or incorporated by reference therein, regarding “non-GAAP financial measures” (as such term is defined by the rules and regulations of the Commission) comply with Regulation G of the 1934 Act and Item 10 of Regulation S-K of the 1933 Act, to the extent applicable. The interactive data in eXtensible Business Reporting Language included or incorporated by reference in the Registration Statement has been prepared in accordance with the Commission’s rules and guidelines applicable thereto.</w:t>
      </w:r>
    </w:p>
    <w:p>
      <w:pPr>
        <w:spacing w:after="0" w:line="174" w:lineRule="exact"/>
        <w:rPr>
          <w:rFonts w:ascii="Arial" w:cs="Arial" w:eastAsia="Arial" w:hAnsi="Arial"/>
          <w:sz w:val="16"/>
          <w:szCs w:val="16"/>
          <w:color w:val="auto"/>
        </w:rPr>
      </w:pPr>
    </w:p>
    <w:p>
      <w:pPr>
        <w:ind w:right="20" w:firstLine="656"/>
        <w:spacing w:after="0" w:line="302" w:lineRule="auto"/>
        <w:tabs>
          <w:tab w:leader="none" w:pos="1332"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and the Prospectus, (A) there has been no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entity (a “Material Adverse Effect”), (B)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(C) there has been no dividend or distribution of any kind declared, paid or made by the Company or any of its subsidiaries on any class of their capital stock or other equity securities.</w:t>
      </w:r>
    </w:p>
    <w:p>
      <w:pPr>
        <w:spacing w:after="0" w:line="187" w:lineRule="exact"/>
        <w:rPr>
          <w:sz w:val="20"/>
          <w:szCs w:val="20"/>
          <w:color w:val="auto"/>
        </w:rPr>
      </w:pPr>
    </w:p>
    <w:p>
      <w:pPr>
        <w:ind w:right="80" w:firstLine="656"/>
        <w:spacing w:after="0" w:line="273" w:lineRule="auto"/>
        <w:tabs>
          <w:tab w:leader="none" w:pos="1313"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or equivalent status in each other jurisdiction in which such qualification is required, whether by reason of the ownership or leasing of property or the conduct of business, except where the failure so to qualify or to be in good standing would not, individually or in the aggregate, reasonably be expected to have a Material Adverse Effect.</w:t>
      </w:r>
    </w:p>
    <w:p>
      <w:pPr>
        <w:spacing w:after="0" w:line="178" w:lineRule="exact"/>
        <w:rPr>
          <w:rFonts w:ascii="Arial" w:cs="Arial" w:eastAsia="Arial" w:hAnsi="Arial"/>
          <w:sz w:val="17"/>
          <w:szCs w:val="17"/>
          <w:color w:val="auto"/>
        </w:rPr>
      </w:pPr>
    </w:p>
    <w:p>
      <w:pPr>
        <w:ind w:right="20" w:firstLine="656"/>
        <w:spacing w:after="0" w:line="270" w:lineRule="auto"/>
        <w:tabs>
          <w:tab w:leader="none" w:pos="1304"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Good Standing of Subsidiaries</w:t>
      </w:r>
      <w:r>
        <w:rPr>
          <w:rFonts w:ascii="Arial" w:cs="Arial" w:eastAsia="Arial" w:hAnsi="Arial"/>
          <w:sz w:val="17"/>
          <w:szCs w:val="17"/>
          <w:color w:val="auto"/>
        </w:rPr>
        <w:t>. Each “significant subsidiary” of the Company (as such term is defined in Rule 1-02 of Regulation S-X)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or equivalent status in each jurisdiction in which such qualification is required, whether by reason of the ownership or leasing of property or the conduct of business, except where the failure to so qualify or to be in good standing would not, individually or in the aggregate, reasonably be expected to have a Material Adverse Effect. Except as otherwise disclosed in the Registration Statement, the General Disclosure Package and the Prospectus or as would not, individually or in the aggregate, reasonably be expected to have a Material Adverse Effect, all of the issued and outstanding capital stock or other ownership interests of each subsidiary has been duly authorized and validly issued, is fully paid and non-assessable and is owned by the Company, directly or through subsidiaries, free and clear of any security interest, mortgage, pledge, lien, encumbrance or claim.</w:t>
      </w:r>
    </w:p>
    <w:p>
      <w:pPr>
        <w:spacing w:after="0" w:line="177" w:lineRule="exact"/>
        <w:rPr>
          <w:rFonts w:ascii="Arial" w:cs="Arial" w:eastAsia="Arial" w:hAnsi="Arial"/>
          <w:sz w:val="17"/>
          <w:szCs w:val="17"/>
          <w:color w:val="auto"/>
        </w:rPr>
      </w:pPr>
    </w:p>
    <w:p>
      <w:pPr>
        <w:ind w:right="20" w:firstLine="656"/>
        <w:spacing w:after="0" w:line="290" w:lineRule="auto"/>
        <w:tabs>
          <w:tab w:leader="none" w:pos="131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in the column entitled “Actual” under the caption “Capitalization” and, upon consummation of the offering of the Common Stock, will be as set forth in the column entitled “Pro Forma (as adjusted for the Recapitalization and this offering)” under the caption “Capitalization” (except for subsequent issuances, if any, pursuant to this Agreement, pursuant to reservations, agreements or employee benefit plans referred to in the Registration Statement, the General Disclosure Package and the Prospectus or pursuant to the exercise of convertible securities or options referred to in the Registration Statement, the General Disclosure Package and the Prospectus). All outstanding shares of capital stock of the Company have been duly authorized and validly issued and are fully paid and non-assessable. None of the outstanding shares of capital stock of or ownership interest in the Company or any subsidiary were issued in violation of the preemptive or other similar rights of any securityholder of the Company or such subsidiary.</w:t>
      </w:r>
    </w:p>
    <w:p>
      <w:pPr>
        <w:spacing w:after="0" w:line="166" w:lineRule="exact"/>
        <w:rPr>
          <w:rFonts w:ascii="Arial" w:cs="Arial" w:eastAsia="Arial" w:hAnsi="Arial"/>
          <w:sz w:val="16"/>
          <w:szCs w:val="16"/>
          <w:color w:val="auto"/>
        </w:rPr>
      </w:pPr>
    </w:p>
    <w:p>
      <w:pPr>
        <w:ind w:left="1340" w:hanging="684"/>
        <w:spacing w:after="0"/>
        <w:tabs>
          <w:tab w:leader="none" w:pos="134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Authorization of Agreement</w:t>
      </w:r>
      <w:r>
        <w:rPr>
          <w:rFonts w:ascii="Arial" w:cs="Arial" w:eastAsia="Arial" w:hAnsi="Arial"/>
          <w:sz w:val="16"/>
          <w:szCs w:val="16"/>
          <w:color w:val="auto"/>
        </w:rPr>
        <w:t>. This Agreement has been duly authorized, executed and delivered by the Company and its subsidiaries,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w:t>
      </w:r>
    </w:p>
    <w:p>
      <w:pPr>
        <w:spacing w:after="0" w:line="210" w:lineRule="exact"/>
        <w:rPr>
          <w:rFonts w:ascii="Arial" w:cs="Arial" w:eastAsia="Arial" w:hAnsi="Arial"/>
          <w:sz w:val="16"/>
          <w:szCs w:val="16"/>
          <w:color w:val="auto"/>
        </w:rPr>
      </w:pPr>
    </w:p>
    <w:p>
      <w:pPr>
        <w:ind w:right="140" w:firstLine="656"/>
        <w:spacing w:after="0" w:line="264" w:lineRule="auto"/>
        <w:tabs>
          <w:tab w:leader="none" w:pos="133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8" w:gutter="0" w:footer="0" w:header="0"/>
        </w:sectPr>
      </w:pPr>
    </w:p>
    <w:bookmarkStart w:id="5" w:name="page6"/>
    <w:bookmarkEnd w:id="5"/>
    <w:p>
      <w:pPr>
        <w:ind w:right="80"/>
        <w:spacing w:after="0" w:line="279" w:lineRule="auto"/>
        <w:rPr>
          <w:sz w:val="20"/>
          <w:szCs w:val="20"/>
          <w:color w:val="auto"/>
        </w:rPr>
      </w:pPr>
      <w:r>
        <w:rPr>
          <w:rFonts w:ascii="Arial" w:cs="Arial" w:eastAsia="Arial" w:hAnsi="Arial"/>
          <w:sz w:val="17"/>
          <w:szCs w:val="17"/>
          <w:color w:val="auto"/>
        </w:rPr>
        <w:t>non-assessable; and the issuance of the Securities is not subject to the preemptive or other similar rights of any securityholder of the Company. The common stock, Clearway LLC’s Class A units, Class B units, Class C units and Class D units (collectively, the “LLC Units”) conform to all statements relating thereto contained in the Registration Statement, the General Disclosure Package and the Prospectus and such description conforms to the rights set forth in the instruments defining the same. No holder of Securities will be subject to personal liability by reason of being such a holder.</w:t>
      </w:r>
    </w:p>
    <w:p>
      <w:pPr>
        <w:spacing w:after="0" w:line="171" w:lineRule="exact"/>
        <w:rPr>
          <w:sz w:val="20"/>
          <w:szCs w:val="20"/>
          <w:color w:val="auto"/>
        </w:rPr>
      </w:pPr>
    </w:p>
    <w:p>
      <w:pPr>
        <w:jc w:val="both"/>
        <w:ind w:right="140" w:firstLine="656"/>
        <w:spacing w:after="0" w:line="286" w:lineRule="auto"/>
        <w:tabs>
          <w:tab w:leader="none" w:pos="1309"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65" w:lineRule="exact"/>
        <w:rPr>
          <w:rFonts w:ascii="Arial" w:cs="Arial" w:eastAsia="Arial" w:hAnsi="Arial"/>
          <w:sz w:val="17"/>
          <w:szCs w:val="17"/>
          <w:color w:val="auto"/>
        </w:rPr>
      </w:pPr>
    </w:p>
    <w:p>
      <w:pPr>
        <w:ind w:right="40" w:firstLine="656"/>
        <w:spacing w:after="0" w:line="282" w:lineRule="auto"/>
        <w:tabs>
          <w:tab w:leader="none" w:pos="1299"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Absence of Violations, Defaults and Conflicts</w:t>
      </w:r>
      <w:r>
        <w:rPr>
          <w:rFonts w:ascii="Arial" w:cs="Arial" w:eastAsia="Arial" w:hAnsi="Arial"/>
          <w:sz w:val="16"/>
          <w:szCs w:val="16"/>
          <w:color w:val="auto"/>
        </w:rPr>
        <w:t>. Neither the Company nor any of its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properties or assets of the Company or any subsidiary is subject (collectively, “Agreements and Instruments”), except for such defaults that would not, individually or in the aggregate, reasonably be expected to have a Material Adverse Effect, or (C) in violation of any law, statute, rule, regulation, judgment, order, writ or decree of any arbitrator, court, governmental body, regulatory body, administrative agency or other authority, body or agency having jurisdiction over the Company or any of its subsidiaries or any of their respective properties, assets or operations (each, a “Governmental Entity”), except for such violations that would not, individually or in the aggregate, reasonably be expected to have a Material Adverse Effect. The execution, delivery and performance of this Agreement and the consummation of the transactions contemplated 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 obligations hereunder have been duly authorized by all necessary corporate action and do not and will not, whether with or without the giving of notice or passage of time or both, conflict with, require a consent under, or constitute a breach of, or default or Repayment Event (as defined below) under, or result in the creation or imposition of any lien, charge or encumbrance upon any properties or assets of the Company or any subsidiary pursuant to, the Agreements and Instruments (except for such conflicts, breaches, defaults or Repayment Events or liens, charges or encumbrances that would not, individually or in the aggregate, reasonably be expected to have a Material Adverse Effect), nor will such actions (i) result in any violation of the provisions of the charter, by-laws or similar organizational document of the Company or any of its subsidiaries, (ii) conflict with or constitute a breach of, or a default or a Repayment Event (as defined below) under, or result in the creation or imposition of any lien, charge or encumbrance upon any property or assets of the Company or any of its subsidiaries pursuant to, or require the consent of any other party to, any Agreement and Instrument, except for such conflicts, breaches, defaults, liens, charges or encumbrances as would not, individually or in the aggregate, reasonably be expected to have a Material Adverse Effect or</w:t>
      </w:r>
    </w:p>
    <w:p>
      <w:pPr>
        <w:spacing w:after="0" w:line="12" w:lineRule="exact"/>
        <w:rPr>
          <w:rFonts w:ascii="Arial" w:cs="Arial" w:eastAsia="Arial" w:hAnsi="Arial"/>
          <w:sz w:val="16"/>
          <w:szCs w:val="16"/>
          <w:color w:val="auto"/>
        </w:rPr>
      </w:pPr>
    </w:p>
    <w:p>
      <w:pPr>
        <w:jc w:val="both"/>
        <w:ind w:right="120" w:firstLine="8"/>
        <w:spacing w:after="0" w:line="273" w:lineRule="auto"/>
        <w:tabs>
          <w:tab w:leader="none" w:pos="3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result in any violation of any law, statute, rule, regulation, judgment, order, writ or decree of any Governmental Entity, except for such violations as would not, individually or in the aggregate, reasonably be expected to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2" w:lineRule="exact"/>
        <w:rPr>
          <w:rFonts w:ascii="Arial" w:cs="Arial" w:eastAsia="Arial" w:hAnsi="Arial"/>
          <w:sz w:val="17"/>
          <w:szCs w:val="17"/>
          <w:color w:val="auto"/>
        </w:rPr>
      </w:pPr>
    </w:p>
    <w:p>
      <w:pPr>
        <w:ind w:right="100" w:firstLine="656"/>
        <w:spacing w:after="0" w:line="277" w:lineRule="auto"/>
        <w:tabs>
          <w:tab w:leader="none" w:pos="1309"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Clearway LLC or any of its subsidiaries engaged in the business of the Company exists or, to the knowledge of the Company, is imminent, which, in any case, would have a Material Adverse Effect.</w:t>
      </w:r>
    </w:p>
    <w:p>
      <w:pPr>
        <w:spacing w:after="0" w:line="170" w:lineRule="exact"/>
        <w:rPr>
          <w:rFonts w:ascii="Arial" w:cs="Arial" w:eastAsia="Arial" w:hAnsi="Arial"/>
          <w:sz w:val="18"/>
          <w:szCs w:val="18"/>
          <w:color w:val="auto"/>
        </w:rPr>
      </w:pPr>
    </w:p>
    <w:p>
      <w:pPr>
        <w:ind w:right="60" w:firstLine="656"/>
        <w:spacing w:after="0" w:line="276" w:lineRule="auto"/>
        <w:tabs>
          <w:tab w:leader="none" w:pos="1318"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disclosed in the Registration Statement, the General Disclosure Package and the Prospectus, there is no action, suit, proceeding, inquiry or investigation before or brought by any Governmental Entity now pending or, to the knowledge of the Company, threatened, against or affecting the Company or any of its subsidiaries, which would, individually or in the aggregate, reasonably be expected to have a Material Adverse Effect, or which might materially and adversely affect their respective properties or assets or the consummation of the transactions contemplated in this Agreement or the performance by the Company of its obligations hereunder.</w:t>
      </w:r>
    </w:p>
    <w:p>
      <w:pPr>
        <w:spacing w:after="0" w:line="172" w:lineRule="exact"/>
        <w:rPr>
          <w:rFonts w:ascii="Arial" w:cs="Arial" w:eastAsia="Arial" w:hAnsi="Arial"/>
          <w:sz w:val="17"/>
          <w:szCs w:val="17"/>
          <w:color w:val="auto"/>
        </w:rPr>
      </w:pPr>
    </w:p>
    <w:p>
      <w:pPr>
        <w:ind w:left="1340" w:hanging="684"/>
        <w:spacing w:after="0"/>
        <w:tabs>
          <w:tab w:leader="none" w:pos="1340" w:val="left"/>
        </w:tabs>
        <w:numPr>
          <w:ilvl w:val="1"/>
          <w:numId w:val="10"/>
        </w:numPr>
        <w:rPr>
          <w:rFonts w:ascii="Arial" w:cs="Arial" w:eastAsia="Arial" w:hAnsi="Arial"/>
          <w:sz w:val="17"/>
          <w:szCs w:val="17"/>
          <w:color w:val="auto"/>
        </w:rPr>
      </w:pPr>
      <w:r>
        <w:rPr>
          <w:rFonts w:ascii="Arial" w:cs="Arial" w:eastAsia="Arial" w:hAnsi="Arial"/>
          <w:sz w:val="17"/>
          <w:szCs w:val="17"/>
          <w:u w:val="single" w:color="auto"/>
          <w:color w:val="auto"/>
        </w:rPr>
        <w:t>Accuracy of Descriptions</w:t>
      </w:r>
      <w:r>
        <w:rPr>
          <w:rFonts w:ascii="Arial" w:cs="Arial" w:eastAsia="Arial" w:hAnsi="Arial"/>
          <w:sz w:val="17"/>
          <w:szCs w:val="17"/>
          <w:color w:val="auto"/>
        </w:rPr>
        <w:t>. The statements under the heading “Business—Regulatory Matters” in the Company’s Annual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-1737360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Form 10-K for the year ended December 31, 2017 filed with the Commission on March 1, 2018 and under the heading “Certain Relationships and Related Person Transactions” in the Company’s Definitive Proxy Statement on Schedule 14A filed with the Commission on March 15, 2018, as supplemented and modified by the statements under Item 1.01 of the Company’s Current Report on Form 8-K filed with the Commission on September 5, 2018, insofar as such statements summarize legal matters, agreements, documents, proceedings or affiliate transactions discussed therein, including related party agreements, power purchase agreements, offtake agreements and contracts for differences, are accurate and fair summaries of such legal matters, agreements, documents, proceedings or affiliate transactions in all material respects. All agreements between the Company or any of its subsidiaries and any other party expressly referenced in the Registration Statement, the General Disclosure Package and the Prospectus, including the documents incorporated by reference therein pursuant to Item 12 of Form S-3 under the 1933 Act, are legal, valid and binding obligations of the Company or such subsidiary, as applicable, enforceable against the Company or such subsidiaries, as applicable, as appropriate, in accordance with their respective terms, except to the extent that enforceability may be limited by bankruptcy, insolvency, reorganization, moratorium or similar laws affecting creditors’ rights generally and by general equitable principles and except as rights to indemnity and contribution thereunder may be limited by applicable law or policies underlying such law. Except as described in the Registration Statement, the General Disclosure Package and the Prospectus, neither the Company nor Clearway LLC have sent or received any notice indicating the termination of or intention to terminate any of the contracts or agreements referred to or described in the Registration Statement, the General Disclosure Package and the Prospectus or filed as an exhibit to the Registration Statement.</w:t>
      </w:r>
    </w:p>
    <w:p>
      <w:pPr>
        <w:spacing w:after="0" w:line="168" w:lineRule="exact"/>
        <w:rPr>
          <w:sz w:val="20"/>
          <w:szCs w:val="20"/>
          <w:color w:val="auto"/>
        </w:rPr>
      </w:pPr>
    </w:p>
    <w:p>
      <w:pPr>
        <w:ind w:right="20" w:firstLine="656"/>
        <w:spacing w:after="0" w:line="264" w:lineRule="auto"/>
        <w:tabs>
          <w:tab w:leader="none" w:pos="130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by the 1933 Act or the 1933 Act Regulations to be described in the Registration Statement, the General Disclosure Package or the Prospectus or to be filed as exhibits to the Registration Statement which have not been so described and filed as required.</w:t>
      </w:r>
    </w:p>
    <w:p>
      <w:pPr>
        <w:spacing w:after="0" w:line="181" w:lineRule="exact"/>
        <w:rPr>
          <w:rFonts w:ascii="Arial" w:cs="Arial" w:eastAsia="Arial" w:hAnsi="Arial"/>
          <w:sz w:val="18"/>
          <w:szCs w:val="18"/>
          <w:color w:val="auto"/>
        </w:rPr>
      </w:pPr>
    </w:p>
    <w:p>
      <w:pPr>
        <w:ind w:right="20" w:firstLine="656"/>
        <w:spacing w:after="0" w:line="257" w:lineRule="auto"/>
        <w:tabs>
          <w:tab w:leader="none" w:pos="129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Governmental Entity is necessary or required for the performance by the Company or Clearway LLC of its obligations hereunder, in connection with the offering, issuance or sale of the Securities hereunder or the consummation of the transactions contemplated by this Agreement except such as have been already obtained or as may be required under the 1933 Act, the 1933 Act Regulations, the rules of the New York Stock Exchange, state securities laws or the rules of the Financial Industry Regulatory Authority, Inc. (“FINRA”).</w:t>
      </w:r>
    </w:p>
    <w:p>
      <w:pPr>
        <w:spacing w:after="0" w:line="188" w:lineRule="exact"/>
        <w:rPr>
          <w:rFonts w:ascii="Arial" w:cs="Arial" w:eastAsia="Arial" w:hAnsi="Arial"/>
          <w:sz w:val="18"/>
          <w:szCs w:val="18"/>
          <w:color w:val="auto"/>
        </w:rPr>
      </w:pPr>
    </w:p>
    <w:p>
      <w:pPr>
        <w:jc w:val="both"/>
        <w:ind w:right="140" w:firstLine="656"/>
        <w:spacing w:after="0" w:line="264" w:lineRule="auto"/>
        <w:tabs>
          <w:tab w:leader="none" w:pos="1309"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Possession of Licenses and Permits</w:t>
      </w:r>
      <w:r>
        <w:rPr>
          <w:rFonts w:ascii="Arial" w:cs="Arial" w:eastAsia="Arial" w:hAnsi="Arial"/>
          <w:sz w:val="18"/>
          <w:szCs w:val="18"/>
          <w:color w:val="auto"/>
        </w:rPr>
        <w:t>. The Company and its subsidiaries have filed or caused to be filed with the appropriate Governmental Entities all forms, statements, reports, and documents (including all exhibits, amendments, and supplements thereto) (each a “Filing”) required to be filed by it</w:t>
      </w:r>
    </w:p>
    <w:p>
      <w:pPr>
        <w:sectPr>
          <w:pgSz w:w="11900" w:h="16838" w:orient="portrait"/>
          <w:cols w:equalWidth="0" w:num="1">
            <w:col w:w="11420"/>
          </w:cols>
          <w:pgMar w:left="240" w:top="125" w:right="239" w:bottom="0" w:gutter="0" w:footer="0" w:header="0"/>
        </w:sectPr>
      </w:pPr>
    </w:p>
    <w:bookmarkStart w:id="6" w:name="page7"/>
    <w:bookmarkEnd w:id="6"/>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Company and each of its subsidiary’s businesses and each of their facilities under all applicable laws and their respective rules and regulations thereunder, all of which complied in all respects with all applicable requirements of the appropriate law and rules and regulations thereunder in effect on the date each such Filing was made, except where the failure to do so would not, individually or in the aggregate, reasonably be expected to have a Material Adverse Effect. The Company and its subsidiaries possess such valid and current certificates, authorizations or permits issued by the appropriate Governmental Entities necessary to conduct the business now operated by them (each a “Governmental License”), except where the failure so to possess would not, individually or in the aggregate, reasonably be expected to have a Material Adverse Effect. The Company and its subsidiaries are in compliance with the terms and conditions of all Governmental Licenses, except where the failure so to comply would not, individually or in the aggregate, reasonably be expected to have a Material Adverse Effect. All of the Governmental Licenses are valid and in full force and effect, except when the invalidity of such Governmental Licenses or the failure of such Governmental Licenses to be in full force and effect would not, individually or in the aggregate, reasonably be expected to have a Material Adverse Effect. Neither the Company nor any of its subsidiaries has received any notice of proceedings relating to the revocation or modification of any Governmental Licenses which, if the subject of an unfavorable decision, ruling or finding, would, individually or in the aggregate, reasonably be expected to have a Material Adverse Effect.</w:t>
      </w:r>
    </w:p>
    <w:p>
      <w:pPr>
        <w:spacing w:after="0" w:line="180" w:lineRule="exact"/>
        <w:rPr>
          <w:sz w:val="20"/>
          <w:szCs w:val="20"/>
          <w:color w:val="auto"/>
        </w:rPr>
      </w:pPr>
    </w:p>
    <w:p>
      <w:pPr>
        <w:ind w:right="40" w:firstLine="656"/>
        <w:spacing w:after="0" w:line="269" w:lineRule="auto"/>
        <w:tabs>
          <w:tab w:leader="none" w:pos="131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Title to Property</w:t>
      </w:r>
      <w:r>
        <w:rPr>
          <w:rFonts w:ascii="Arial" w:cs="Arial" w:eastAsia="Arial" w:hAnsi="Arial"/>
          <w:sz w:val="17"/>
          <w:szCs w:val="17"/>
          <w:color w:val="auto"/>
        </w:rPr>
        <w:t>. The Company and its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 (B) do not, individually or in the aggregate, materially and adversely affect the value of such properties taken as a whole and do not materially interfere with the use made and proposed to be made of such property by the Company or any of its subsidiaries considered as one enterprise; and all of the leases and subleases of the Company and its subsidiaries, considered as one enterprise, and under which the Company or any of its subsidiaries holds properties described in the Registration Statement, the General Disclosure Package or the Prospectus, are in full force and effect, with such exceptions as are not material and do not materially interfere with the use made or proposed to be made of such properties, and neither the Company nor any such subsidiary has received actual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82" w:lineRule="exact"/>
        <w:rPr>
          <w:rFonts w:ascii="Arial" w:cs="Arial" w:eastAsia="Arial" w:hAnsi="Arial"/>
          <w:sz w:val="17"/>
          <w:szCs w:val="17"/>
          <w:color w:val="auto"/>
        </w:rPr>
      </w:pPr>
    </w:p>
    <w:p>
      <w:pPr>
        <w:ind w:right="20" w:firstLine="656"/>
        <w:spacing w:after="0" w:line="272" w:lineRule="auto"/>
        <w:tabs>
          <w:tab w:leader="none" w:pos="132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The Company and its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reasonably necessary to carry on the business now operated by them, except as would not, individually or in the aggregate, have a Material Adverse Effect, and neither the Company nor any of its subsidiaries has received any notice of any infringement of or conflict with asserted intellectual property rights of others with respect to any Intellectual Property, which infringement or conflict (if the subject of any unfavorable decision, ruling or finding) or invalidity or inadequacy, individually or in the aggregate, would have a Material Adverse Effect.</w:t>
      </w:r>
    </w:p>
    <w:p>
      <w:pPr>
        <w:spacing w:after="0" w:line="177" w:lineRule="exact"/>
        <w:rPr>
          <w:rFonts w:ascii="Arial" w:cs="Arial" w:eastAsia="Arial" w:hAnsi="Arial"/>
          <w:sz w:val="17"/>
          <w:szCs w:val="17"/>
          <w:color w:val="auto"/>
        </w:rPr>
      </w:pPr>
    </w:p>
    <w:p>
      <w:pPr>
        <w:ind w:right="40" w:firstLine="656"/>
        <w:spacing w:after="0" w:line="302" w:lineRule="auto"/>
        <w:tabs>
          <w:tab w:leader="none" w:pos="1304"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individually or in the aggregate, reasonably be expected to have a Material Adverse Effect, the Company and its subsidiaries (A) are conducting and have conducted their businesses, operations and facilities in compliance with Environmental Laws (as defined below); (B) have duly obtained, possess, maintain in full force and effect and have fulfilled and performed all of their obligations under any and all permits, licenses or registrations required under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Law (“Environmental Permits”); (C) have not received any notice from a governmental authority or any other third party alleging any violation of Environmental Law or liability thereunder; (D) are not subject to any pending or, to the best knowledge of the Company or any of its subsidiaries, threatened claim in writing or other legal proceeding under any Environmental Laws against the Company or any of its subsidiaries; (E) do not have knowledge of any applicable Environmental Laws, or any unsatisfied conditions in an Environmental Permit, that, individually or in the aggregate, can reasonably be expected to require any material capital expenditures for either the installation of new pollution control equipment, or a switch in a project’s fuel or other material modification of current operations in order to maintain the Company’s or the subsidiaries’ compliance with Environmental Laws; and (F) do not have knowledge of any facts or circumstances that reasonably would be expected to result in the Company or any of its subsidiaries being subjected to a material liability arising under Environmental Laws. As used in this paragraph, “Environmental Laws” means any and all applicable foreign, federal, state and local laws and regulations, or any enforceable administrative or judicial interpretation thereof, relating to pollution or the protection of human health or the environment, including, without limitation, those relating to (i) emissions, discharges or releases of Hazardous Substances into ambient air, surface water, groundwater or land, (ii) the generation, manufacture, processing, distribution, use, treatment, storage, disposal, release, transport or handling of, or exposure to, Hazardous Substances, (iii) the protection of wildlife or endangered or threatened species or (iv) the investigation, remediation or cleanup of any Hazardous Substances. As used in this paragraph, “Hazardous Substances” means pollutants, contaminants, hazardous substances, materials or wastes, petroleum, petroleum products and their breakdown constituents or any other chemical substance regulated under Environmental Laws.</w:t>
      </w:r>
    </w:p>
    <w:p>
      <w:pPr>
        <w:spacing w:after="0" w:line="172" w:lineRule="exact"/>
        <w:rPr>
          <w:sz w:val="20"/>
          <w:szCs w:val="20"/>
          <w:color w:val="auto"/>
        </w:rPr>
      </w:pPr>
    </w:p>
    <w:p>
      <w:pPr>
        <w:ind w:right="20" w:firstLine="656"/>
        <w:spacing w:after="0" w:line="269" w:lineRule="auto"/>
        <w:tabs>
          <w:tab w:leader="none" w:pos="1295"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Accounting Controls and Disclosure Controls</w:t>
      </w:r>
      <w:r>
        <w:rPr>
          <w:rFonts w:ascii="Arial" w:cs="Arial" w:eastAsia="Arial" w:hAnsi="Arial"/>
          <w:sz w:val="17"/>
          <w:szCs w:val="17"/>
          <w:color w:val="auto"/>
        </w:rPr>
        <w:t>. The Company and each of its subsidiaries maintain internal control over financial reporting (as defined under Rule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(E) the interactive data in eXtensible Business Reporting Language included or incorporated by reference in the Registration Statement is prepared in accordance with the Commission’s rules and guidelines applicable thereto. Except as described in the Registration Statement, the General Disclosure Package and the Prospectus, since the Company’s inception, there has been (1) no material weakness in the Company’s internal control over financial reporting that could adversely affect the Company’s ability to record, process, summarize and report financial data and (2) no change in the Company’s internal control over financial reporting that has materially affected, or is reasonably likely to materially affect, the Company’s internal control over financial reporting.</w:t>
      </w:r>
    </w:p>
    <w:p>
      <w:pPr>
        <w:spacing w:after="0" w:line="182" w:lineRule="exact"/>
        <w:rPr>
          <w:rFonts w:ascii="Arial" w:cs="Arial" w:eastAsia="Arial" w:hAnsi="Arial"/>
          <w:sz w:val="17"/>
          <w:szCs w:val="17"/>
          <w:color w:val="auto"/>
        </w:rPr>
      </w:pPr>
    </w:p>
    <w:p>
      <w:pPr>
        <w:ind w:firstLine="656"/>
        <w:spacing w:after="0" w:line="259" w:lineRule="auto"/>
        <w:tabs>
          <w:tab w:leader="none" w:pos="1304"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The Company is in compliance in all material respects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To the Company’s knowledge, such internal controls over financial reporting are effective at a reasonable assurance level.</w:t>
      </w:r>
    </w:p>
    <w:p>
      <w:pPr>
        <w:sectPr>
          <w:pgSz w:w="11900" w:h="16838" w:orient="portrait"/>
          <w:cols w:equalWidth="0" w:num="1">
            <w:col w:w="11420"/>
          </w:cols>
          <w:pgMar w:left="240" w:top="733" w:right="239" w:bottom="0" w:gutter="0" w:footer="0" w:header="0"/>
        </w:sectPr>
      </w:pPr>
    </w:p>
    <w:bookmarkStart w:id="7" w:name="page8"/>
    <w:bookmarkEnd w:id="7"/>
    <w:p>
      <w:pPr>
        <w:spacing w:after="0" w:line="94" w:lineRule="exact"/>
        <w:rPr>
          <w:sz w:val="20"/>
          <w:szCs w:val="20"/>
          <w:color w:val="auto"/>
        </w:rPr>
      </w:pPr>
    </w:p>
    <w:p>
      <w:pPr>
        <w:ind w:right="20" w:firstLine="656"/>
        <w:spacing w:after="0" w:line="259" w:lineRule="auto"/>
        <w:tabs>
          <w:tab w:leader="none" w:pos="1314"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Payment of Taxes</w:t>
      </w:r>
      <w:r>
        <w:rPr>
          <w:rFonts w:ascii="Arial" w:cs="Arial" w:eastAsia="Arial" w:hAnsi="Arial"/>
          <w:sz w:val="18"/>
          <w:szCs w:val="18"/>
          <w:color w:val="auto"/>
        </w:rPr>
        <w:t>. All federal, state and other material tax returns required to be filed, and all federal, state and other material taxes required to be paid, by the Company, Clearway LLC and their subsidiaries pursuant to applicable law have been filed and paid, except for taxes required to be paid pursuant to assessments against which appeals have been or will be promptly taken and as to which adequate reserves have been provided in accordance with GAAP. The Company has made adequate charges,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and reserves in accordance with GAAP in the applicable financial statements referred to in Section 1(a)(ix) hereof in respect of all federal, state and other taxes for all periods as to which the tax liability of the Company and its consolidated subsidiaries has not been finally determined, except to the extent of any inadequacy that would not reasonably be expected to have a Material Adverse Effect.</w:t>
      </w:r>
    </w:p>
    <w:p>
      <w:pPr>
        <w:spacing w:after="0" w:line="181" w:lineRule="exact"/>
        <w:rPr>
          <w:sz w:val="20"/>
          <w:szCs w:val="20"/>
          <w:color w:val="auto"/>
        </w:rPr>
      </w:pPr>
    </w:p>
    <w:p>
      <w:pPr>
        <w:ind w:right="20" w:firstLine="656"/>
        <w:spacing w:after="0" w:line="293" w:lineRule="auto"/>
        <w:tabs>
          <w:tab w:leader="none" w:pos="132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its subsidiaries carry, or are entitled to the benefits of insurance, with financially sound institutions with policies in such amounts and with such deductibles and covering such risks as are generally deemed reasonably adequate and customary for their businesses including, without limitation, policies covering real and personal property owned or leased by the Company and its subsidiaries against theft, damage, destruction, acts of vandalism, flood and earthquakes. The Company has no reason to believe that it or any of its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have a Material Adverse Effect.</w:t>
      </w:r>
    </w:p>
    <w:p>
      <w:pPr>
        <w:spacing w:after="0" w:line="164" w:lineRule="exact"/>
        <w:rPr>
          <w:rFonts w:ascii="Arial" w:cs="Arial" w:eastAsia="Arial" w:hAnsi="Arial"/>
          <w:sz w:val="16"/>
          <w:szCs w:val="16"/>
          <w:color w:val="auto"/>
        </w:rPr>
      </w:pPr>
    </w:p>
    <w:p>
      <w:pPr>
        <w:ind w:right="80" w:firstLine="656"/>
        <w:spacing w:after="0" w:line="286"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Investment Company Act</w:t>
      </w:r>
      <w:r>
        <w:rPr>
          <w:rFonts w:ascii="Arial" w:cs="Arial" w:eastAsia="Arial" w:hAnsi="Arial"/>
          <w:sz w:val="17"/>
          <w:szCs w:val="17"/>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65" w:lineRule="exact"/>
        <w:rPr>
          <w:rFonts w:ascii="Arial" w:cs="Arial" w:eastAsia="Arial" w:hAnsi="Arial"/>
          <w:sz w:val="17"/>
          <w:szCs w:val="17"/>
          <w:color w:val="auto"/>
        </w:rPr>
      </w:pPr>
    </w:p>
    <w:p>
      <w:pPr>
        <w:ind w:right="200" w:firstLine="656"/>
        <w:spacing w:after="0" w:line="312" w:lineRule="auto"/>
        <w:tabs>
          <w:tab w:leader="none" w:pos="1295"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Absence of Manipulation</w:t>
      </w:r>
      <w:r>
        <w:rPr>
          <w:rFonts w:ascii="Arial" w:cs="Arial" w:eastAsia="Arial" w:hAnsi="Arial"/>
          <w:sz w:val="16"/>
          <w:szCs w:val="16"/>
          <w:color w:val="auto"/>
        </w:rPr>
        <w:t>. Neither the Company nor any affiliate of the Company has taken, nor will the Company or any affiliate take, directly or indirectly, any action which is designed, or would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146" w:lineRule="exact"/>
        <w:rPr>
          <w:rFonts w:ascii="Arial" w:cs="Arial" w:eastAsia="Arial" w:hAnsi="Arial"/>
          <w:sz w:val="16"/>
          <w:szCs w:val="16"/>
          <w:color w:val="auto"/>
        </w:rPr>
      </w:pPr>
    </w:p>
    <w:p>
      <w:pPr>
        <w:ind w:right="60" w:firstLine="656"/>
        <w:spacing w:after="0" w:line="267" w:lineRule="auto"/>
        <w:tabs>
          <w:tab w:leader="none" w:pos="1304"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ERISA</w:t>
      </w:r>
      <w:r>
        <w:rPr>
          <w:rFonts w:ascii="Arial" w:cs="Arial" w:eastAsia="Arial" w:hAnsi="Arial"/>
          <w:sz w:val="17"/>
          <w:szCs w:val="17"/>
          <w:color w:val="auto"/>
        </w:rPr>
        <w:t>. None of the following events has occurred or exists: (i) a failure to fulfill the obligations, if any, under the minimum funding standards of Section 302 of the United States Employee Retirement Income Security Act of 1974, as amended (“ERISA”), and the regulations and published interpretations thereunder with respect to a Plan (as defined below),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Clearway LLC and their subsidiaries that could have a Material Adverse Effect; (iii) any breach of any contractual obligation, or any violation of law or applicable qualification standards, with respect to the employment or compensation of employees by any of the Company, Clearway LLC and their subsidiaries that could have a Material Adverse Effect. None of the following events has occurred or is reasonably likely to occur: (w) a material increase in the aggregate amount of contributions required to be made to all Plans in the current fiscal year of any of the Company, Clearway LLC and their subsidiaries compared to the amount of such contributions made in the most recently completed fiscal year of any of the Company, Clearway LLC and their subsidiaries that could reasonably be expected to result in a Material Adverse Effect; (x) a material increase in the “accumulated post-retirement benefit obligations” (within the meaning of Statement of Financial Accounting Standards 106) of any of the Company, Clearway LLC and their subsidiaries compared to the amount of such obligations in the most recently completed fiscal year of any of the Company, Clearway LLC and their subsidiaries that could reasonably be expected to result in a Material Adverse Effect; (y) any event or condition giving rise to a liability under Title IV of ERISA that could have a Material Adverse Effect; or (z) the filing of a claim by one or more employees or former employees of any of the Company, Clearway LLC and their subsidiaries related to their employment that could have a Material Adverse Effect. For purposes of this paragraph, the term “Plan” means a plan (within the meaning of Section 3(3) 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subject to Title IV of ERISA with respect to which any of the Company, Clearway LLC and their subsidiaries may have any liability.</w:t>
      </w:r>
    </w:p>
    <w:p>
      <w:pPr>
        <w:spacing w:after="0" w:line="225" w:lineRule="exact"/>
        <w:rPr>
          <w:sz w:val="20"/>
          <w:szCs w:val="20"/>
          <w:color w:val="auto"/>
        </w:rPr>
      </w:pPr>
    </w:p>
    <w:p>
      <w:pPr>
        <w:ind w:right="60" w:firstLine="656"/>
        <w:spacing w:after="0" w:line="287" w:lineRule="auto"/>
        <w:tabs>
          <w:tab w:leader="none" w:pos="1314"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No Unlawful Payments</w:t>
      </w:r>
      <w:r>
        <w:rPr>
          <w:rFonts w:ascii="Arial" w:cs="Arial" w:eastAsia="Arial" w:hAnsi="Arial"/>
          <w:sz w:val="16"/>
          <w:szCs w:val="16"/>
          <w:color w:val="auto"/>
        </w:rPr>
        <w:t>. None of the Company, any of its subsidiaries or, to the knowledge of the Company, any director, officer, agent, employee or affiliate of the Company or any of its subsidiaries is aware of or has taken any action, directly or indirectly, that would result in a violation by such persons of the Foreign Corrupt Practices Act of 1977, as amended, and the rules and regulations thereunder (the “FCPA”)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or any other applicable anti-bribery or anti-corruption law and the Company, its subsidiaries and, to the knowledge of the Company, their respective affiliates have conducted their businesses in compliance with the FCPA and all other applicable anti-bribery or anti-corruption law and have instituted and maintain policies and procedures designed to ensure, and which are reasonably expected to continue to ensure, continued compliance therewith.</w:t>
      </w:r>
    </w:p>
    <w:p>
      <w:pPr>
        <w:spacing w:after="0" w:line="172" w:lineRule="exact"/>
        <w:rPr>
          <w:rFonts w:ascii="Arial" w:cs="Arial" w:eastAsia="Arial" w:hAnsi="Arial"/>
          <w:sz w:val="16"/>
          <w:szCs w:val="16"/>
          <w:color w:val="auto"/>
        </w:rPr>
      </w:pPr>
    </w:p>
    <w:p>
      <w:pPr>
        <w:ind w:firstLine="656"/>
        <w:spacing w:after="0" w:line="255" w:lineRule="auto"/>
        <w:tabs>
          <w:tab w:leader="none" w:pos="148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Money Laundering Laws</w:t>
      </w:r>
      <w:r>
        <w:rPr>
          <w:rFonts w:ascii="Arial" w:cs="Arial" w:eastAsia="Arial" w:hAnsi="Arial"/>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the Company or any of its subsidiaries with respect to the Money Laundering Laws is pending or, to the best knowledge of the Company, threatened.</w:t>
      </w:r>
    </w:p>
    <w:p>
      <w:pPr>
        <w:spacing w:after="0" w:line="193" w:lineRule="exact"/>
        <w:rPr>
          <w:rFonts w:ascii="Arial" w:cs="Arial" w:eastAsia="Arial" w:hAnsi="Arial"/>
          <w:sz w:val="18"/>
          <w:szCs w:val="18"/>
          <w:color w:val="auto"/>
        </w:rPr>
      </w:pPr>
    </w:p>
    <w:p>
      <w:pPr>
        <w:ind w:firstLine="656"/>
        <w:spacing w:after="0" w:line="291" w:lineRule="auto"/>
        <w:tabs>
          <w:tab w:leader="none" w:pos="1462"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Company, any of its subsidiaries or, to the knowledge of the Company, any director, officer, agent, employee, affiliate or representative of the Company or any of its subsidiaries is an individual or entity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w:t>
      </w:r>
    </w:p>
    <w:p>
      <w:pPr>
        <w:sectPr>
          <w:pgSz w:w="11900" w:h="16932" w:orient="portrait"/>
          <w:cols w:equalWidth="0" w:num="1">
            <w:col w:w="11400"/>
          </w:cols>
          <w:pgMar w:left="240" w:top="125" w:right="259" w:bottom="0" w:gutter="0" w:footer="0" w:header="0"/>
        </w:sectPr>
      </w:pPr>
    </w:p>
    <w:bookmarkStart w:id="8" w:name="page9"/>
    <w:bookmarkEnd w:id="8"/>
    <w:p>
      <w:pPr>
        <w:ind w:right="140"/>
        <w:spacing w:after="0" w:line="277" w:lineRule="auto"/>
        <w:rPr>
          <w:sz w:val="20"/>
          <w:szCs w:val="20"/>
          <w:color w:val="auto"/>
        </w:rPr>
      </w:pPr>
      <w:r>
        <w:rPr>
          <w:rFonts w:ascii="Arial" w:cs="Arial" w:eastAsia="Arial" w:hAnsi="Arial"/>
          <w:sz w:val="18"/>
          <w:szCs w:val="18"/>
          <w:color w:val="auto"/>
        </w:rPr>
        <w:t>funding, is the subject of Sanctions or in any other manner that will result in a violation by any Person (including any Person participating in the transaction, whether as underwriter, advisor, investor or otherwise) of Sanctions.</w:t>
      </w:r>
    </w:p>
    <w:p>
      <w:pPr>
        <w:spacing w:after="0" w:line="170" w:lineRule="exact"/>
        <w:rPr>
          <w:sz w:val="20"/>
          <w:szCs w:val="20"/>
          <w:color w:val="auto"/>
        </w:rPr>
      </w:pPr>
    </w:p>
    <w:p>
      <w:pPr>
        <w:ind w:firstLine="656"/>
        <w:spacing w:after="0" w:line="276" w:lineRule="auto"/>
        <w:tabs>
          <w:tab w:leader="none" w:pos="1452"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(A)(i) Except as would not, individually or in the aggregate, reasonably be expected to have a Material Adverse Effect, there has been no security breach or incident, unauthorized access or disclosure, or other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or its subsidiaries, and any such data processed or stored by third parties on behalf of the Company and its subsidiaries), equipment or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(collectively, “IT Systems and Data”) and (ii) the Company and its subsidiaries have not been notified of, and have no knowledge of any event or condition that would reasonably be expected to result in, any material security breach or incident, unauthorized access or disclosure or other compromise to their IT Systems and Data; (B) except as would not, individually or in the aggregate,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166" w:lineRule="exact"/>
        <w:rPr>
          <w:sz w:val="20"/>
          <w:szCs w:val="20"/>
          <w:color w:val="auto"/>
        </w:rPr>
      </w:pPr>
    </w:p>
    <w:p>
      <w:pPr>
        <w:ind w:right="120" w:firstLine="656"/>
        <w:spacing w:after="0" w:line="302" w:lineRule="auto"/>
        <w:tabs>
          <w:tab w:leader="none" w:pos="146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Restrictions on Distributions</w:t>
      </w:r>
      <w:r>
        <w:rPr>
          <w:rFonts w:ascii="Arial" w:cs="Arial" w:eastAsia="Arial" w:hAnsi="Arial"/>
          <w:sz w:val="16"/>
          <w:szCs w:val="16"/>
          <w:color w:val="auto"/>
        </w:rPr>
        <w:t>. Except as described in the Registration Statement, the General Disclosure Package and the Prospectus, no subsidiary of the Company is currently prohibited in any material respect, directly or indirectly, from (A) paying any distributions to the Company or Clearway LLC or (B) (i) making any other distribution on such subsidiary’s equity interests, (ii) repaying to the Company any loans or advances to such subsidiary from the Company or (iii) transferring any of such subsidiary’s property or assets to the Company or any other subsidiary of the Company.</w:t>
      </w:r>
    </w:p>
    <w:p>
      <w:pPr>
        <w:spacing w:after="0" w:line="154" w:lineRule="exact"/>
        <w:rPr>
          <w:rFonts w:ascii="Arial" w:cs="Arial" w:eastAsia="Arial" w:hAnsi="Arial"/>
          <w:sz w:val="16"/>
          <w:szCs w:val="16"/>
          <w:color w:val="auto"/>
        </w:rPr>
      </w:pPr>
    </w:p>
    <w:p>
      <w:pPr>
        <w:ind w:right="60" w:firstLine="656"/>
        <w:spacing w:after="0" w:line="257" w:lineRule="auto"/>
        <w:tabs>
          <w:tab w:leader="none" w:pos="1471"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 Equity Awards</w:t>
      </w:r>
      <w:r>
        <w:rPr>
          <w:rFonts w:ascii="Arial" w:cs="Arial" w:eastAsia="Arial" w:hAnsi="Arial"/>
          <w:sz w:val="18"/>
          <w:szCs w:val="18"/>
          <w:color w:val="auto"/>
        </w:rPr>
        <w:t>. Except for grants disclosed in the Registration Statement, the General Disclosure Package and the Prospectus or the Section 16 filings related to the Company pursuant to the 1934 Act or otherwise granted pursuant to any employee benefit plans, qualified stock option plans, director compensation arrangements or the employee compensation plans of the Company and its subsidiaries, the Company has not granted to any person or entity, a stock option or other equity-based award to purchase or receive equity securities of the Company or Clearway LLC pursuant to an equity-based compensation plan or otherwise.</w:t>
      </w:r>
    </w:p>
    <w:p>
      <w:pPr>
        <w:spacing w:after="0" w:line="188" w:lineRule="exact"/>
        <w:rPr>
          <w:rFonts w:ascii="Arial" w:cs="Arial" w:eastAsia="Arial" w:hAnsi="Arial"/>
          <w:sz w:val="18"/>
          <w:szCs w:val="18"/>
          <w:color w:val="auto"/>
        </w:rPr>
      </w:pPr>
    </w:p>
    <w:p>
      <w:pPr>
        <w:ind w:right="100" w:firstLine="656"/>
        <w:spacing w:after="0" w:line="312" w:lineRule="auto"/>
        <w:tabs>
          <w:tab w:leader="none" w:pos="140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Finder’s Fee</w:t>
      </w:r>
      <w:r>
        <w:rPr>
          <w:rFonts w:ascii="Arial" w:cs="Arial" w:eastAsia="Arial" w:hAnsi="Arial"/>
          <w:sz w:val="16"/>
          <w:szCs w:val="16"/>
          <w:color w:val="auto"/>
        </w:rPr>
        <w:t>. Except for the Underwriters’ discounts and commissions payable by the Company to the Underwriters in connection with the offering of the Securities contemplated herein or as otherwise disclosed in the General Disclosure Package and the Prospectus, the Company has not incurred any liability for any brokerage commission, finder’s fees or similar payments in connection with the offering of the Securities contemplated hereby.</w:t>
      </w:r>
    </w:p>
    <w:p>
      <w:pPr>
        <w:spacing w:after="0" w:line="146" w:lineRule="exact"/>
        <w:rPr>
          <w:rFonts w:ascii="Arial" w:cs="Arial" w:eastAsia="Arial" w:hAnsi="Arial"/>
          <w:sz w:val="16"/>
          <w:szCs w:val="16"/>
          <w:color w:val="auto"/>
        </w:rPr>
      </w:pPr>
    </w:p>
    <w:p>
      <w:pPr>
        <w:ind w:right="20" w:firstLine="656"/>
        <w:spacing w:after="0" w:line="273"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Absence of Certain Relationships</w:t>
      </w:r>
      <w:r>
        <w:rPr>
          <w:rFonts w:ascii="Arial" w:cs="Arial" w:eastAsia="Arial" w:hAnsi="Arial"/>
          <w:sz w:val="17"/>
          <w:szCs w:val="17"/>
          <w:color w:val="auto"/>
        </w:rPr>
        <w:t>. No relationship, direct or indirect, exists between or among the Company or its subsidiaries, on the one hand, and the directors, officers or stockholders of the Company, on the other hand, which is required under the 1933 Act to be described in the Registration Statement, the General Disclosure Package or the Prospectus which is not so described. Except as disclosed in the Registration Statement, the General Disclosure Package and the Prospectus, there are no outstanding loans or advances (except advances for business expenses in the ordinary course of business) or guarantees of indebtedness by the Company or any affiliate of the Company to the benefit of any of the officers or directors of the Company or any affiliate of the Company or any of their respective family members.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660"/>
              <w:spacing w:after="0"/>
              <w:rPr>
                <w:sz w:val="20"/>
                <w:szCs w:val="20"/>
                <w:color w:val="auto"/>
              </w:rPr>
            </w:pPr>
            <w:r>
              <w:rPr>
                <w:rFonts w:ascii="Arial" w:cs="Arial" w:eastAsia="Arial" w:hAnsi="Arial"/>
                <w:sz w:val="18"/>
                <w:szCs w:val="18"/>
                <w:color w:val="auto"/>
              </w:rPr>
              <w:t>(xl)</w:t>
            </w:r>
          </w:p>
        </w:tc>
        <w:tc>
          <w:tcPr>
            <w:tcW w:w="10060" w:type="dxa"/>
            <w:vAlign w:val="bottom"/>
            <w:gridSpan w:val="3"/>
          </w:tcPr>
          <w:p>
            <w:pPr>
              <w:spacing w:after="0"/>
              <w:rPr>
                <w:sz w:val="20"/>
                <w:szCs w:val="20"/>
                <w:color w:val="auto"/>
              </w:rPr>
            </w:pPr>
            <w:r>
              <w:rPr>
                <w:rFonts w:ascii="Arial" w:cs="Arial" w:eastAsia="Arial" w:hAnsi="Arial"/>
                <w:sz w:val="18"/>
                <w:szCs w:val="18"/>
                <w:color w:val="auto"/>
                <w:w w:val="95"/>
              </w:rPr>
              <w:t>No Integration. Neither the Company nor Clearway LLC has sold or issued any securities that would be integrated with the offering of</w:t>
            </w:r>
          </w:p>
        </w:tc>
      </w:tr>
      <w:tr>
        <w:trPr>
          <w:trHeight w:val="20"/>
        </w:trPr>
        <w:tc>
          <w:tcPr>
            <w:tcW w:w="134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r>
        <w:trPr>
          <w:trHeight w:val="237"/>
        </w:trPr>
        <w:tc>
          <w:tcPr>
            <w:tcW w:w="11400" w:type="dxa"/>
            <w:vAlign w:val="bottom"/>
            <w:gridSpan w:val="4"/>
          </w:tcPr>
          <w:p>
            <w:pPr>
              <w:spacing w:after="0"/>
              <w:rPr>
                <w:sz w:val="20"/>
                <w:szCs w:val="20"/>
                <w:color w:val="auto"/>
              </w:rPr>
            </w:pPr>
            <w:r>
              <w:rPr>
                <w:rFonts w:ascii="Arial" w:cs="Arial" w:eastAsia="Arial" w:hAnsi="Arial"/>
                <w:sz w:val="18"/>
                <w:szCs w:val="18"/>
                <w:color w:val="auto"/>
              </w:rPr>
              <w:t>Securities pursuant to the 1933 Act and the 1933 Act Regulations or the interpretations thereof by the Commission.</w:t>
            </w:r>
          </w:p>
        </w:tc>
      </w:tr>
      <w:tr>
        <w:trPr>
          <w:trHeight w:val="392"/>
        </w:trPr>
        <w:tc>
          <w:tcPr>
            <w:tcW w:w="1340" w:type="dxa"/>
            <w:vAlign w:val="bottom"/>
          </w:tcPr>
          <w:p>
            <w:pPr>
              <w:ind w:left="660"/>
              <w:spacing w:after="0"/>
              <w:rPr>
                <w:sz w:val="20"/>
                <w:szCs w:val="20"/>
                <w:color w:val="auto"/>
              </w:rPr>
            </w:pPr>
            <w:r>
              <w:rPr>
                <w:rFonts w:ascii="Arial" w:cs="Arial" w:eastAsia="Arial" w:hAnsi="Arial"/>
                <w:sz w:val="18"/>
                <w:szCs w:val="18"/>
                <w:color w:val="auto"/>
              </w:rPr>
              <w:t>(xli)</w:t>
            </w:r>
          </w:p>
        </w:tc>
        <w:tc>
          <w:tcPr>
            <w:tcW w:w="10060" w:type="dxa"/>
            <w:vAlign w:val="bottom"/>
            <w:gridSpan w:val="3"/>
          </w:tcPr>
          <w:p>
            <w:pPr>
              <w:spacing w:after="0"/>
              <w:rPr>
                <w:sz w:val="20"/>
                <w:szCs w:val="20"/>
                <w:color w:val="auto"/>
              </w:rPr>
            </w:pPr>
            <w:r>
              <w:rPr>
                <w:rFonts w:ascii="Arial" w:cs="Arial" w:eastAsia="Arial" w:hAnsi="Arial"/>
                <w:sz w:val="18"/>
                <w:szCs w:val="18"/>
                <w:color w:val="auto"/>
                <w:w w:val="89"/>
              </w:rPr>
              <w:t>Lending Relationship</w:t>
            </w:r>
            <w:r>
              <w:rPr>
                <w:rFonts w:ascii="Arial" w:cs="Arial" w:eastAsia="Arial" w:hAnsi="Arial"/>
                <w:sz w:val="18"/>
                <w:szCs w:val="18"/>
                <w:i w:val="1"/>
                <w:iCs w:val="1"/>
                <w:color w:val="auto"/>
                <w:w w:val="89"/>
              </w:rPr>
              <w:t>.</w:t>
            </w:r>
            <w:r>
              <w:rPr>
                <w:rFonts w:ascii="Arial" w:cs="Arial" w:eastAsia="Arial" w:hAnsi="Arial"/>
                <w:sz w:val="18"/>
                <w:szCs w:val="18"/>
                <w:color w:val="auto"/>
                <w:w w:val="89"/>
              </w:rPr>
              <w:t xml:space="preserve"> Except as disclosed in the Registration Statement, the General Disclosure Package and the Prospectus, the Company</w:t>
            </w:r>
          </w:p>
        </w:tc>
      </w:tr>
      <w:tr>
        <w:trPr>
          <w:trHeight w:val="20"/>
        </w:trPr>
        <w:tc>
          <w:tcPr>
            <w:tcW w:w="13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(i) does not have any material lending or other relationship with any bank or lending affiliate of the Underwriters and (ii) does not intend to use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sale of the Securities to repay any outstanding debt owed to any affiliate of any Underwriter.</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in the Registration Statement, the General Disclosure Package or the Prospectus are based on or derived from sources that the Company believes, after reasonable inquiry, to be reliable and accurate and, to the extent required, the Company or the Underwriters have obtained consent to the use of such data from such sources.</w:t>
      </w:r>
    </w:p>
    <w:p>
      <w:pPr>
        <w:spacing w:after="0" w:line="166" w:lineRule="exact"/>
        <w:rPr>
          <w:sz w:val="20"/>
          <w:szCs w:val="20"/>
          <w:color w:val="auto"/>
        </w:rPr>
      </w:pPr>
    </w:p>
    <w:p>
      <w:pPr>
        <w:ind w:right="200" w:firstLine="656"/>
        <w:spacing w:after="0" w:line="264" w:lineRule="auto"/>
        <w:tabs>
          <w:tab w:leader="none" w:pos="1304"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any of its subsidiaries (including any entity that controls a</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delivered to the Underwriters or to counsel for the Underwriters shall be deemed a representation and warranty by the Company or such other entity, as applicable, to the Underwriters as to the matters covered thereby.</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ind w:right="100" w:firstLine="656"/>
        <w:spacing w:after="0" w:line="264"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The Securities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 agrees to sell to the Underwriters, and the Underwriters agree to purchase from the Company, at the price per share of $19.15, that number of Securities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opposite the name of the Underwriters.</w:t>
      </w:r>
    </w:p>
    <w:p>
      <w:pPr>
        <w:spacing w:after="0" w:line="181" w:lineRule="exact"/>
        <w:rPr>
          <w:rFonts w:ascii="Arial" w:cs="Arial" w:eastAsia="Arial" w:hAnsi="Arial"/>
          <w:sz w:val="18"/>
          <w:szCs w:val="18"/>
          <w:color w:val="auto"/>
        </w:rPr>
      </w:pPr>
    </w:p>
    <w:p>
      <w:pPr>
        <w:ind w:right="600" w:firstLine="656"/>
        <w:spacing w:after="0" w:line="291" w:lineRule="auto"/>
        <w:tabs>
          <w:tab w:leader="none" w:pos="1304"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Payment</w:t>
      </w:r>
      <w:r>
        <w:rPr>
          <w:rFonts w:ascii="Arial" w:cs="Arial" w:eastAsia="Arial" w:hAnsi="Arial"/>
          <w:sz w:val="16"/>
          <w:szCs w:val="16"/>
          <w:color w:val="auto"/>
        </w:rPr>
        <w:t>. Payment of the purchase price for, and delivery of certificates for, the Securities shall be made at the offices of Latham &amp;</w:t>
      </w:r>
      <w:r>
        <w:rPr>
          <w:rFonts w:ascii="Arial" w:cs="Arial" w:eastAsia="Arial" w:hAnsi="Arial"/>
          <w:sz w:val="16"/>
          <w:szCs w:val="16"/>
          <w:i w:val="1"/>
          <w:iCs w:val="1"/>
          <w:color w:val="auto"/>
        </w:rPr>
        <w:t xml:space="preserve"> </w:t>
      </w:r>
      <w:r>
        <w:rPr>
          <w:rFonts w:ascii="Arial" w:cs="Arial" w:eastAsia="Arial" w:hAnsi="Arial"/>
          <w:sz w:val="16"/>
          <w:szCs w:val="16"/>
          <w:color w:val="auto"/>
        </w:rPr>
        <w:t>Watkins LLP, 885 Third Avenue, New York, New York, or at such other place as shall be agreed upon by the Underwriters and the Company, at</w:t>
      </w:r>
    </w:p>
    <w:p>
      <w:pPr>
        <w:ind w:right="160"/>
        <w:spacing w:after="0" w:line="290" w:lineRule="auto"/>
        <w:rPr>
          <w:rFonts w:ascii="Arial" w:cs="Arial" w:eastAsia="Arial" w:hAnsi="Arial"/>
          <w:sz w:val="16"/>
          <w:szCs w:val="16"/>
          <w:color w:val="auto"/>
        </w:rPr>
      </w:pPr>
      <w:r>
        <w:rPr>
          <w:rFonts w:ascii="Arial" w:cs="Arial" w:eastAsia="Arial" w:hAnsi="Arial"/>
          <w:sz w:val="17"/>
          <w:szCs w:val="17"/>
          <w:color w:val="auto"/>
        </w:rPr>
        <w:t>9:00 A.M. (New York City time) on the third business day after the date hereof, or such other time not later than ten business days after such date as shall be agreed upon by the Underwriters and the Company (such time and date of payment and delivery being herein called “Closing Time”).</w:t>
      </w:r>
    </w:p>
    <w:p>
      <w:pPr>
        <w:spacing w:after="0" w:line="16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Payment shall be made to the Company by wire transfer of immediately available funds to a bank account designated by the Company against delivery to the Underwriters of certificates for the Securities to be purchased by them.</w:t>
      </w:r>
    </w:p>
    <w:p>
      <w:pPr>
        <w:sectPr>
          <w:pgSz w:w="11900" w:h="16838" w:orient="portrait"/>
          <w:cols w:equalWidth="0" w:num="1">
            <w:col w:w="11420"/>
          </w:cols>
          <w:pgMar w:left="240" w:top="125" w:right="239" w:bottom="0" w:gutter="0" w:footer="0" w:header="0"/>
        </w:sectPr>
      </w:pPr>
    </w:p>
    <w:bookmarkStart w:id="9" w:name="page10"/>
    <w:bookmarkEnd w:id="9"/>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and Clearway LLC, jointly and severally, covenant with the Underwriters as follows:</w:t>
      </w:r>
    </w:p>
    <w:p>
      <w:pPr>
        <w:spacing w:after="0" w:line="225" w:lineRule="exact"/>
        <w:rPr>
          <w:sz w:val="20"/>
          <w:szCs w:val="20"/>
          <w:color w:val="auto"/>
        </w:rPr>
      </w:pPr>
    </w:p>
    <w:p>
      <w:pPr>
        <w:ind w:right="20" w:firstLine="656"/>
        <w:spacing w:after="0" w:line="287" w:lineRule="auto"/>
        <w:tabs>
          <w:tab w:leader="none" w:pos="1294"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430B, and will notify the Underwriters promptly after receiving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including any document incorporated by reference therein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promptly file such prospectus. The Company will use reasonable best efforts to prevent the issuance of any stop order, prevention or suspension and, if any such order is issued, to obtain the lifting thereof as soon as practicable.</w:t>
      </w:r>
    </w:p>
    <w:p>
      <w:pPr>
        <w:spacing w:after="0" w:line="170" w:lineRule="exact"/>
        <w:rPr>
          <w:sz w:val="20"/>
          <w:szCs w:val="20"/>
          <w:color w:val="auto"/>
        </w:rPr>
      </w:pPr>
    </w:p>
    <w:p>
      <w:pPr>
        <w:ind w:right="20" w:firstLine="656"/>
        <w:spacing w:after="0" w:line="285" w:lineRule="auto"/>
        <w:tabs>
          <w:tab w:leader="none" w:pos="1304"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the 1933 Act Regulations, the 1934 Act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1934 Act Regulations so as to permit 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w:t>
      </w:r>
    </w:p>
    <w:p>
      <w:pPr>
        <w:spacing w:after="0" w:line="2" w:lineRule="exact"/>
        <w:rPr>
          <w:rFonts w:ascii="Arial" w:cs="Arial" w:eastAsia="Arial" w:hAnsi="Arial"/>
          <w:sz w:val="16"/>
          <w:szCs w:val="16"/>
          <w:color w:val="auto"/>
        </w:rPr>
      </w:pPr>
    </w:p>
    <w:p>
      <w:pPr>
        <w:jc w:val="both"/>
        <w:ind w:right="20" w:firstLine="8"/>
        <w:spacing w:after="0" w:line="281" w:lineRule="auto"/>
        <w:tabs>
          <w:tab w:leader="none" w:pos="2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Underwriters notice of such event,</w:t>
      </w:r>
    </w:p>
    <w:p>
      <w:pPr>
        <w:spacing w:after="0" w:line="4" w:lineRule="exact"/>
        <w:rPr>
          <w:rFonts w:ascii="Arial" w:cs="Arial" w:eastAsia="Arial" w:hAnsi="Arial"/>
          <w:sz w:val="16"/>
          <w:szCs w:val="16"/>
          <w:color w:val="auto"/>
        </w:rPr>
      </w:pPr>
    </w:p>
    <w:p>
      <w:pPr>
        <w:spacing w:after="0" w:line="268" w:lineRule="auto"/>
        <w:rPr>
          <w:rFonts w:ascii="Arial" w:cs="Arial" w:eastAsia="Arial" w:hAnsi="Arial"/>
          <w:sz w:val="16"/>
          <w:szCs w:val="16"/>
          <w:color w:val="auto"/>
        </w:rPr>
      </w:pPr>
      <w:r>
        <w:rPr>
          <w:rFonts w:ascii="Arial" w:cs="Arial" w:eastAsia="Arial" w:hAnsi="Arial"/>
          <w:sz w:val="17"/>
          <w:szCs w:val="17"/>
          <w:color w:val="auto"/>
        </w:rPr>
        <w:t>(B)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Underwriters with copies of any such amendment or supplement and (C) file with the Commission any such amendment or supplement; provided that the Company shall not file or use any such amendment or supplement to which the Underwriters or counsel for the Underwriters shall reasonably object. The Company will furnish to the Underwriters such number of copies of such amendment or supplement as the Underwriters may reasonably request. The Company has given the Underwriters notice of any filings made pursuant to the 1934 Act or 1934 Act Regulations within 48 hours prior to the Applicable Time; the Company will give the Underwriters notice of its intention to make any such filing from the Applicable Time to the Closing Time and will furnish the Underwriters with copies of any such documents a reasonable amount of time prior to such proposed filing, as the case may be, and will not file or use any such document to which the Underwriters or counsel for the Underwriters shall reasonably object.</w:t>
      </w:r>
    </w:p>
    <w:p>
      <w:pPr>
        <w:spacing w:after="0" w:line="182" w:lineRule="exact"/>
        <w:rPr>
          <w:rFonts w:ascii="Arial" w:cs="Arial" w:eastAsia="Arial" w:hAnsi="Arial"/>
          <w:sz w:val="16"/>
          <w:szCs w:val="16"/>
          <w:color w:val="auto"/>
        </w:rPr>
      </w:pPr>
    </w:p>
    <w:p>
      <w:pPr>
        <w:ind w:right="60" w:firstLine="656"/>
        <w:spacing w:after="0" w:line="255" w:lineRule="auto"/>
        <w:tabs>
          <w:tab w:leader="none" w:pos="1307" w:val="left"/>
        </w:tabs>
        <w:numPr>
          <w:ilvl w:val="1"/>
          <w:numId w:val="23"/>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Underwriters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signed copies of the Registration Statement as originally filed and each amendment thereto (including exhibits filed therewith or incorporated by reference therein and documents incorporated or deemed to be incorporated by reference therein) and signed copies of all consents and certificates of experts, and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jc w:val="both"/>
        <w:ind w:right="40" w:firstLine="656"/>
        <w:spacing w:after="0" w:line="288" w:lineRule="auto"/>
        <w:tabs>
          <w:tab w:leader="none" w:pos="1304" w:val="left"/>
        </w:tabs>
        <w:numPr>
          <w:ilvl w:val="1"/>
          <w:numId w:val="23"/>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the Underwriters, without charge, as many copies of each preliminary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Underwriters reasonably requested, and the Company hereby consents to the use of such copies for purposes permitted by the 1933 Act. The Company will furnish to the Underwriters, without charge, during the period when a prospectus relating to the Securities is (or, but for the exception afforded by</w:t>
      </w: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Rule 172, would be) required to be delivered under the 1933 Act, such number of copies of the Prospectus (as amended or supplemented) as the Underwriters may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0" w:lineRule="exact"/>
        <w:rPr>
          <w:sz w:val="20"/>
          <w:szCs w:val="20"/>
          <w:color w:val="auto"/>
        </w:rPr>
      </w:pPr>
    </w:p>
    <w:p>
      <w:pPr>
        <w:ind w:right="80" w:firstLine="656"/>
        <w:spacing w:after="0" w:line="297" w:lineRule="auto"/>
        <w:tabs>
          <w:tab w:leader="none" w:pos="1307"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best efforts, in cooperation with the Underwriters, to qualify the Securities for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under the applicable securities laws of such states and other jurisdictions (domestic or foreign) as the Underwriters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rFonts w:ascii="Arial" w:cs="Arial" w:eastAsia="Arial" w:hAnsi="Arial"/>
          <w:sz w:val="16"/>
          <w:szCs w:val="16"/>
          <w:color w:val="auto"/>
        </w:rPr>
      </w:pPr>
    </w:p>
    <w:p>
      <w:pPr>
        <w:ind w:right="200" w:firstLine="656"/>
        <w:spacing w:after="0" w:line="264" w:lineRule="auto"/>
        <w:tabs>
          <w:tab w:leader="none" w:pos="1301"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right="580" w:firstLine="656"/>
        <w:spacing w:after="0" w:line="308" w:lineRule="auto"/>
        <w:tabs>
          <w:tab w:leader="none" w:pos="131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Use of Proceeds</w:t>
      </w:r>
      <w:r>
        <w:rPr>
          <w:rFonts w:ascii="Arial" w:cs="Arial" w:eastAsia="Arial" w:hAnsi="Arial"/>
          <w:sz w:val="17"/>
          <w:szCs w:val="17"/>
          <w:color w:val="auto"/>
        </w:rPr>
        <w:t>. The Company and Clearway LLC will use the net proceeds received by them from the sale of the Securities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manner specified in the Registration Statement, the General Disclosure Package and the Prospectus under “Use of Proceeds.”</w:t>
      </w:r>
    </w:p>
    <w:p>
      <w:pPr>
        <w:sectPr>
          <w:pgSz w:w="11900" w:h="16838" w:orient="portrait"/>
          <w:cols w:equalWidth="0" w:num="1">
            <w:col w:w="11420"/>
          </w:cols>
          <w:pgMar w:left="240" w:top="125" w:right="239" w:bottom="0" w:gutter="0" w:footer="0" w:header="0"/>
        </w:sectPr>
      </w:pPr>
    </w:p>
    <w:bookmarkStart w:id="10" w:name="page11"/>
    <w:bookmarkEnd w:id="10"/>
    <w:p>
      <w:pPr>
        <w:ind w:right="80" w:firstLine="656"/>
        <w:spacing w:after="0" w:line="277" w:lineRule="auto"/>
        <w:tabs>
          <w:tab w:leader="none" w:pos="130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reasonable best efforts to effect and maintain the listing of the Common Stock (including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on the New York Stock Exchange.</w:t>
      </w:r>
    </w:p>
    <w:p>
      <w:pPr>
        <w:spacing w:after="0" w:line="170" w:lineRule="exact"/>
        <w:rPr>
          <w:rFonts w:ascii="Arial" w:cs="Arial" w:eastAsia="Arial" w:hAnsi="Arial"/>
          <w:sz w:val="18"/>
          <w:szCs w:val="18"/>
          <w:color w:val="auto"/>
        </w:rPr>
      </w:pPr>
    </w:p>
    <w:p>
      <w:pPr>
        <w:ind w:firstLine="656"/>
        <w:spacing w:after="0" w:line="283" w:lineRule="auto"/>
        <w:tabs>
          <w:tab w:leader="none" w:pos="1318" w:val="left"/>
        </w:tabs>
        <w:numPr>
          <w:ilvl w:val="1"/>
          <w:numId w:val="25"/>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30 days from the date of the Prospectus, the Company and Clearway LLC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the prior written consent of the Underwriters,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including without limitation LLC Units, or file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The foregoing sentence shall not apply to (A) the Registration Statement or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w:t>
      </w:r>
    </w:p>
    <w:p>
      <w:pPr>
        <w:spacing w:after="0" w:line="6" w:lineRule="exact"/>
        <w:rPr>
          <w:rFonts w:ascii="Arial" w:cs="Arial" w:eastAsia="Arial" w:hAnsi="Arial"/>
          <w:sz w:val="16"/>
          <w:szCs w:val="16"/>
          <w:color w:val="auto"/>
        </w:rPr>
      </w:pPr>
    </w:p>
    <w:p>
      <w:pPr>
        <w:ind w:right="220" w:firstLine="8"/>
        <w:spacing w:after="0" w:line="254" w:lineRule="auto"/>
        <w:tabs>
          <w:tab w:leader="none" w:pos="2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shares of common stock issued or options to purchase common stock granted pursuant to employee benefit plans of the Company referred to in the Registration Statement, the General Disclosure Package and the Prospectus (including the filing of a registration statement on Form S-8 relating to such employee benefit plans of the Company referred to in the General Disclosure Package and the Prospectus) and (D) any units (including any LLC Units) issued by Clearway LLC.</w:t>
      </w:r>
    </w:p>
    <w:p>
      <w:pPr>
        <w:spacing w:after="0" w:line="189" w:lineRule="exact"/>
        <w:rPr>
          <w:rFonts w:ascii="Arial" w:cs="Arial" w:eastAsia="Arial" w:hAnsi="Arial"/>
          <w:sz w:val="18"/>
          <w:szCs w:val="18"/>
          <w:color w:val="auto"/>
        </w:rPr>
      </w:pPr>
    </w:p>
    <w:p>
      <w:pPr>
        <w:ind w:right="20" w:firstLine="656"/>
        <w:spacing w:after="0" w:line="259" w:lineRule="auto"/>
        <w:tabs>
          <w:tab w:leader="none" w:pos="1304" w:val="left"/>
        </w:tabs>
        <w:numPr>
          <w:ilvl w:val="1"/>
          <w:numId w:val="26"/>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Shares as may be required under Rule 463 under the 1933 Act.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right="80" w:firstLine="656"/>
        <w:spacing w:after="0" w:line="268" w:lineRule="auto"/>
        <w:tabs>
          <w:tab w:leader="none" w:pos="1304"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agrees that, unless it obtains the prior written consent of the Underwriters,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Underwriters agree that, unless they obtain the prior consent of the Company, it will not make any offer relating to the Securities that would constitute an Issuer Free Writing Prospectus or that would otherwise constitute a “free writing prospectus,” or a portion thereof, required to be filed by the Company with the Commission or retained by the Company or the Underwriters, as applicable, under Rule 433; provided that the Underwriters will be deemed to have consented to the Issuer Free Writing Prospectuses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hereto and any “road show that is a written communication” within the meaning of Rule 433(d)(8)(i) that has been reviewed by the Underwriters.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185" w:lineRule="exact"/>
        <w:rPr>
          <w:rFonts w:ascii="Arial" w:cs="Arial" w:eastAsia="Arial" w:hAnsi="Arial"/>
          <w:sz w:val="17"/>
          <w:szCs w:val="17"/>
          <w:color w:val="auto"/>
        </w:rPr>
      </w:pPr>
    </w:p>
    <w:p>
      <w:pPr>
        <w:ind w:right="80" w:firstLine="656"/>
        <w:spacing w:after="0" w:line="286" w:lineRule="auto"/>
        <w:tabs>
          <w:tab w:leader="none" w:pos="1318"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Absence of Manipulation</w:t>
      </w:r>
      <w:r>
        <w:rPr>
          <w:rFonts w:ascii="Arial" w:cs="Arial" w:eastAsia="Arial" w:hAnsi="Arial"/>
          <w:sz w:val="17"/>
          <w:szCs w:val="17"/>
          <w:color w:val="auto"/>
        </w:rPr>
        <w:t>. Except as contemplated herein or in the General Disclosure Package and the Prospectus, each of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Clearway LLC will not take, directly or indirectly, any action designed to or that would constitute or that might reasonably be expected to cause or result in, stabilization or manipulation of the price of any securities of the Company to facilitate the sale or resale of the Securities.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26"/>
        </w:numPr>
        <w:rPr>
          <w:rFonts w:ascii="Arial" w:cs="Arial" w:eastAsia="Arial" w:hAnsi="Arial"/>
          <w:sz w:val="17"/>
          <w:szCs w:val="17"/>
          <w:color w:val="auto"/>
        </w:rPr>
      </w:pPr>
      <w:r>
        <w:rPr>
          <w:rFonts w:ascii="Arial" w:cs="Arial" w:eastAsia="Arial" w:hAnsi="Arial"/>
          <w:sz w:val="17"/>
          <w:szCs w:val="17"/>
          <w:i w:val="1"/>
          <w:iCs w:val="1"/>
          <w:color w:val="auto"/>
        </w:rPr>
        <w:t>Sarbanes-Oxley</w:t>
      </w:r>
      <w:r>
        <w:rPr>
          <w:rFonts w:ascii="Arial" w:cs="Arial" w:eastAsia="Arial" w:hAnsi="Arial"/>
          <w:sz w:val="17"/>
          <w:szCs w:val="17"/>
          <w:color w:val="auto"/>
        </w:rPr>
        <w:t>. The Company will comply in all material respects with all applicable provisions of the Sarbanes-Oxley Act that are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-3263265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right="40" w:firstLine="656"/>
        <w:spacing w:after="0" w:line="283" w:lineRule="auto"/>
        <w:tabs>
          <w:tab w:leader="none" w:pos="1294"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for the Securities to the Underwriters, including any stock or other transfer taxes and any stamp or other duties payable upon the sale, issuance or delivery of the Securities to the Underwriters and the initial resale and delivery thereof by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not to exceed $15,000 in connection therewith and in connection with the preparation of the Blue Sky Survey and any supplement thereto,</w:t>
      </w:r>
    </w:p>
    <w:p>
      <w:pPr>
        <w:spacing w:after="0" w:line="6" w:lineRule="exact"/>
        <w:rPr>
          <w:rFonts w:ascii="Arial" w:cs="Arial" w:eastAsia="Arial" w:hAnsi="Arial"/>
          <w:sz w:val="16"/>
          <w:szCs w:val="16"/>
          <w:color w:val="auto"/>
        </w:rPr>
      </w:pPr>
    </w:p>
    <w:p>
      <w:pPr>
        <w:ind w:right="300" w:firstLine="8"/>
        <w:spacing w:after="0" w:line="295" w:lineRule="auto"/>
        <w:tabs>
          <w:tab w:leader="none" w:pos="30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fees and expenses of any transfer agent or registrar for the Securities, (vii) the filing fees incident to, and the reasonable fees and disbursements of counsel to the Underwriters not to exceed $30,000 in connection with, the review by FINRA of the terms of the sale of the Securities, (viii) the fees and expenses incurred in connection with the listing of the Securities on the New York Stock Exchange and (ix) all other cost and expenses incident to the performance of the obligations of the Company hereunder for which provision is not otherwise made in this Section. It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178435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understood, however, that except as provided in this Section 4, the Underwriters will pay all of their costs and expenses, including fees and disbursements of their counsel and any advertising expenses connected with any offers they may make.</w:t>
      </w:r>
    </w:p>
    <w:p>
      <w:pPr>
        <w:spacing w:after="0" w:line="170" w:lineRule="exact"/>
        <w:rPr>
          <w:sz w:val="20"/>
          <w:szCs w:val="20"/>
          <w:color w:val="auto"/>
        </w:rPr>
      </w:pPr>
    </w:p>
    <w:p>
      <w:pPr>
        <w:ind w:left="1320" w:hanging="664"/>
        <w:spacing w:after="0"/>
        <w:tabs>
          <w:tab w:leader="none" w:pos="1320" w:val="left"/>
        </w:tabs>
        <w:numPr>
          <w:ilvl w:val="1"/>
          <w:numId w:val="29"/>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Underwriters in accordance with the provisions of Section 5, Section 9(a)</w:t>
      </w:r>
    </w:p>
    <w:p>
      <w:pPr>
        <w:spacing w:after="0" w:line="46" w:lineRule="exact"/>
        <w:rPr>
          <w:rFonts w:ascii="Arial" w:cs="Arial" w:eastAsia="Arial" w:hAnsi="Arial"/>
          <w:sz w:val="16"/>
          <w:szCs w:val="16"/>
          <w:color w:val="auto"/>
        </w:rPr>
      </w:pPr>
    </w:p>
    <w:p>
      <w:pPr>
        <w:ind w:right="260" w:firstLine="8"/>
        <w:spacing w:after="0" w:line="261" w:lineRule="auto"/>
        <w:tabs>
          <w:tab w:leader="none" w:pos="21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 (iii) hereof, the Company shall reimburse the Underwriters for all of their reasonable and documented out-of-pocket expenses, including the fees and disbursements of counsel for the Underwriters.</w:t>
      </w:r>
    </w:p>
    <w:p>
      <w:pPr>
        <w:spacing w:after="0" w:line="18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The obligations of the Underwriters hereunder are subject to the accuracy of the representations and warranties of the Company and Clearway LLC contained in Section 1 herein or in certificates of any officer of the Company or any of its</w:t>
      </w:r>
    </w:p>
    <w:p>
      <w:pPr>
        <w:sectPr>
          <w:pgSz w:w="11900" w:h="16838" w:orient="portrait"/>
          <w:cols w:equalWidth="0" w:num="1">
            <w:col w:w="11400"/>
          </w:cols>
          <w:pgMar w:left="240" w:top="125" w:right="259" w:bottom="0" w:gutter="0" w:footer="0" w:header="0"/>
        </w:sectPr>
      </w:pPr>
    </w:p>
    <w:bookmarkStart w:id="11" w:name="page12"/>
    <w:bookmarkEnd w:id="11"/>
    <w:p>
      <w:pPr>
        <w:ind w:right="320"/>
        <w:spacing w:after="0" w:line="277" w:lineRule="auto"/>
        <w:rPr>
          <w:sz w:val="20"/>
          <w:szCs w:val="20"/>
          <w:color w:val="auto"/>
        </w:rPr>
      </w:pPr>
      <w:r>
        <w:rPr>
          <w:rFonts w:ascii="Arial" w:cs="Arial" w:eastAsia="Arial" w:hAnsi="Arial"/>
          <w:sz w:val="18"/>
          <w:szCs w:val="18"/>
          <w:color w:val="auto"/>
        </w:rPr>
        <w:t>subsidiaries delivered pursuant to the provisions hereof, to the performance by the Company and Clearway LLC in all material respects of their respective covenants and other obligations hereunder, and to the following further conditions:</w:t>
      </w:r>
    </w:p>
    <w:p>
      <w:pPr>
        <w:spacing w:after="0" w:line="170" w:lineRule="exact"/>
        <w:rPr>
          <w:sz w:val="20"/>
          <w:szCs w:val="20"/>
          <w:color w:val="auto"/>
        </w:rPr>
      </w:pPr>
    </w:p>
    <w:p>
      <w:pPr>
        <w:ind w:right="140" w:firstLine="656"/>
        <w:spacing w:after="0" w:line="284" w:lineRule="auto"/>
        <w:tabs>
          <w:tab w:leader="none" w:pos="129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w:t>
      </w:r>
      <w:r>
        <w:rPr>
          <w:rFonts w:ascii="Arial" w:cs="Arial" w:eastAsia="Arial" w:hAnsi="Arial"/>
          <w:sz w:val="16"/>
          <w:szCs w:val="16"/>
          <w:color w:val="auto"/>
        </w:rPr>
        <w:t>. At the Closing Time, no stop order suspending the effectiveness of the Registration Statement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threatened by the Commission; and the Company has complied with, to the reasonable satisfaction of the counsel to the Underwriters, each request (if any) from the Commission for additional information. The Company shall have paid the required Commission filing fees relating to the Securities within the time period required by Rule 456(b)(1)(i) under the 1933 Act Regulations without regard to the proviso therein and otherwise in accordance with Rules 456(b) and 457(r) under the 1933 Act Regulations and, if applicable, shall have updated the “Calculation of Registration Fee” table in accordance with Rule 456(b)(1)</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 in a post-effective amendment to the Registration Statement or on the cover page of a prospectus filed pursuant to Rule 424(b).</w:t>
      </w:r>
    </w:p>
    <w:p>
      <w:pPr>
        <w:spacing w:after="0" w:line="210" w:lineRule="exact"/>
        <w:rPr>
          <w:rFonts w:ascii="Arial" w:cs="Arial" w:eastAsia="Arial" w:hAnsi="Arial"/>
          <w:sz w:val="18"/>
          <w:szCs w:val="18"/>
          <w:color w:val="auto"/>
        </w:rPr>
      </w:pPr>
    </w:p>
    <w:p>
      <w:pPr>
        <w:ind w:right="140" w:firstLine="656"/>
        <w:spacing w:after="0" w:line="342"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i w:val="1"/>
          <w:iCs w:val="1"/>
          <w:color w:val="auto"/>
        </w:rPr>
        <w:t>Opinion of Counsel for Company and Clearway LLC</w:t>
      </w:r>
      <w:r>
        <w:rPr>
          <w:rFonts w:ascii="Arial" w:cs="Arial" w:eastAsia="Arial" w:hAnsi="Arial"/>
          <w:sz w:val="16"/>
          <w:szCs w:val="16"/>
          <w:color w:val="auto"/>
        </w:rPr>
        <w:t>. At the Closing Time, the Underwriters shall have received the opinion and negative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assurance letter, dated the Closing Time, of Baker Botts L.L.P., counsel for the Company and Clearway LLC, each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220" w:firstLine="656"/>
        <w:spacing w:after="0" w:line="264" w:lineRule="auto"/>
        <w:tabs>
          <w:tab w:leader="none" w:pos="1307"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Opinion of Federal Regulatory Counsel for Company and Clearway LLC</w:t>
      </w:r>
      <w:r>
        <w:rPr>
          <w:rFonts w:ascii="Arial" w:cs="Arial" w:eastAsia="Arial" w:hAnsi="Arial"/>
          <w:sz w:val="18"/>
          <w:szCs w:val="18"/>
          <w:color w:val="auto"/>
        </w:rPr>
        <w:t>. At the Closing Time, the Underwriters shall have received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opinion, dated the Closing Time, of King &amp; Spalding LLP, federal regulatory counsel for the Company and Clearway LLC,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right="100" w:firstLine="656"/>
        <w:spacing w:after="0" w:line="255" w:lineRule="auto"/>
        <w:tabs>
          <w:tab w:leader="none" w:pos="1304"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Underwriters shall have received the favorable opinion, dated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Latham &amp; Watkins LLP, counsel for the Underwriters.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Underwriters.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93" w:lineRule="exact"/>
        <w:rPr>
          <w:rFonts w:ascii="Arial" w:cs="Arial" w:eastAsia="Arial" w:hAnsi="Arial"/>
          <w:sz w:val="18"/>
          <w:szCs w:val="18"/>
          <w:color w:val="auto"/>
        </w:rPr>
      </w:pPr>
    </w:p>
    <w:p>
      <w:pPr>
        <w:ind w:right="100" w:firstLine="656"/>
        <w:spacing w:after="0" w:line="286" w:lineRule="auto"/>
        <w:tabs>
          <w:tab w:leader="none" w:pos="1307" w:val="left"/>
        </w:tabs>
        <w:numPr>
          <w:ilvl w:val="1"/>
          <w:numId w:val="32"/>
        </w:numPr>
        <w:rPr>
          <w:rFonts w:ascii="Arial" w:cs="Arial" w:eastAsia="Arial" w:hAnsi="Arial"/>
          <w:sz w:val="17"/>
          <w:szCs w:val="17"/>
          <w:color w:val="auto"/>
        </w:rPr>
      </w:pPr>
      <w:r>
        <w:rPr>
          <w:rFonts w:ascii="Arial" w:cs="Arial" w:eastAsia="Arial" w:hAnsi="Arial"/>
          <w:sz w:val="17"/>
          <w:szCs w:val="17"/>
          <w:i w:val="1"/>
          <w:iCs w:val="1"/>
          <w:color w:val="auto"/>
        </w:rPr>
        <w:t>Certain Changes</w:t>
      </w:r>
      <w:r>
        <w:rPr>
          <w:rFonts w:ascii="Arial" w:cs="Arial" w:eastAsia="Arial" w:hAnsi="Arial"/>
          <w:sz w:val="17"/>
          <w:szCs w:val="17"/>
          <w:color w:val="auto"/>
        </w:rPr>
        <w:t>. Subsequent to the execution and delivery of this Agreement and prior to the Closing Time, there shall not have occurred</w:t>
      </w:r>
      <w:r>
        <w:rPr>
          <w:rFonts w:ascii="Arial" w:cs="Arial" w:eastAsia="Arial" w:hAnsi="Arial"/>
          <w:sz w:val="17"/>
          <w:szCs w:val="17"/>
          <w:i w:val="1"/>
          <w:iCs w:val="1"/>
          <w:color w:val="auto"/>
        </w:rPr>
        <w:t xml:space="preserve"> </w:t>
      </w:r>
      <w:r>
        <w:rPr>
          <w:rFonts w:ascii="Arial" w:cs="Arial" w:eastAsia="Arial" w:hAnsi="Arial"/>
          <w:sz w:val="17"/>
          <w:szCs w:val="17"/>
          <w:color w:val="auto"/>
        </w:rPr>
        <w:t>any change, or any development involving a prospective change, in the condition, financial or otherwise, or in the earnings, business or operations of the Company and its subsidiaries, considered as one enterprise, from that set forth in the Registration Statement,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General Disclosure Package and the Prospectus that, in the judgment of the Underwriters, is material and adverse and makes it, in the judgment of the Underwriters, impracticable or inadvisable to proceed with the offer, sale and delivery of the Securities on the terms and in the manner contemplated in this Agreement and the Prospectus.</w:t>
      </w:r>
    </w:p>
    <w:p>
      <w:pPr>
        <w:spacing w:after="0" w:line="181" w:lineRule="exact"/>
        <w:rPr>
          <w:sz w:val="20"/>
          <w:szCs w:val="20"/>
          <w:color w:val="auto"/>
        </w:rPr>
      </w:pPr>
    </w:p>
    <w:p>
      <w:pPr>
        <w:ind w:firstLine="656"/>
        <w:spacing w:after="0" w:line="290" w:lineRule="auto"/>
        <w:tabs>
          <w:tab w:leader="none" w:pos="130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The Underwriters shall have received a certificate of an executive officer of the Company, in the capacity of an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only, and of the chief financial or chief accounting officer of the Company, in their respective capacities as officers only, dated the Closing Time, to the effect that (i) the representations and warranties of the Company in this Agreement that are not qualified by materiality are true and correct in all material respects and that the representations and warranties of the Company contained in this Agreement that are qualified by materiality are true and correct in all respects, in each case, as of the Closing Time, (ii) the Company and Clearway LLC have complied in all material respects with all agreements and satisfied all conditions on its part to be performed or satisfied at or prior to the Closing Time and (iii)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threatened by the Commission.</w:t>
      </w:r>
    </w:p>
    <w:p>
      <w:pPr>
        <w:spacing w:after="0" w:line="166" w:lineRule="exact"/>
        <w:rPr>
          <w:rFonts w:ascii="Arial" w:cs="Arial" w:eastAsia="Arial" w:hAnsi="Arial"/>
          <w:sz w:val="16"/>
          <w:szCs w:val="16"/>
          <w:color w:val="auto"/>
        </w:rPr>
      </w:pPr>
    </w:p>
    <w:p>
      <w:pPr>
        <w:ind w:right="260" w:firstLine="656"/>
        <w:spacing w:after="0" w:line="302" w:lineRule="auto"/>
        <w:tabs>
          <w:tab w:leader="none" w:pos="131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Underwriters shall have received from KPMG LLP a</w:t>
      </w:r>
      <w:r>
        <w:rPr>
          <w:rFonts w:ascii="Arial" w:cs="Arial" w:eastAsia="Arial" w:hAnsi="Arial"/>
          <w:sz w:val="16"/>
          <w:szCs w:val="16"/>
          <w:i w:val="1"/>
          <w:iCs w:val="1"/>
          <w:color w:val="auto"/>
        </w:rPr>
        <w:t xml:space="preserve"> </w:t>
      </w:r>
      <w:r>
        <w:rPr>
          <w:rFonts w:ascii="Arial" w:cs="Arial" w:eastAsia="Arial" w:hAnsi="Arial"/>
          <w:sz w:val="16"/>
          <w:szCs w:val="16"/>
          <w:color w:val="auto"/>
        </w:rPr>
        <w:t>letter, dated such date, in form and substance satisfactory to the Underwriters,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54" w:lineRule="exact"/>
        <w:rPr>
          <w:rFonts w:ascii="Arial" w:cs="Arial" w:eastAsia="Arial" w:hAnsi="Arial"/>
          <w:sz w:val="16"/>
          <w:szCs w:val="16"/>
          <w:color w:val="auto"/>
        </w:rPr>
      </w:pPr>
    </w:p>
    <w:p>
      <w:pPr>
        <w:ind w:right="200" w:firstLine="656"/>
        <w:spacing w:after="0" w:line="264" w:lineRule="auto"/>
        <w:tabs>
          <w:tab w:leader="none" w:pos="130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Underwriters shall have received from KPMG LLP a letter, dated as of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the effect that they reaffirm the statements made in the letter furnished pursuant to subsection (g) of this Section, except that the specified date referred to shall be a date not more than three business days prior to the Closing Time.</w:t>
      </w:r>
    </w:p>
    <w:p>
      <w:pPr>
        <w:spacing w:after="0" w:line="181" w:lineRule="exact"/>
        <w:rPr>
          <w:rFonts w:ascii="Arial" w:cs="Arial" w:eastAsia="Arial" w:hAnsi="Arial"/>
          <w:sz w:val="18"/>
          <w:szCs w:val="18"/>
          <w:color w:val="auto"/>
        </w:rPr>
      </w:pPr>
    </w:p>
    <w:p>
      <w:pPr>
        <w:ind w:right="40" w:firstLine="656"/>
        <w:spacing w:after="0" w:line="277" w:lineRule="auto"/>
        <w:tabs>
          <w:tab w:leader="none" w:pos="123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New York Stock Exchange, subject only</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170" w:lineRule="exact"/>
        <w:rPr>
          <w:rFonts w:ascii="Arial" w:cs="Arial" w:eastAsia="Arial" w:hAnsi="Arial"/>
          <w:sz w:val="18"/>
          <w:szCs w:val="18"/>
          <w:color w:val="auto"/>
        </w:rPr>
      </w:pPr>
    </w:p>
    <w:p>
      <w:pPr>
        <w:ind w:right="120" w:firstLine="656"/>
        <w:spacing w:after="0" w:line="277" w:lineRule="auto"/>
        <w:tabs>
          <w:tab w:leader="none" w:pos="1223"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Lock-up Agreements</w:t>
      </w:r>
      <w:r>
        <w:rPr>
          <w:rFonts w:ascii="Arial" w:cs="Arial" w:eastAsia="Arial" w:hAnsi="Arial"/>
          <w:sz w:val="17"/>
          <w:szCs w:val="17"/>
          <w:color w:val="auto"/>
        </w:rPr>
        <w:t>. At the date of this Agreement, the Underwriters shall have received an agreement substantially in the form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signed by the persons listed on </w:t>
      </w:r>
      <w:r>
        <w:rPr>
          <w:rFonts w:ascii="Arial" w:cs="Arial" w:eastAsia="Arial" w:hAnsi="Arial"/>
          <w:sz w:val="18"/>
          <w:szCs w:val="18"/>
          <w:u w:val="single" w:color="auto"/>
          <w:color w:val="auto"/>
        </w:rPr>
        <w:t>Schedule D</w:t>
      </w:r>
      <w:r>
        <w:rPr>
          <w:rFonts w:ascii="Arial" w:cs="Arial" w:eastAsia="Arial" w:hAnsi="Arial"/>
          <w:sz w:val="18"/>
          <w:szCs w:val="18"/>
          <w:color w:val="auto"/>
        </w:rPr>
        <w:t xml:space="preserve"> hereto.</w:t>
      </w:r>
    </w:p>
    <w:p>
      <w:pPr>
        <w:spacing w:after="0" w:line="211" w:lineRule="exact"/>
        <w:rPr>
          <w:sz w:val="20"/>
          <w:szCs w:val="20"/>
          <w:color w:val="auto"/>
        </w:rPr>
      </w:pPr>
    </w:p>
    <w:p>
      <w:pPr>
        <w:ind w:right="40" w:firstLine="656"/>
        <w:spacing w:after="0" w:line="259" w:lineRule="auto"/>
        <w:tabs>
          <w:tab w:leader="none" w:pos="1318"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Maintenance of Rating</w:t>
      </w:r>
      <w:r>
        <w:rPr>
          <w:rFonts w:ascii="Arial" w:cs="Arial" w:eastAsia="Arial" w:hAnsi="Arial"/>
          <w:sz w:val="18"/>
          <w:szCs w:val="18"/>
          <w:color w:val="auto"/>
        </w:rPr>
        <w:t>. Since the execution of this Agreement, there shall not have been any decrease in or withdrawal of the rating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the Company, Clearway LLC or any of its subsidiaries by any “nationally recognized statistical rating organization” (as defined for purposes of Rule 436(g) under the 1933 Act) or any notice given of any intended or potential decrease in or withdrawal of any such rating or of a possible change in any such rating that does not indicate the direction of the possible change.</w:t>
      </w:r>
    </w:p>
    <w:p>
      <w:pPr>
        <w:spacing w:after="0" w:line="186" w:lineRule="exact"/>
        <w:rPr>
          <w:rFonts w:ascii="Arial" w:cs="Arial" w:eastAsia="Arial" w:hAnsi="Arial"/>
          <w:sz w:val="18"/>
          <w:szCs w:val="18"/>
          <w:color w:val="auto"/>
        </w:rPr>
      </w:pPr>
    </w:p>
    <w:p>
      <w:pPr>
        <w:jc w:val="both"/>
        <w:ind w:right="200" w:firstLine="656"/>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as they may require for the purpose of enabling them to pass upon the issuance and sale of the Securities as herein contemplated, or in order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88" w:gutter="0" w:footer="0" w:header="0"/>
        </w:sectPr>
      </w:pPr>
    </w:p>
    <w:bookmarkStart w:id="12" w:name="page13"/>
    <w:bookmarkEnd w:id="12"/>
    <w:p>
      <w:pPr>
        <w:ind w:right="40"/>
        <w:spacing w:after="0" w:line="264" w:lineRule="auto"/>
        <w:rPr>
          <w:sz w:val="20"/>
          <w:szCs w:val="20"/>
          <w:color w:val="auto"/>
        </w:rPr>
      </w:pPr>
      <w:r>
        <w:rPr>
          <w:rFonts w:ascii="Arial" w:cs="Arial" w:eastAsia="Arial" w:hAnsi="Arial"/>
          <w:sz w:val="18"/>
          <w:szCs w:val="18"/>
          <w:color w:val="auto"/>
        </w:rPr>
        <w:t>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Underwriters and counsel for the Underwriters.</w:t>
      </w:r>
    </w:p>
    <w:p>
      <w:pPr>
        <w:spacing w:after="0" w:line="181" w:lineRule="exact"/>
        <w:rPr>
          <w:sz w:val="20"/>
          <w:szCs w:val="20"/>
          <w:color w:val="auto"/>
        </w:rPr>
      </w:pPr>
    </w:p>
    <w:p>
      <w:pPr>
        <w:ind w:right="160" w:firstLine="656"/>
        <w:spacing w:after="0" w:line="259" w:lineRule="auto"/>
        <w:tabs>
          <w:tab w:leader="none" w:pos="1304"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may be terminated by the Underwriters by notice to the Company at any time at or prior to Closing Time or such Date of Delivery,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87"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240" w:firstLine="656"/>
        <w:spacing w:after="0" w:line="286" w:lineRule="auto"/>
        <w:tabs>
          <w:tab w:leader="none" w:pos="1294"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Indemnification of Underwriters</w:t>
      </w:r>
      <w:r>
        <w:rPr>
          <w:rFonts w:ascii="Arial" w:cs="Arial" w:eastAsia="Arial" w:hAnsi="Arial"/>
          <w:sz w:val="17"/>
          <w:szCs w:val="17"/>
          <w:color w:val="auto"/>
        </w:rPr>
        <w:t>. The Company and Clearway LLC, jointly and severally, agree to indemnify and hold harmless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Underwriters, its affiliates (as such term is defined in Rule 501(b) under the 1933 Act (each, an “Affiliate”)), its selling agents and each person, if any, who controls the Underwriters within the meaning of Section 15 of the 1933 Act or Section 20 of the 1934 Act as follows:</w:t>
      </w:r>
    </w:p>
    <w:p>
      <w:pPr>
        <w:spacing w:after="0" w:line="165" w:lineRule="exact"/>
        <w:rPr>
          <w:rFonts w:ascii="Arial" w:cs="Arial" w:eastAsia="Arial" w:hAnsi="Arial"/>
          <w:sz w:val="17"/>
          <w:szCs w:val="17"/>
          <w:color w:val="auto"/>
        </w:rPr>
      </w:pPr>
    </w:p>
    <w:p>
      <w:pPr>
        <w:ind w:left="660" w:right="40" w:firstLine="645"/>
        <w:spacing w:after="0" w:line="288" w:lineRule="auto"/>
        <w:tabs>
          <w:tab w:leader="none" w:pos="19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information deemed to be a part thereof pursuant to Rule 430B,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the General Disclosure Package or the Prospectus (or any amendment or supplement thereto), or (B) in any materials or information provided to investors by, or with the approval of, the Company in connection with the marketing of the offering of the Stock (“Marketing Materials”) not constituting an Issuer Free Writing Prospectus, including any “roadshow” (as defined in Rule 433 under the 1933 Act) or investor presentations made to investors by the Company (whether in person or electronically), or the omission or alleged omission in any preliminary prospectus, Issuer Free Writing Prospectus, Prospectus or in any Marketing Materials of a material fact necessary in order to make the statements therein, in the light of the circumstances under which they were made, not misleading;</w:t>
      </w:r>
    </w:p>
    <w:p>
      <w:pPr>
        <w:spacing w:after="0" w:line="169" w:lineRule="exact"/>
        <w:rPr>
          <w:rFonts w:ascii="Arial" w:cs="Arial" w:eastAsia="Arial" w:hAnsi="Arial"/>
          <w:sz w:val="16"/>
          <w:szCs w:val="16"/>
          <w:color w:val="auto"/>
        </w:rPr>
      </w:pPr>
    </w:p>
    <w:p>
      <w:pPr>
        <w:ind w:left="660" w:firstLine="645"/>
        <w:spacing w:after="0" w:line="288" w:lineRule="auto"/>
        <w:tabs>
          <w:tab w:leader="none" w:pos="198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660"/>
        <w:spacing w:after="0"/>
        <w:rPr>
          <w:rFonts w:ascii="Arial" w:cs="Arial" w:eastAsia="Arial" w:hAnsi="Arial"/>
          <w:sz w:val="16"/>
          <w:szCs w:val="16"/>
          <w:color w:val="auto"/>
        </w:rPr>
      </w:pPr>
      <w:r>
        <w:rPr>
          <w:rFonts w:ascii="Arial" w:cs="Arial" w:eastAsia="Arial" w:hAnsi="Arial"/>
          <w:sz w:val="18"/>
          <w:szCs w:val="18"/>
          <w:color w:val="auto"/>
        </w:rPr>
        <w:t>Section 6(d) below) any such settlement is effected with the written consent of the Company;</w:t>
      </w:r>
    </w:p>
    <w:p>
      <w:pPr>
        <w:spacing w:after="0" w:line="210" w:lineRule="exact"/>
        <w:rPr>
          <w:rFonts w:ascii="Arial" w:cs="Arial" w:eastAsia="Arial" w:hAnsi="Arial"/>
          <w:sz w:val="16"/>
          <w:szCs w:val="16"/>
          <w:color w:val="auto"/>
        </w:rPr>
      </w:pPr>
    </w:p>
    <w:p>
      <w:pPr>
        <w:jc w:val="both"/>
        <w:ind w:left="660" w:right="140" w:firstLine="645"/>
        <w:spacing w:after="0" w:line="302" w:lineRule="auto"/>
        <w:tabs>
          <w:tab w:leader="none" w:pos="199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against any and all expense whatsoever, as incurred (including the fees and disbursements of counsel chosen by the Underwriters in accordance with paragraph (c) below),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5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 xml:space="preserve">made in the Registration Statement (or any amendment thereto), </w:t>
      </w:r>
      <w:r>
        <w:rPr>
          <w:rFonts w:ascii="Arial" w:cs="Arial" w:eastAsia="Arial" w:hAnsi="Arial"/>
          <w:sz w:val="17"/>
          <w:szCs w:val="17"/>
          <w:color w:val="auto"/>
        </w:rPr>
        <w:t>including any information deemed to be a part thereof pursuant to Rule 430B</w:t>
      </w:r>
      <w:r>
        <w:rPr>
          <w:rFonts w:ascii="Arial" w:cs="Arial" w:eastAsia="Arial" w:hAnsi="Arial"/>
          <w:sz w:val="18"/>
          <w:szCs w:val="18"/>
          <w:color w:val="auto"/>
        </w:rPr>
        <w:t>,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181" w:lineRule="exact"/>
        <w:rPr>
          <w:sz w:val="20"/>
          <w:szCs w:val="20"/>
          <w:color w:val="auto"/>
        </w:rPr>
      </w:pPr>
    </w:p>
    <w:p>
      <w:pPr>
        <w:ind w:right="80" w:firstLine="656"/>
        <w:spacing w:after="0" w:line="291" w:lineRule="auto"/>
        <w:tabs>
          <w:tab w:leader="none" w:pos="1304"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The Underwriters agree to indemnify and hold harmless the Company and Clearway</w:t>
      </w:r>
      <w:r>
        <w:rPr>
          <w:rFonts w:ascii="Arial" w:cs="Arial" w:eastAsia="Arial" w:hAnsi="Arial"/>
          <w:sz w:val="16"/>
          <w:szCs w:val="16"/>
          <w:i w:val="1"/>
          <w:iCs w:val="1"/>
          <w:color w:val="auto"/>
        </w:rPr>
        <w:t xml:space="preserve"> </w:t>
      </w:r>
      <w:r>
        <w:rPr>
          <w:rFonts w:ascii="Arial" w:cs="Arial" w:eastAsia="Arial" w:hAnsi="Arial"/>
          <w:sz w:val="16"/>
          <w:szCs w:val="16"/>
          <w:color w:val="auto"/>
        </w:rPr>
        <w:t>LLC and their directors or managers and each officer of the Company who signed the Registration Statement, and each person, if any, who controls the Company or Clearway LLC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information deemed to be a part thereof pursuant to Rule 430B, the General Disclosure Package, any preliminary prospectus, any Issuer Free Writing Prospectus, the Prospectus (or any amendment or supplement thereto) or any Marketing Materials in reliance upon and in conformity with the Underwriter Information.</w:t>
      </w:r>
    </w:p>
    <w:p>
      <w:pPr>
        <w:spacing w:after="0" w:line="167" w:lineRule="exact"/>
        <w:rPr>
          <w:rFonts w:ascii="Arial" w:cs="Arial" w:eastAsia="Arial" w:hAnsi="Arial"/>
          <w:sz w:val="16"/>
          <w:szCs w:val="16"/>
          <w:color w:val="auto"/>
        </w:rPr>
      </w:pPr>
    </w:p>
    <w:p>
      <w:pPr>
        <w:ind w:right="60" w:firstLine="656"/>
        <w:spacing w:after="0" w:line="286" w:lineRule="auto"/>
        <w:tabs>
          <w:tab w:leader="none" w:pos="1307"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6(a) above, counsel to the indemnified parties shall be selected by the Underwriters, and, in the case of parties indemnified pursuant to</w:t>
      </w:r>
    </w:p>
    <w:p>
      <w:pPr>
        <w:spacing w:after="0" w:line="9"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Contribution</w:t>
      </w:r>
      <w:r>
        <w:rPr>
          <w:rFonts w:ascii="Arial" w:cs="Arial" w:eastAsia="Arial" w:hAnsi="Arial"/>
          <w:sz w:val="16"/>
          <w:szCs w:val="16"/>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and Clearway LLC, on the one hand, and the Underwriters, on the other hand, from the offering of the Securities pursuant to this Agreement or (ii) if the allocation provided by clause (i) is not permitted by applicable law, in such</w:t>
      </w:r>
    </w:p>
    <w:p>
      <w:pPr>
        <w:sectPr>
          <w:pgSz w:w="11900" w:h="16838" w:orient="portrait"/>
          <w:cols w:equalWidth="0" w:num="1">
            <w:col w:w="11420"/>
          </w:cols>
          <w:pgMar w:left="240" w:top="125" w:right="239" w:bottom="0" w:gutter="0" w:footer="0" w:header="0"/>
        </w:sectPr>
      </w:pPr>
    </w:p>
    <w:bookmarkStart w:id="13" w:name="page14"/>
    <w:bookmarkEnd w:id="13"/>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proportion as is appropriate to reflect not only the relative benefits referred to in clause (i) above but also the relative fault of the Company and Clearway LLC, on the one hand, and of the Underwriters, on the other hand, in connection with the statements or omissions,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resulted in such losses, liabilities, claims, damages or expenses, as well as any other relevant equitable considerations.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relative benefits received by the Company and Clearway LLC,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and Clearway LLC, on the one hand, and the total underwriting discounts and commissions received by the Underwriters, on the other hand, in each case as set forth on the cover of the Prospectus, bear to the aggregate public offering price of the Securities as set forth on the cover of the Prospectus.</w:t>
      </w:r>
    </w:p>
    <w:p>
      <w:pPr>
        <w:spacing w:after="0" w:line="17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relative fault of the Company or Clearway LLC,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Clearway LLC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 Clearway LLC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Notwithstanding the provisions of this Section 7, the Underwriters shall not be required to contribute any amount in excess of the underwriting commissions received by the Underwriters in connection with the Securities underwritten by it and distributed to the public.</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For purposes of this Section 7, each person, if any, who controls the Underwriters within the meaning of Section 15 of the 1933 Act or Section 20 of the 1934 Act and the Underwriters’ Affiliates and selling agents shall have the same rights to contribution as such Underwriter, and each director of the Company, each officer of the Company who signed the Registration Statement, and each person, if any, who controls the Company or Clearway LLC within the meaning of Section 15 of the 1933 Act or Section 20 of the 1934 Act, shall have the same rights to contribution as the Company or Clearway LLC. The Underwriters’ respective obligations to contribute pursuant to this Section 7 are several in proportion to the number of Securities set forth opposite their respective names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and not joint.</w:t>
      </w:r>
    </w:p>
    <w:p>
      <w:pPr>
        <w:spacing w:after="0" w:line="19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Representations, Warranties and Agreements to Survive</w:t>
      </w:r>
      <w:r>
        <w:rPr>
          <w:rFonts w:ascii="Arial" w:cs="Arial" w:eastAsia="Arial" w:hAnsi="Arial"/>
          <w:sz w:val="16"/>
          <w:szCs w:val="16"/>
          <w:color w:val="auto"/>
        </w:rPr>
        <w:t>. All representations, warranties and agreements contained in this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Agreement or in certificates of officers of the Company or any of its subsidiaries submitted pursuant hereto, shall remain operative and in full force and effect regardless of (i) any investigation made by or on behalf of the Underwriters or its Affiliates or selling agents, any person controlling any Underwriter, its officers or directors or any person controlling the Company or any person controlling Clearway LLC and (ii) delivery of and payment for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174625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3" w:lineRule="auto"/>
        <w:tabs>
          <w:tab w:leader="none" w:pos="1294" w:val="left"/>
        </w:tabs>
        <w:numPr>
          <w:ilvl w:val="1"/>
          <w:numId w:val="38"/>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to the Company, at any time at or prior to the Closing Time (i) if</w:t>
      </w:r>
      <w:r>
        <w:rPr>
          <w:rFonts w:ascii="Arial" w:cs="Arial" w:eastAsia="Arial" w:hAnsi="Arial"/>
          <w:sz w:val="16"/>
          <w:szCs w:val="16"/>
          <w:i w:val="1"/>
          <w:iCs w:val="1"/>
          <w:color w:val="auto"/>
        </w:rPr>
        <w:t xml:space="preserve"> </w:t>
      </w:r>
      <w:r>
        <w:rPr>
          <w:rFonts w:ascii="Arial" w:cs="Arial" w:eastAsia="Arial" w:hAnsi="Arial"/>
          <w:sz w:val="16"/>
          <w:szCs w:val="16"/>
          <w:color w:val="auto"/>
        </w:rPr>
        <w:t>there has been, in the judgment of the Underwriters,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operations or prospects as described in or contemplated by the Registration Statement, the General Disclosure Package and the Prospectus, whether or not arising from transactions in the ordinary course of business, of the Company and its subsidiaries, considered as one entity, except as set forth in the Prospectus,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Underwriters, impracticable or inadvisable to proceed with the completion of the offering or to enforce contracts for the sale of the Securities, or (iii) if trading in any securities of the Company has been suspended or materially limited by the Commission or the New York Stock Exchange, or (iv) if trading generally on the NYSE Amex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w:t>
      </w:r>
    </w:p>
    <w:p>
      <w:pPr>
        <w:spacing w:after="0" w:line="3" w:lineRule="exact"/>
        <w:rPr>
          <w:rFonts w:ascii="Arial" w:cs="Arial" w:eastAsia="Arial" w:hAnsi="Arial"/>
          <w:sz w:val="16"/>
          <w:szCs w:val="16"/>
          <w:color w:val="auto"/>
        </w:rPr>
      </w:pPr>
    </w:p>
    <w:p>
      <w:pPr>
        <w:ind w:left="320" w:hanging="312"/>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banking moratorium has been declared by either Federal or New York authorities.</w:t>
      </w:r>
    </w:p>
    <w:p>
      <w:pPr>
        <w:spacing w:after="0" w:line="210" w:lineRule="exact"/>
        <w:rPr>
          <w:rFonts w:ascii="Arial" w:cs="Arial" w:eastAsia="Arial" w:hAnsi="Arial"/>
          <w:sz w:val="18"/>
          <w:szCs w:val="18"/>
          <w:color w:val="auto"/>
        </w:rPr>
      </w:pPr>
    </w:p>
    <w:p>
      <w:pPr>
        <w:ind w:firstLine="656"/>
        <w:spacing w:after="0" w:line="264" w:lineRule="auto"/>
        <w:tabs>
          <w:tab w:leader="none" w:pos="1304" w:val="left"/>
        </w:tabs>
        <w:numPr>
          <w:ilvl w:val="1"/>
          <w:numId w:val="39"/>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6, 7, 8, 13, 14 and 15 shall survive such termination and remain in full force and effect.</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Notices</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All notices and other communications hereunder shall be in writing and shall be deemed to have been duly given if mailed or transmitted by any standard form of telecommunication. Notices to the Underwriters shall be directed to UBS Securities LLC at 1285 Avenue of the Americas, New York, New York, 10019 and notices to the Company and Clearway LLC shall be directed to them at c/o Clearway Energy, Inc., 300 Carnegie Center, Suite 300, Princeton, New Jersey, 08540, attention of General Counsel, with a copy to Baker Botts L.L.P., 2001 Ross Avenue, Suite 900, Dallas, Texas 75201, attention to Preston Bernhisel.</w:t>
      </w:r>
    </w:p>
    <w:p>
      <w:pPr>
        <w:sectPr>
          <w:pgSz w:w="11900" w:h="16907" w:orient="portrait"/>
          <w:cols w:equalWidth="0" w:num="1">
            <w:col w:w="11420"/>
          </w:cols>
          <w:pgMar w:left="240" w:top="125" w:right="239" w:bottom="0" w:gutter="0" w:footer="0" w:header="0"/>
        </w:sectPr>
      </w:pPr>
    </w:p>
    <w:bookmarkStart w:id="14" w:name="page15"/>
    <w:bookmarkEnd w:id="14"/>
    <w:p>
      <w:pPr>
        <w:ind w:right="180" w:firstLine="648"/>
        <w:spacing w:after="0" w:line="29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and Clearway LLC acknowledge and agree that (a) the purchase and sale of the Securities pursuant to this Agreement, including the determination of the public offering price of the Securities and any related discounts and commissions, is an arm’s-length commercial transaction between the Company and Clearway LLC, on the one hand, and the several Underwriters, on the other hand, (b) in connection with the offering of the Securities contemplated hereby and the process leading thereto, the Underwriters are and have been acting solely as a principal and is not the agent or fiduciary of the Company, any of its subsidiaries or their respective stockholders, creditors, employees or any other party, (c) the Underwriters have not assumed nor will they assume an advisory or fiduciary responsibility in favor of the Company and Clearway LLC with respect to the offering of the Securities contemplated hereby or the process leading thereto (irrespective of whether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Underwriters have advised or are currently advising the Company and Clearway LLC or any of their subsidiaries on other matters) and the Underwriters have no obligation to the Company and Clearway LLC with respect to the offering of the Securities contemplated hereby except the obligations expressly set forth in this Agreement, (d) the Underwriters and their respective affiliates may be engaged in a broad range of transactions that involve interests that differ from those of the Company and Clearway LLC and (e) the Underwriters have not provided any legal, accounting, regulatory or tax advice with respect to the offering of the Securities contemplated hereby and the Company and Clearway LLC have consulted their own respective legal, accounting, regulatory and tax advisors to the extent it deemed appropriate.</w:t>
      </w:r>
    </w:p>
    <w:p>
      <w:pPr>
        <w:spacing w:after="0" w:line="193"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the Company and Clearway LLC and their respective successors. Nothing expressed or mentioned in this Agreement is intended or shall be construed to give any person, firm or corporation, other than the Underwriters, the Company and Clearway LLC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the Company and Clearway LLC and their respective successors, and said controlling persons and officers and directors and their heirs and legal representatives, and for the benefit of no other person, firm or corporation. No purchaser of Securities from the Underwriters shall be deemed to be a successor by reason merely of such purchase.</w:t>
      </w:r>
    </w:p>
    <w:p>
      <w:pPr>
        <w:spacing w:after="0" w:line="19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and Clearway LLC (on their behalf and, to the extent permitted by applicable law, on behalf of their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 counterpart hereof, whereupon this instrument, along with all counterparts, will become a binding agreement among the Underwriters, the Company and Clearway LLC in accordance with its terms.</w:t>
      </w:r>
    </w:p>
    <w:p>
      <w:pPr>
        <w:spacing w:after="0" w:line="18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CLEARWAY ENERGY, INC.</w:t>
      </w:r>
    </w:p>
    <w:p>
      <w:pPr>
        <w:spacing w:after="0" w:line="225"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5140" w:type="dxa"/>
            <w:vAlign w:val="bottom"/>
          </w:tcPr>
          <w:p>
            <w:pPr>
              <w:ind w:left="260"/>
              <w:spacing w:after="0" w:line="195" w:lineRule="exact"/>
              <w:rPr>
                <w:sz w:val="20"/>
                <w:szCs w:val="20"/>
                <w:color w:val="auto"/>
              </w:rPr>
            </w:pPr>
            <w:r>
              <w:rPr>
                <w:rFonts w:ascii="Arial" w:cs="Arial" w:eastAsia="Arial" w:hAnsi="Arial"/>
                <w:sz w:val="18"/>
                <w:szCs w:val="18"/>
                <w:color w:val="auto"/>
              </w:rPr>
              <w:t>Chad Plotkin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260"/>
              <w:spacing w:after="0"/>
              <w:rPr>
                <w:sz w:val="20"/>
                <w:szCs w:val="20"/>
                <w:color w:val="auto"/>
              </w:rPr>
            </w:pPr>
            <w:r>
              <w:rPr>
                <w:rFonts w:ascii="Arial" w:cs="Arial" w:eastAsia="Arial" w:hAnsi="Arial"/>
                <w:sz w:val="18"/>
                <w:szCs w:val="18"/>
                <w:color w:val="auto"/>
              </w:rPr>
              <w:t>Senior Vice President and Chief Financial Officer</w:t>
            </w: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CLEARWAY ENERGY LLC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Chad Plotkin</w:t>
            </w:r>
          </w:p>
        </w:tc>
      </w:tr>
    </w:tbl>
    <w:p>
      <w:pPr>
        <w:sectPr>
          <w:pgSz w:w="11900" w:h="16838" w:orient="portrait"/>
          <w:cols w:equalWidth="0" w:num="1">
            <w:col w:w="11420"/>
          </w:cols>
          <w:pgMar w:left="240" w:top="34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ind w:left="5780"/>
              <w:spacing w:after="0"/>
              <w:rPr>
                <w:sz w:val="20"/>
                <w:szCs w:val="20"/>
                <w:color w:val="auto"/>
              </w:rPr>
            </w:pPr>
            <w:r>
              <w:rPr>
                <w:rFonts w:ascii="Arial" w:cs="Arial" w:eastAsia="Arial" w:hAnsi="Arial"/>
                <w:sz w:val="18"/>
                <w:szCs w:val="18"/>
                <w:color w:val="auto"/>
              </w:rPr>
              <w:t>Name:</w:t>
            </w:r>
          </w:p>
        </w:tc>
        <w:tc>
          <w:tcPr>
            <w:tcW w:w="5060" w:type="dxa"/>
            <w:vAlign w:val="bottom"/>
          </w:tcPr>
          <w:p>
            <w:pPr>
              <w:ind w:left="140"/>
              <w:spacing w:after="0"/>
              <w:rPr>
                <w:sz w:val="20"/>
                <w:szCs w:val="20"/>
                <w:color w:val="auto"/>
              </w:rPr>
            </w:pPr>
            <w:r>
              <w:rPr>
                <w:rFonts w:ascii="Arial" w:cs="Arial" w:eastAsia="Arial" w:hAnsi="Arial"/>
                <w:sz w:val="18"/>
                <w:szCs w:val="18"/>
                <w:color w:val="auto"/>
              </w:rPr>
              <w:t>Chad Plotkin</w:t>
            </w:r>
          </w:p>
        </w:tc>
      </w:tr>
      <w:tr>
        <w:trPr>
          <w:trHeight w:val="230"/>
        </w:trPr>
        <w:tc>
          <w:tcPr>
            <w:tcW w:w="6400" w:type="dxa"/>
            <w:vAlign w:val="bottom"/>
          </w:tcPr>
          <w:p>
            <w:pPr>
              <w:ind w:left="5780"/>
              <w:spacing w:after="0"/>
              <w:rPr>
                <w:sz w:val="20"/>
                <w:szCs w:val="20"/>
                <w:color w:val="auto"/>
              </w:rPr>
            </w:pPr>
            <w:r>
              <w:rPr>
                <w:rFonts w:ascii="Arial" w:cs="Arial" w:eastAsia="Arial" w:hAnsi="Arial"/>
                <w:sz w:val="18"/>
                <w:szCs w:val="18"/>
                <w:color w:val="auto"/>
              </w:rPr>
              <w:t>Title:</w:t>
            </w:r>
          </w:p>
        </w:tc>
        <w:tc>
          <w:tcPr>
            <w:tcW w:w="506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348"/>
        </w:trPr>
        <w:tc>
          <w:tcPr>
            <w:tcW w:w="640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UBS Securities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Peter Hales</w:t>
      </w:r>
    </w:p>
    <w:p>
      <w:pPr>
        <w:spacing w:after="0" w:line="2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Name:</w:t>
        <w:tab/>
        <w:t>Peter Hales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848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1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Aaron Drucker</w:t>
      </w:r>
    </w:p>
    <w:p>
      <w:pPr>
        <w:spacing w:after="0" w:line="2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Name:</w:t>
        <w:tab/>
        <w:t>Aaron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848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60"/>
        <w:spacing w:after="0"/>
        <w:tabs>
          <w:tab w:leader="none" w:pos="1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Associate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6" w:name="page17"/>
    <w:bookmarkEnd w:id="16"/>
    <w:tbl>
      <w:tblPr>
        <w:tblLayout w:type="fixed"/>
        <w:tblInd w:w="580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940" w:type="dxa"/>
            <w:vAlign w:val="bottom"/>
          </w:tcPr>
          <w:p>
            <w:pPr>
              <w:ind w:left="110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040" w:type="dxa"/>
            <w:vAlign w:val="bottom"/>
          </w:tcPr>
          <w:p>
            <w:pPr>
              <w:spacing w:after="0"/>
              <w:rPr>
                <w:sz w:val="20"/>
                <w:szCs w:val="20"/>
                <w:color w:val="auto"/>
              </w:rPr>
            </w:pPr>
            <w:r>
              <w:rPr>
                <w:rFonts w:ascii="Arial" w:cs="Arial" w:eastAsia="Arial" w:hAnsi="Arial"/>
                <w:sz w:val="18"/>
                <w:szCs w:val="18"/>
                <w:color w:val="auto"/>
              </w:rPr>
              <w:t>2001 ROSS AVENUE</w:t>
            </w:r>
          </w:p>
        </w:tc>
        <w:tc>
          <w:tcPr>
            <w:tcW w:w="1640" w:type="dxa"/>
            <w:vAlign w:val="bottom"/>
          </w:tcPr>
          <w:p>
            <w:pPr>
              <w:ind w:left="400"/>
              <w:spacing w:after="0"/>
              <w:rPr>
                <w:sz w:val="20"/>
                <w:szCs w:val="20"/>
                <w:color w:val="auto"/>
              </w:rPr>
            </w:pPr>
            <w:r>
              <w:rPr>
                <w:rFonts w:ascii="Arial" w:cs="Arial" w:eastAsia="Arial" w:hAnsi="Arial"/>
                <w:sz w:val="18"/>
                <w:szCs w:val="18"/>
                <w:color w:val="auto"/>
              </w:rPr>
              <w:t>AUSTIN</w:t>
            </w:r>
          </w:p>
        </w:tc>
        <w:tc>
          <w:tcPr>
            <w:tcW w:w="1940" w:type="dxa"/>
            <w:vAlign w:val="bottom"/>
          </w:tcPr>
          <w:p>
            <w:pPr>
              <w:ind w:left="140"/>
              <w:spacing w:after="0"/>
              <w:rPr>
                <w:sz w:val="20"/>
                <w:szCs w:val="20"/>
                <w:color w:val="auto"/>
              </w:rPr>
            </w:pPr>
            <w:r>
              <w:rPr>
                <w:rFonts w:ascii="Arial" w:cs="Arial" w:eastAsia="Arial" w:hAnsi="Arial"/>
                <w:sz w:val="18"/>
                <w:szCs w:val="18"/>
                <w:color w:val="auto"/>
              </w:rPr>
              <w:t>LONDON</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DALLAS, TEXAS</w:t>
            </w:r>
          </w:p>
        </w:tc>
        <w:tc>
          <w:tcPr>
            <w:tcW w:w="1640" w:type="dxa"/>
            <w:vAlign w:val="bottom"/>
          </w:tcPr>
          <w:p>
            <w:pPr>
              <w:ind w:left="400"/>
              <w:spacing w:after="0"/>
              <w:rPr>
                <w:sz w:val="20"/>
                <w:szCs w:val="20"/>
                <w:color w:val="auto"/>
              </w:rPr>
            </w:pPr>
            <w:r>
              <w:rPr>
                <w:rFonts w:ascii="Arial" w:cs="Arial" w:eastAsia="Arial" w:hAnsi="Arial"/>
                <w:sz w:val="18"/>
                <w:szCs w:val="18"/>
                <w:color w:val="auto"/>
              </w:rPr>
              <w:t>BEIJING</w:t>
            </w:r>
          </w:p>
        </w:tc>
        <w:tc>
          <w:tcPr>
            <w:tcW w:w="194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75201-2980</w:t>
            </w:r>
          </w:p>
        </w:tc>
        <w:tc>
          <w:tcPr>
            <w:tcW w:w="1640" w:type="dxa"/>
            <w:vAlign w:val="bottom"/>
          </w:tcPr>
          <w:p>
            <w:pPr>
              <w:ind w:left="400"/>
              <w:spacing w:after="0"/>
              <w:rPr>
                <w:sz w:val="20"/>
                <w:szCs w:val="20"/>
                <w:color w:val="auto"/>
              </w:rPr>
            </w:pPr>
            <w:r>
              <w:rPr>
                <w:rFonts w:ascii="Arial" w:cs="Arial" w:eastAsia="Arial" w:hAnsi="Arial"/>
                <w:sz w:val="18"/>
                <w:szCs w:val="18"/>
                <w:color w:val="auto"/>
              </w:rPr>
              <w:t>BRUSSELS</w:t>
            </w:r>
          </w:p>
        </w:tc>
        <w:tc>
          <w:tcPr>
            <w:tcW w:w="194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6"/>
        </w:trPr>
        <w:tc>
          <w:tcPr>
            <w:tcW w:w="204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8"/>
                <w:szCs w:val="18"/>
                <w:color w:val="auto"/>
              </w:rPr>
              <w:t>DALLAS</w:t>
            </w:r>
          </w:p>
        </w:tc>
        <w:tc>
          <w:tcPr>
            <w:tcW w:w="1940" w:type="dxa"/>
            <w:vAlign w:val="bottom"/>
          </w:tcPr>
          <w:p>
            <w:pPr>
              <w:ind w:left="140"/>
              <w:spacing w:after="0"/>
              <w:rPr>
                <w:sz w:val="20"/>
                <w:szCs w:val="20"/>
                <w:color w:val="auto"/>
              </w:rPr>
            </w:pPr>
            <w:r>
              <w:rPr>
                <w:rFonts w:ascii="Arial" w:cs="Arial" w:eastAsia="Arial" w:hAnsi="Arial"/>
                <w:sz w:val="18"/>
                <w:szCs w:val="18"/>
                <w:color w:val="auto"/>
              </w:rPr>
              <w:t>PALO ALTO</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TEL +1 214.953.6500</w:t>
            </w:r>
          </w:p>
        </w:tc>
        <w:tc>
          <w:tcPr>
            <w:tcW w:w="1640" w:type="dxa"/>
            <w:vAlign w:val="bottom"/>
          </w:tcPr>
          <w:p>
            <w:pPr>
              <w:ind w:left="400"/>
              <w:spacing w:after="0"/>
              <w:rPr>
                <w:sz w:val="20"/>
                <w:szCs w:val="20"/>
                <w:color w:val="auto"/>
              </w:rPr>
            </w:pPr>
            <w:r>
              <w:rPr>
                <w:rFonts w:ascii="Arial" w:cs="Arial" w:eastAsia="Arial" w:hAnsi="Arial"/>
                <w:sz w:val="18"/>
                <w:szCs w:val="18"/>
                <w:color w:val="auto"/>
              </w:rPr>
              <w:t>DUBAI</w:t>
            </w:r>
          </w:p>
        </w:tc>
        <w:tc>
          <w:tcPr>
            <w:tcW w:w="194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FAX +1 214.953.6503</w:t>
            </w:r>
          </w:p>
        </w:tc>
        <w:tc>
          <w:tcPr>
            <w:tcW w:w="1640" w:type="dxa"/>
            <w:vAlign w:val="bottom"/>
          </w:tcPr>
          <w:p>
            <w:pPr>
              <w:ind w:left="400"/>
              <w:spacing w:after="0"/>
              <w:rPr>
                <w:sz w:val="20"/>
                <w:szCs w:val="20"/>
                <w:color w:val="auto"/>
              </w:rPr>
            </w:pPr>
            <w:r>
              <w:rPr>
                <w:rFonts w:ascii="Arial" w:cs="Arial" w:eastAsia="Arial" w:hAnsi="Arial"/>
                <w:sz w:val="18"/>
                <w:szCs w:val="18"/>
                <w:color w:val="auto"/>
              </w:rPr>
              <w:t>HONG KONG</w:t>
            </w:r>
          </w:p>
        </w:tc>
        <w:tc>
          <w:tcPr>
            <w:tcW w:w="194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BakerBotts.com</w:t>
            </w:r>
          </w:p>
        </w:tc>
        <w:tc>
          <w:tcPr>
            <w:tcW w:w="1640" w:type="dxa"/>
            <w:vAlign w:val="bottom"/>
          </w:tcPr>
          <w:p>
            <w:pPr>
              <w:ind w:left="400"/>
              <w:spacing w:after="0"/>
              <w:rPr>
                <w:sz w:val="20"/>
                <w:szCs w:val="20"/>
                <w:color w:val="auto"/>
              </w:rPr>
            </w:pPr>
            <w:r>
              <w:rPr>
                <w:rFonts w:ascii="Arial" w:cs="Arial" w:eastAsia="Arial" w:hAnsi="Arial"/>
                <w:sz w:val="18"/>
                <w:szCs w:val="18"/>
                <w:color w:val="auto"/>
              </w:rPr>
              <w:t>HOUSTON</w:t>
            </w:r>
          </w:p>
        </w:tc>
        <w:tc>
          <w:tcPr>
            <w:tcW w:w="1940" w:type="dxa"/>
            <w:vAlign w:val="bottom"/>
          </w:tcPr>
          <w:p>
            <w:pPr>
              <w:ind w:left="140"/>
              <w:spacing w:after="0"/>
              <w:rPr>
                <w:sz w:val="20"/>
                <w:szCs w:val="20"/>
                <w:color w:val="auto"/>
              </w:rPr>
            </w:pPr>
            <w:r>
              <w:rPr>
                <w:rFonts w:ascii="Arial" w:cs="Arial" w:eastAsia="Arial" w:hAnsi="Arial"/>
                <w:sz w:val="18"/>
                <w:szCs w:val="18"/>
                <w:color w:val="auto"/>
              </w:rPr>
              <w:t>WASHINGTON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-728345</wp:posOffset>
            </wp:positionV>
            <wp:extent cx="1646555"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46555" cy="21463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Clearway Energy,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New Jersey 08540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We have acted as counsel to Clearway Energy,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proposed issuance and sale in an underwritten public offering (the “</w:t>
      </w:r>
      <w:r>
        <w:rPr>
          <w:rFonts w:ascii="Arial" w:cs="Arial" w:eastAsia="Arial" w:hAnsi="Arial"/>
          <w:sz w:val="18"/>
          <w:szCs w:val="18"/>
          <w:u w:val="single" w:color="auto"/>
          <w:color w:val="auto"/>
        </w:rPr>
        <w:t>Offering</w:t>
      </w:r>
      <w:r>
        <w:rPr>
          <w:rFonts w:ascii="Arial" w:cs="Arial" w:eastAsia="Arial" w:hAnsi="Arial"/>
          <w:sz w:val="18"/>
          <w:szCs w:val="18"/>
          <w:color w:val="auto"/>
        </w:rPr>
        <w:t>”) of an aggregate of 3,916,449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its Class C common stock, par value $.01 per share, pursuant to that certain Underwriting Agreement dated September 24, 2018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by and among the Company, Clearway Energy LLC and UBS Securities LLC, as the underwriter.</w:t>
      </w:r>
    </w:p>
    <w:p>
      <w:pPr>
        <w:spacing w:after="0" w:line="187"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We refer to the registration statement on Form S-3 (Registration Statement No. 333-224684) with respect to the Shares being sold by the Company in the Offering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which Registration Statement became effective upon filing by the Company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May 4, 2018. The final prospectus supplement dated September 24, 2018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which together with the accompanying prospectus dated May 4, 2018 filed with the Registration Statement, has been filed pursuant to Rule 424(b) promulgated under the Securities Act.</w:t>
      </w:r>
    </w:p>
    <w:p>
      <w:pPr>
        <w:spacing w:after="0" w:line="173" w:lineRule="exact"/>
        <w:rPr>
          <w:sz w:val="20"/>
          <w:szCs w:val="20"/>
          <w:color w:val="auto"/>
        </w:rPr>
      </w:pPr>
    </w:p>
    <w:p>
      <w:pPr>
        <w:ind w:right="100" w:firstLine="1297"/>
        <w:spacing w:after="0" w:line="273" w:lineRule="auto"/>
        <w:rPr>
          <w:sz w:val="20"/>
          <w:szCs w:val="20"/>
          <w:color w:val="auto"/>
        </w:rPr>
      </w:pPr>
      <w:r>
        <w:rPr>
          <w:rFonts w:ascii="Arial" w:cs="Arial" w:eastAsia="Arial" w:hAnsi="Arial"/>
          <w:sz w:val="17"/>
          <w:szCs w:val="17"/>
          <w:color w:val="auto"/>
        </w:rPr>
        <w:t>As the basis for the opinion hereinafter expressed, we examined the Restated Certificate of Incorporation of the Company, dated as of May 2, 2016, as amended to date, the Fourth Amended and Restated Bylaws of the Company, effective as of August 31, 2018, the Underwriting Agreement, the Delaware General Corporation Law, corporate records and documents related to the Company, certificates of the Company and public officials, and other instruments and documents as we deemed necessary or advisable for the purposes of this opinion. In making our examination, we have assumed that all signatures on documents examined by us are genuine, that all documents submitted to us as originals are authentic and that all documents submitted to us as copies conform with the original copies of such documents.</w:t>
      </w:r>
    </w:p>
    <w:p>
      <w:pPr>
        <w:spacing w:after="0" w:line="178"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Based on the foregoing and on such legal considerations as we deem relevant, we are of the opinion that the Shares, when issued and delivered in the Offering on behalf of the Company against payment therefor as described in the Underwriting Agreement, will be duly authorized, validly issued, fully paid and non-assessable.</w:t>
      </w:r>
    </w:p>
    <w:p>
      <w:pPr>
        <w:spacing w:after="0" w:line="181"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This opinion is limited in all respects to the federal laws of the United States of America and the laws of the state of Delaware, each as in effect on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At your request, this opinion is being furnished to you for filing as an exhibit to the Company’s Current Report on Form 8-K filed on the date hereof. We hereby consent to the statements with respect to us under the heading “Legal Matters” in the Prospectus Supplement and to the filing of this opinion as an exhibit to the Company’s Current Report on Form 8-K filed on the date hereof. In giving this consent, we do not hereby admit that we are within the category of persons whose consent is required under Section 7 of the Securities Act, or the rules and regulations of the Commission issued thereunder.</w:t>
      </w:r>
    </w:p>
    <w:p>
      <w:pPr>
        <w:spacing w:after="0" w:line="188"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Baker Botts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MPB/RPM/SKM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o"/>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lowerRoman"/>
      <w:start w:val="1"/>
    </w:lvl>
  </w:abstractNum>
  <w:abstractNum w:abstractNumId="3">
    <w:nsid w:val="333AB105"/>
    <w:multiLevelType w:val="hybridMultilevel"/>
    <w:lvl w:ilvl="0">
      <w:lvlJc w:val="left"/>
      <w:lvlText w:val="(%1)"/>
      <w:numFmt w:val="lowerRoman"/>
      <w:start w:val="2"/>
    </w:lvl>
  </w:abstractNum>
  <w:abstractNum w:abstractNumId="4">
    <w:nsid w:val="721DA317"/>
    <w:multiLevelType w:val="hybridMultilevel"/>
    <w:lvl w:ilvl="0">
      <w:lvlJc w:val="left"/>
      <w:lvlText w:val="(%1)"/>
      <w:numFmt w:val="lowerRoman"/>
      <w:start w:val="3"/>
    </w:lvl>
  </w:abstractNum>
  <w:abstractNum w:abstractNumId="5">
    <w:nsid w:val="2443A858"/>
    <w:multiLevelType w:val="hybridMultilevel"/>
    <w:lvl w:ilvl="0">
      <w:lvlJc w:val="left"/>
      <w:lvlText w:val="(%1)"/>
      <w:numFmt w:val="lowerRoman"/>
      <w:start w:val="4"/>
    </w:lvl>
  </w:abstractNum>
  <w:abstractNum w:abstractNumId="6">
    <w:nsid w:val="2D1D5AE9"/>
    <w:multiLevelType w:val="hybridMultilevel"/>
    <w:lvl w:ilvl="0">
      <w:lvlJc w:val="left"/>
      <w:lvlText w:val="(%1)"/>
      <w:numFmt w:val="lowerRoman"/>
      <w:start w:val="5"/>
    </w:lvl>
  </w:abstractNum>
  <w:abstractNum w:abstractNumId="7">
    <w:nsid w:val="6763845E"/>
    <w:multiLevelType w:val="hybridMultilevel"/>
    <w:lvl w:ilvl="0">
      <w:lvlJc w:val="left"/>
      <w:lvlText w:val="(%1)"/>
      <w:numFmt w:val="lowerRoman"/>
      <w:start w:val="9"/>
    </w:lvl>
  </w:abstractNum>
  <w:abstractNum w:abstractNumId="8">
    <w:nsid w:val="75A2A8D4"/>
    <w:multiLevelType w:val="hybridMultilevel"/>
    <w:lvl w:ilvl="0">
      <w:lvlJc w:val="left"/>
      <w:lvlText w:val="%1"/>
      <w:numFmt w:val="lowerRoman"/>
      <w:start w:val="1"/>
    </w:lvl>
    <w:lvl w:ilvl="1">
      <w:lvlJc w:val="left"/>
      <w:lvlText w:val="(%2)"/>
      <w:numFmt w:val="lowerRoman"/>
      <w:start w:val="14"/>
    </w:lvl>
  </w:abstractNum>
  <w:abstractNum w:abstractNumId="9">
    <w:nsid w:val="8EDBDAB"/>
    <w:multiLevelType w:val="hybridMultilevel"/>
    <w:lvl w:ilvl="0">
      <w:lvlJc w:val="left"/>
      <w:lvlText w:val="(%1)"/>
      <w:numFmt w:val="lowerRoman"/>
      <w:start w:val="3"/>
    </w:lvl>
    <w:lvl w:ilvl="1">
      <w:lvlJc w:val="left"/>
      <w:lvlText w:val="(%2)"/>
      <w:numFmt w:val="lowerRoman"/>
      <w:start w:val="16"/>
    </w:lvl>
  </w:abstractNum>
  <w:abstractNum w:abstractNumId="10">
    <w:nsid w:val="79838CB2"/>
    <w:multiLevelType w:val="hybridMultilevel"/>
    <w:lvl w:ilvl="0">
      <w:lvlJc w:val="left"/>
      <w:lvlText w:val="(%1)"/>
      <w:numFmt w:val="lowerRoman"/>
      <w:start w:val="19"/>
    </w:lvl>
  </w:abstractNum>
  <w:abstractNum w:abstractNumId="11">
    <w:nsid w:val="4353D0CD"/>
    <w:multiLevelType w:val="hybridMultilevel"/>
    <w:lvl w:ilvl="0">
      <w:lvlJc w:val="left"/>
      <w:lvlText w:val="(%1)"/>
      <w:numFmt w:val="lowerRoman"/>
      <w:start w:val="22"/>
    </w:lvl>
  </w:abstractNum>
  <w:abstractNum w:abstractNumId="12">
    <w:nsid w:val="B03E0C6"/>
    <w:multiLevelType w:val="hybridMultilevel"/>
    <w:lvl w:ilvl="0">
      <w:lvlJc w:val="left"/>
      <w:lvlText w:val="(%1)"/>
      <w:numFmt w:val="lowerRoman"/>
      <w:start w:val="25"/>
    </w:lvl>
  </w:abstractNum>
  <w:abstractNum w:abstractNumId="13">
    <w:nsid w:val="189A769B"/>
    <w:multiLevelType w:val="hybridMultilevel"/>
    <w:lvl w:ilvl="0">
      <w:lvlJc w:val="left"/>
      <w:lvlText w:val="(%1)"/>
      <w:numFmt w:val="lowerRoman"/>
      <w:start w:val="27"/>
    </w:lvl>
  </w:abstractNum>
  <w:abstractNum w:abstractNumId="14">
    <w:nsid w:val="54E49EB4"/>
    <w:multiLevelType w:val="hybridMultilevel"/>
    <w:lvl w:ilvl="0">
      <w:lvlJc w:val="left"/>
      <w:lvlText w:val="(%1)"/>
      <w:numFmt w:val="lowerRoman"/>
      <w:start w:val="28"/>
    </w:lvl>
  </w:abstractNum>
  <w:abstractNum w:abstractNumId="15">
    <w:nsid w:val="71F32454"/>
    <w:multiLevelType w:val="hybridMultilevel"/>
    <w:lvl w:ilvl="0">
      <w:lvlJc w:val="left"/>
      <w:lvlText w:val="(%1)"/>
      <w:numFmt w:val="lowerRoman"/>
      <w:start w:val="32"/>
    </w:lvl>
  </w:abstractNum>
  <w:abstractNum w:abstractNumId="16">
    <w:nsid w:val="2CA88611"/>
    <w:multiLevelType w:val="hybridMultilevel"/>
    <w:lvl w:ilvl="0">
      <w:lvlJc w:val="left"/>
      <w:lvlText w:val="(%1)"/>
      <w:numFmt w:val="lowerRoman"/>
      <w:start w:val="35"/>
    </w:lvl>
  </w:abstractNum>
  <w:abstractNum w:abstractNumId="17">
    <w:nsid w:val="836C40E"/>
    <w:multiLevelType w:val="hybridMultilevel"/>
    <w:lvl w:ilvl="0">
      <w:lvlJc w:val="left"/>
      <w:lvlText w:val="(%1)"/>
      <w:numFmt w:val="lowerRoman"/>
      <w:start w:val="36"/>
    </w:lvl>
  </w:abstractNum>
  <w:abstractNum w:abstractNumId="18">
    <w:nsid w:val="2901D82"/>
    <w:multiLevelType w:val="hybridMultilevel"/>
    <w:lvl w:ilvl="0">
      <w:lvlJc w:val="left"/>
      <w:lvlText w:val="(%1)"/>
      <w:numFmt w:val="lowerLetter"/>
      <w:start w:val="2"/>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Letter"/>
      <w:start w:val="1"/>
    </w:lvl>
    <w:lvl w:ilvl="1">
      <w:lvlJc w:val="left"/>
      <w:lvlText w:val="(%2)"/>
      <w:numFmt w:val="lowerLetter"/>
      <w:start w:val="2"/>
    </w:lvl>
  </w:abstractNum>
  <w:abstractNum w:abstractNumId="22">
    <w:nsid w:val="7C3DBD3D"/>
    <w:multiLevelType w:val="hybridMultilevel"/>
    <w:lvl w:ilvl="0">
      <w:lvlJc w:val="left"/>
      <w:lvlText w:val="(%1)"/>
      <w:numFmt w:val="lowerLetter"/>
      <w:start w:val="9"/>
    </w:lvl>
    <w:lvl w:ilvl="1">
      <w:lvlJc w:val="left"/>
      <w:lvlText w:val="(%2)"/>
      <w:numFmt w:val="lowerLetter"/>
      <w:start w:val="3"/>
    </w:lvl>
  </w:abstractNum>
  <w:abstractNum w:abstractNumId="23">
    <w:nsid w:val="737B8DDC"/>
    <w:multiLevelType w:val="hybridMultilevel"/>
    <w:lvl w:ilvl="0">
      <w:lvlJc w:val="left"/>
      <w:lvlText w:val="(%1)"/>
      <w:numFmt w:val="lowerLetter"/>
      <w:start w:val="5"/>
    </w:lvl>
  </w:abstractNum>
  <w:abstractNum w:abstractNumId="24">
    <w:nsid w:val="6CEAF087"/>
    <w:multiLevelType w:val="hybridMultilevel"/>
    <w:lvl w:ilvl="0">
      <w:lvlJc w:val="left"/>
      <w:lvlText w:val="%1"/>
      <w:numFmt w:val="upperLetter"/>
      <w:start w:val="1"/>
    </w:lvl>
    <w:lvl w:ilvl="1">
      <w:lvlJc w:val="left"/>
      <w:lvlText w:val="(%2)"/>
      <w:numFmt w:val="lowerLetter"/>
      <w:start w:val="8"/>
    </w:lvl>
  </w:abstractNum>
  <w:abstractNum w:abstractNumId="25">
    <w:nsid w:val="22221A70"/>
    <w:multiLevelType w:val="hybridMultilevel"/>
    <w:lvl w:ilvl="0">
      <w:lvlJc w:val="left"/>
      <w:lvlText w:val="(%1)"/>
      <w:numFmt w:val="upperLetter"/>
      <w:start w:val="3"/>
    </w:lvl>
    <w:lvl w:ilvl="1">
      <w:lvlJc w:val="left"/>
      <w:lvlText w:val="(%2)"/>
      <w:numFmt w:val="lowerLetter"/>
      <w:start w:val="10"/>
    </w:lvl>
  </w:abstractNum>
  <w:abstractNum w:abstractNumId="26">
    <w:nsid w:val="4516DDE9"/>
    <w:multiLevelType w:val="hybridMultilevel"/>
    <w:lvl w:ilvl="0">
      <w:lvlJc w:val="left"/>
      <w:lvlText w:val="%1"/>
      <w:numFmt w:val="lowerRoman"/>
      <w:start w:val="1"/>
    </w:lvl>
    <w:lvl w:ilvl="1">
      <w:lvlJc w:val="left"/>
      <w:lvlText w:val="(%2)"/>
      <w:numFmt w:val="lowerLetter"/>
      <w:start w:val="1"/>
    </w:lvl>
  </w:abstractNum>
  <w:abstractNum w:abstractNumId="27">
    <w:nsid w:val="3006C83E"/>
    <w:multiLevelType w:val="hybridMultilevel"/>
    <w:lvl w:ilvl="0">
      <w:lvlJc w:val="left"/>
      <w:lvlText w:val="(%1)"/>
      <w:numFmt w:val="lowerRoman"/>
      <w:start w:val="6"/>
    </w:lvl>
    <w:lvl w:ilvl="1">
      <w:lvlJc w:val="left"/>
      <w:lvlText w:val="%2"/>
      <w:numFmt w:val="lowerLetter"/>
      <w:start w:val="1"/>
    </w:lvl>
  </w:abstractNum>
  <w:abstractNum w:abstractNumId="28">
    <w:nsid w:val="614FD4A1"/>
    <w:multiLevelType w:val="hybridMultilevel"/>
    <w:lvl w:ilvl="0">
      <w:lvlJc w:val="left"/>
      <w:lvlText w:val="%1"/>
      <w:numFmt w:val="lowerLetter"/>
      <w:start w:val="1"/>
    </w:lvl>
    <w:lvl w:ilvl="1">
      <w:lvlJc w:val="left"/>
      <w:lvlText w:val="(%2)"/>
      <w:numFmt w:val="lowerLetter"/>
      <w:start w:val="2"/>
    </w:lvl>
  </w:abstractNum>
  <w:abstractNum w:abstractNumId="29">
    <w:nsid w:val="419AC241"/>
    <w:multiLevelType w:val="hybridMultilevel"/>
    <w:lvl w:ilvl="0">
      <w:lvlJc w:val="left"/>
      <w:lvlText w:val="(%1)"/>
      <w:numFmt w:val="lowerLetter"/>
      <w:start w:val="9"/>
    </w:lvl>
    <w:lvl w:ilvl="1">
      <w:lvlJc w:val="left"/>
      <w:lvlText w:val="%2"/>
      <w:numFmt w:val="lowerLetter"/>
      <w:start w:val="1"/>
    </w:lvl>
  </w:abstractNum>
  <w:abstractNum w:abstractNumId="30">
    <w:nsid w:val="5577F8E1"/>
    <w:multiLevelType w:val="hybridMultilevel"/>
    <w:lvl w:ilvl="0">
      <w:lvlJc w:val="left"/>
      <w:lvlText w:val="%1"/>
      <w:numFmt w:val="lowerLetter"/>
      <w:start w:val="1"/>
    </w:lvl>
    <w:lvl w:ilvl="1">
      <w:lvlJc w:val="left"/>
      <w:lvlText w:val="(%2)"/>
      <w:numFmt w:val="lowerLetter"/>
      <w:start w:val="1"/>
    </w:lvl>
  </w:abstractNum>
  <w:abstractNum w:abstractNumId="31">
    <w:nsid w:val="440BADFC"/>
    <w:multiLevelType w:val="hybridMultilevel"/>
    <w:lvl w:ilvl="0">
      <w:lvlJc w:val="left"/>
      <w:lvlText w:val="(%1)"/>
      <w:numFmt w:val="lowerLetter"/>
      <w:start w:val="35"/>
    </w:lvl>
    <w:lvl w:ilvl="1">
      <w:lvlJc w:val="left"/>
      <w:lvlText w:val="(%2)"/>
      <w:numFmt w:val="lowerLetter"/>
      <w:start w:val="2"/>
    </w:lvl>
  </w:abstractNum>
  <w:abstractNum w:abstractNumId="32">
    <w:nsid w:val="5072367"/>
    <w:multiLevelType w:val="hybridMultilevel"/>
    <w:lvl w:ilvl="0">
      <w:lvlJc w:val="left"/>
      <w:lvlText w:val="(%1)"/>
      <w:numFmt w:val="lowerLetter"/>
      <w:start w:val="6"/>
    </w:lvl>
  </w:abstractNum>
  <w:abstractNum w:abstractNumId="33">
    <w:nsid w:val="3804823E"/>
    <w:multiLevelType w:val="hybridMultilevel"/>
    <w:lvl w:ilvl="0">
      <w:lvlJc w:val="left"/>
      <w:lvlText w:val="(%1)"/>
      <w:numFmt w:val="lowerLetter"/>
      <w:start w:val="12"/>
    </w:lvl>
  </w:abstractNum>
  <w:abstractNum w:abstractNumId="34">
    <w:nsid w:val="77465F01"/>
    <w:multiLevelType w:val="hybridMultilevel"/>
    <w:lvl w:ilvl="0">
      <w:lvlJc w:val="left"/>
      <w:lvlText w:val="(%1)"/>
      <w:numFmt w:val="lowerLetter"/>
      <w:start w:val="14"/>
    </w:lvl>
  </w:abstractNum>
  <w:abstractNum w:abstractNumId="35">
    <w:nsid w:val="7724C67E"/>
    <w:multiLevelType w:val="hybridMultilevel"/>
    <w:lvl w:ilvl="0">
      <w:lvlJc w:val="left"/>
      <w:lvlText w:val="(%1)"/>
      <w:numFmt w:val="lowerLetter"/>
      <w:start w:val="1"/>
    </w:lvl>
    <w:lvl w:ilvl="1">
      <w:lvlJc w:val="left"/>
      <w:lvlText w:val="(%2)"/>
      <w:numFmt w:val="lowerRoman"/>
      <w:start w:val="1"/>
    </w:lvl>
  </w:abstractNum>
  <w:abstractNum w:abstractNumId="36">
    <w:nsid w:val="5C482A97"/>
    <w:multiLevelType w:val="hybridMultilevel"/>
    <w:lvl w:ilvl="0">
      <w:lvlJc w:val="left"/>
      <w:lvlText w:val="(%1)"/>
      <w:numFmt w:val="lowerLetter"/>
      <w:start w:val="2"/>
    </w:lvl>
  </w:abstractNum>
  <w:abstractNum w:abstractNumId="37">
    <w:nsid w:val="2463B9EA"/>
    <w:multiLevelType w:val="hybridMultilevel"/>
    <w:lvl w:ilvl="0">
      <w:lvlJc w:val="left"/>
      <w:lvlText w:val="%1"/>
      <w:numFmt w:val="lowerRoman"/>
      <w:start w:val="1"/>
    </w:lvl>
    <w:lvl w:ilvl="1">
      <w:lvlJc w:val="left"/>
      <w:lvlText w:val="(%2)"/>
      <w:numFmt w:val="lowerLetter"/>
      <w:start w:val="1"/>
    </w:lvl>
  </w:abstractNum>
  <w:abstractNum w:abstractNumId="38">
    <w:nsid w:val="5E884ADC"/>
    <w:multiLevelType w:val="hybridMultilevel"/>
    <w:lvl w:ilvl="0">
      <w:lvlJc w:val="left"/>
      <w:lvlText w:val="(%1)"/>
      <w:numFmt w:val="lowerRoman"/>
      <w:start w:val="6"/>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2019-12-28T19:28:08Z</dcterms:created>
  <dcterms:modified xsi:type="dcterms:W3CDTF">2019-12-28T19:28:08Z</dcterms:modified>
</cp:coreProperties>
</file>