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NRG Yield,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rPr>
              <w:t>NRG YIELD, INC.</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06/01/2018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804 CARNEGIE CENTER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0"/>
          </w:tcPr>
          <w:p>
            <w:pPr>
              <w:jc w:val="center"/>
              <w:ind w:right="5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jc w:val="center"/>
              <w:ind w:left="2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8"/>
              </w:rPr>
              <w:t>06/01/2018</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jc w:val="center"/>
              <w:ind w:right="79"/>
              <w:spacing w:after="0"/>
              <w:rPr>
                <w:sz w:val="20"/>
                <w:szCs w:val="20"/>
                <w:color w:val="auto"/>
              </w:rPr>
            </w:pPr>
            <w:r>
              <w:rPr>
                <w:rFonts w:ascii="Arial" w:cs="Arial" w:eastAsia="Arial" w:hAnsi="Arial"/>
                <w:sz w:val="18"/>
                <w:szCs w:val="18"/>
                <w:color w:val="0000FF"/>
                <w:w w:val="82"/>
              </w:rPr>
              <w:t>11,047</w:t>
            </w:r>
            <w:r>
              <w:rPr>
                <w:rFonts w:ascii="Arial" w:cs="Arial" w:eastAsia="Arial" w:hAnsi="Arial"/>
                <w:sz w:val="22"/>
                <w:szCs w:val="22"/>
                <w:color w:val="008000"/>
                <w:w w:val="82"/>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22"/>
                <w:szCs w:val="22"/>
                <w:color w:val="auto"/>
              </w:rPr>
            </w:pPr>
          </w:p>
        </w:tc>
        <w:tc>
          <w:tcPr>
            <w:tcW w:w="90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7"/>
              </w:rPr>
              <w:t>55,983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2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8"/>
              </w:rPr>
              <w:t>06/01/2018</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680" w:type="dxa"/>
            <w:vAlign w:val="bottom"/>
            <w:vMerge w:val="restart"/>
          </w:tcPr>
          <w:p>
            <w:pPr>
              <w:jc w:val="center"/>
              <w:ind w:left="230"/>
              <w:spacing w:after="0"/>
              <w:rPr>
                <w:sz w:val="20"/>
                <w:szCs w:val="20"/>
                <w:color w:val="auto"/>
              </w:rPr>
            </w:pPr>
            <w:r>
              <w:rPr>
                <w:rFonts w:ascii="Arial" w:cs="Arial" w:eastAsia="Arial" w:hAnsi="Arial"/>
                <w:sz w:val="18"/>
                <w:szCs w:val="18"/>
                <w:color w:val="0000FF"/>
                <w:w w:val="86"/>
              </w:rPr>
              <w:t>204</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14,535</w:t>
            </w:r>
            <w:r>
              <w:rPr>
                <w:rFonts w:ascii="Arial" w:cs="Arial" w:eastAsia="Arial" w:hAnsi="Arial"/>
                <w:sz w:val="22"/>
                <w:szCs w:val="22"/>
                <w:color w:val="008000"/>
                <w:w w:val="84"/>
                <w:vertAlign w:val="superscript"/>
              </w:rPr>
              <w:t>(4)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8"/>
              </w:rPr>
              <w:t>06/01/2018</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680" w:type="dxa"/>
            <w:vAlign w:val="bottom"/>
            <w:vMerge w:val="restart"/>
          </w:tcPr>
          <w:p>
            <w:pPr>
              <w:jc w:val="center"/>
              <w:ind w:left="230"/>
              <w:spacing w:after="0"/>
              <w:rPr>
                <w:sz w:val="20"/>
                <w:szCs w:val="20"/>
                <w:color w:val="auto"/>
              </w:rPr>
            </w:pPr>
            <w:r>
              <w:rPr>
                <w:rFonts w:ascii="Arial" w:cs="Arial" w:eastAsia="Arial" w:hAnsi="Arial"/>
                <w:sz w:val="18"/>
                <w:szCs w:val="18"/>
                <w:color w:val="0000FF"/>
                <w:w w:val="86"/>
              </w:rPr>
              <w:t>951</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56,934</w:t>
            </w:r>
            <w:r>
              <w:rPr>
                <w:rFonts w:ascii="Arial" w:cs="Arial" w:eastAsia="Arial" w:hAnsi="Arial"/>
                <w:sz w:val="22"/>
                <w:szCs w:val="22"/>
                <w:color w:val="008000"/>
                <w:w w:val="84"/>
                <w:vertAlign w:val="superscript"/>
              </w:rPr>
              <w:t>(5)</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0"/>
          </w:tcPr>
          <w:p>
            <w:pPr>
              <w:jc w:val="center"/>
              <w:ind w:right="5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6"/>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11,047 Deferred Stock Units issued to the Reporting Person by NRG Yield, Inc. under NRG Yield, Inc.'s Amended and Restated Equity Incentive Plan.</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Deferred Stock Unit is equivalent in value to one share of NRG Yield, Inc.'s Class C Common Stock, par value $.01 per share. The Reporting Person will receive from NRG Yield, Inc. one such share of Class C Common Stock for each Deferred Stock Unit she owns upon termination of her service on NRG Yield, Inc.'s Board of Directors.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NRG Yield,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2,442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6,417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2019-12-23T22:30:20Z</dcterms:created>
  <dcterms:modified xsi:type="dcterms:W3CDTF">2019-12-23T22:30:20Z</dcterms:modified>
</cp:coreProperties>
</file>