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jc w:val="center"/>
              <w:ind w:right="15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6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80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80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03/31/2023</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6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71,980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31.1524</w:t>
            </w:r>
            <w:r>
              <w:rPr>
                <w:rFonts w:ascii="Times New Roman" w:cs="Times New Roman" w:eastAsia="Times New Roman" w:hAnsi="Times New Roman"/>
                <w:sz w:val="22"/>
                <w:szCs w:val="22"/>
                <w:color w:val="008000"/>
                <w:w w:val="97"/>
                <w:vertAlign w:val="superscript"/>
              </w:rPr>
              <w:t>(1)</w:t>
            </w:r>
          </w:p>
        </w:tc>
        <w:tc>
          <w:tcPr>
            <w:tcW w:w="860" w:type="dxa"/>
            <w:vAlign w:val="bottom"/>
            <w:gridSpan w:val="2"/>
            <w:vMerge w:val="restart"/>
          </w:tcPr>
          <w:p>
            <w:pPr>
              <w:jc w:val="center"/>
              <w:ind w:left="193"/>
              <w:spacing w:after="0"/>
              <w:rPr>
                <w:sz w:val="20"/>
                <w:szCs w:val="20"/>
                <w:color w:val="auto"/>
              </w:rPr>
            </w:pPr>
            <w:r>
              <w:rPr>
                <w:rFonts w:ascii="Times New Roman" w:cs="Times New Roman" w:eastAsia="Times New Roman" w:hAnsi="Times New Roman"/>
                <w:sz w:val="17"/>
                <w:szCs w:val="17"/>
                <w:color w:val="0000FF"/>
              </w:rPr>
              <w:t>172,601</w:t>
            </w:r>
          </w:p>
        </w:tc>
        <w:tc>
          <w:tcPr>
            <w:tcW w:w="9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(5)(6)(7)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94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04/01/2023</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3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64,573</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31.33</w:t>
            </w:r>
          </w:p>
        </w:tc>
        <w:tc>
          <w:tcPr>
            <w:tcW w:w="860" w:type="dxa"/>
            <w:vAlign w:val="bottom"/>
            <w:tcBorders>
              <w:top w:val="single" w:sz="8" w:color="2C2C2C"/>
            </w:tcBorders>
            <w:gridSpan w:val="2"/>
            <w:vMerge w:val="restart"/>
          </w:tcPr>
          <w:p>
            <w:pPr>
              <w:jc w:val="center"/>
              <w:ind w:left="193"/>
              <w:spacing w:after="0"/>
              <w:rPr>
                <w:sz w:val="20"/>
                <w:szCs w:val="20"/>
                <w:color w:val="auto"/>
              </w:rPr>
            </w:pPr>
            <w:r>
              <w:rPr>
                <w:rFonts w:ascii="Times New Roman" w:cs="Times New Roman" w:eastAsia="Times New Roman" w:hAnsi="Times New Roman"/>
                <w:sz w:val="17"/>
                <w:szCs w:val="17"/>
                <w:color w:val="0000FF"/>
              </w:rPr>
              <w:t>237,174</w:t>
            </w:r>
          </w:p>
        </w:tc>
        <w:tc>
          <w:tcPr>
            <w:tcW w:w="940" w:type="dxa"/>
            <w:vAlign w:val="bottom"/>
            <w:tcBorders>
              <w:top w:val="single" w:sz="8" w:color="2C2C2C"/>
            </w:tcBorders>
            <w:vMerge w:val="restart"/>
          </w:tcPr>
          <w:p>
            <w:pPr>
              <w:ind w:left="68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80" w:type="dxa"/>
            <w:vAlign w:val="bottom"/>
            <w:gridSpan w:val="4"/>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(5)(6)(7)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94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04/01/2023</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3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184,091</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31.33</w:t>
            </w:r>
          </w:p>
        </w:tc>
        <w:tc>
          <w:tcPr>
            <w:tcW w:w="860" w:type="dxa"/>
            <w:vAlign w:val="bottom"/>
            <w:tcBorders>
              <w:top w:val="single" w:sz="8" w:color="2C2C2C"/>
            </w:tcBorders>
            <w:gridSpan w:val="2"/>
            <w:vMerge w:val="restart"/>
          </w:tcPr>
          <w:p>
            <w:pPr>
              <w:jc w:val="center"/>
              <w:ind w:left="193"/>
              <w:spacing w:after="0"/>
              <w:rPr>
                <w:sz w:val="20"/>
                <w:szCs w:val="20"/>
                <w:color w:val="auto"/>
              </w:rPr>
            </w:pPr>
            <w:r>
              <w:rPr>
                <w:rFonts w:ascii="Times New Roman" w:cs="Times New Roman" w:eastAsia="Times New Roman" w:hAnsi="Times New Roman"/>
                <w:sz w:val="17"/>
                <w:szCs w:val="17"/>
                <w:color w:val="0000FF"/>
              </w:rPr>
              <w:t>53,083</w:t>
            </w:r>
          </w:p>
        </w:tc>
        <w:tc>
          <w:tcPr>
            <w:tcW w:w="940" w:type="dxa"/>
            <w:vAlign w:val="bottom"/>
            <w:tcBorders>
              <w:top w:val="single" w:sz="8" w:color="2C2C2C"/>
            </w:tcBorders>
            <w:vMerge w:val="restart"/>
          </w:tcPr>
          <w:p>
            <w:pPr>
              <w:ind w:left="68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80" w:type="dxa"/>
            <w:vAlign w:val="bottom"/>
            <w:gridSpan w:val="4"/>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(5)(6)(7)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94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04/03/2023</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(4)</w:t>
            </w:r>
          </w:p>
        </w:tc>
        <w:tc>
          <w:tcPr>
            <w:tcW w:w="3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3,875</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860" w:type="dxa"/>
            <w:vAlign w:val="bottom"/>
            <w:tcBorders>
              <w:top w:val="single" w:sz="8" w:color="2C2C2C"/>
            </w:tcBorders>
            <w:gridSpan w:val="2"/>
            <w:vMerge w:val="restart"/>
          </w:tcPr>
          <w:p>
            <w:pPr>
              <w:jc w:val="center"/>
              <w:ind w:left="193"/>
              <w:spacing w:after="0"/>
              <w:rPr>
                <w:sz w:val="20"/>
                <w:szCs w:val="20"/>
                <w:color w:val="auto"/>
              </w:rPr>
            </w:pPr>
            <w:r>
              <w:rPr>
                <w:rFonts w:ascii="Times New Roman" w:cs="Times New Roman" w:eastAsia="Times New Roman" w:hAnsi="Times New Roman"/>
                <w:sz w:val="17"/>
                <w:szCs w:val="17"/>
                <w:color w:val="0000FF"/>
              </w:rPr>
              <w:t>56,958</w:t>
            </w:r>
          </w:p>
        </w:tc>
        <w:tc>
          <w:tcPr>
            <w:tcW w:w="940" w:type="dxa"/>
            <w:vAlign w:val="bottom"/>
            <w:tcBorders>
              <w:top w:val="single" w:sz="8" w:color="2C2C2C"/>
            </w:tcBorders>
            <w:vMerge w:val="restart"/>
          </w:tcPr>
          <w:p>
            <w:pPr>
              <w:ind w:left="68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80" w:type="dxa"/>
            <w:vAlign w:val="bottom"/>
            <w:gridSpan w:val="4"/>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(5)(6)(7)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19"/>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16"/>
          </w:tcPr>
          <w:p>
            <w:pPr>
              <w:jc w:val="center"/>
              <w:ind w:righ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2"/>
              </w:rPr>
              <w:t>Date</w:t>
            </w:r>
          </w:p>
        </w:tc>
        <w:tc>
          <w:tcPr>
            <w:tcW w:w="120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0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3"/>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10105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3"/>
          </w:tcPr>
          <w:p>
            <w:pPr>
              <w:ind w:left="3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3"/>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10105</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348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3488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Zephyr Holdings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1. The price reported in Column 4 is a weighted average price. These units were purchased by Clearway Energy Group LLC ("Clearway Energy Group") in multiple transactions at prices ranging from</w:t>
      </w:r>
    </w:p>
    <w:p>
      <w:pPr>
        <w:spacing w:after="0" w:line="11" w:lineRule="exact"/>
        <w:rPr>
          <w:sz w:val="20"/>
          <w:szCs w:val="20"/>
          <w:color w:val="auto"/>
        </w:rPr>
      </w:pPr>
    </w:p>
    <w:p>
      <w:pPr>
        <w:ind w:left="20" w:right="60"/>
        <w:spacing w:after="0" w:line="242" w:lineRule="auto"/>
        <w:rPr>
          <w:sz w:val="20"/>
          <w:szCs w:val="20"/>
          <w:color w:val="auto"/>
        </w:rPr>
      </w:pPr>
      <w:r>
        <w:rPr>
          <w:rFonts w:ascii="Times New Roman" w:cs="Times New Roman" w:eastAsia="Times New Roman" w:hAnsi="Times New Roman"/>
          <w:sz w:val="13"/>
          <w:szCs w:val="13"/>
          <w:color w:val="008000"/>
        </w:rPr>
        <w:t>$30.96 to $31.40. The Reporting Persons undertake to provide Clearway Energy, Inc., any security holder of Clearway Energy, Inc., or the staff of the Securities and Exchange Commission, upon request, full information regarding the number of units purchased at each separate price within the ranges set forth in this footnote. The Reporting Persons have agreed to voluntarily disgorge any profits deemed realized from such transactions to the Issuer.</w:t>
      </w:r>
    </w:p>
    <w:p>
      <w:pPr>
        <w:spacing w:after="0" w:line="27" w:lineRule="exact"/>
        <w:rPr>
          <w:sz w:val="20"/>
          <w:szCs w:val="20"/>
          <w:color w:val="auto"/>
        </w:rPr>
      </w:pPr>
    </w:p>
    <w:p>
      <w:pPr>
        <w:ind w:left="20" w:right="2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under its Long Term Equity Incentive Program to certain of its employees. The Reporting Persons have agreed to voluntarily disgorge any profits deemed realized from such transactions to the Issuer.</w:t>
      </w:r>
    </w:p>
    <w:p>
      <w:pPr>
        <w:spacing w:after="0" w:line="7"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  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GLOBAL</w:t>
      </w:r>
      <w:r>
        <w:rPr>
          <w:sz w:val="20"/>
          <w:szCs w:val="20"/>
          <w:color w:val="auto"/>
        </w:rPr>
        <w:tab/>
      </w: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ectPr>
          <w:pgSz w:w="11900" w:h="16844" w:orient="portrait"/>
          <w:cols w:equalWidth="0" w:num="1">
            <w:col w:w="10900"/>
          </w:cols>
          <w:pgMar w:left="480" w:top="167" w:right="51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5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3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0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7"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2023-04-04T15:48:50Z</dcterms:created>
  <dcterms:modified xsi:type="dcterms:W3CDTF">2023-04-04T15:48:50Z</dcterms:modified>
</cp:coreProperties>
</file>